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05AA4" w14:textId="123F9872" w:rsidR="00FC6C62" w:rsidRDefault="000A34FD">
      <w:pPr>
        <w:rPr>
          <w:b/>
          <w:bCs/>
        </w:rPr>
      </w:pPr>
      <w:r>
        <w:rPr>
          <w:b/>
          <w:bCs/>
        </w:rPr>
        <w:t>Supplement 1</w:t>
      </w:r>
      <w:r w:rsidR="002F3600">
        <w:rPr>
          <w:b/>
          <w:bCs/>
        </w:rPr>
        <w:t xml:space="preserve"> </w:t>
      </w:r>
      <w:r w:rsidR="002F3600" w:rsidRPr="009F3EC1">
        <w:t>Variables included in</w:t>
      </w:r>
      <w:r w:rsidR="00813969" w:rsidRPr="009F3EC1">
        <w:t xml:space="preserve"> digital risk stratification </w:t>
      </w:r>
      <w:proofErr w:type="gramStart"/>
      <w:r w:rsidR="00813969" w:rsidRPr="009F3EC1">
        <w:t>tool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7A84" w14:paraId="33B0555F" w14:textId="77777777" w:rsidTr="00647A84">
        <w:tc>
          <w:tcPr>
            <w:tcW w:w="4508" w:type="dxa"/>
          </w:tcPr>
          <w:p w14:paraId="3272D3E1" w14:textId="25A3B41C" w:rsidR="00647A84" w:rsidRDefault="009F3EC1">
            <w:pPr>
              <w:rPr>
                <w:b/>
                <w:bCs/>
              </w:rPr>
            </w:pPr>
            <w:r>
              <w:rPr>
                <w:b/>
                <w:bCs/>
              </w:rPr>
              <w:t>Variable</w:t>
            </w:r>
          </w:p>
        </w:tc>
        <w:tc>
          <w:tcPr>
            <w:tcW w:w="4508" w:type="dxa"/>
          </w:tcPr>
          <w:p w14:paraId="7A3739C6" w14:textId="0F6BBB5A" w:rsidR="00647A84" w:rsidRDefault="009F3EC1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813969" w14:paraId="20973078" w14:textId="77777777" w:rsidTr="00647A84">
        <w:tc>
          <w:tcPr>
            <w:tcW w:w="4508" w:type="dxa"/>
          </w:tcPr>
          <w:p w14:paraId="13B2410B" w14:textId="4E14C8CE" w:rsidR="00813969" w:rsidRPr="00F566A8" w:rsidRDefault="00813969">
            <w:r w:rsidRPr="00F566A8">
              <w:t>Age</w:t>
            </w:r>
          </w:p>
        </w:tc>
        <w:tc>
          <w:tcPr>
            <w:tcW w:w="4508" w:type="dxa"/>
          </w:tcPr>
          <w:p w14:paraId="3875F726" w14:textId="7DB7B78A" w:rsidR="00813969" w:rsidRPr="00F566A8" w:rsidRDefault="00F566A8">
            <w:r w:rsidRPr="00F566A8">
              <w:t>-</w:t>
            </w:r>
          </w:p>
        </w:tc>
      </w:tr>
      <w:tr w:rsidR="00813969" w14:paraId="255E68E9" w14:textId="77777777" w:rsidTr="00647A84">
        <w:tc>
          <w:tcPr>
            <w:tcW w:w="4508" w:type="dxa"/>
          </w:tcPr>
          <w:p w14:paraId="3787CC7B" w14:textId="23B9D0A4" w:rsidR="00813969" w:rsidRPr="00F566A8" w:rsidRDefault="00813969">
            <w:r w:rsidRPr="00F566A8">
              <w:t>Sex</w:t>
            </w:r>
          </w:p>
        </w:tc>
        <w:tc>
          <w:tcPr>
            <w:tcW w:w="4508" w:type="dxa"/>
          </w:tcPr>
          <w:p w14:paraId="6FBC498C" w14:textId="0C092D4F" w:rsidR="00813969" w:rsidRPr="00F566A8" w:rsidRDefault="00F566A8">
            <w:r w:rsidRPr="00F566A8">
              <w:t>-</w:t>
            </w:r>
          </w:p>
        </w:tc>
      </w:tr>
      <w:tr w:rsidR="00370988" w14:paraId="55953010" w14:textId="77777777" w:rsidTr="004D1AF5">
        <w:trPr>
          <w:trHeight w:val="1661"/>
        </w:trPr>
        <w:tc>
          <w:tcPr>
            <w:tcW w:w="4508" w:type="dxa"/>
          </w:tcPr>
          <w:p w14:paraId="37B26057" w14:textId="19B06A63" w:rsidR="00370988" w:rsidRPr="00F566A8" w:rsidRDefault="00370988">
            <w:r w:rsidRPr="00F566A8">
              <w:t>Ethnicity</w:t>
            </w:r>
          </w:p>
        </w:tc>
        <w:tc>
          <w:tcPr>
            <w:tcW w:w="4508" w:type="dxa"/>
          </w:tcPr>
          <w:p w14:paraId="49591260" w14:textId="77777777" w:rsidR="00370988" w:rsidRPr="00F566A8" w:rsidRDefault="00370988">
            <w:r w:rsidRPr="00F566A8">
              <w:t>White</w:t>
            </w:r>
          </w:p>
          <w:p w14:paraId="7922C73C" w14:textId="77777777" w:rsidR="00370988" w:rsidRPr="00F566A8" w:rsidRDefault="00370988">
            <w:r w:rsidRPr="00F566A8">
              <w:t>South-Asian</w:t>
            </w:r>
          </w:p>
          <w:p w14:paraId="46424B3F" w14:textId="77777777" w:rsidR="00370988" w:rsidRPr="00F566A8" w:rsidRDefault="00370988">
            <w:r w:rsidRPr="00F566A8">
              <w:t>Black</w:t>
            </w:r>
          </w:p>
          <w:p w14:paraId="784D92DD" w14:textId="77777777" w:rsidR="00370988" w:rsidRPr="00F566A8" w:rsidRDefault="00370988">
            <w:r w:rsidRPr="00F566A8">
              <w:t>Chinese</w:t>
            </w:r>
          </w:p>
          <w:p w14:paraId="53082677" w14:textId="77777777" w:rsidR="00370988" w:rsidRPr="00F566A8" w:rsidRDefault="00370988">
            <w:r w:rsidRPr="00F566A8">
              <w:t>Mixed ethnicity</w:t>
            </w:r>
          </w:p>
          <w:p w14:paraId="5126B907" w14:textId="7AB87892" w:rsidR="00370988" w:rsidRPr="00F566A8" w:rsidRDefault="00370988" w:rsidP="004D1AF5">
            <w:r w:rsidRPr="00F566A8">
              <w:t>Unknown</w:t>
            </w:r>
          </w:p>
        </w:tc>
      </w:tr>
      <w:tr w:rsidR="005677BA" w14:paraId="4F0CA035" w14:textId="77777777" w:rsidTr="00647A84">
        <w:tc>
          <w:tcPr>
            <w:tcW w:w="4508" w:type="dxa"/>
          </w:tcPr>
          <w:p w14:paraId="6BDA4BA3" w14:textId="0FA3ACFD" w:rsidR="005677BA" w:rsidRPr="00F566A8" w:rsidRDefault="005677BA">
            <w:r w:rsidRPr="00F566A8">
              <w:t xml:space="preserve">Indices of Multiple </w:t>
            </w:r>
            <w:r w:rsidR="00DF1F48" w:rsidRPr="00F566A8">
              <w:t>Deprivation</w:t>
            </w:r>
          </w:p>
        </w:tc>
        <w:tc>
          <w:tcPr>
            <w:tcW w:w="4508" w:type="dxa"/>
          </w:tcPr>
          <w:p w14:paraId="3094945E" w14:textId="571BF30F" w:rsidR="005677BA" w:rsidRPr="00F566A8" w:rsidRDefault="00F566A8">
            <w:r>
              <w:t>-</w:t>
            </w:r>
          </w:p>
        </w:tc>
      </w:tr>
      <w:tr w:rsidR="00370988" w14:paraId="22475537" w14:textId="77777777" w:rsidTr="00BC3FC6">
        <w:trPr>
          <w:trHeight w:val="5253"/>
        </w:trPr>
        <w:tc>
          <w:tcPr>
            <w:tcW w:w="4508" w:type="dxa"/>
          </w:tcPr>
          <w:p w14:paraId="0EC7DB7B" w14:textId="34B38369" w:rsidR="00370988" w:rsidRPr="00253524" w:rsidRDefault="00370988">
            <w:r w:rsidRPr="00253524">
              <w:t>Long term condition</w:t>
            </w:r>
          </w:p>
        </w:tc>
        <w:tc>
          <w:tcPr>
            <w:tcW w:w="4508" w:type="dxa"/>
          </w:tcPr>
          <w:p w14:paraId="4F359094" w14:textId="77777777" w:rsidR="00370988" w:rsidRPr="00253524" w:rsidRDefault="00370988">
            <w:r w:rsidRPr="00F873AF">
              <w:t>Serious mental health</w:t>
            </w:r>
            <w:r>
              <w:t xml:space="preserve"> condition e.g. psychosis, psychotic depression, manic depression</w:t>
            </w:r>
          </w:p>
          <w:p w14:paraId="54F85CEC" w14:textId="77777777" w:rsidR="00370988" w:rsidRPr="0081288A" w:rsidRDefault="00370988">
            <w:r>
              <w:t>Musculoskeletal pain condition (osteoarthritis, rheumatoid arthritis)</w:t>
            </w:r>
          </w:p>
          <w:p w14:paraId="5711BDCC" w14:textId="77777777" w:rsidR="00370988" w:rsidRPr="00253524" w:rsidRDefault="00370988">
            <w:r>
              <w:t>Macro vascular disease (CVA, CVD, PVD)</w:t>
            </w:r>
          </w:p>
          <w:p w14:paraId="5EAB22CF" w14:textId="77777777" w:rsidR="00370988" w:rsidRPr="00253524" w:rsidRDefault="00370988">
            <w:r>
              <w:t xml:space="preserve">Haemoglobinopathy </w:t>
            </w:r>
          </w:p>
          <w:p w14:paraId="66634806" w14:textId="77777777" w:rsidR="00370988" w:rsidRPr="00253524" w:rsidRDefault="00370988">
            <w:r w:rsidRPr="00253524">
              <w:t>Asthma</w:t>
            </w:r>
          </w:p>
          <w:p w14:paraId="09CEEC71" w14:textId="77777777" w:rsidR="00370988" w:rsidRPr="00253524" w:rsidRDefault="00370988">
            <w:r w:rsidRPr="00253524">
              <w:t>Congestive Heart Failure</w:t>
            </w:r>
          </w:p>
          <w:p w14:paraId="625171DB" w14:textId="77777777" w:rsidR="00370988" w:rsidRPr="00253524" w:rsidRDefault="00370988">
            <w:r w:rsidRPr="00253524">
              <w:t>Cancer</w:t>
            </w:r>
          </w:p>
          <w:p w14:paraId="6989D159" w14:textId="77777777" w:rsidR="00370988" w:rsidRPr="00253524" w:rsidRDefault="00370988">
            <w:r w:rsidRPr="00253524">
              <w:t>COPD</w:t>
            </w:r>
          </w:p>
          <w:p w14:paraId="673127A9" w14:textId="77777777" w:rsidR="00370988" w:rsidRPr="00253524" w:rsidRDefault="00370988">
            <w:r w:rsidRPr="00253524">
              <w:t>Depression</w:t>
            </w:r>
          </w:p>
          <w:p w14:paraId="63CB608C" w14:textId="77777777" w:rsidR="00370988" w:rsidRPr="00253524" w:rsidRDefault="00370988">
            <w:r w:rsidRPr="00253524">
              <w:t>Diabetes</w:t>
            </w:r>
          </w:p>
          <w:p w14:paraId="0C43D91E" w14:textId="77777777" w:rsidR="00370988" w:rsidRPr="00253524" w:rsidRDefault="00370988">
            <w:r w:rsidRPr="00253524">
              <w:t>Hypertension</w:t>
            </w:r>
          </w:p>
          <w:p w14:paraId="21ED09D9" w14:textId="77777777" w:rsidR="00370988" w:rsidRPr="00253524" w:rsidRDefault="00370988">
            <w:r w:rsidRPr="00253524">
              <w:t>Atrial Fibrillation</w:t>
            </w:r>
          </w:p>
          <w:p w14:paraId="1D9F9B48" w14:textId="77777777" w:rsidR="00370988" w:rsidRPr="00253524" w:rsidRDefault="00370988">
            <w:r w:rsidRPr="00253524">
              <w:t>Chronic Kidney Disease</w:t>
            </w:r>
          </w:p>
          <w:p w14:paraId="0F14DDA5" w14:textId="77777777" w:rsidR="00370988" w:rsidRPr="00253524" w:rsidRDefault="00370988">
            <w:r w:rsidRPr="00253524">
              <w:t>Dementia</w:t>
            </w:r>
          </w:p>
          <w:p w14:paraId="2E87B72B" w14:textId="77777777" w:rsidR="00370988" w:rsidRPr="00253524" w:rsidRDefault="00370988">
            <w:r w:rsidRPr="00253524">
              <w:t>Epilepsy</w:t>
            </w:r>
          </w:p>
          <w:p w14:paraId="243BB97A" w14:textId="278AB740" w:rsidR="00370988" w:rsidRPr="00253524" w:rsidRDefault="00370988" w:rsidP="00BC3FC6">
            <w:r w:rsidRPr="00253524">
              <w:t>Learning disability</w:t>
            </w:r>
          </w:p>
        </w:tc>
      </w:tr>
      <w:tr w:rsidR="008635D4" w14:paraId="2BC2DF95" w14:textId="77777777" w:rsidTr="00305FBF">
        <w:trPr>
          <w:trHeight w:val="2198"/>
        </w:trPr>
        <w:tc>
          <w:tcPr>
            <w:tcW w:w="4508" w:type="dxa"/>
          </w:tcPr>
          <w:p w14:paraId="1753A761" w14:textId="0354D508" w:rsidR="008635D4" w:rsidRPr="00253524" w:rsidRDefault="008635D4">
            <w:r>
              <w:t>Patients At Risk of Re-admission (PARR)</w:t>
            </w:r>
          </w:p>
        </w:tc>
        <w:tc>
          <w:tcPr>
            <w:tcW w:w="4508" w:type="dxa"/>
          </w:tcPr>
          <w:p w14:paraId="133A712D" w14:textId="77777777" w:rsidR="008635D4" w:rsidRPr="00253524" w:rsidRDefault="008635D4">
            <w:r>
              <w:t>Age</w:t>
            </w:r>
          </w:p>
          <w:p w14:paraId="44148A83" w14:textId="77777777" w:rsidR="008635D4" w:rsidRPr="00253524" w:rsidRDefault="008635D4">
            <w:r>
              <w:t>Number of emergency admissions in last year</w:t>
            </w:r>
          </w:p>
          <w:p w14:paraId="6312A226" w14:textId="77777777" w:rsidR="008635D4" w:rsidRPr="00253524" w:rsidRDefault="008635D4">
            <w:r>
              <w:t>Hospital discharge in previous 30 days</w:t>
            </w:r>
          </w:p>
          <w:p w14:paraId="5CE36E7C" w14:textId="77777777" w:rsidR="008635D4" w:rsidRDefault="008635D4">
            <w:r>
              <w:t>Whether current admission is an emergency</w:t>
            </w:r>
          </w:p>
          <w:p w14:paraId="1C126D5B" w14:textId="77777777" w:rsidR="008635D4" w:rsidRDefault="008635D4">
            <w:r>
              <w:t>Index of Multiple Deprivation</w:t>
            </w:r>
          </w:p>
          <w:p w14:paraId="7F48ED41" w14:textId="09F9FB87" w:rsidR="008635D4" w:rsidRPr="00253524" w:rsidRDefault="008635D4" w:rsidP="00305FBF">
            <w:r>
              <w:t>History in past 2 years of 11 major health conditions from Charlson Comorbidity Index</w:t>
            </w:r>
          </w:p>
        </w:tc>
      </w:tr>
      <w:tr w:rsidR="00511D5F" w14:paraId="002A05BC" w14:textId="77777777" w:rsidTr="00647A84">
        <w:tc>
          <w:tcPr>
            <w:tcW w:w="4508" w:type="dxa"/>
          </w:tcPr>
          <w:p w14:paraId="3E38E2A5" w14:textId="352C164D" w:rsidR="00511D5F" w:rsidRPr="00253524" w:rsidRDefault="00011180">
            <w:r>
              <w:t>Electronic Frailty Index (</w:t>
            </w:r>
            <w:r w:rsidR="00DD6AED">
              <w:t>EFI</w:t>
            </w:r>
            <w:r>
              <w:t>)</w:t>
            </w:r>
          </w:p>
        </w:tc>
        <w:tc>
          <w:tcPr>
            <w:tcW w:w="4508" w:type="dxa"/>
          </w:tcPr>
          <w:p w14:paraId="2E4F1127" w14:textId="77777777" w:rsidR="00011180" w:rsidRDefault="00011180">
            <w:r>
              <w:t>Moderate or Severe.</w:t>
            </w:r>
          </w:p>
          <w:p w14:paraId="275B99DA" w14:textId="248B0528" w:rsidR="00511D5F" w:rsidRDefault="003F12B3">
            <w:r>
              <w:t xml:space="preserve">Based on </w:t>
            </w:r>
            <w:r w:rsidR="00C35FC8">
              <w:t xml:space="preserve">36 </w:t>
            </w:r>
            <w:r>
              <w:t>deficits comprising 2000 clinical codes within the primary care electronic health record</w:t>
            </w:r>
            <w:sdt>
              <w:sdtPr>
                <w:rPr>
                  <w:color w:val="000000"/>
                </w:rPr>
                <w:tag w:val="MENDELEY_CITATION_v3_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"/>
                <w:id w:val="390384656"/>
                <w:placeholder>
                  <w:docPart w:val="DefaultPlaceholder_-1854013440"/>
                </w:placeholder>
              </w:sdtPr>
              <w:sdtContent>
                <w:r w:rsidR="004A288C" w:rsidRPr="004A288C">
                  <w:rPr>
                    <w:color w:val="000000"/>
                  </w:rPr>
                  <w:t>[1]</w:t>
                </w:r>
              </w:sdtContent>
            </w:sdt>
            <w:r w:rsidR="00F566A8">
              <w:t xml:space="preserve"> </w:t>
            </w:r>
            <w:r>
              <w:t xml:space="preserve">. </w:t>
            </w:r>
          </w:p>
        </w:tc>
      </w:tr>
      <w:tr w:rsidR="00370988" w14:paraId="3E8809F1" w14:textId="77777777" w:rsidTr="00EF6DD2">
        <w:trPr>
          <w:trHeight w:val="806"/>
        </w:trPr>
        <w:tc>
          <w:tcPr>
            <w:tcW w:w="4508" w:type="dxa"/>
          </w:tcPr>
          <w:p w14:paraId="423EA492" w14:textId="290C688D" w:rsidR="00370988" w:rsidRPr="00253524" w:rsidRDefault="00370988">
            <w:r>
              <w:t>Accident and Emergency attendance</w:t>
            </w:r>
          </w:p>
        </w:tc>
        <w:tc>
          <w:tcPr>
            <w:tcW w:w="4508" w:type="dxa"/>
          </w:tcPr>
          <w:p w14:paraId="2332D8E4" w14:textId="77777777" w:rsidR="00370988" w:rsidRDefault="00370988">
            <w:r w:rsidRPr="00EC6304">
              <w:rPr>
                <w:rFonts w:eastAsia="Times New Roman" w:cstheme="minorHAnsi"/>
              </w:rPr>
              <w:t>≥</w:t>
            </w:r>
            <w:r w:rsidRPr="00EC6304">
              <w:rPr>
                <w:rFonts w:eastAsia="Times New Roman" w:cstheme="minorHAnsi"/>
                <w:bdr w:val="none" w:sz="0" w:space="0" w:color="auto" w:frame="1"/>
                <w:shd w:val="clear" w:color="auto" w:fill="FFFFFF"/>
              </w:rPr>
              <w:t>3</w:t>
            </w:r>
            <w:r>
              <w:rPr>
                <w:rFonts w:eastAsia="Times New Roman" w:cstheme="minorHAnsi"/>
                <w:bdr w:val="none" w:sz="0" w:space="0" w:color="auto" w:frame="1"/>
                <w:shd w:val="clear" w:color="auto" w:fill="FFFFFF"/>
              </w:rPr>
              <w:t xml:space="preserve"> over p</w:t>
            </w:r>
            <w:r>
              <w:t>revious 12 months</w:t>
            </w:r>
          </w:p>
          <w:p w14:paraId="783C5B50" w14:textId="73A4B37C" w:rsidR="00370988" w:rsidRDefault="00370988" w:rsidP="0094093E">
            <w:r>
              <w:rPr>
                <w:rFonts w:eastAsia="Times New Roman" w:cstheme="minorHAnsi"/>
                <w:color w:val="000000" w:themeColor="text1"/>
                <w:bdr w:val="none" w:sz="0" w:space="0" w:color="auto" w:frame="1"/>
                <w:shd w:val="clear" w:color="auto" w:fill="FFFFFF"/>
              </w:rPr>
              <w:t>E</w:t>
            </w:r>
            <w:r w:rsidRPr="00EC6304">
              <w:rPr>
                <w:rFonts w:eastAsia="Times New Roman" w:cstheme="minorHAnsi"/>
                <w:color w:val="000000" w:themeColor="text1"/>
                <w:bdr w:val="none" w:sz="0" w:space="0" w:color="auto" w:frame="1"/>
                <w:shd w:val="clear" w:color="auto" w:fill="FFFFFF"/>
              </w:rPr>
              <w:t>mergency department attendances not leading to a hospital admission</w:t>
            </w:r>
          </w:p>
        </w:tc>
      </w:tr>
      <w:tr w:rsidR="00181805" w14:paraId="58FE5FDF" w14:textId="77777777" w:rsidTr="00647A84">
        <w:tc>
          <w:tcPr>
            <w:tcW w:w="4508" w:type="dxa"/>
          </w:tcPr>
          <w:p w14:paraId="72AB7068" w14:textId="14EFE357" w:rsidR="00181805" w:rsidRPr="00253524" w:rsidRDefault="00181805">
            <w:r>
              <w:t>Non-elective admissions</w:t>
            </w:r>
          </w:p>
        </w:tc>
        <w:tc>
          <w:tcPr>
            <w:tcW w:w="4508" w:type="dxa"/>
          </w:tcPr>
          <w:p w14:paraId="36042B50" w14:textId="2BCADA10" w:rsidR="00181805" w:rsidRDefault="00282CD8">
            <w:r w:rsidRPr="00EC6304">
              <w:rPr>
                <w:rFonts w:eastAsia="Times New Roman" w:cstheme="minorHAnsi"/>
              </w:rPr>
              <w:t>≥</w:t>
            </w:r>
            <w:r w:rsidRPr="00EC6304">
              <w:rPr>
                <w:rFonts w:eastAsia="Times New Roman" w:cstheme="minorHAnsi"/>
                <w:bdr w:val="none" w:sz="0" w:space="0" w:color="auto" w:frame="1"/>
                <w:shd w:val="clear" w:color="auto" w:fill="FFFFFF"/>
              </w:rPr>
              <w:t>3</w:t>
            </w:r>
            <w:r>
              <w:rPr>
                <w:rFonts w:eastAsia="Times New Roman" w:cstheme="minorHAnsi"/>
                <w:bdr w:val="none" w:sz="0" w:space="0" w:color="auto" w:frame="1"/>
                <w:shd w:val="clear" w:color="auto" w:fill="FFFFFF"/>
              </w:rPr>
              <w:t xml:space="preserve"> over previous 12 months</w:t>
            </w:r>
          </w:p>
        </w:tc>
      </w:tr>
      <w:tr w:rsidR="00181805" w14:paraId="769E4040" w14:textId="77777777" w:rsidTr="00647A84">
        <w:tc>
          <w:tcPr>
            <w:tcW w:w="4508" w:type="dxa"/>
          </w:tcPr>
          <w:p w14:paraId="08D48D5D" w14:textId="27497A72" w:rsidR="00181805" w:rsidRPr="00253524" w:rsidRDefault="00282CD8">
            <w:r>
              <w:t>Nursing home resident</w:t>
            </w:r>
          </w:p>
        </w:tc>
        <w:tc>
          <w:tcPr>
            <w:tcW w:w="4508" w:type="dxa"/>
          </w:tcPr>
          <w:p w14:paraId="5D3FE0C1" w14:textId="25720352" w:rsidR="00181805" w:rsidRDefault="00011180">
            <w:r>
              <w:t>-</w:t>
            </w:r>
          </w:p>
        </w:tc>
      </w:tr>
      <w:tr w:rsidR="00282CD8" w14:paraId="35E3E72F" w14:textId="77777777" w:rsidTr="008635D4">
        <w:tc>
          <w:tcPr>
            <w:tcW w:w="4508" w:type="dxa"/>
            <w:tcBorders>
              <w:bottom w:val="single" w:sz="4" w:space="0" w:color="auto"/>
            </w:tcBorders>
          </w:tcPr>
          <w:p w14:paraId="15976445" w14:textId="3A0533B3" w:rsidR="00282CD8" w:rsidRDefault="00282CD8">
            <w:r>
              <w:t>End-of-life register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6BEE73F8" w14:textId="48D0FEC1" w:rsidR="00282CD8" w:rsidRDefault="005C0259">
            <w:r>
              <w:t>On an EOL register</w:t>
            </w:r>
          </w:p>
        </w:tc>
      </w:tr>
      <w:tr w:rsidR="00C22F4F" w14:paraId="61A0EB2B" w14:textId="77777777" w:rsidTr="008635D4">
        <w:sdt>
          <w:sdtPr>
            <w:tag w:val="MENDELEY_BIBLIOGRAPHY"/>
            <w:id w:val="-2132696523"/>
            <w:placeholder>
              <w:docPart w:val="DefaultPlaceholder_-1854013440"/>
            </w:placeholder>
          </w:sdtPr>
          <w:sdtContent>
            <w:tc>
              <w:tcPr>
                <w:tcW w:w="9016" w:type="dxa"/>
                <w:gridSpan w:val="2"/>
                <w:tcBorders>
                  <w:left w:val="nil"/>
                  <w:bottom w:val="nil"/>
                  <w:right w:val="nil"/>
                </w:tcBorders>
              </w:tcPr>
              <w:p w14:paraId="5F4C7CCF" w14:textId="77777777" w:rsidR="004A288C" w:rsidRPr="004A288C" w:rsidRDefault="004A288C">
                <w:pPr>
                  <w:autoSpaceDE w:val="0"/>
                  <w:autoSpaceDN w:val="0"/>
                  <w:ind w:hanging="640"/>
                  <w:divId w:val="858086716"/>
                  <w:rPr>
                    <w:rFonts w:eastAsia="Times New Roman"/>
                    <w:i/>
                    <w:iCs/>
                    <w:kern w:val="0"/>
                    <w:sz w:val="24"/>
                    <w:szCs w:val="24"/>
                    <w14:ligatures w14:val="none"/>
                  </w:rPr>
                </w:pPr>
                <w:r w:rsidRPr="004A288C">
                  <w:rPr>
                    <w:rFonts w:eastAsia="Times New Roman"/>
                    <w:i/>
                    <w:iCs/>
                  </w:rPr>
                  <w:t xml:space="preserve">1 </w:t>
                </w:r>
                <w:r w:rsidRPr="004A288C">
                  <w:rPr>
                    <w:rFonts w:eastAsia="Times New Roman"/>
                    <w:i/>
                    <w:iCs/>
                  </w:rPr>
                  <w:tab/>
                  <w:t xml:space="preserve">Clegg A, Bates C, Young J, et al. Development and validation of an electronic frailty index using routine primary care electronic health record data. Age Ageing. </w:t>
                </w:r>
                <w:proofErr w:type="gramStart"/>
                <w:r w:rsidRPr="004A288C">
                  <w:rPr>
                    <w:rFonts w:eastAsia="Times New Roman"/>
                    <w:i/>
                    <w:iCs/>
                  </w:rPr>
                  <w:t>2016;45:353</w:t>
                </w:r>
                <w:proofErr w:type="gramEnd"/>
                <w:r w:rsidRPr="004A288C">
                  <w:rPr>
                    <w:rFonts w:eastAsia="Times New Roman"/>
                    <w:i/>
                    <w:iCs/>
                  </w:rPr>
                  <w:t>–60.</w:t>
                </w:r>
              </w:p>
              <w:p w14:paraId="78334311" w14:textId="145CFEE6" w:rsidR="00C22F4F" w:rsidRDefault="004A288C">
                <w:r>
                  <w:rPr>
                    <w:rFonts w:eastAsia="Times New Roman"/>
                  </w:rPr>
                  <w:t> </w:t>
                </w:r>
              </w:p>
            </w:tc>
          </w:sdtContent>
        </w:sdt>
      </w:tr>
    </w:tbl>
    <w:p w14:paraId="01DE9AC2" w14:textId="77777777" w:rsidR="000A34FD" w:rsidRPr="000A34FD" w:rsidRDefault="000A34FD">
      <w:pPr>
        <w:rPr>
          <w:b/>
          <w:bCs/>
        </w:rPr>
      </w:pPr>
    </w:p>
    <w:sectPr w:rsidR="000A34FD" w:rsidRPr="000A34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4FD"/>
    <w:rsid w:val="00011180"/>
    <w:rsid w:val="000A2741"/>
    <w:rsid w:val="000A34FD"/>
    <w:rsid w:val="000F5B5A"/>
    <w:rsid w:val="0010649F"/>
    <w:rsid w:val="00181805"/>
    <w:rsid w:val="0019158B"/>
    <w:rsid w:val="00250B4A"/>
    <w:rsid w:val="00253524"/>
    <w:rsid w:val="00282CD8"/>
    <w:rsid w:val="002F3600"/>
    <w:rsid w:val="00370988"/>
    <w:rsid w:val="003F12B3"/>
    <w:rsid w:val="00404D59"/>
    <w:rsid w:val="00430D3E"/>
    <w:rsid w:val="0043640A"/>
    <w:rsid w:val="004A288C"/>
    <w:rsid w:val="004B1F00"/>
    <w:rsid w:val="00511D5F"/>
    <w:rsid w:val="005677BA"/>
    <w:rsid w:val="005B2A5F"/>
    <w:rsid w:val="005C0259"/>
    <w:rsid w:val="00647A84"/>
    <w:rsid w:val="007406CB"/>
    <w:rsid w:val="007A219C"/>
    <w:rsid w:val="007E5AD9"/>
    <w:rsid w:val="0081288A"/>
    <w:rsid w:val="00813969"/>
    <w:rsid w:val="008635D4"/>
    <w:rsid w:val="009169D8"/>
    <w:rsid w:val="009D3297"/>
    <w:rsid w:val="009F3EC1"/>
    <w:rsid w:val="00A621AA"/>
    <w:rsid w:val="00A96C40"/>
    <w:rsid w:val="00B41928"/>
    <w:rsid w:val="00C22F4F"/>
    <w:rsid w:val="00C35FC8"/>
    <w:rsid w:val="00C518D7"/>
    <w:rsid w:val="00CD0C2F"/>
    <w:rsid w:val="00D155FE"/>
    <w:rsid w:val="00DC6200"/>
    <w:rsid w:val="00DD6AED"/>
    <w:rsid w:val="00DF1F48"/>
    <w:rsid w:val="00E008CC"/>
    <w:rsid w:val="00F0467A"/>
    <w:rsid w:val="00F1109D"/>
    <w:rsid w:val="00F566A8"/>
    <w:rsid w:val="00F873AF"/>
    <w:rsid w:val="00FC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1D1DD"/>
  <w15:chartTrackingRefBased/>
  <w15:docId w15:val="{AB98135D-0927-4675-9089-80C6DE53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3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4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4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4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4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4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4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4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4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4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4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4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4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4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4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4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4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4F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4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B2A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2A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2A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A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A5F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406C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7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67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86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5BBE3-41EF-4B03-94FE-DC6F352BD926}"/>
      </w:docPartPr>
      <w:docPartBody>
        <w:p w:rsidR="00000000" w:rsidRDefault="008C22C8">
          <w:r w:rsidRPr="003F1E6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2C8"/>
    <w:rsid w:val="008C22C8"/>
    <w:rsid w:val="00D1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22C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BC84265-AF99-4ED5-9D0C-AABA4FDF603A}">
  <we:reference id="wa104382081" version="1.55.1.0" store="en-GB" storeType="OMEX"/>
  <we:alternateReferences>
    <we:reference id="wa104382081" version="1.55.1.0" store="wa104382081" storeType="OMEX"/>
  </we:alternateReferences>
  <we:properties>
    <we:property name="MENDELEY_CITATIONS" value="[{&quot;citationID&quot;:&quot;MENDELEY_CITATION_01c73c71-1c47-42b3-8d3d-001056e890b7&quot;,&quot;properties&quot;:{&quot;noteIndex&quot;:0},&quot;isEdited&quot;:false,&quot;manualOverride&quot;:{&quot;isManuallyOverridden&quot;:false,&quot;citeprocText&quot;:&quot;[1]&quot;,&quot;manualOverrideText&quot;:&quot;&quot;},&quot;citationTag&quot;:&quot;MENDELEY_CITATION_v3_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&quot;,&quot;citationItems&quot;:[{&quot;id&quot;:&quot;257473ff-3dcf-3764-b489-561fe7e13505&quot;,&quot;itemData&quot;:{&quot;type&quot;:&quot;article-journal&quot;,&quot;id&quot;:&quot;257473ff-3dcf-3764-b489-561fe7e13505&quot;,&quot;title&quot;:&quot;Development and validation of an electronic frailty index using routine primary care electronic health record data&quot;,&quot;groupId&quot;:&quot;a98983b9-2f26-3448-9ad4-128b3eecc912&quot;,&quot;author&quot;:[{&quot;family&quot;:&quot;Clegg&quot;,&quot;given&quot;:&quot;Andrew&quot;,&quot;parse-names&quot;:false,&quot;dropping-particle&quot;:&quot;&quot;,&quot;non-dropping-particle&quot;:&quot;&quot;},{&quot;family&quot;:&quot;Bates&quot;,&quot;given&quot;:&quot;Chris&quot;,&quot;parse-names&quot;:false,&quot;dropping-particle&quot;:&quot;&quot;,&quot;non-dropping-particle&quot;:&quot;&quot;},{&quot;family&quot;:&quot;Young&quot;,&quot;given&quot;:&quot;John&quot;,&quot;parse-names&quot;:false,&quot;dropping-particle&quot;:&quot;&quot;,&quot;non-dropping-particle&quot;:&quot;&quot;},{&quot;family&quot;:&quot;Ryan&quot;,&quot;given&quot;:&quot;Ronan&quot;,&quot;parse-names&quot;:false,&quot;dropping-particle&quot;:&quot;&quot;,&quot;non-dropping-particle&quot;:&quot;&quot;},{&quot;family&quot;:&quot;Nichols&quot;,&quot;given&quot;:&quot;Linda&quot;,&quot;parse-names&quot;:false,&quot;dropping-particle&quot;:&quot;&quot;,&quot;non-dropping-particle&quot;:&quot;&quot;},{&quot;family&quot;:&quot;Ann Teale&quot;,&quot;given&quot;:&quot;Elizabeth&quot;,&quot;parse-names&quot;:false,&quot;dropping-particle&quot;:&quot;&quot;,&quot;non-dropping-particle&quot;:&quot;&quot;},{&quot;family&quot;:&quot;Mohammed&quot;,&quot;given&quot;:&quot;Mohammed A.&quot;,&quot;parse-names&quot;:false,&quot;dropping-particle&quot;:&quot;&quot;,&quot;non-dropping-particle&quot;:&quot;&quot;},{&quot;family&quot;:&quot;Parry&quot;,&quot;given&quot;:&quot;John&quot;,&quot;parse-names&quot;:false,&quot;dropping-particle&quot;:&quot;&quot;,&quot;non-dropping-particle&quot;:&quot;&quot;},{&quot;family&quot;:&quot;Marshall&quot;,&quot;given&quot;:&quot;Tom&quot;,&quot;parse-names&quot;:false,&quot;dropping-particle&quot;:&quot;&quot;,&quot;non-dropping-particle&quot;:&quot;&quot;}],&quot;container-title&quot;:&quot;Age and Ageing&quot;,&quot;container-title-short&quot;:&quot;Age Ageing&quot;,&quot;DOI&quot;:&quot;10.1093/ageing/afw039&quot;,&quot;ISSN&quot;:&quot;0002-0729&quot;,&quot;issued&quot;:{&quot;date-parts&quot;:[[2016,5]]},&quot;page&quot;:&quot;353-360&quot;,&quot;issue&quot;:&quot;3&quot;,&quot;volume&quot;:&quot;45&quot;},&quot;isTemporary&quot;:false}]}]"/>
    <we:property name="MENDELEY_CITATIONS_LOCALE_CODE" value="&quot;en-GB&quot;"/>
    <we:property name="MENDELEY_CITATIONS_STYLE" value="{&quot;id&quot;:&quot;https://www.zotero.org/styles/bmj&quot;,&quot;title&quot;:&quot;BMJ&quot;,&quot;format&quot;:&quot;numeric&quot;,&quot;defaultLocale&quot;:&quot;en-GB&quot;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51438-6A49-4B6C-B2EA-B841B2C1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221</Words>
  <Characters>1262</Characters>
  <Application>Microsoft Office Word</Application>
  <DocSecurity>0</DocSecurity>
  <Lines>10</Lines>
  <Paragraphs>2</Paragraphs>
  <ScaleCrop>false</ScaleCrop>
  <Company>Keele University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Parry</dc:creator>
  <cp:keywords/>
  <dc:description/>
  <cp:lastModifiedBy>Emma Parry</cp:lastModifiedBy>
  <cp:revision>47</cp:revision>
  <dcterms:created xsi:type="dcterms:W3CDTF">2024-03-28T01:49:00Z</dcterms:created>
  <dcterms:modified xsi:type="dcterms:W3CDTF">2024-04-10T01:24:00Z</dcterms:modified>
</cp:coreProperties>
</file>