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file 3</w:t>
      </w:r>
      <w:r w:rsidRPr="005B73A0">
        <w:rPr>
          <w:rFonts w:ascii="Times New Roman" w:hAnsi="Times New Roman" w:cs="Times New Roman"/>
          <w:b/>
          <w:sz w:val="24"/>
          <w:szCs w:val="24"/>
        </w:rPr>
        <w:t>: Categories of quality of evidence based on GRADE</w:t>
      </w:r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1004"/>
        <w:gridCol w:w="856"/>
        <w:gridCol w:w="894"/>
        <w:gridCol w:w="1019"/>
        <w:gridCol w:w="887"/>
        <w:gridCol w:w="770"/>
        <w:gridCol w:w="825"/>
        <w:gridCol w:w="973"/>
        <w:gridCol w:w="926"/>
        <w:gridCol w:w="78"/>
        <w:gridCol w:w="668"/>
      </w:tblGrid>
      <w:tr w:rsidR="003221FF" w:rsidRPr="00874734" w:rsidTr="003221FF">
        <w:trPr>
          <w:trHeight w:val="710"/>
        </w:trPr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</w:tcPr>
          <w:p w:rsidR="003221FF" w:rsidRPr="0060317B" w:rsidRDefault="003221FF" w:rsidP="003221FF">
            <w:pPr>
              <w:rPr>
                <w:rFonts w:ascii="Times New Roman" w:hAnsi="Times New Roman" w:cs="Times New Roman"/>
                <w:b/>
              </w:rPr>
            </w:pPr>
            <w:r w:rsidRPr="0060317B">
              <w:rPr>
                <w:rFonts w:ascii="Times New Roman" w:hAnsi="Times New Roman" w:cs="Times New Roman"/>
                <w:b/>
              </w:rPr>
              <w:t xml:space="preserve">Domain of certainty of included articles </w:t>
            </w:r>
          </w:p>
        </w:tc>
        <w:tc>
          <w:tcPr>
            <w:tcW w:w="0" w:type="auto"/>
            <w:gridSpan w:val="4"/>
            <w:tcBorders>
              <w:right w:val="single" w:sz="4" w:space="0" w:color="auto"/>
            </w:tcBorders>
          </w:tcPr>
          <w:p w:rsidR="003221FF" w:rsidRPr="007D3C59" w:rsidRDefault="003221FF" w:rsidP="003221FF">
            <w:pPr>
              <w:rPr>
                <w:rFonts w:ascii="Times New Roman" w:hAnsi="Times New Roman" w:cs="Times New Roman"/>
                <w:b/>
              </w:rPr>
            </w:pPr>
            <w:r w:rsidRPr="007D3C59">
              <w:rPr>
                <w:rFonts w:ascii="Times New Roman" w:hAnsi="Times New Roman" w:cs="Times New Roman"/>
                <w:b/>
              </w:rPr>
              <w:t xml:space="preserve">Factor that increase  certainty included articles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1FF" w:rsidRPr="007D3C59" w:rsidRDefault="003221FF" w:rsidP="003221FF">
            <w:pPr>
              <w:rPr>
                <w:rFonts w:ascii="Times New Roman" w:hAnsi="Times New Roman" w:cs="Times New Roman"/>
                <w:b/>
              </w:rPr>
            </w:pPr>
            <w:r w:rsidRPr="007D3C59">
              <w:rPr>
                <w:rFonts w:ascii="Times New Roman" w:hAnsi="Times New Roman" w:cs="Times New Roman"/>
                <w:b/>
              </w:rPr>
              <w:t xml:space="preserve">Overall quality </w:t>
            </w:r>
          </w:p>
        </w:tc>
      </w:tr>
      <w:tr w:rsidR="003221FF" w:rsidRPr="00874734" w:rsidTr="003221FF"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Number of studies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Study  design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Publication bias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Indirectness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Inconsistency /heterogeneity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Imprecision 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Risk bias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Magnitude of effect  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Dose response  gradient 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 xml:space="preserve">Effect of confounding  variables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FF" w:rsidRDefault="003221FF" w:rsidP="003221FF">
            <w:pPr>
              <w:rPr>
                <w:rFonts w:ascii="Times New Roman" w:hAnsi="Times New Roman" w:cs="Times New Roman"/>
              </w:rPr>
            </w:pPr>
          </w:p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</w:p>
        </w:tc>
      </w:tr>
      <w:tr w:rsidR="003221FF" w:rsidRPr="00874734" w:rsidTr="003221FF"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Observational studies (evidence of certainty assessment started at low because of the design)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Not serious (No evidence of publication bias based on funnel plot and egger’s test)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Not serious (all studies the outcome variable objectively)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Serious (significant heterogeneity detected)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Not serious (all included studies have good sample size, narrow confidence interval of the estimate)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Serious (few number of studies included, the method employed in the study is cross-sectional, prone to bias)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Large magnitude of effect is observed in this meta-analysis</w:t>
            </w:r>
          </w:p>
        </w:tc>
        <w:tc>
          <w:tcPr>
            <w:tcW w:w="0" w:type="auto"/>
          </w:tcPr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Not applicable for observational studies</w:t>
            </w:r>
          </w:p>
        </w:tc>
        <w:tc>
          <w:tcPr>
            <w:tcW w:w="0" w:type="auto"/>
          </w:tcPr>
          <w:p w:rsidR="003221FF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All included studies have</w:t>
            </w:r>
          </w:p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 w:rsidRPr="00874734">
              <w:rPr>
                <w:rFonts w:ascii="Times New Roman" w:hAnsi="Times New Roman" w:cs="Times New Roman"/>
              </w:rPr>
              <w:t>controlled the effect of confounding</w:t>
            </w:r>
          </w:p>
        </w:tc>
        <w:tc>
          <w:tcPr>
            <w:tcW w:w="0" w:type="auto"/>
            <w:gridSpan w:val="2"/>
          </w:tcPr>
          <w:p w:rsidR="003221FF" w:rsidRDefault="003221FF" w:rsidP="003221FF">
            <w:pPr>
              <w:rPr>
                <w:rFonts w:ascii="Times New Roman" w:hAnsi="Times New Roman" w:cs="Times New Roman"/>
              </w:rPr>
            </w:pPr>
          </w:p>
          <w:p w:rsidR="003221FF" w:rsidRPr="00874734" w:rsidRDefault="003221FF" w:rsidP="00322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Low </w:t>
            </w:r>
          </w:p>
        </w:tc>
      </w:tr>
    </w:tbl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221FF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file 3 continued: detailed explanations how to assess the GRADE</w:t>
      </w:r>
    </w:p>
    <w:p w:rsidR="003221FF" w:rsidRPr="005B73A0" w:rsidRDefault="003221FF" w:rsidP="00322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1668"/>
        <w:gridCol w:w="8340"/>
      </w:tblGrid>
      <w:tr w:rsidR="003221FF" w:rsidRPr="005B73A0" w:rsidTr="003221FF"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Rank </w:t>
            </w:r>
          </w:p>
        </w:tc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Description of  the rank </w:t>
            </w:r>
          </w:p>
        </w:tc>
      </w:tr>
      <w:tr w:rsidR="003221FF" w:rsidRPr="005B73A0" w:rsidTr="003221FF"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High ++++</w:t>
            </w:r>
          </w:p>
        </w:tc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 xml:space="preserve">Further research is very unlikely to change our confidence in the estimate effect </w:t>
            </w:r>
          </w:p>
        </w:tc>
      </w:tr>
      <w:tr w:rsidR="003221FF" w:rsidRPr="005B73A0" w:rsidTr="003221FF"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Moderate +++</w:t>
            </w:r>
          </w:p>
        </w:tc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 xml:space="preserve">Further research is likely to have an important impact in our confidence in the estimate of  effect and change the estimate </w:t>
            </w:r>
          </w:p>
        </w:tc>
      </w:tr>
      <w:tr w:rsidR="003221FF" w:rsidRPr="005B73A0" w:rsidTr="003221FF"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Low ++</w:t>
            </w:r>
          </w:p>
        </w:tc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 xml:space="preserve">Further research is very likely to have an important impact in our confidence in the estimate effect  is likely to change the estimate </w:t>
            </w:r>
          </w:p>
        </w:tc>
      </w:tr>
      <w:tr w:rsidR="003221FF" w:rsidRPr="005B73A0" w:rsidTr="003221FF">
        <w:trPr>
          <w:trHeight w:val="332"/>
        </w:trPr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Very low +</w:t>
            </w:r>
          </w:p>
        </w:tc>
        <w:tc>
          <w:tcPr>
            <w:tcW w:w="0" w:type="auto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 xml:space="preserve">Any estimate of  effect is very uncertain 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5B7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assessment 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Study limitations:  If most trials at low ROB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no downgrade for limitations of design; If most trials at unclear ROB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 downgrade for limitations of design by 1 level; If most trials at high ROB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 downgrade for limitations of design by 2 levels.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Inconsistency:  1 or 2 levels of downgrade depending on clinical &amp; methodological heterogeneity  (PICO), statistical heterogeneity, Confidence interval overlap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Indirectness:  1 or 2 levels of downgrade depending on whether  or not head-to-head comparisons were used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Imprecision: 1 or 2 levels of downgrade depending on statistical heterogeneity, CI overlap and inclusion of benefits and harms in the CI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Publication bias: suspected or unsuspected based on completeness of search strategy, formal statistical assessment and SR authors’ comments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Outcome Importance: not important; important but not critical; critical. Refers to selected outcome and based on importance relative to intervention. i.e. implant failure critical but clinical attachment loss may be important but not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Effect size: if effect is strong applicable for observational studies RR&gt;2 or &lt;0.5;  RR&gt;5 or RR&lt;0.2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GRADE rating in this review: High, moderate, low, very low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GRADE reported by SR authors (if provided): High, moderate, low, very low</w:t>
            </w:r>
          </w:p>
        </w:tc>
      </w:tr>
      <w:tr w:rsidR="003221FF" w:rsidRPr="005B73A0" w:rsidTr="003221FF">
        <w:tc>
          <w:tcPr>
            <w:tcW w:w="0" w:type="auto"/>
            <w:gridSpan w:val="2"/>
          </w:tcPr>
          <w:p w:rsidR="003221FF" w:rsidRPr="005B73A0" w:rsidRDefault="003221FF" w:rsidP="003935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Systematic review; ROB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Risk of bias; 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Confidence interval;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A0">
              <w:rPr>
                <w:rFonts w:ascii="Times New Roman" w:hAnsi="Times New Roman" w:cs="Times New Roman"/>
                <w:sz w:val="24"/>
                <w:szCs w:val="24"/>
              </w:rPr>
              <w:t>Odds ratio; Risk ratio</w:t>
            </w:r>
          </w:p>
        </w:tc>
      </w:tr>
    </w:tbl>
    <w:p w:rsidR="003221FF" w:rsidRDefault="003221FF" w:rsidP="003221FF"/>
    <w:p w:rsidR="003221FF" w:rsidRDefault="003221FF" w:rsidP="003221FF"/>
    <w:p w:rsidR="003221FF" w:rsidRDefault="003221FF" w:rsidP="003221FF"/>
    <w:p w:rsidR="005B5EAC" w:rsidRDefault="003221FF"/>
    <w:sectPr w:rsidR="005B5E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FF"/>
    <w:rsid w:val="00305AD7"/>
    <w:rsid w:val="003221FF"/>
    <w:rsid w:val="00E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F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1F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F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1F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e755675</dc:creator>
  <cp:lastModifiedBy>e755675</cp:lastModifiedBy>
  <cp:revision>1</cp:revision>
  <dcterms:created xsi:type="dcterms:W3CDTF">2025-02-12T10:33:00Z</dcterms:created>
  <dcterms:modified xsi:type="dcterms:W3CDTF">2025-02-12T10:33:00Z</dcterms:modified>
</cp:coreProperties>
</file>