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5DBBE0" w14:textId="77777777" w:rsidR="005421C3" w:rsidRPr="005B72C3" w:rsidRDefault="005421C3" w:rsidP="005421C3">
      <w:pPr>
        <w:jc w:val="center"/>
        <w:rPr>
          <w:rFonts w:ascii="Times New Roman" w:hAnsi="Times New Roman" w:cs="Times New Roman"/>
          <w:i/>
          <w:iCs/>
          <w:szCs w:val="24"/>
        </w:rPr>
      </w:pPr>
      <w:r w:rsidRPr="005B72C3">
        <w:rPr>
          <w:rFonts w:ascii="Times New Roman" w:hAnsi="Times New Roman" w:cs="Times New Roman"/>
          <w:b/>
          <w:bCs/>
          <w:sz w:val="32"/>
          <w:szCs w:val="32"/>
        </w:rPr>
        <w:t>Positive Press, Greener Progress: The Role of ESG Media Reputation in Corporate Energy Innovation</w:t>
      </w:r>
    </w:p>
    <w:p w14:paraId="01FD3175" w14:textId="77777777" w:rsidR="005421C3" w:rsidRDefault="005421C3" w:rsidP="005421C3">
      <w:pPr>
        <w:jc w:val="center"/>
        <w:rPr>
          <w:rFonts w:ascii="Times New Roman" w:hAnsi="Times New Roman" w:cs="Times New Roman"/>
          <w:sz w:val="24"/>
          <w:szCs w:val="24"/>
        </w:rPr>
      </w:pPr>
    </w:p>
    <w:p w14:paraId="695F0801" w14:textId="77777777" w:rsidR="005421C3" w:rsidRPr="007D72F1" w:rsidRDefault="005421C3" w:rsidP="005421C3">
      <w:pPr>
        <w:jc w:val="center"/>
        <w:rPr>
          <w:rFonts w:ascii="Times New Roman" w:hAnsi="Times New Roman" w:cs="Times New Roman"/>
          <w:i/>
          <w:iCs/>
          <w:sz w:val="24"/>
          <w:szCs w:val="24"/>
        </w:rPr>
      </w:pPr>
      <w:r w:rsidRPr="00BD1119">
        <w:rPr>
          <w:rFonts w:ascii="Times New Roman" w:hAnsi="Times New Roman" w:cs="Times New Roman"/>
          <w:sz w:val="24"/>
          <w:szCs w:val="24"/>
        </w:rPr>
        <w:t>Weijie Tan</w:t>
      </w:r>
      <w:proofErr w:type="gramStart"/>
      <w:r>
        <w:rPr>
          <w:rFonts w:ascii="Times New Roman" w:hAnsi="Times New Roman" w:cs="Times New Roman" w:hint="eastAsia"/>
          <w:sz w:val="24"/>
          <w:szCs w:val="24"/>
          <w:vertAlign w:val="superscript"/>
        </w:rPr>
        <w:t>1,</w:t>
      </w:r>
      <w:r>
        <w:rPr>
          <w:rFonts w:ascii="Times New Roman" w:hAnsi="Times New Roman" w:cs="Times New Roman" w:hint="eastAsia"/>
          <w:sz w:val="24"/>
          <w:szCs w:val="24"/>
        </w:rPr>
        <w:t>*</w:t>
      </w:r>
      <w:proofErr w:type="gramEnd"/>
      <w:r>
        <w:rPr>
          <w:rFonts w:ascii="Times New Roman" w:hAnsi="Times New Roman" w:cs="Times New Roman" w:hint="eastAsia"/>
          <w:sz w:val="24"/>
          <w:szCs w:val="24"/>
          <w:vertAlign w:val="superscript"/>
        </w:rPr>
        <w:t xml:space="preserve"> </w:t>
      </w:r>
      <w:r>
        <w:rPr>
          <w:rFonts w:ascii="Times New Roman" w:hAnsi="Times New Roman" w:cs="Times New Roman" w:hint="eastAsia"/>
          <w:sz w:val="24"/>
          <w:szCs w:val="24"/>
        </w:rPr>
        <w:t xml:space="preserve">| </w:t>
      </w:r>
      <w:r w:rsidRPr="007A41B7">
        <w:rPr>
          <w:rStyle w:val="a0"/>
          <w:rFonts w:hint="eastAsia"/>
        </w:rPr>
        <w:t>Edward Hengzhou</w:t>
      </w:r>
      <w:r>
        <w:rPr>
          <w:rStyle w:val="a0"/>
          <w:rFonts w:hint="eastAsia"/>
        </w:rPr>
        <w:t xml:space="preserve"> </w:t>
      </w:r>
      <w:r w:rsidRPr="007A41B7">
        <w:rPr>
          <w:rStyle w:val="a0"/>
          <w:rFonts w:hint="eastAsia"/>
        </w:rPr>
        <w:t>Y</w:t>
      </w:r>
      <w:r>
        <w:rPr>
          <w:rStyle w:val="a0"/>
          <w:rFonts w:hint="eastAsia"/>
        </w:rPr>
        <w:t>an</w:t>
      </w:r>
      <w:r>
        <w:rPr>
          <w:rFonts w:ascii="Times New Roman" w:hAnsi="Times New Roman" w:cs="Times New Roman" w:hint="eastAsia"/>
          <w:sz w:val="24"/>
          <w:szCs w:val="24"/>
          <w:vertAlign w:val="superscript"/>
        </w:rPr>
        <w:t xml:space="preserve">2 </w:t>
      </w:r>
      <w:r>
        <w:rPr>
          <w:rFonts w:ascii="Times New Roman" w:hAnsi="Times New Roman" w:cs="Times New Roman" w:hint="eastAsia"/>
          <w:sz w:val="24"/>
          <w:szCs w:val="24"/>
        </w:rPr>
        <w:t xml:space="preserve">| </w:t>
      </w:r>
      <w:r w:rsidRPr="00BD1119">
        <w:rPr>
          <w:rFonts w:ascii="Times New Roman" w:hAnsi="Times New Roman" w:cs="Times New Roman"/>
          <w:sz w:val="24"/>
          <w:szCs w:val="24"/>
        </w:rPr>
        <w:t xml:space="preserve">Xihui </w:t>
      </w:r>
      <w:r w:rsidRPr="007D72F1">
        <w:rPr>
          <w:rFonts w:ascii="Times New Roman" w:hAnsi="Times New Roman" w:cs="Times New Roman"/>
          <w:sz w:val="24"/>
          <w:szCs w:val="24"/>
        </w:rPr>
        <w:t>Haviour Chen</w:t>
      </w:r>
      <w:r w:rsidRPr="007D72F1">
        <w:rPr>
          <w:rFonts w:ascii="Times New Roman" w:hAnsi="Times New Roman" w:cs="Times New Roman" w:hint="eastAsia"/>
          <w:sz w:val="24"/>
          <w:szCs w:val="24"/>
          <w:vertAlign w:val="superscript"/>
        </w:rPr>
        <w:t>3</w:t>
      </w:r>
      <w:r w:rsidRPr="007D72F1">
        <w:rPr>
          <w:rFonts w:ascii="Times New Roman" w:hAnsi="Times New Roman" w:cs="Times New Roman"/>
          <w:sz w:val="24"/>
          <w:szCs w:val="24"/>
          <w:vertAlign w:val="superscript"/>
        </w:rPr>
        <w:t>,4</w:t>
      </w:r>
    </w:p>
    <w:p w14:paraId="7DC2F889" w14:textId="77777777" w:rsidR="005421C3" w:rsidRPr="007D72F1" w:rsidRDefault="005421C3" w:rsidP="005421C3">
      <w:pPr>
        <w:rPr>
          <w:rFonts w:ascii="Times New Roman" w:hAnsi="Times New Roman" w:cs="Times New Roman"/>
          <w:sz w:val="24"/>
          <w:szCs w:val="24"/>
        </w:rPr>
      </w:pPr>
    </w:p>
    <w:p w14:paraId="3BC59F5F"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sz w:val="24"/>
          <w:szCs w:val="24"/>
          <w:vertAlign w:val="superscript"/>
        </w:rPr>
        <w:t>1</w:t>
      </w:r>
      <w:r w:rsidRPr="007D72F1">
        <w:rPr>
          <w:rFonts w:ascii="Times New Roman" w:hAnsi="Times New Roman" w:cs="Times New Roman"/>
          <w:sz w:val="24"/>
          <w:szCs w:val="24"/>
        </w:rPr>
        <w:t xml:space="preserve"> School of Public Economics &amp; Administration, Shanghai University of Finance and Economics, Shanghai, China</w:t>
      </w:r>
    </w:p>
    <w:p w14:paraId="277FE63D"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hint="eastAsia"/>
          <w:sz w:val="24"/>
          <w:szCs w:val="24"/>
          <w:vertAlign w:val="superscript"/>
        </w:rPr>
        <w:t>2</w:t>
      </w:r>
      <w:r w:rsidRPr="007D72F1">
        <w:rPr>
          <w:rFonts w:ascii="Times New Roman" w:hAnsi="Times New Roman" w:cs="Times New Roman"/>
          <w:sz w:val="24"/>
          <w:szCs w:val="24"/>
        </w:rPr>
        <w:t xml:space="preserve"> State Key Laboratory of Ultra-precision Machining Technology, Department of Industrial &amp; Systems Engineering, The Hong Kong Polytechnic University, Hong Kong SAR, China</w:t>
      </w:r>
    </w:p>
    <w:p w14:paraId="70B08D1F"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hint="eastAsia"/>
          <w:sz w:val="24"/>
          <w:szCs w:val="24"/>
          <w:vertAlign w:val="superscript"/>
        </w:rPr>
        <w:t>3</w:t>
      </w:r>
      <w:r w:rsidRPr="007D72F1">
        <w:rPr>
          <w:rFonts w:ascii="Times New Roman" w:hAnsi="Times New Roman" w:cs="Times New Roman"/>
          <w:sz w:val="24"/>
          <w:szCs w:val="24"/>
        </w:rPr>
        <w:t xml:space="preserve"> Keele Business School, Keele University, UK</w:t>
      </w:r>
    </w:p>
    <w:p w14:paraId="4022CBBB"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sz w:val="24"/>
          <w:szCs w:val="24"/>
          <w:vertAlign w:val="superscript"/>
        </w:rPr>
        <w:t>4</w:t>
      </w:r>
      <w:r w:rsidRPr="007D72F1">
        <w:rPr>
          <w:rFonts w:ascii="Times New Roman" w:hAnsi="Times New Roman" w:cs="Times New Roman"/>
          <w:sz w:val="24"/>
          <w:szCs w:val="24"/>
        </w:rPr>
        <w:t xml:space="preserve"> Women Researchers Council (WRC), Azerbaijan State University of Economics (UNEC), Azerbaijan</w:t>
      </w:r>
    </w:p>
    <w:p w14:paraId="11EEAD50" w14:textId="77777777" w:rsidR="005421C3" w:rsidRPr="007D72F1" w:rsidRDefault="005421C3" w:rsidP="005421C3">
      <w:pPr>
        <w:rPr>
          <w:rFonts w:ascii="Times New Roman" w:hAnsi="Times New Roman" w:cs="Times New Roman"/>
          <w:i/>
          <w:iCs/>
          <w:sz w:val="24"/>
          <w:szCs w:val="24"/>
        </w:rPr>
      </w:pPr>
    </w:p>
    <w:p w14:paraId="0C7B8A84" w14:textId="77777777" w:rsidR="005421C3" w:rsidRPr="007D72F1" w:rsidRDefault="005421C3" w:rsidP="005421C3">
      <w:pPr>
        <w:rPr>
          <w:sz w:val="24"/>
          <w:szCs w:val="24"/>
        </w:rPr>
      </w:pPr>
      <w:r w:rsidRPr="007D72F1">
        <w:rPr>
          <w:rFonts w:ascii="Times New Roman" w:hAnsi="Times New Roman" w:cs="Times New Roman"/>
          <w:i/>
          <w:iCs/>
          <w:sz w:val="24"/>
          <w:szCs w:val="24"/>
          <w:vertAlign w:val="superscript"/>
        </w:rPr>
        <w:t>*</w:t>
      </w:r>
      <w:r w:rsidRPr="007D72F1">
        <w:rPr>
          <w:rFonts w:ascii="Times New Roman" w:hAnsi="Times New Roman" w:cs="Times New Roman"/>
          <w:i/>
          <w:iCs/>
          <w:sz w:val="24"/>
          <w:szCs w:val="24"/>
        </w:rPr>
        <w:t xml:space="preserve"> Corresponding author</w:t>
      </w:r>
      <w:r w:rsidRPr="007D72F1">
        <w:rPr>
          <w:rFonts w:ascii="Times New Roman" w:hAnsi="Times New Roman" w:cs="Times New Roman" w:hint="eastAsia"/>
          <w:sz w:val="24"/>
          <w:szCs w:val="24"/>
        </w:rPr>
        <w:t>.</w:t>
      </w:r>
    </w:p>
    <w:p w14:paraId="7A7DA31F"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sz w:val="24"/>
          <w:szCs w:val="24"/>
        </w:rPr>
        <w:t xml:space="preserve">Weijie Tan: </w:t>
      </w:r>
      <w:r w:rsidRPr="007D72F1">
        <w:rPr>
          <w:rFonts w:ascii="Times New Roman" w:hAnsi="Times New Roman" w:cs="Times New Roman" w:hint="eastAsia"/>
          <w:sz w:val="24"/>
          <w:szCs w:val="24"/>
        </w:rPr>
        <w:t>weijie_tan@stu.sufe.edu.cn</w:t>
      </w:r>
    </w:p>
    <w:p w14:paraId="40E7CCCE" w14:textId="77777777" w:rsidR="005421C3" w:rsidRPr="007D72F1" w:rsidRDefault="005421C3" w:rsidP="005421C3">
      <w:pPr>
        <w:rPr>
          <w:rFonts w:ascii="Times New Roman" w:hAnsi="Times New Roman" w:cs="Times New Roman"/>
          <w:sz w:val="24"/>
          <w:szCs w:val="24"/>
        </w:rPr>
      </w:pPr>
    </w:p>
    <w:p w14:paraId="17A8CE16"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sz w:val="24"/>
          <w:szCs w:val="24"/>
        </w:rPr>
        <w:t># Co-authorship email address:</w:t>
      </w:r>
    </w:p>
    <w:p w14:paraId="41F6CDE6"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sz w:val="24"/>
          <w:szCs w:val="24"/>
        </w:rPr>
        <w:t xml:space="preserve">Weijie Tan: </w:t>
      </w:r>
      <w:r w:rsidRPr="007D72F1">
        <w:rPr>
          <w:rFonts w:ascii="Times New Roman" w:hAnsi="Times New Roman" w:cs="Times New Roman" w:hint="eastAsia"/>
          <w:sz w:val="24"/>
          <w:szCs w:val="24"/>
        </w:rPr>
        <w:t>weijie_tan@stu.sufe.edu.cn</w:t>
      </w:r>
    </w:p>
    <w:p w14:paraId="3445DB54" w14:textId="77777777" w:rsidR="005421C3" w:rsidRPr="007D72F1" w:rsidRDefault="005421C3" w:rsidP="005421C3">
      <w:pPr>
        <w:rPr>
          <w:rStyle w:val="a0"/>
        </w:rPr>
      </w:pPr>
      <w:r w:rsidRPr="007D72F1">
        <w:rPr>
          <w:rStyle w:val="a0"/>
        </w:rPr>
        <w:t xml:space="preserve">Edward Hengzhou Yan: </w:t>
      </w:r>
      <w:r w:rsidRPr="007D72F1">
        <w:rPr>
          <w:rStyle w:val="a0"/>
          <w:rFonts w:hint="eastAsia"/>
        </w:rPr>
        <w:t>23124924r@connect.polyu.hk</w:t>
      </w:r>
    </w:p>
    <w:p w14:paraId="76FBF922" w14:textId="77777777" w:rsidR="005421C3" w:rsidRPr="007D72F1" w:rsidRDefault="005421C3" w:rsidP="005421C3">
      <w:pPr>
        <w:rPr>
          <w:rFonts w:ascii="Times New Roman" w:hAnsi="Times New Roman" w:cs="Times New Roman"/>
          <w:sz w:val="24"/>
          <w:szCs w:val="24"/>
        </w:rPr>
      </w:pPr>
      <w:r w:rsidRPr="007D72F1">
        <w:rPr>
          <w:rFonts w:ascii="Times New Roman" w:hAnsi="Times New Roman" w:cs="Times New Roman"/>
          <w:sz w:val="24"/>
          <w:szCs w:val="24"/>
        </w:rPr>
        <w:t>Xihui Haviour Chen</w:t>
      </w:r>
      <w:r w:rsidRPr="007D72F1">
        <w:rPr>
          <w:rFonts w:ascii="Times New Roman" w:hAnsi="Times New Roman" w:cs="Times New Roman" w:hint="eastAsia"/>
          <w:sz w:val="24"/>
          <w:szCs w:val="24"/>
        </w:rPr>
        <w:t>: X.chen@keele.ac.uk</w:t>
      </w:r>
    </w:p>
    <w:p w14:paraId="3B918277" w14:textId="77777777" w:rsidR="005421C3" w:rsidRPr="00CF7BA0" w:rsidRDefault="005421C3" w:rsidP="005421C3">
      <w:pPr>
        <w:rPr>
          <w:rFonts w:ascii="Times New Roman" w:hAnsi="Times New Roman" w:cs="Times New Roman"/>
          <w:color w:val="467886" w:themeColor="hyperlink"/>
          <w:sz w:val="24"/>
          <w:szCs w:val="24"/>
          <w:u w:val="single"/>
        </w:rPr>
      </w:pPr>
    </w:p>
    <w:p w14:paraId="5846E579" w14:textId="77777777" w:rsidR="005421C3" w:rsidRPr="00FA1BED" w:rsidRDefault="005421C3" w:rsidP="005421C3">
      <w:pPr>
        <w:rPr>
          <w:rFonts w:ascii="Times New Roman" w:hAnsi="Times New Roman" w:cs="Times New Roman"/>
          <w:b/>
          <w:bCs/>
          <w:sz w:val="24"/>
          <w:szCs w:val="24"/>
          <w:u w:val="single"/>
        </w:rPr>
      </w:pPr>
      <w:proofErr w:type="spellStart"/>
      <w:r w:rsidRPr="00FA1BED">
        <w:rPr>
          <w:rFonts w:ascii="Times New Roman" w:hAnsi="Times New Roman" w:cs="Times New Roman"/>
          <w:b/>
          <w:bCs/>
          <w:sz w:val="24"/>
          <w:szCs w:val="24"/>
          <w:u w:val="single"/>
        </w:rPr>
        <w:t>CRediT</w:t>
      </w:r>
      <w:proofErr w:type="spellEnd"/>
      <w:r w:rsidRPr="00FA1BED">
        <w:rPr>
          <w:rFonts w:ascii="Times New Roman" w:hAnsi="Times New Roman" w:cs="Times New Roman"/>
          <w:b/>
          <w:bCs/>
          <w:sz w:val="24"/>
          <w:szCs w:val="24"/>
          <w:u w:val="single"/>
        </w:rPr>
        <w:t xml:space="preserve"> authorship contribution statement </w:t>
      </w:r>
    </w:p>
    <w:p w14:paraId="32DE2F6B" w14:textId="77777777" w:rsidR="005421C3" w:rsidRPr="00BD1119" w:rsidRDefault="005421C3" w:rsidP="005421C3">
      <w:pPr>
        <w:rPr>
          <w:rFonts w:ascii="Times New Roman" w:hAnsi="Times New Roman" w:cs="Times New Roman"/>
          <w:sz w:val="24"/>
          <w:szCs w:val="24"/>
        </w:rPr>
      </w:pPr>
      <w:r w:rsidRPr="00BD1119">
        <w:rPr>
          <w:rFonts w:ascii="Times New Roman" w:hAnsi="Times New Roman" w:cs="Times New Roman"/>
          <w:b/>
          <w:bCs/>
          <w:sz w:val="24"/>
          <w:szCs w:val="24"/>
        </w:rPr>
        <w:t>W</w:t>
      </w:r>
      <w:r>
        <w:rPr>
          <w:rFonts w:ascii="Times New Roman" w:hAnsi="Times New Roman" w:cs="Times New Roman" w:hint="eastAsia"/>
          <w:b/>
          <w:bCs/>
          <w:sz w:val="24"/>
          <w:szCs w:val="24"/>
        </w:rPr>
        <w:t>eijie Tan</w:t>
      </w:r>
      <w:r w:rsidRPr="00BD1119">
        <w:rPr>
          <w:rFonts w:ascii="Times New Roman" w:hAnsi="Times New Roman" w:cs="Times New Roman"/>
          <w:sz w:val="24"/>
          <w:szCs w:val="24"/>
        </w:rPr>
        <w:t xml:space="preserve">: </w:t>
      </w:r>
      <w:r w:rsidRPr="003510FF">
        <w:rPr>
          <w:rFonts w:ascii="Times New Roman" w:hAnsi="Times New Roman" w:cs="Times New Roman"/>
          <w:sz w:val="24"/>
          <w:szCs w:val="24"/>
        </w:rPr>
        <w:t>Methodology, Writing</w:t>
      </w:r>
      <w:r w:rsidRPr="003510FF">
        <w:rPr>
          <w:rFonts w:ascii="Times New Roman" w:hAnsi="Times New Roman" w:cs="Times New Roman" w:hint="eastAsia"/>
          <w:sz w:val="24"/>
          <w:szCs w:val="24"/>
        </w:rPr>
        <w:t xml:space="preserve"> - Original Draft, Writing - Review &amp;</w:t>
      </w:r>
      <w:r>
        <w:rPr>
          <w:rFonts w:ascii="Times New Roman" w:hAnsi="Times New Roman" w:cs="Times New Roman" w:hint="eastAsia"/>
          <w:sz w:val="24"/>
          <w:szCs w:val="24"/>
        </w:rPr>
        <w:t xml:space="preserve"> </w:t>
      </w:r>
      <w:r w:rsidRPr="003510FF">
        <w:rPr>
          <w:rFonts w:ascii="Times New Roman" w:hAnsi="Times New Roman" w:cs="Times New Roman" w:hint="eastAsia"/>
          <w:sz w:val="24"/>
          <w:szCs w:val="24"/>
        </w:rPr>
        <w:t>Editing, Validation, Visualization, Formal analysis, Investigation, Data Curation, Project administration, Software</w:t>
      </w:r>
      <w:r>
        <w:rPr>
          <w:rFonts w:ascii="Times New Roman" w:hAnsi="Times New Roman" w:cs="Times New Roman" w:hint="eastAsia"/>
          <w:sz w:val="24"/>
          <w:szCs w:val="24"/>
        </w:rPr>
        <w:t>.</w:t>
      </w:r>
    </w:p>
    <w:p w14:paraId="10CDFB42" w14:textId="77777777" w:rsidR="005421C3" w:rsidRDefault="005421C3" w:rsidP="005421C3">
      <w:pPr>
        <w:rPr>
          <w:rFonts w:ascii="Times New Roman" w:hAnsi="Times New Roman" w:cs="Times New Roman"/>
          <w:sz w:val="24"/>
          <w:szCs w:val="24"/>
        </w:rPr>
      </w:pPr>
      <w:r w:rsidRPr="005B72C3">
        <w:rPr>
          <w:rFonts w:ascii="Times New Roman" w:hAnsi="Times New Roman" w:cs="Times New Roman"/>
          <w:b/>
          <w:bCs/>
          <w:sz w:val="24"/>
          <w:szCs w:val="24"/>
        </w:rPr>
        <w:t>Edward Hengzhou Yan</w:t>
      </w:r>
      <w:r w:rsidRPr="00BD1119">
        <w:rPr>
          <w:rFonts w:ascii="Times New Roman" w:hAnsi="Times New Roman" w:cs="Times New Roman"/>
          <w:b/>
          <w:bCs/>
          <w:sz w:val="24"/>
          <w:szCs w:val="24"/>
        </w:rPr>
        <w:t>:</w:t>
      </w:r>
      <w:r w:rsidRPr="00BD1119">
        <w:rPr>
          <w:rFonts w:ascii="Times New Roman" w:hAnsi="Times New Roman" w:cs="Times New Roman"/>
          <w:sz w:val="24"/>
          <w:szCs w:val="24"/>
        </w:rPr>
        <w:t xml:space="preserve"> </w:t>
      </w:r>
      <w:r w:rsidRPr="00006C2A">
        <w:rPr>
          <w:rFonts w:ascii="Times New Roman" w:hAnsi="Times New Roman" w:cs="Times New Roman"/>
          <w:sz w:val="24"/>
          <w:szCs w:val="24"/>
        </w:rPr>
        <w:t xml:space="preserve">Methodology, </w:t>
      </w:r>
      <w:r>
        <w:rPr>
          <w:rFonts w:ascii="Times New Roman" w:hAnsi="Times New Roman" w:cs="Times New Roman" w:hint="eastAsia"/>
          <w:sz w:val="24"/>
          <w:szCs w:val="24"/>
        </w:rPr>
        <w:t>Conceptualization, Visualization, Formal analysis</w:t>
      </w:r>
      <w:r w:rsidRPr="00006C2A">
        <w:rPr>
          <w:rFonts w:ascii="Times New Roman" w:hAnsi="Times New Roman" w:cs="Times New Roman"/>
          <w:sz w:val="24"/>
          <w:szCs w:val="24"/>
        </w:rPr>
        <w:t xml:space="preserve">, </w:t>
      </w:r>
      <w:r>
        <w:rPr>
          <w:rFonts w:ascii="Times New Roman" w:hAnsi="Times New Roman" w:cs="Times New Roman" w:hint="eastAsia"/>
          <w:sz w:val="24"/>
          <w:szCs w:val="24"/>
        </w:rPr>
        <w:t xml:space="preserve">Investigation, Software, </w:t>
      </w:r>
      <w:r w:rsidRPr="00FA1BED">
        <w:rPr>
          <w:rFonts w:ascii="Times New Roman" w:hAnsi="Times New Roman" w:cs="Times New Roman"/>
          <w:sz w:val="24"/>
          <w:szCs w:val="24"/>
        </w:rPr>
        <w:t>Writing – original draft</w:t>
      </w:r>
      <w:r w:rsidRPr="00006C2A">
        <w:rPr>
          <w:rFonts w:ascii="Times New Roman" w:hAnsi="Times New Roman" w:cs="Times New Roman"/>
          <w:sz w:val="24"/>
          <w:szCs w:val="24"/>
        </w:rPr>
        <w:t xml:space="preserve">, </w:t>
      </w:r>
      <w:r w:rsidRPr="00FA1BED">
        <w:rPr>
          <w:rFonts w:ascii="Times New Roman" w:hAnsi="Times New Roman" w:cs="Times New Roman"/>
          <w:sz w:val="24"/>
          <w:szCs w:val="24"/>
        </w:rPr>
        <w:t>Writing – review &amp; editing</w:t>
      </w:r>
      <w:r>
        <w:rPr>
          <w:rFonts w:ascii="Times New Roman" w:hAnsi="Times New Roman" w:cs="Times New Roman" w:hint="eastAsia"/>
          <w:sz w:val="24"/>
          <w:szCs w:val="24"/>
        </w:rPr>
        <w:t xml:space="preserve">, Project </w:t>
      </w:r>
      <w:r>
        <w:rPr>
          <w:rFonts w:ascii="Times New Roman" w:hAnsi="Times New Roman" w:cs="Times New Roman"/>
          <w:sz w:val="24"/>
          <w:szCs w:val="24"/>
        </w:rPr>
        <w:t>administration</w:t>
      </w:r>
      <w:r>
        <w:rPr>
          <w:rFonts w:ascii="Times New Roman" w:hAnsi="Times New Roman" w:cs="Times New Roman" w:hint="eastAsia"/>
          <w:sz w:val="24"/>
          <w:szCs w:val="24"/>
        </w:rPr>
        <w:t>, Funding acquisition.</w:t>
      </w:r>
    </w:p>
    <w:p w14:paraId="492CCF38" w14:textId="77777777" w:rsidR="005421C3" w:rsidRPr="00FA1BED" w:rsidRDefault="005421C3" w:rsidP="005421C3">
      <w:pPr>
        <w:rPr>
          <w:rFonts w:ascii="Times New Roman" w:hAnsi="Times New Roman" w:cs="Times New Roman"/>
          <w:sz w:val="24"/>
          <w:szCs w:val="24"/>
        </w:rPr>
      </w:pPr>
      <w:r w:rsidRPr="00BD1119">
        <w:rPr>
          <w:rFonts w:ascii="Times New Roman" w:hAnsi="Times New Roman" w:cs="Times New Roman"/>
          <w:b/>
          <w:bCs/>
          <w:sz w:val="24"/>
          <w:szCs w:val="24"/>
        </w:rPr>
        <w:t>Xihui Haviour Chen</w:t>
      </w:r>
      <w:r>
        <w:rPr>
          <w:rFonts w:ascii="Times New Roman" w:hAnsi="Times New Roman" w:cs="Times New Roman" w:hint="eastAsia"/>
          <w:sz w:val="24"/>
          <w:szCs w:val="24"/>
        </w:rPr>
        <w:t xml:space="preserve">: </w:t>
      </w:r>
      <w:r w:rsidRPr="003510FF">
        <w:rPr>
          <w:rFonts w:ascii="Times New Roman" w:hAnsi="Times New Roman" w:cs="Times New Roman" w:hint="eastAsia"/>
          <w:sz w:val="24"/>
          <w:szCs w:val="24"/>
        </w:rPr>
        <w:t>Conceptualization, Validation, Visualization, Supervision, Resources, Writing</w:t>
      </w:r>
      <w:r>
        <w:rPr>
          <w:rFonts w:ascii="Times New Roman" w:hAnsi="Times New Roman" w:cs="Times New Roman" w:hint="eastAsia"/>
          <w:sz w:val="24"/>
          <w:szCs w:val="24"/>
        </w:rPr>
        <w:t xml:space="preserve"> </w:t>
      </w:r>
      <w:r w:rsidRPr="003510FF">
        <w:rPr>
          <w:rFonts w:ascii="Times New Roman" w:hAnsi="Times New Roman" w:cs="Times New Roman" w:hint="eastAsia"/>
          <w:sz w:val="24"/>
          <w:szCs w:val="24"/>
        </w:rPr>
        <w:t>- Review &amp; Editing</w:t>
      </w:r>
      <w:r>
        <w:rPr>
          <w:rFonts w:ascii="Times New Roman" w:hAnsi="Times New Roman" w:cs="Times New Roman" w:hint="eastAsia"/>
          <w:sz w:val="24"/>
          <w:szCs w:val="24"/>
        </w:rPr>
        <w:t>.</w:t>
      </w:r>
    </w:p>
    <w:p w14:paraId="571672AE" w14:textId="77777777" w:rsidR="005421C3" w:rsidRPr="00CF7BA0" w:rsidRDefault="005421C3" w:rsidP="005421C3">
      <w:pPr>
        <w:rPr>
          <w:rFonts w:ascii="Times New Roman" w:hAnsi="Times New Roman" w:cs="Times New Roman"/>
          <w:b/>
          <w:bCs/>
          <w:sz w:val="24"/>
          <w:szCs w:val="24"/>
        </w:rPr>
      </w:pPr>
    </w:p>
    <w:p w14:paraId="133A672A" w14:textId="77777777" w:rsidR="005421C3" w:rsidRPr="00CD494A" w:rsidRDefault="005421C3" w:rsidP="005421C3">
      <w:pPr>
        <w:rPr>
          <w:rFonts w:ascii="Times New Roman" w:hAnsi="Times New Roman" w:cs="Times New Roman"/>
          <w:b/>
          <w:bCs/>
          <w:sz w:val="28"/>
          <w:szCs w:val="28"/>
          <w:u w:val="single"/>
        </w:rPr>
      </w:pPr>
      <w:r w:rsidRPr="00FA1BED">
        <w:rPr>
          <w:rFonts w:ascii="Times New Roman" w:hAnsi="Times New Roman" w:cs="Times New Roman"/>
          <w:b/>
          <w:bCs/>
          <w:sz w:val="24"/>
          <w:szCs w:val="24"/>
          <w:u w:val="single"/>
        </w:rPr>
        <w:t xml:space="preserve">Declaration of </w:t>
      </w:r>
      <w:proofErr w:type="gramStart"/>
      <w:r w:rsidRPr="00FA1BED">
        <w:rPr>
          <w:rFonts w:ascii="Times New Roman" w:hAnsi="Times New Roman" w:cs="Times New Roman"/>
          <w:b/>
          <w:bCs/>
          <w:sz w:val="24"/>
          <w:szCs w:val="24"/>
          <w:u w:val="single"/>
        </w:rPr>
        <w:t>competing interest</w:t>
      </w:r>
      <w:proofErr w:type="gramEnd"/>
    </w:p>
    <w:p w14:paraId="42946397" w14:textId="77777777" w:rsidR="005421C3" w:rsidRDefault="005421C3" w:rsidP="005421C3">
      <w:pPr>
        <w:widowControl/>
        <w:rPr>
          <w:rFonts w:ascii="Times New Roman" w:hAnsi="Times New Roman" w:cs="Times New Roman"/>
          <w:sz w:val="24"/>
          <w:szCs w:val="24"/>
        </w:rPr>
      </w:pPr>
      <w:r w:rsidRPr="00006C2A">
        <w:rPr>
          <w:rFonts w:ascii="Times New Roman" w:hAnsi="Times New Roman" w:cs="Times New Roman"/>
          <w:sz w:val="24"/>
          <w:szCs w:val="24"/>
        </w:rPr>
        <w:t>All authors illustrate that they have no known competitive financial interests or personal relationships that can influence this paper's reported work.</w:t>
      </w:r>
    </w:p>
    <w:p w14:paraId="51BD6D93" w14:textId="77777777" w:rsidR="005421C3" w:rsidRDefault="005421C3" w:rsidP="005421C3">
      <w:pPr>
        <w:widowControl/>
        <w:rPr>
          <w:rFonts w:ascii="Times New Roman" w:hAnsi="Times New Roman" w:cs="Times New Roman"/>
          <w:sz w:val="24"/>
          <w:szCs w:val="24"/>
        </w:rPr>
      </w:pPr>
    </w:p>
    <w:p w14:paraId="6B217272" w14:textId="77777777" w:rsidR="005421C3" w:rsidRPr="00CB5B4D" w:rsidRDefault="005421C3" w:rsidP="005421C3">
      <w:pPr>
        <w:widowControl/>
        <w:rPr>
          <w:rFonts w:ascii="Times New Roman" w:hAnsi="Times New Roman" w:cs="Times New Roman"/>
          <w:b/>
          <w:bCs/>
          <w:sz w:val="24"/>
          <w:szCs w:val="24"/>
          <w:u w:val="single"/>
        </w:rPr>
      </w:pPr>
      <w:r w:rsidRPr="00CB5B4D">
        <w:rPr>
          <w:rFonts w:ascii="Times New Roman" w:hAnsi="Times New Roman" w:cs="Times New Roman" w:hint="eastAsia"/>
          <w:b/>
          <w:bCs/>
          <w:sz w:val="24"/>
          <w:szCs w:val="24"/>
          <w:u w:val="single"/>
        </w:rPr>
        <w:t>Funding</w:t>
      </w:r>
    </w:p>
    <w:p w14:paraId="7D307BA4" w14:textId="77777777" w:rsidR="005421C3" w:rsidRPr="00CB5B4D" w:rsidRDefault="005421C3" w:rsidP="005421C3">
      <w:pPr>
        <w:widowControl/>
        <w:rPr>
          <w:rFonts w:ascii="Times New Roman" w:hAnsi="Times New Roman" w:cs="Times New Roman"/>
          <w:sz w:val="24"/>
          <w:szCs w:val="24"/>
        </w:rPr>
      </w:pPr>
      <w:r w:rsidRPr="00CB5B4D">
        <w:rPr>
          <w:rFonts w:ascii="Times New Roman" w:hAnsi="Times New Roman" w:cs="Times New Roman" w:hint="eastAsia"/>
          <w:sz w:val="24"/>
          <w:szCs w:val="24"/>
        </w:rPr>
        <w:t>This research was funded by Shanghai University of Finance and Economics Graduate Student Innovation Fund (CXJJ-2024-334).</w:t>
      </w:r>
    </w:p>
    <w:p w14:paraId="48044913" w14:textId="77777777" w:rsidR="005421C3" w:rsidRPr="00006C2A" w:rsidRDefault="005421C3" w:rsidP="005421C3">
      <w:pPr>
        <w:widowControl/>
        <w:jc w:val="left"/>
        <w:rPr>
          <w:rFonts w:ascii="Times New Roman" w:hAnsi="Times New Roman" w:cs="Times New Roman"/>
          <w:sz w:val="24"/>
          <w:szCs w:val="24"/>
        </w:rPr>
      </w:pPr>
    </w:p>
    <w:p w14:paraId="6774398A" w14:textId="77777777" w:rsidR="005421C3" w:rsidRPr="00FA1BED" w:rsidRDefault="005421C3" w:rsidP="005421C3">
      <w:pPr>
        <w:rPr>
          <w:rFonts w:ascii="Times New Roman" w:hAnsi="Times New Roman" w:cs="Times New Roman"/>
          <w:b/>
          <w:bCs/>
          <w:sz w:val="24"/>
          <w:szCs w:val="24"/>
          <w:u w:val="single"/>
        </w:rPr>
      </w:pPr>
      <w:r w:rsidRPr="00FA1BED">
        <w:rPr>
          <w:rFonts w:ascii="Times New Roman" w:hAnsi="Times New Roman" w:cs="Times New Roman"/>
          <w:b/>
          <w:bCs/>
          <w:sz w:val="24"/>
          <w:szCs w:val="24"/>
          <w:u w:val="single"/>
        </w:rPr>
        <w:t>Acknowledgment</w:t>
      </w:r>
    </w:p>
    <w:p w14:paraId="70D04297" w14:textId="77777777" w:rsidR="005421C3" w:rsidRDefault="005421C3" w:rsidP="005421C3">
      <w:pPr>
        <w:rPr>
          <w:rFonts w:ascii="Times New Roman" w:hAnsi="Times New Roman" w:cs="Times New Roman"/>
          <w:sz w:val="24"/>
          <w:szCs w:val="24"/>
        </w:rPr>
      </w:pPr>
      <w:r w:rsidRPr="003510FF">
        <w:rPr>
          <w:rFonts w:ascii="Times New Roman" w:hAnsi="Times New Roman" w:cs="Times New Roman" w:hint="eastAsia"/>
          <w:sz w:val="24"/>
          <w:szCs w:val="24"/>
        </w:rPr>
        <w:t xml:space="preserve">This research is jointly supported by the Project of Strategic </w:t>
      </w:r>
      <w:r>
        <w:rPr>
          <w:rFonts w:ascii="Times New Roman" w:hAnsi="Times New Roman" w:cs="Times New Roman" w:hint="eastAsia"/>
          <w:sz w:val="24"/>
          <w:szCs w:val="24"/>
        </w:rPr>
        <w:t>I</w:t>
      </w:r>
      <w:r w:rsidRPr="003510FF">
        <w:rPr>
          <w:rFonts w:ascii="Times New Roman" w:hAnsi="Times New Roman" w:cs="Times New Roman" w:hint="eastAsia"/>
          <w:sz w:val="24"/>
          <w:szCs w:val="24"/>
        </w:rPr>
        <w:t xml:space="preserve">mportance (Project Code: </w:t>
      </w:r>
      <w:r w:rsidRPr="003510FF">
        <w:rPr>
          <w:rFonts w:ascii="Times New Roman" w:hAnsi="Times New Roman" w:cs="Times New Roman" w:hint="eastAsia"/>
          <w:b/>
          <w:bCs/>
          <w:sz w:val="24"/>
          <w:szCs w:val="24"/>
        </w:rPr>
        <w:lastRenderedPageBreak/>
        <w:t>1-ZE0G</w:t>
      </w:r>
      <w:r>
        <w:rPr>
          <w:rFonts w:ascii="Times New Roman" w:hAnsi="Times New Roman" w:cs="Times New Roman" w:hint="eastAsia"/>
          <w:sz w:val="24"/>
          <w:szCs w:val="24"/>
        </w:rPr>
        <w:t xml:space="preserve"> and </w:t>
      </w:r>
      <w:r w:rsidRPr="003510FF">
        <w:rPr>
          <w:rFonts w:ascii="Times New Roman" w:hAnsi="Times New Roman" w:cs="Times New Roman" w:hint="eastAsia"/>
          <w:b/>
          <w:bCs/>
          <w:sz w:val="24"/>
          <w:szCs w:val="24"/>
        </w:rPr>
        <w:t>SBBD</w:t>
      </w:r>
      <w:r w:rsidRPr="003510FF">
        <w:rPr>
          <w:rFonts w:ascii="Times New Roman" w:hAnsi="Times New Roman" w:cs="Times New Roman" w:hint="eastAsia"/>
          <w:sz w:val="24"/>
          <w:szCs w:val="24"/>
        </w:rPr>
        <w:t>)</w:t>
      </w:r>
      <w:r>
        <w:rPr>
          <w:rFonts w:ascii="Times New Roman" w:hAnsi="Times New Roman" w:cs="Times New Roman" w:hint="eastAsia"/>
          <w:sz w:val="24"/>
          <w:szCs w:val="24"/>
        </w:rPr>
        <w:t xml:space="preserve"> and </w:t>
      </w:r>
      <w:r w:rsidRPr="003510FF">
        <w:rPr>
          <w:rFonts w:ascii="Times New Roman" w:hAnsi="Times New Roman" w:cs="Times New Roman" w:hint="eastAsia"/>
          <w:sz w:val="24"/>
          <w:szCs w:val="24"/>
        </w:rPr>
        <w:t>the Research Committee of the Hong Kong Polytechnic University</w:t>
      </w:r>
      <w:r>
        <w:rPr>
          <w:rFonts w:ascii="Times New Roman" w:hAnsi="Times New Roman" w:cs="Times New Roman" w:hint="eastAsia"/>
          <w:sz w:val="24"/>
          <w:szCs w:val="24"/>
        </w:rPr>
        <w:t>;</w:t>
      </w:r>
      <w:r w:rsidRPr="003510FF">
        <w:rPr>
          <w:rFonts w:ascii="Times New Roman" w:hAnsi="Times New Roman" w:cs="Times New Roman" w:hint="eastAsia"/>
          <w:sz w:val="24"/>
          <w:szCs w:val="24"/>
        </w:rPr>
        <w:t xml:space="preserve"> </w:t>
      </w:r>
      <w:r>
        <w:rPr>
          <w:rFonts w:ascii="Times New Roman" w:hAnsi="Times New Roman" w:cs="Times New Roman" w:hint="eastAsia"/>
          <w:sz w:val="24"/>
          <w:szCs w:val="24"/>
        </w:rPr>
        <w:t xml:space="preserve">the State Key </w:t>
      </w:r>
      <w:r>
        <w:rPr>
          <w:rFonts w:ascii="Times New Roman" w:hAnsi="Times New Roman" w:cs="Times New Roman"/>
          <w:sz w:val="24"/>
          <w:szCs w:val="24"/>
        </w:rPr>
        <w:t>Laboratories</w:t>
      </w:r>
      <w:r>
        <w:rPr>
          <w:rFonts w:ascii="Times New Roman" w:hAnsi="Times New Roman" w:cs="Times New Roman" w:hint="eastAsia"/>
          <w:sz w:val="24"/>
          <w:szCs w:val="24"/>
        </w:rPr>
        <w:t xml:space="preserve"> (SKL) in Innovation and Technology Commission (ITC) of the Hong Kong Special Administrative Region</w:t>
      </w:r>
      <w:r w:rsidRPr="003510FF">
        <w:rPr>
          <w:rFonts w:ascii="Times New Roman" w:hAnsi="Times New Roman" w:cs="Times New Roman" w:hint="eastAsia"/>
          <w:sz w:val="24"/>
          <w:szCs w:val="24"/>
        </w:rPr>
        <w:t>.</w:t>
      </w:r>
      <w:r>
        <w:rPr>
          <w:rFonts w:ascii="Times New Roman" w:hAnsi="Times New Roman" w:cs="Times New Roman" w:hint="eastAsia"/>
          <w:sz w:val="24"/>
          <w:szCs w:val="24"/>
        </w:rPr>
        <w:t xml:space="preserve"> </w:t>
      </w:r>
      <w:r>
        <w:rPr>
          <w:rFonts w:ascii="Times New Roman" w:hAnsi="Times New Roman" w:cs="Times New Roman"/>
          <w:sz w:val="24"/>
          <w:szCs w:val="24"/>
        </w:rPr>
        <w:t>Special</w:t>
      </w:r>
      <w:r>
        <w:rPr>
          <w:rFonts w:ascii="Times New Roman" w:hAnsi="Times New Roman" w:cs="Times New Roman" w:hint="eastAsia"/>
          <w:sz w:val="24"/>
          <w:szCs w:val="24"/>
        </w:rPr>
        <w:t xml:space="preserve"> thanks are to </w:t>
      </w:r>
      <w:r w:rsidRPr="00FE7B41">
        <w:rPr>
          <w:rFonts w:ascii="Times New Roman" w:hAnsi="Times New Roman" w:cs="Times New Roman" w:hint="eastAsia"/>
          <w:sz w:val="24"/>
          <w:szCs w:val="24"/>
        </w:rPr>
        <w:t>acknowledge the valuable contributions of the Accounting and Finance team at Keele Business School, Keele</w:t>
      </w:r>
      <w:r>
        <w:rPr>
          <w:rFonts w:ascii="Times New Roman" w:hAnsi="Times New Roman" w:cs="Times New Roman" w:hint="eastAsia"/>
          <w:sz w:val="24"/>
          <w:szCs w:val="24"/>
        </w:rPr>
        <w:t xml:space="preserve"> </w:t>
      </w:r>
      <w:r w:rsidRPr="00FE7B41">
        <w:rPr>
          <w:rFonts w:ascii="Times New Roman" w:hAnsi="Times New Roman" w:cs="Times New Roman" w:hint="eastAsia"/>
          <w:sz w:val="24"/>
          <w:szCs w:val="24"/>
        </w:rPr>
        <w:t>University.</w:t>
      </w:r>
    </w:p>
    <w:p w14:paraId="0097846F" w14:textId="77777777" w:rsidR="005421C3" w:rsidRPr="003510FF" w:rsidRDefault="005421C3" w:rsidP="005421C3">
      <w:pPr>
        <w:rPr>
          <w:rFonts w:ascii="Times New Roman" w:hAnsi="Times New Roman" w:cs="Times New Roman"/>
          <w:sz w:val="24"/>
          <w:szCs w:val="24"/>
        </w:rPr>
      </w:pPr>
    </w:p>
    <w:p w14:paraId="4FC04740" w14:textId="77777777" w:rsidR="005421C3" w:rsidRPr="00FA1BED" w:rsidRDefault="005421C3" w:rsidP="005421C3">
      <w:pPr>
        <w:rPr>
          <w:rFonts w:ascii="Times New Roman" w:hAnsi="Times New Roman" w:cs="Times New Roman"/>
          <w:b/>
          <w:bCs/>
          <w:sz w:val="24"/>
          <w:szCs w:val="24"/>
          <w:u w:val="single"/>
        </w:rPr>
      </w:pPr>
      <w:r w:rsidRPr="00FA1BED">
        <w:rPr>
          <w:rFonts w:ascii="Times New Roman" w:hAnsi="Times New Roman" w:cs="Times New Roman"/>
          <w:b/>
          <w:bCs/>
          <w:sz w:val="24"/>
          <w:szCs w:val="24"/>
          <w:u w:val="single"/>
        </w:rPr>
        <w:t>Data availability</w:t>
      </w:r>
    </w:p>
    <w:p w14:paraId="1E7A538C" w14:textId="77777777" w:rsidR="005421C3" w:rsidRPr="00CB01F7" w:rsidRDefault="005421C3" w:rsidP="005421C3">
      <w:pPr>
        <w:widowControl/>
        <w:jc w:val="left"/>
        <w:rPr>
          <w:rFonts w:ascii="Times New Roman" w:eastAsia="SimSun" w:hAnsi="Times New Roman" w:cs="Times New Roman"/>
          <w:kern w:val="0"/>
          <w:sz w:val="24"/>
          <w:szCs w:val="24"/>
        </w:rPr>
      </w:pPr>
      <w:r w:rsidRPr="00006C2A">
        <w:rPr>
          <w:rFonts w:ascii="Times New Roman" w:eastAsia="SimSun" w:hAnsi="Times New Roman" w:cs="Times New Roman"/>
          <w:kern w:val="0"/>
          <w:sz w:val="24"/>
          <w:szCs w:val="24"/>
        </w:rPr>
        <w:t>Data will be made available on request.</w:t>
      </w:r>
    </w:p>
    <w:p w14:paraId="45A07D11" w14:textId="77777777" w:rsidR="005421C3" w:rsidRDefault="005421C3">
      <w:pPr>
        <w:widowControl/>
        <w:jc w:val="left"/>
        <w:rPr>
          <w:rFonts w:ascii="Times New Roman" w:hAnsi="Times New Roman" w:cs="Times New Roman"/>
          <w:b/>
          <w:bCs/>
          <w:sz w:val="32"/>
          <w:szCs w:val="32"/>
        </w:rPr>
      </w:pPr>
      <w:r>
        <w:rPr>
          <w:sz w:val="32"/>
          <w:szCs w:val="32"/>
        </w:rPr>
        <w:br w:type="page"/>
      </w:r>
    </w:p>
    <w:p w14:paraId="36E5DC6D" w14:textId="2DC6FB39" w:rsidR="00EF77E2" w:rsidRPr="00227F9D" w:rsidRDefault="00EF77E2" w:rsidP="00EF77E2">
      <w:pPr>
        <w:pStyle w:val="1"/>
        <w:spacing w:line="240" w:lineRule="auto"/>
        <w:jc w:val="center"/>
        <w:rPr>
          <w:sz w:val="32"/>
          <w:szCs w:val="32"/>
        </w:rPr>
      </w:pPr>
      <w:r w:rsidRPr="00227F9D">
        <w:rPr>
          <w:sz w:val="32"/>
          <w:szCs w:val="32"/>
        </w:rPr>
        <w:lastRenderedPageBreak/>
        <w:t xml:space="preserve">Positive </w:t>
      </w:r>
      <w:r w:rsidR="00BA78D5" w:rsidRPr="00227F9D">
        <w:rPr>
          <w:rFonts w:hint="eastAsia"/>
          <w:sz w:val="32"/>
          <w:szCs w:val="32"/>
        </w:rPr>
        <w:t>p</w:t>
      </w:r>
      <w:r w:rsidRPr="00227F9D">
        <w:rPr>
          <w:sz w:val="32"/>
          <w:szCs w:val="32"/>
        </w:rPr>
        <w:t xml:space="preserve">ress, </w:t>
      </w:r>
      <w:r w:rsidR="00BA78D5" w:rsidRPr="00227F9D">
        <w:rPr>
          <w:rFonts w:hint="eastAsia"/>
          <w:sz w:val="32"/>
          <w:szCs w:val="32"/>
        </w:rPr>
        <w:t>g</w:t>
      </w:r>
      <w:r w:rsidRPr="00227F9D">
        <w:rPr>
          <w:sz w:val="32"/>
          <w:szCs w:val="32"/>
        </w:rPr>
        <w:t xml:space="preserve">reener </w:t>
      </w:r>
      <w:r w:rsidR="00BA78D5" w:rsidRPr="00227F9D">
        <w:rPr>
          <w:rFonts w:hint="eastAsia"/>
          <w:sz w:val="32"/>
          <w:szCs w:val="32"/>
        </w:rPr>
        <w:t>p</w:t>
      </w:r>
      <w:r w:rsidRPr="00227F9D">
        <w:rPr>
          <w:sz w:val="32"/>
          <w:szCs w:val="32"/>
        </w:rPr>
        <w:t xml:space="preserve">rogress: The </w:t>
      </w:r>
      <w:r w:rsidR="00BA78D5" w:rsidRPr="00227F9D">
        <w:rPr>
          <w:rFonts w:hint="eastAsia"/>
          <w:sz w:val="32"/>
          <w:szCs w:val="32"/>
        </w:rPr>
        <w:t>r</w:t>
      </w:r>
      <w:r w:rsidRPr="00227F9D">
        <w:rPr>
          <w:sz w:val="32"/>
          <w:szCs w:val="32"/>
        </w:rPr>
        <w:t xml:space="preserve">ole of ESG </w:t>
      </w:r>
      <w:r w:rsidR="00BA78D5" w:rsidRPr="00227F9D">
        <w:rPr>
          <w:rFonts w:hint="eastAsia"/>
          <w:sz w:val="32"/>
          <w:szCs w:val="32"/>
        </w:rPr>
        <w:t>m</w:t>
      </w:r>
      <w:r w:rsidRPr="00227F9D">
        <w:rPr>
          <w:sz w:val="32"/>
          <w:szCs w:val="32"/>
        </w:rPr>
        <w:t xml:space="preserve">edia </w:t>
      </w:r>
      <w:r w:rsidR="00BA78D5" w:rsidRPr="00227F9D">
        <w:rPr>
          <w:rFonts w:hint="eastAsia"/>
          <w:sz w:val="32"/>
          <w:szCs w:val="32"/>
        </w:rPr>
        <w:t>r</w:t>
      </w:r>
      <w:r w:rsidRPr="00227F9D">
        <w:rPr>
          <w:sz w:val="32"/>
          <w:szCs w:val="32"/>
        </w:rPr>
        <w:t xml:space="preserve">eputation in </w:t>
      </w:r>
      <w:r w:rsidR="00BA78D5" w:rsidRPr="00227F9D">
        <w:rPr>
          <w:rFonts w:hint="eastAsia"/>
          <w:sz w:val="32"/>
          <w:szCs w:val="32"/>
        </w:rPr>
        <w:t>c</w:t>
      </w:r>
      <w:r w:rsidRPr="00227F9D">
        <w:rPr>
          <w:sz w:val="32"/>
          <w:szCs w:val="32"/>
        </w:rPr>
        <w:t xml:space="preserve">orporate </w:t>
      </w:r>
      <w:r w:rsidR="00BA78D5" w:rsidRPr="00227F9D">
        <w:rPr>
          <w:rFonts w:hint="eastAsia"/>
          <w:sz w:val="32"/>
          <w:szCs w:val="32"/>
        </w:rPr>
        <w:t>e</w:t>
      </w:r>
      <w:r w:rsidRPr="00227F9D">
        <w:rPr>
          <w:sz w:val="32"/>
          <w:szCs w:val="32"/>
        </w:rPr>
        <w:t xml:space="preserve">nergy </w:t>
      </w:r>
      <w:r w:rsidR="00BA78D5" w:rsidRPr="00227F9D">
        <w:rPr>
          <w:rFonts w:hint="eastAsia"/>
          <w:sz w:val="32"/>
          <w:szCs w:val="32"/>
        </w:rPr>
        <w:t>i</w:t>
      </w:r>
      <w:r w:rsidRPr="00227F9D">
        <w:rPr>
          <w:sz w:val="32"/>
          <w:szCs w:val="32"/>
        </w:rPr>
        <w:t>nnovation</w:t>
      </w:r>
    </w:p>
    <w:p w14:paraId="2B461885" w14:textId="77777777" w:rsidR="00EF77E2" w:rsidRPr="00227F9D" w:rsidRDefault="00EF77E2" w:rsidP="00EF77E2">
      <w:pPr>
        <w:pStyle w:val="1"/>
        <w:spacing w:line="240" w:lineRule="auto"/>
        <w:rPr>
          <w:szCs w:val="24"/>
        </w:rPr>
      </w:pPr>
      <w:r w:rsidRPr="00227F9D">
        <w:rPr>
          <w:szCs w:val="24"/>
        </w:rPr>
        <w:t>Abstract</w:t>
      </w:r>
    </w:p>
    <w:p w14:paraId="590964E9" w14:textId="493E5B99" w:rsidR="009A00A9" w:rsidRPr="00227F9D" w:rsidRDefault="000C7D4A" w:rsidP="000C7D4A">
      <w:pPr>
        <w:rPr>
          <w:rFonts w:ascii="Times New Roman" w:hAnsi="Times New Roman" w:cs="Times New Roman"/>
          <w:sz w:val="24"/>
          <w:szCs w:val="24"/>
        </w:rPr>
      </w:pPr>
      <w:r w:rsidRPr="00227F9D">
        <w:rPr>
          <w:rFonts w:ascii="Times New Roman" w:hAnsi="Times New Roman" w:cs="Times New Roman" w:hint="eastAsia"/>
          <w:sz w:val="24"/>
          <w:szCs w:val="24"/>
        </w:rPr>
        <w:t>While the role of media in monitoring corporate Environmental, Social, and Governance (ESG) practices is increasingly prominent, limited research focuses on the sustainable impact of corporate ESG reputation from an energy strategy perspective in the media context. To address this critical research gap, this study utilizes news report data from Baidu News and patent text data of Chinese A-share listed companies (2012-2022), applying machine learning and text analysis methods to construct indicators for ESG news sentiment and corporate energy innovation (CEI). Drawing on reputation theory, the study finds that positive ESG sentiment conveyed by media significantly enhances CEI, primarily by alleviating financing constraints and fostering awareness of green business practices. Heterogeneity analysis reveals that the positive impact of ESG news sentiment on CEI is more pronounced in high-energy-consuming firms and in regions with better green finance development and stronger ESG governance. The content and attention of ESG news also exhibit distinct heterogeneity, particularly in the environmental and social dimensions. The findings underscore the importance of integrating media-driven ESG monitoring mechanisms into energy strategies to promote corporate long-term sustainable development</w:t>
      </w:r>
      <w:r w:rsidR="00EF77E2" w:rsidRPr="00227F9D">
        <w:rPr>
          <w:rFonts w:ascii="Times New Roman" w:hAnsi="Times New Roman" w:cs="Times New Roman"/>
          <w:sz w:val="24"/>
          <w:szCs w:val="24"/>
        </w:rPr>
        <w:t>.</w:t>
      </w:r>
    </w:p>
    <w:p w14:paraId="2ADB489C" w14:textId="77777777" w:rsidR="009A00A9" w:rsidRPr="00227F9D" w:rsidRDefault="009A00A9" w:rsidP="001E29E3">
      <w:pPr>
        <w:rPr>
          <w:rFonts w:ascii="Times New Roman" w:hAnsi="Times New Roman" w:cs="Times New Roman"/>
          <w:sz w:val="24"/>
          <w:szCs w:val="24"/>
        </w:rPr>
      </w:pPr>
    </w:p>
    <w:p w14:paraId="63377E7E" w14:textId="6CC1B59D" w:rsidR="00EF77E2" w:rsidRPr="00227F9D" w:rsidRDefault="00EF77E2" w:rsidP="00EF77E2">
      <w:pPr>
        <w:pStyle w:val="1"/>
        <w:spacing w:line="240" w:lineRule="auto"/>
        <w:rPr>
          <w:szCs w:val="24"/>
        </w:rPr>
      </w:pPr>
      <w:r w:rsidRPr="00227F9D">
        <w:rPr>
          <w:szCs w:val="24"/>
        </w:rPr>
        <w:t>K</w:t>
      </w:r>
      <w:r w:rsidR="00BA78D5" w:rsidRPr="00227F9D">
        <w:rPr>
          <w:rFonts w:hint="eastAsia"/>
          <w:szCs w:val="24"/>
        </w:rPr>
        <w:t>EYWORDS</w:t>
      </w:r>
    </w:p>
    <w:p w14:paraId="62FC826F" w14:textId="6F103C5F" w:rsidR="00EF77E2" w:rsidRPr="00227F9D" w:rsidRDefault="00BA78D5" w:rsidP="00EF77E2">
      <w:pPr>
        <w:rPr>
          <w:rFonts w:ascii="Times New Roman" w:hAnsi="Times New Roman" w:cs="Times New Roman"/>
          <w:sz w:val="24"/>
          <w:szCs w:val="24"/>
        </w:rPr>
      </w:pPr>
      <w:r w:rsidRPr="00227F9D">
        <w:rPr>
          <w:rFonts w:ascii="Times New Roman" w:hAnsi="Times New Roman" w:cs="Times New Roman"/>
          <w:sz w:val="24"/>
          <w:szCs w:val="24"/>
        </w:rPr>
        <w:t>Corporate Energy Innovation</w:t>
      </w:r>
      <w:r w:rsidRPr="00227F9D">
        <w:rPr>
          <w:rFonts w:ascii="Times New Roman" w:hAnsi="Times New Roman" w:cs="Times New Roman" w:hint="eastAsia"/>
          <w:sz w:val="24"/>
          <w:szCs w:val="24"/>
        </w:rPr>
        <w:t>;</w:t>
      </w:r>
      <w:r w:rsidRPr="00227F9D">
        <w:rPr>
          <w:rFonts w:ascii="Times New Roman" w:hAnsi="Times New Roman" w:cs="Times New Roman"/>
          <w:sz w:val="24"/>
          <w:szCs w:val="24"/>
        </w:rPr>
        <w:t xml:space="preserve"> </w:t>
      </w:r>
      <w:r w:rsidR="00EF77E2" w:rsidRPr="00227F9D">
        <w:rPr>
          <w:rFonts w:ascii="Times New Roman" w:hAnsi="Times New Roman" w:cs="Times New Roman"/>
          <w:sz w:val="24"/>
          <w:szCs w:val="24"/>
        </w:rPr>
        <w:t xml:space="preserve">ESG News Sentiment; </w:t>
      </w:r>
      <w:r w:rsidRPr="00227F9D">
        <w:rPr>
          <w:rFonts w:ascii="Times New Roman" w:hAnsi="Times New Roman" w:cs="Times New Roman"/>
          <w:sz w:val="24"/>
          <w:szCs w:val="24"/>
        </w:rPr>
        <w:t>Machine Learning</w:t>
      </w:r>
      <w:r w:rsidRPr="00227F9D">
        <w:rPr>
          <w:rFonts w:ascii="Times New Roman" w:hAnsi="Times New Roman" w:cs="Times New Roman" w:hint="eastAsia"/>
          <w:sz w:val="24"/>
          <w:szCs w:val="24"/>
        </w:rPr>
        <w:t xml:space="preserve">; </w:t>
      </w:r>
      <w:r w:rsidR="00EF77E2" w:rsidRPr="00227F9D">
        <w:rPr>
          <w:rFonts w:ascii="Times New Roman" w:hAnsi="Times New Roman" w:cs="Times New Roman"/>
          <w:sz w:val="24"/>
          <w:szCs w:val="24"/>
        </w:rPr>
        <w:t>Reputation Theory; Sustainable Development</w:t>
      </w:r>
    </w:p>
    <w:p w14:paraId="3863AED9" w14:textId="77777777" w:rsidR="00EF77E2" w:rsidRPr="00227F9D" w:rsidRDefault="00EF77E2">
      <w:pPr>
        <w:rPr>
          <w:rFonts w:ascii="Times New Roman" w:hAnsi="Times New Roman" w:cs="Times New Roman"/>
        </w:rPr>
      </w:pPr>
    </w:p>
    <w:p w14:paraId="5DB76B91" w14:textId="19966C46" w:rsidR="003317B0" w:rsidRPr="00227F9D" w:rsidRDefault="003317B0" w:rsidP="003317B0">
      <w:pPr>
        <w:rPr>
          <w:rFonts w:ascii="Times New Roman" w:hAnsi="Times New Roman" w:cs="Times New Roman"/>
          <w:b/>
          <w:bCs/>
          <w:sz w:val="28"/>
          <w:szCs w:val="28"/>
        </w:rPr>
      </w:pPr>
      <w:r w:rsidRPr="00227F9D">
        <w:rPr>
          <w:rFonts w:ascii="Times New Roman" w:hAnsi="Times New Roman" w:cs="Times New Roman"/>
          <w:b/>
          <w:bCs/>
          <w:sz w:val="28"/>
          <w:szCs w:val="28"/>
        </w:rPr>
        <w:t>1.INTRODUCTION</w:t>
      </w:r>
    </w:p>
    <w:p w14:paraId="447D82E6" w14:textId="6BCBB256"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Since the introduction of the Environmental, Social, and Governance (ESG) investment concept, international attention to ESG has grown steadily (Avramov et al., 2022). The continuous development of socio-economic systems heavily relies on energy availability. However, global energy consumption has reached unprecedented levels, and air pollution caused by the extraction, transportation, and combustion of fossil fuels poses a significant threat to sustainable development (</w:t>
      </w:r>
      <w:proofErr w:type="spellStart"/>
      <w:r w:rsidRPr="00227F9D">
        <w:rPr>
          <w:rFonts w:ascii="Times New Roman" w:hAnsi="Times New Roman" w:cs="Times New Roman"/>
          <w:sz w:val="24"/>
          <w:szCs w:val="24"/>
        </w:rPr>
        <w:t>Nijsse</w:t>
      </w:r>
      <w:proofErr w:type="spellEnd"/>
      <w:r w:rsidRPr="00227F9D">
        <w:rPr>
          <w:rFonts w:ascii="Times New Roman" w:hAnsi="Times New Roman" w:cs="Times New Roman"/>
          <w:sz w:val="24"/>
          <w:szCs w:val="24"/>
        </w:rPr>
        <w:t xml:space="preserve"> et al., 2023; Chu et al., 2024). Against this backdrop, transitioning energy systems toward cleaner production has become an urgent priority. Compared to traditional energy sources, renewable energy technologies are seen as a critical pathway for achieving energy structural transformation due to their significant energy-saving advantages and economic competitiveness (Khan et al., 2022). Notably, well-designed energy innovation systems—such as breakthroughs in advanced batteries, pumped storage, smart grids, and intelligent metering—can significantly enhance energy efficiency, contributing to global sustainable development (Chen et al., 202</w:t>
      </w:r>
      <w:r w:rsidR="00BA78D5" w:rsidRPr="00227F9D">
        <w:rPr>
          <w:rFonts w:ascii="Times New Roman" w:hAnsi="Times New Roman" w:cs="Times New Roman" w:hint="eastAsia"/>
          <w:sz w:val="24"/>
          <w:szCs w:val="24"/>
        </w:rPr>
        <w:t>5</w:t>
      </w:r>
      <w:r w:rsidRPr="00227F9D">
        <w:rPr>
          <w:rFonts w:ascii="Times New Roman" w:hAnsi="Times New Roman" w:cs="Times New Roman"/>
          <w:sz w:val="24"/>
          <w:szCs w:val="24"/>
        </w:rPr>
        <w:t xml:space="preserve">). Thus, in the context of rapid ESG investment growth, innovative investments in energy technology transformation are not only key to addressing environmental challenges but are also regarded as effective </w:t>
      </w:r>
      <w:r w:rsidRPr="00227F9D">
        <w:rPr>
          <w:rFonts w:ascii="Times New Roman" w:hAnsi="Times New Roman" w:cs="Times New Roman"/>
          <w:sz w:val="24"/>
          <w:szCs w:val="24"/>
        </w:rPr>
        <w:lastRenderedPageBreak/>
        <w:t>means of enhancing corporate sustainable competitiveness.</w:t>
      </w:r>
    </w:p>
    <w:p w14:paraId="336DAFD1" w14:textId="77777777" w:rsidR="003317B0" w:rsidRPr="00227F9D" w:rsidRDefault="003317B0" w:rsidP="003317B0">
      <w:pPr>
        <w:rPr>
          <w:rFonts w:ascii="Times New Roman" w:hAnsi="Times New Roman" w:cs="Times New Roman"/>
          <w:sz w:val="24"/>
          <w:szCs w:val="24"/>
        </w:rPr>
      </w:pPr>
    </w:p>
    <w:p w14:paraId="6C05F3D2" w14:textId="7370A7D0"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Although existing research has extensively explored the role of ESG principles in guiding firms to address environmental risks such as energy shortages and climate change (Ren et al., 2022; Naseer et al., 2024) and emphasized the significant effects of mandatory ESG disclosure and government regulation in mitigating potential risks like pollution lawsuits and labor disputes (Tsang et al., 2023; Singhania and Gupta, 2024), the unique role of media as a critical channel for public access to corporate information within diverse and unstructured institutional environments has gained increasing attention. With the advancement of the internet, financial news media have played a pivotal role in shaping corporate market reputation by reporting ESG-related information (Chasiotis et al., 2024; Sloan, 2024). Specifically, the sentiments and attitudes expressed in these media reports not only influence public and capital market perceptions of corporate ESG performance but also exert external supervisory pressure on corporate strategic behavior (Serafeim and Yoon, 2023). Regrettably, despite prior studies analyzing the role of media attention in ESG governance (Fischer et al., 2017; He et al., 2024), the question of whether ESG news sentiment can further encourage firms to engage in sustainable development activities such as energy innovation by shaping corporate ESG reputation remains underexplored. This paper addresses this gap by investigating the impact of ESG news sentiment on sustainable corporate development from the perspective of corporate energy innovation (</w:t>
      </w:r>
      <w:r w:rsidRPr="00227F9D">
        <w:rPr>
          <w:rFonts w:ascii="Times New Roman" w:hAnsi="Times New Roman" w:cs="Times New Roman"/>
          <w:i/>
          <w:iCs/>
          <w:sz w:val="24"/>
          <w:szCs w:val="24"/>
        </w:rPr>
        <w:t>CEI</w:t>
      </w:r>
      <w:r w:rsidRPr="00227F9D">
        <w:rPr>
          <w:rFonts w:ascii="Times New Roman" w:hAnsi="Times New Roman" w:cs="Times New Roman"/>
          <w:sz w:val="24"/>
          <w:szCs w:val="24"/>
        </w:rPr>
        <w:t>). It seeks to provide theoretical and empirical evidence to bridge the current research gap regarding the relationship between ESG news sentiment and energy innovation, thereby contributing to the refinement of ESG governance frameworks and the promotion of corporate energy sustainability.</w:t>
      </w:r>
    </w:p>
    <w:p w14:paraId="1B34D313" w14:textId="77777777" w:rsidR="003317B0" w:rsidRPr="00227F9D" w:rsidRDefault="003317B0">
      <w:pPr>
        <w:rPr>
          <w:rFonts w:ascii="Times New Roman" w:hAnsi="Times New Roman" w:cs="Times New Roman"/>
          <w:sz w:val="24"/>
          <w:szCs w:val="24"/>
        </w:rPr>
      </w:pPr>
    </w:p>
    <w:p w14:paraId="5281E446" w14:textId="233D104E"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To address the aforementioned research question, this study selects Chinese A-share listed companies as the research sample, primarily for the following reasons. First, China is one of the world</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largest energy consumers. Against the backdrop of achieving the Sustainable Development Goals (SDGs), Chinese firms are undergoing profound sustainable transformations, and the country</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energy structure significantly impacts global sustainable development (Chu et al., 2024). Moreover, attention to ESG investment in China</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capital market is steadily increasing, and relevant policies are becoming more comprehensive (Tan et al., 2024), providing a robust context for examining the relationship between ESG news sentiment and corporate energy innovation. Second, China</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s capital market and institutional environment are characterized by complexity and dynamism. Firms engaged in energy innovation must navigate external regulatory pressures while balancing internal resource allocation and market competition (Chu et al., 2024). Compared to mature, market-oriented economies, Chinese firms exhibit notable disparities in the quality and consistency of ESG information disclosure. In this context, media play a pivotal role in reducing information asymmetry and shaping public perception (He et al., 2024). The unique institutional setting offers a distinctive perspective for studying the incentive effects of ESG news sentiment on corporate energy innovation. Finally, Chinese A-share listed </w:t>
      </w:r>
      <w:r w:rsidRPr="00227F9D">
        <w:rPr>
          <w:rFonts w:ascii="Times New Roman" w:hAnsi="Times New Roman" w:cs="Times New Roman"/>
          <w:sz w:val="24"/>
          <w:szCs w:val="24"/>
        </w:rPr>
        <w:lastRenderedPageBreak/>
        <w:t>companies not only reflect common challenges faced by firms in emerging markets when addressing ESG issues but also reveal the heterogeneous characteristics of corporate behavior under different institutional frameworks. These factors may accelerate the dissemination and application of media information in corporate decision-making. By investigating how ESG news sentiment drives energy innovation in Chinese firms, this study provides theoretical insights and practical implications for ESG policy formulation and corporate energy transitions on a global scale.</w:t>
      </w:r>
    </w:p>
    <w:p w14:paraId="591279EA" w14:textId="77777777" w:rsidR="003317B0" w:rsidRPr="00227F9D" w:rsidRDefault="003317B0" w:rsidP="003317B0">
      <w:pPr>
        <w:rPr>
          <w:rFonts w:ascii="Times New Roman" w:hAnsi="Times New Roman" w:cs="Times New Roman"/>
          <w:sz w:val="24"/>
          <w:szCs w:val="24"/>
        </w:rPr>
      </w:pPr>
    </w:p>
    <w:p w14:paraId="3313A482" w14:textId="4397EBEC"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Specifically, this research uses over two million ESG-related news reports from 2012 to 2022 concerning Chinese A-share listed companies. It employs machine learning methods to construct firm-level ESG news sentiment. Additionally, the Word2Vec algorithm is used to process the textual information from corporate patent applications, enabling the construction of a corporate energy innovation (</w:t>
      </w:r>
      <w:r w:rsidRPr="00227F9D">
        <w:rPr>
          <w:rFonts w:ascii="Times New Roman" w:hAnsi="Times New Roman" w:cs="Times New Roman"/>
          <w:i/>
          <w:iCs/>
          <w:sz w:val="24"/>
          <w:szCs w:val="24"/>
        </w:rPr>
        <w:t>CEI</w:t>
      </w:r>
      <w:r w:rsidRPr="00227F9D">
        <w:rPr>
          <w:rFonts w:ascii="Times New Roman" w:hAnsi="Times New Roman" w:cs="Times New Roman"/>
          <w:sz w:val="24"/>
          <w:szCs w:val="24"/>
        </w:rPr>
        <w:t>) indicator. Drawing on reputation theory, the study systematically examines the relationship between ESG news sentiment-driven ESG reputation and corporate energy innovation. The findings reveal that positive ESG news sentiment significantly promotes corporate energy innovation by enhancing firms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ESG market reputation. Mechanism analysis indicates that alleviating financing constraints and fostering green business awareness are critical pathways for this effect. Heterogeneity analysis further shows that the positive impact of ESG news sentiment on </w:t>
      </w:r>
      <w:r w:rsidRPr="00227F9D">
        <w:rPr>
          <w:rFonts w:ascii="Times New Roman" w:hAnsi="Times New Roman" w:cs="Times New Roman"/>
          <w:i/>
          <w:iCs/>
          <w:sz w:val="24"/>
          <w:szCs w:val="24"/>
        </w:rPr>
        <w:t>CEI</w:t>
      </w:r>
      <w:r w:rsidRPr="00227F9D">
        <w:rPr>
          <w:rFonts w:ascii="Times New Roman" w:hAnsi="Times New Roman" w:cs="Times New Roman"/>
          <w:sz w:val="24"/>
          <w:szCs w:val="24"/>
        </w:rPr>
        <w:t xml:space="preserve"> is particularly pronounced in regions with well-developed green finance, stringent ESG governance, and for high-energy-consuming firms. Additionally, the study finds that the incentive effect of ESG news, particularly in the Environmental (</w:t>
      </w:r>
      <w:r w:rsidRPr="00227F9D">
        <w:rPr>
          <w:rFonts w:ascii="Times New Roman" w:hAnsi="Times New Roman" w:cs="Times New Roman"/>
          <w:i/>
          <w:iCs/>
          <w:sz w:val="24"/>
          <w:szCs w:val="24"/>
        </w:rPr>
        <w:t>E</w:t>
      </w:r>
      <w:r w:rsidRPr="00227F9D">
        <w:rPr>
          <w:rFonts w:ascii="Times New Roman" w:hAnsi="Times New Roman" w:cs="Times New Roman"/>
          <w:sz w:val="24"/>
          <w:szCs w:val="24"/>
        </w:rPr>
        <w:t>) and Social (</w:t>
      </w:r>
      <w:r w:rsidRPr="00227F9D">
        <w:rPr>
          <w:rFonts w:ascii="Times New Roman" w:hAnsi="Times New Roman" w:cs="Times New Roman"/>
          <w:i/>
          <w:iCs/>
          <w:sz w:val="24"/>
          <w:szCs w:val="24"/>
        </w:rPr>
        <w:t>S</w:t>
      </w:r>
      <w:r w:rsidRPr="00227F9D">
        <w:rPr>
          <w:rFonts w:ascii="Times New Roman" w:hAnsi="Times New Roman" w:cs="Times New Roman"/>
          <w:sz w:val="24"/>
          <w:szCs w:val="24"/>
        </w:rPr>
        <w:t>) dimensions, strengthens as media attention increases. These findings offer fresh insights into the role of external media governance in fostering corporate sustainable and low-carbon development.</w:t>
      </w:r>
    </w:p>
    <w:p w14:paraId="70AF0B03" w14:textId="77777777" w:rsidR="003317B0" w:rsidRPr="00227F9D" w:rsidRDefault="003317B0">
      <w:pPr>
        <w:rPr>
          <w:rFonts w:ascii="Times New Roman" w:hAnsi="Times New Roman" w:cs="Times New Roman"/>
          <w:sz w:val="24"/>
          <w:szCs w:val="24"/>
        </w:rPr>
      </w:pPr>
    </w:p>
    <w:p w14:paraId="717DF345" w14:textId="3BD6188C"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 xml:space="preserve">Compared to existing studies, the potential contributions of this research are as follows. First, this study innovatively integrates machine learning and text analysis methods to construct ESG news sentiment indicators and </w:t>
      </w:r>
      <w:r w:rsidRPr="00227F9D">
        <w:rPr>
          <w:rFonts w:ascii="Times New Roman" w:hAnsi="Times New Roman" w:cs="Times New Roman"/>
          <w:i/>
          <w:iCs/>
          <w:sz w:val="24"/>
          <w:szCs w:val="24"/>
        </w:rPr>
        <w:t>CEI</w:t>
      </w:r>
      <w:r w:rsidRPr="00227F9D">
        <w:rPr>
          <w:rFonts w:ascii="Times New Roman" w:hAnsi="Times New Roman" w:cs="Times New Roman"/>
          <w:sz w:val="24"/>
          <w:szCs w:val="24"/>
        </w:rPr>
        <w:t xml:space="preserve"> indicators based on over two million ESG news articles and patent data from listed companies. Unlike prior research, which primarily focuses on the governance role of media coverage quantity (Fischer et al., 2017; Serafeim and Yoon, 2023; He et al., 2024), this study, inspired by Li et al. (2024), extends the analysis from quantity to sentiment. It delves into the content and tone characteristics of ESG news in Chinese financial media. By shifting the focus to sentiment, this research refines the understanding of how different dimensions of media attention influence corporate green innovation behaviors. It offers a more comprehensive analytical framework and methodological approach for future studies, addressing the gap in research on the role of media sentiment in corporate sustainability mechanisms.</w:t>
      </w:r>
    </w:p>
    <w:p w14:paraId="77F3FFEC" w14:textId="77777777" w:rsidR="003317B0" w:rsidRPr="00227F9D" w:rsidRDefault="003317B0" w:rsidP="003317B0">
      <w:pPr>
        <w:rPr>
          <w:rFonts w:ascii="Times New Roman" w:hAnsi="Times New Roman" w:cs="Times New Roman"/>
          <w:sz w:val="24"/>
          <w:szCs w:val="24"/>
        </w:rPr>
      </w:pPr>
    </w:p>
    <w:p w14:paraId="07EAA1CB" w14:textId="79EC43DA"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 xml:space="preserve">Second, adopting an external governance perspective, this study reveals at the micro level how ESG news sentiment dynamically influences corporate energy transition through reputation pressure and stakeholder responses. Most importantly, it uncovers potential extensions of reputation theory in the domain of corporate sustainability. </w:t>
      </w:r>
      <w:r w:rsidRPr="00227F9D">
        <w:rPr>
          <w:rFonts w:ascii="Times New Roman" w:hAnsi="Times New Roman" w:cs="Times New Roman"/>
          <w:sz w:val="24"/>
          <w:szCs w:val="24"/>
        </w:rPr>
        <w:lastRenderedPageBreak/>
        <w:t>While traditional reputation theory emphasizes that firms gain public recognition by fulfilling social responsibilities (Chun, 2005; Lin-Hi and Blumberg, 2018; Miller, 2020), this study further demonstrates how media ESG sentiment amplifies or mitigates corporate ESG reputation risks. Additionally, it systematically explores how media ESG sentiment drives firms to adjust energy transition strategies under varying stakeholder pressures through reputation effects. This provides new perspectives and empirical support for applying reputation theory in media governance research.</w:t>
      </w:r>
    </w:p>
    <w:p w14:paraId="3B3BD663" w14:textId="77777777" w:rsidR="003317B0" w:rsidRPr="00227F9D" w:rsidRDefault="003317B0" w:rsidP="003317B0">
      <w:pPr>
        <w:rPr>
          <w:rFonts w:ascii="Times New Roman" w:hAnsi="Times New Roman" w:cs="Times New Roman"/>
          <w:sz w:val="24"/>
          <w:szCs w:val="24"/>
        </w:rPr>
      </w:pPr>
    </w:p>
    <w:p w14:paraId="4F4DA8CF" w14:textId="326C6486"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Third, most existing literature focuses on the impact of environmental regulation (Tan et al., 2025), financial development (Flammer, 2021), and corporate internal governance structures (Krueger et al., 2020) on green development. This study, using financing constraints (especially green financing) and green business awareness as entry points, clarifies the intrinsic logic by which media ESG sentiment motivates firms to drive energy innovation through external reputation pressure and social attention. Furthermore, it uncovers the heterogeneity and differentiated scenarios of media ESG sentiment</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role in promoting corporate sustainability. This emphasizes the importance of fostering a responsible media environment and balancing external oversight with corporate autonomy.</w:t>
      </w:r>
    </w:p>
    <w:p w14:paraId="65649517" w14:textId="77777777" w:rsidR="003317B0" w:rsidRPr="00227F9D" w:rsidRDefault="003317B0" w:rsidP="003317B0">
      <w:pPr>
        <w:rPr>
          <w:rFonts w:ascii="Times New Roman" w:hAnsi="Times New Roman" w:cs="Times New Roman"/>
          <w:sz w:val="24"/>
          <w:szCs w:val="24"/>
        </w:rPr>
      </w:pPr>
    </w:p>
    <w:p w14:paraId="7151F2A6" w14:textId="77777777"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The remainder of this paper is organized as follows: Section 2 presents the theoretical foundation and research hypotheses. Section 3 details the model specification, variable measurement, and research design. Section 4 provides the empirical analysis, while Section 5 delves into the mechanism analysis and heterogeneity analysis. Section 6 concludes with policy recommendations and directions for future research.</w:t>
      </w:r>
    </w:p>
    <w:p w14:paraId="79F3473D" w14:textId="77777777" w:rsidR="003317B0" w:rsidRPr="00227F9D" w:rsidRDefault="003317B0">
      <w:pPr>
        <w:rPr>
          <w:rFonts w:ascii="Times New Roman" w:hAnsi="Times New Roman" w:cs="Times New Roman"/>
        </w:rPr>
      </w:pPr>
    </w:p>
    <w:p w14:paraId="079F361A" w14:textId="37AC77C6" w:rsidR="003317B0" w:rsidRPr="00227F9D" w:rsidRDefault="003317B0" w:rsidP="003317B0">
      <w:pPr>
        <w:rPr>
          <w:rFonts w:ascii="Times New Roman" w:hAnsi="Times New Roman" w:cs="Times New Roman"/>
          <w:sz w:val="28"/>
          <w:szCs w:val="28"/>
        </w:rPr>
      </w:pPr>
      <w:r w:rsidRPr="00227F9D">
        <w:rPr>
          <w:rFonts w:ascii="Times New Roman" w:hAnsi="Times New Roman" w:cs="Times New Roman"/>
          <w:b/>
          <w:bCs/>
          <w:sz w:val="28"/>
          <w:szCs w:val="28"/>
        </w:rPr>
        <w:t>2. LITERATURE REVIEW</w:t>
      </w:r>
    </w:p>
    <w:p w14:paraId="16FB02F3" w14:textId="0F42901C" w:rsidR="003317B0" w:rsidRPr="00227F9D" w:rsidRDefault="003317B0" w:rsidP="003317B0">
      <w:pPr>
        <w:rPr>
          <w:rFonts w:ascii="Times New Roman" w:hAnsi="Times New Roman" w:cs="Times New Roman"/>
          <w:b/>
          <w:bCs/>
          <w:sz w:val="24"/>
          <w:szCs w:val="24"/>
        </w:rPr>
      </w:pPr>
      <w:r w:rsidRPr="00227F9D">
        <w:rPr>
          <w:rFonts w:ascii="Times New Roman" w:hAnsi="Times New Roman" w:cs="Times New Roman"/>
          <w:b/>
          <w:bCs/>
          <w:sz w:val="24"/>
          <w:szCs w:val="24"/>
        </w:rPr>
        <w:t>2.1 The Role of Media in Corporate Sustainability</w:t>
      </w:r>
    </w:p>
    <w:p w14:paraId="61D1E4C8" w14:textId="21D76AF1"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First, the supervisory and guiding role of media. Media plays a critical external supervisory role in corporate governance by disseminating information and exerting public opinion pressure. Dyck et al. (2008) highlight that media exposure helps uncover corporate environmental violations, prompting firms to improve their environmental practices. Gao et al. (202</w:t>
      </w:r>
      <w:r w:rsidR="0055046B" w:rsidRPr="00227F9D">
        <w:rPr>
          <w:rFonts w:ascii="Times New Roman" w:hAnsi="Times New Roman" w:cs="Times New Roman" w:hint="eastAsia"/>
          <w:sz w:val="24"/>
          <w:szCs w:val="24"/>
        </w:rPr>
        <w:t>2</w:t>
      </w:r>
      <w:r w:rsidRPr="00227F9D">
        <w:rPr>
          <w:rFonts w:ascii="Times New Roman" w:hAnsi="Times New Roman" w:cs="Times New Roman"/>
          <w:sz w:val="24"/>
          <w:szCs w:val="24"/>
        </w:rPr>
        <w:t>) further identify a spotlight effect of media ESG attention, where positive media ESG coverage enhances supply chain reputation, reduces financial risk, and improves corporate transparency, significantly lowering corporate debt costs. The guiding role of media is also evident in promoting transparency and public awareness, particularly regarding disclosures of environmental and social responsibility information (Wong and Zhang, 2022). This information dissemination establishes a “baseline of public expectations” for corporate behavior (Heese and Pacelli, 2024), thereby influencing firms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sustainable development practices (He et al., 2024; Long et al., 2024). Second, the reputation incentive effect. Media plays a pivotal role in shaping and disseminating corporate reputation (Capelle-</w:t>
      </w:r>
      <w:proofErr w:type="spellStart"/>
      <w:r w:rsidRPr="00227F9D">
        <w:rPr>
          <w:rFonts w:ascii="Times New Roman" w:hAnsi="Times New Roman" w:cs="Times New Roman"/>
          <w:sz w:val="24"/>
          <w:szCs w:val="24"/>
        </w:rPr>
        <w:t>Blancard</w:t>
      </w:r>
      <w:proofErr w:type="spellEnd"/>
      <w:r w:rsidRPr="00227F9D">
        <w:rPr>
          <w:rFonts w:ascii="Times New Roman" w:hAnsi="Times New Roman" w:cs="Times New Roman"/>
          <w:sz w:val="24"/>
          <w:szCs w:val="24"/>
        </w:rPr>
        <w:t xml:space="preserve"> and Petit, 2019; Chasiotis et al., 2024). Studies show that both the volume and sentiment characteristics of media attention directly influence how stakeholders perceive </w:t>
      </w:r>
      <w:r w:rsidRPr="00227F9D">
        <w:rPr>
          <w:rFonts w:ascii="Times New Roman" w:hAnsi="Times New Roman" w:cs="Times New Roman"/>
          <w:sz w:val="24"/>
          <w:szCs w:val="24"/>
        </w:rPr>
        <w:lastRenderedPageBreak/>
        <w:t>corporate image (Asante-Appiah and Lambert, 2023). Yu et al. (202</w:t>
      </w:r>
      <w:r w:rsidR="00833026" w:rsidRPr="00227F9D">
        <w:rPr>
          <w:rFonts w:ascii="Times New Roman" w:hAnsi="Times New Roman" w:cs="Times New Roman" w:hint="eastAsia"/>
          <w:sz w:val="24"/>
          <w:szCs w:val="24"/>
        </w:rPr>
        <w:t>3</w:t>
      </w:r>
      <w:r w:rsidRPr="00227F9D">
        <w:rPr>
          <w:rFonts w:ascii="Times New Roman" w:hAnsi="Times New Roman" w:cs="Times New Roman"/>
          <w:sz w:val="24"/>
          <w:szCs w:val="24"/>
        </w:rPr>
        <w:t>) find that positive ESG sentiment in media coverage enhances corporate reputation, enabling firms to secure lower financing costs and attract more green capital in financial markets. Flammer (2021) adds that reputation incentives drive firms to increase investments in sustainability and adopt innovative environmental management strategies to meet stakeholder expectations. Third, the external governance function. Media, as part of external governance, exerts pressure on corporate behavior through public opinion and societal expectations (</w:t>
      </w:r>
      <w:proofErr w:type="spellStart"/>
      <w:r w:rsidRPr="00227F9D">
        <w:rPr>
          <w:rFonts w:ascii="Times New Roman" w:hAnsi="Times New Roman" w:cs="Times New Roman"/>
          <w:sz w:val="24"/>
          <w:szCs w:val="24"/>
        </w:rPr>
        <w:t>ElAlfy</w:t>
      </w:r>
      <w:proofErr w:type="spellEnd"/>
      <w:r w:rsidRPr="00227F9D">
        <w:rPr>
          <w:rFonts w:ascii="Times New Roman" w:hAnsi="Times New Roman" w:cs="Times New Roman"/>
          <w:sz w:val="24"/>
          <w:szCs w:val="24"/>
        </w:rPr>
        <w:t xml:space="preserve"> et al., 2020; He et al., 2024). Di Giuli and Laux (2022) note that media can act as an “external governor,” exposing corporate misconduct to push for improvements in governance structures. Additionally, media sentiment influences corporate sustainability strategies indirectly by triggering stakeholder responses, such as consumer purchasing decisions and investor equity choices (Serafeim and Yoon, 2023; Chu et al., 2024; Li et al., 2024).</w:t>
      </w:r>
    </w:p>
    <w:p w14:paraId="6558C7C1" w14:textId="77777777" w:rsidR="003317B0" w:rsidRPr="00227F9D" w:rsidRDefault="003317B0">
      <w:pPr>
        <w:rPr>
          <w:rFonts w:ascii="Times New Roman" w:hAnsi="Times New Roman" w:cs="Times New Roman"/>
          <w:sz w:val="24"/>
          <w:szCs w:val="24"/>
        </w:rPr>
      </w:pPr>
    </w:p>
    <w:p w14:paraId="0F486FCB" w14:textId="77777777" w:rsidR="003317B0" w:rsidRPr="00227F9D" w:rsidRDefault="003317B0" w:rsidP="003317B0">
      <w:pPr>
        <w:rPr>
          <w:rFonts w:ascii="Times New Roman" w:hAnsi="Times New Roman" w:cs="Times New Roman"/>
          <w:b/>
          <w:bCs/>
          <w:sz w:val="24"/>
          <w:szCs w:val="24"/>
        </w:rPr>
      </w:pPr>
      <w:r w:rsidRPr="00227F9D">
        <w:rPr>
          <w:rFonts w:ascii="Times New Roman" w:hAnsi="Times New Roman" w:cs="Times New Roman"/>
          <w:b/>
          <w:bCs/>
          <w:sz w:val="24"/>
          <w:szCs w:val="24"/>
        </w:rPr>
        <w:t>2.2 Factors Influencing Corporate Energy Innovation</w:t>
      </w:r>
    </w:p>
    <w:p w14:paraId="3CF3729B" w14:textId="295AECA2" w:rsidR="003317B0" w:rsidRPr="00227F9D" w:rsidRDefault="004407D4" w:rsidP="003317B0">
      <w:pPr>
        <w:rPr>
          <w:rFonts w:ascii="Times New Roman" w:hAnsi="Times New Roman" w:cs="Times New Roman"/>
          <w:sz w:val="24"/>
          <w:szCs w:val="24"/>
        </w:rPr>
      </w:pPr>
      <w:r w:rsidRPr="00227F9D">
        <w:rPr>
          <w:rFonts w:ascii="Times New Roman" w:hAnsi="Times New Roman" w:cs="Times New Roman" w:hint="eastAsia"/>
          <w:sz w:val="24"/>
          <w:szCs w:val="24"/>
        </w:rPr>
        <w:t xml:space="preserve">Corporate energy innovation refers to the process by which companies improve energy efficiency, apply renewable energy, reduce emissions, and promote resource recycling by introducing new technologies, improving processes, optimizing workflows, or developing new products in energy production, utilization, and management (Zhang et al., 2022; Hasan et al., 2024). Energy innovation not only involves improving existing energy technologies but also the development of new energy solutions to address the challenges of sustainable development (Chu et al., 2024). The factors influencing energy innovation mainly include three dimensions: external environment, internal characteristics, and policy incentives. </w:t>
      </w:r>
      <w:r w:rsidR="003317B0" w:rsidRPr="00227F9D">
        <w:rPr>
          <w:rFonts w:ascii="Times New Roman" w:hAnsi="Times New Roman" w:cs="Times New Roman"/>
          <w:sz w:val="24"/>
          <w:szCs w:val="24"/>
        </w:rPr>
        <w:t>First, external stakeholder pressure and incentives play a crucial role in driving corporate energy innovation. Stakeholder theory posits that firms, motivated by a sense of social responsibility, actively respond to green demands from governments, consumers, and investors (Tao et al., 2023). Media supervision, as part of external drivers, enhances firms</w:t>
      </w:r>
      <w:r w:rsidR="00EF77E2" w:rsidRPr="00227F9D">
        <w:rPr>
          <w:rFonts w:ascii="Times New Roman" w:hAnsi="Times New Roman" w:cs="Times New Roman"/>
          <w:sz w:val="24"/>
          <w:szCs w:val="24"/>
        </w:rPr>
        <w:t>’</w:t>
      </w:r>
      <w:r w:rsidR="003317B0" w:rsidRPr="00227F9D">
        <w:rPr>
          <w:rFonts w:ascii="Times New Roman" w:hAnsi="Times New Roman" w:cs="Times New Roman"/>
          <w:sz w:val="24"/>
          <w:szCs w:val="24"/>
        </w:rPr>
        <w:t xml:space="preserve"> investment in energy innovation by exposing environmental violations (Li et al., 2023</w:t>
      </w:r>
      <w:r w:rsidR="0055046B" w:rsidRPr="00227F9D">
        <w:rPr>
          <w:rFonts w:ascii="Times New Roman" w:hAnsi="Times New Roman" w:cs="Times New Roman" w:hint="eastAsia"/>
          <w:sz w:val="24"/>
          <w:szCs w:val="24"/>
        </w:rPr>
        <w:t>b</w:t>
      </w:r>
      <w:r w:rsidR="003317B0" w:rsidRPr="00227F9D">
        <w:rPr>
          <w:rFonts w:ascii="Times New Roman" w:hAnsi="Times New Roman" w:cs="Times New Roman"/>
          <w:sz w:val="24"/>
          <w:szCs w:val="24"/>
        </w:rPr>
        <w:t>; Chu et al., 2024). Additionally, investors</w:t>
      </w:r>
      <w:r w:rsidR="00EF77E2" w:rsidRPr="00227F9D">
        <w:rPr>
          <w:rFonts w:ascii="Times New Roman" w:hAnsi="Times New Roman" w:cs="Times New Roman"/>
          <w:sz w:val="24"/>
          <w:szCs w:val="24"/>
        </w:rPr>
        <w:t>’</w:t>
      </w:r>
      <w:r w:rsidR="003317B0" w:rsidRPr="00227F9D">
        <w:rPr>
          <w:rFonts w:ascii="Times New Roman" w:hAnsi="Times New Roman" w:cs="Times New Roman"/>
          <w:sz w:val="24"/>
          <w:szCs w:val="24"/>
        </w:rPr>
        <w:t xml:space="preserve"> green preferences and the growing attention of capital markets to corporate sustainability further encourage firms to engage in research and development of new energy and energy-saving technologies (Flammer, 2021; He et al., 2022; Xu et al., 2023). Second, internal resources and cultural characteristics within firms significantly influence energy innovation. Wen et al. (2022) find that firms with advanced technological capabilities and robust R&amp;D teams are more likely to achieve breakthroughs in energy innovation. Moreover, corporate culture acts as a key driver. Hasan et al. (2024) and Du et al. (2025) reveal that cultural values emphasizing sustainability and innovation enhance employees</w:t>
      </w:r>
      <w:r w:rsidR="00EF77E2" w:rsidRPr="00227F9D">
        <w:rPr>
          <w:rFonts w:ascii="Times New Roman" w:hAnsi="Times New Roman" w:cs="Times New Roman"/>
          <w:sz w:val="24"/>
          <w:szCs w:val="24"/>
        </w:rPr>
        <w:t>’</w:t>
      </w:r>
      <w:r w:rsidR="003317B0" w:rsidRPr="00227F9D">
        <w:rPr>
          <w:rFonts w:ascii="Times New Roman" w:hAnsi="Times New Roman" w:cs="Times New Roman"/>
          <w:sz w:val="24"/>
          <w:szCs w:val="24"/>
        </w:rPr>
        <w:t xml:space="preserve"> environmental awareness, thereby promoting advancements in energy technologies. Third, policy incentives and market competition form the foundational external environment for energy innovation. The Porter Hypothesis argues that stringent environmental regulations do not hinder corporate competitiveness; instead, they drive innovation, improving long-term corporate performance (Porter and Linde, 1995). Specifically, policies such as subsidies (Hosan et al., 2023), tax incentives (Zhou et al., 2022), and carbon trading markets </w:t>
      </w:r>
      <w:r w:rsidR="003317B0" w:rsidRPr="00227F9D">
        <w:rPr>
          <w:rFonts w:ascii="Times New Roman" w:hAnsi="Times New Roman" w:cs="Times New Roman"/>
          <w:sz w:val="24"/>
          <w:szCs w:val="24"/>
        </w:rPr>
        <w:lastRenderedPageBreak/>
        <w:t>(Zhang et al., 2022) serve as important motivators for energy innovation. Furthermore, Nesta et al. (2014) emphasize that highly competitive market environments compel firms to pursue technological innovation to achieve differentiation, thereby advancing energy efficiency and emissions reduction.</w:t>
      </w:r>
    </w:p>
    <w:p w14:paraId="6280668B" w14:textId="6C79D92B" w:rsidR="003317B0" w:rsidRPr="00227F9D" w:rsidRDefault="003317B0" w:rsidP="003317B0">
      <w:pPr>
        <w:rPr>
          <w:rFonts w:ascii="Times New Roman" w:hAnsi="Times New Roman" w:cs="Times New Roman"/>
          <w:sz w:val="24"/>
          <w:szCs w:val="24"/>
        </w:rPr>
      </w:pPr>
    </w:p>
    <w:p w14:paraId="72EAD236" w14:textId="77777777" w:rsidR="003317B0" w:rsidRPr="00227F9D" w:rsidRDefault="003317B0" w:rsidP="003317B0">
      <w:pPr>
        <w:rPr>
          <w:rFonts w:ascii="Times New Roman" w:hAnsi="Times New Roman" w:cs="Times New Roman"/>
          <w:b/>
          <w:bCs/>
          <w:sz w:val="24"/>
          <w:szCs w:val="24"/>
        </w:rPr>
      </w:pPr>
      <w:r w:rsidRPr="00227F9D">
        <w:rPr>
          <w:rFonts w:ascii="Times New Roman" w:hAnsi="Times New Roman" w:cs="Times New Roman"/>
          <w:b/>
          <w:bCs/>
          <w:sz w:val="24"/>
          <w:szCs w:val="24"/>
        </w:rPr>
        <w:t>2.3 Research Gap</w:t>
      </w:r>
    </w:p>
    <w:p w14:paraId="16AC69C9" w14:textId="169C3286" w:rsidR="003317B0" w:rsidRPr="00227F9D" w:rsidRDefault="003317B0" w:rsidP="003317B0">
      <w:pPr>
        <w:rPr>
          <w:rFonts w:ascii="Times New Roman" w:hAnsi="Times New Roman" w:cs="Times New Roman"/>
          <w:sz w:val="24"/>
          <w:szCs w:val="24"/>
        </w:rPr>
      </w:pPr>
      <w:r w:rsidRPr="00227F9D">
        <w:rPr>
          <w:rFonts w:ascii="Times New Roman" w:hAnsi="Times New Roman" w:cs="Times New Roman"/>
          <w:sz w:val="24"/>
          <w:szCs w:val="24"/>
        </w:rPr>
        <w:t>Although the role of media in corporate sustainability and energy innovation has garnered attention, existing research exhibits three significant limitations. First, the mechanism of media ESG sentiment remains underexplored. Most studies generally discuss the impact of media attention volume on corporate behavior (Dyck et al., 2008; Li et al., 2023</w:t>
      </w:r>
      <w:r w:rsidR="0055046B" w:rsidRPr="00227F9D">
        <w:rPr>
          <w:rFonts w:ascii="Times New Roman" w:hAnsi="Times New Roman" w:cs="Times New Roman" w:hint="eastAsia"/>
          <w:sz w:val="24"/>
          <w:szCs w:val="24"/>
        </w:rPr>
        <w:t>b</w:t>
      </w:r>
      <w:r w:rsidRPr="00227F9D">
        <w:rPr>
          <w:rFonts w:ascii="Times New Roman" w:hAnsi="Times New Roman" w:cs="Times New Roman"/>
          <w:sz w:val="24"/>
          <w:szCs w:val="24"/>
        </w:rPr>
        <w:t>; He et al., 2024), overlooking the importance of media ESG sentiment as a key dimension of ESG reputation incentives. How media ESG sentiment influences corporate reputation and drives strategic decisions, particularly in green business practices and energy innovation, remains an under-researched area. Second, the study of factors driving corporate energy innovation lacks comprehensiveness, and measurement methods remain unsystematic. Most studies equate energy innovation with the number of green patents (Xu et al., 2023), neglecting broader forms of practices, such as green management systems and energy-saving initiatives. Third, most research on corporate green transition focuses on external perspectives, such as policy incentives and market competition (Nesta et al., 2014; Hosan et al., 2023), while the synergistic mechanisms between internal capabilities and external drivers (e.g., media supervision) remain underexplored. This study addresses these gaps by focusing on the reputational effects of media ESG sentiment and examining its specific impact on corporate energy innovation in China. The findings aim to provide valuable insights for accelerating energy transitions in emerging economies.</w:t>
      </w:r>
    </w:p>
    <w:p w14:paraId="0AA8B1A0" w14:textId="77777777" w:rsidR="003317B0" w:rsidRPr="00227F9D" w:rsidRDefault="003317B0">
      <w:pPr>
        <w:rPr>
          <w:rFonts w:ascii="Times New Roman" w:hAnsi="Times New Roman" w:cs="Times New Roman"/>
          <w:sz w:val="24"/>
          <w:szCs w:val="24"/>
        </w:rPr>
      </w:pPr>
    </w:p>
    <w:p w14:paraId="5F20002C" w14:textId="3800005F" w:rsidR="002647CB" w:rsidRPr="00227F9D" w:rsidRDefault="002647CB" w:rsidP="002647CB">
      <w:pPr>
        <w:rPr>
          <w:rFonts w:ascii="Times New Roman" w:hAnsi="Times New Roman" w:cs="Times New Roman"/>
          <w:b/>
          <w:bCs/>
          <w:sz w:val="28"/>
          <w:szCs w:val="28"/>
        </w:rPr>
      </w:pPr>
      <w:r w:rsidRPr="00227F9D">
        <w:rPr>
          <w:rFonts w:ascii="Times New Roman" w:hAnsi="Times New Roman" w:cs="Times New Roman"/>
          <w:b/>
          <w:bCs/>
          <w:sz w:val="28"/>
          <w:szCs w:val="28"/>
        </w:rPr>
        <w:t>3. THEORETICAL ANALYSIS AND RESEARCH HYPOTHESES</w:t>
      </w:r>
    </w:p>
    <w:p w14:paraId="69B385E7" w14:textId="77777777" w:rsidR="002647CB" w:rsidRPr="00227F9D" w:rsidRDefault="002647CB" w:rsidP="002647CB">
      <w:pPr>
        <w:rPr>
          <w:rFonts w:ascii="Times New Roman" w:hAnsi="Times New Roman" w:cs="Times New Roman"/>
          <w:b/>
          <w:bCs/>
          <w:sz w:val="24"/>
          <w:szCs w:val="24"/>
        </w:rPr>
      </w:pPr>
      <w:r w:rsidRPr="00227F9D">
        <w:rPr>
          <w:rFonts w:ascii="Times New Roman" w:hAnsi="Times New Roman" w:cs="Times New Roman"/>
          <w:b/>
          <w:bCs/>
          <w:sz w:val="24"/>
          <w:szCs w:val="24"/>
        </w:rPr>
        <w:t>3.1 Theoretical Foundation</w:t>
      </w:r>
    </w:p>
    <w:p w14:paraId="2724DAAB" w14:textId="158E4C0F"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According to reputation theory, corporate reputation is one of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most valuable intangible assets, representing a comprehensive external evaluation of its capabilities, reliability, and sense of social responsibility (</w:t>
      </w:r>
      <w:r w:rsidR="00A02EA3" w:rsidRPr="00227F9D">
        <w:rPr>
          <w:rFonts w:ascii="Times New Roman" w:hAnsi="Times New Roman" w:cs="Times New Roman" w:hint="eastAsia"/>
          <w:sz w:val="24"/>
          <w:szCs w:val="24"/>
        </w:rPr>
        <w:t>Carroll, 1999;</w:t>
      </w:r>
      <w:r w:rsidR="00A02EA3" w:rsidRPr="00227F9D">
        <w:rPr>
          <w:rFonts w:ascii="Times New Roman" w:hAnsi="Times New Roman" w:cs="Times New Roman"/>
          <w:sz w:val="24"/>
          <w:szCs w:val="24"/>
        </w:rPr>
        <w:t xml:space="preserve"> </w:t>
      </w:r>
      <w:r w:rsidRPr="00227F9D">
        <w:rPr>
          <w:rFonts w:ascii="Times New Roman" w:hAnsi="Times New Roman" w:cs="Times New Roman"/>
          <w:sz w:val="24"/>
          <w:szCs w:val="24"/>
        </w:rPr>
        <w:t xml:space="preserve">von </w:t>
      </w:r>
      <w:proofErr w:type="spellStart"/>
      <w:r w:rsidRPr="00227F9D">
        <w:rPr>
          <w:rFonts w:ascii="Times New Roman" w:hAnsi="Times New Roman" w:cs="Times New Roman"/>
          <w:sz w:val="24"/>
          <w:szCs w:val="24"/>
        </w:rPr>
        <w:t>Berlepsch</w:t>
      </w:r>
      <w:proofErr w:type="spellEnd"/>
      <w:r w:rsidRPr="00227F9D">
        <w:rPr>
          <w:rFonts w:ascii="Times New Roman" w:hAnsi="Times New Roman" w:cs="Times New Roman"/>
          <w:sz w:val="24"/>
          <w:szCs w:val="24"/>
        </w:rPr>
        <w:t xml:space="preserve"> et al., 2024; Wang et al., 2024). Reputation not only serves as a vital source of resources and competitive advantage but also plays a key role in fostering trust and long-term cooperative relationships between firms and stakeholders (</w:t>
      </w:r>
      <w:r w:rsidR="00A02EA3" w:rsidRPr="00227F9D">
        <w:rPr>
          <w:rFonts w:ascii="Times New Roman" w:hAnsi="Times New Roman" w:cs="Times New Roman" w:hint="eastAsia"/>
          <w:sz w:val="24"/>
          <w:szCs w:val="24"/>
        </w:rPr>
        <w:t>Wernerfelt, 1984;</w:t>
      </w:r>
      <w:r w:rsidR="00A02EA3" w:rsidRPr="00227F9D">
        <w:rPr>
          <w:rFonts w:ascii="Times New Roman" w:hAnsi="Times New Roman" w:cs="Times New Roman"/>
          <w:sz w:val="24"/>
          <w:szCs w:val="24"/>
        </w:rPr>
        <w:t xml:space="preserve"> </w:t>
      </w:r>
      <w:r w:rsidRPr="00227F9D">
        <w:rPr>
          <w:rFonts w:ascii="Times New Roman" w:hAnsi="Times New Roman" w:cs="Times New Roman"/>
          <w:sz w:val="24"/>
          <w:szCs w:val="24"/>
        </w:rPr>
        <w:t>Cui et al., 2018). The theory emphasizes that reputation formation relies on the dissemination and interpretation of information in the external environment, with the media acting as a critical information intermediary. Media sentiment, particularly in news, significantly influences corporate reputation (Capelle-</w:t>
      </w:r>
      <w:proofErr w:type="spellStart"/>
      <w:r w:rsidRPr="00227F9D">
        <w:rPr>
          <w:rFonts w:ascii="Times New Roman" w:hAnsi="Times New Roman" w:cs="Times New Roman"/>
          <w:sz w:val="24"/>
          <w:szCs w:val="24"/>
        </w:rPr>
        <w:t>Blancard</w:t>
      </w:r>
      <w:proofErr w:type="spellEnd"/>
      <w:r w:rsidRPr="00227F9D">
        <w:rPr>
          <w:rFonts w:ascii="Times New Roman" w:hAnsi="Times New Roman" w:cs="Times New Roman"/>
          <w:sz w:val="24"/>
          <w:szCs w:val="24"/>
        </w:rPr>
        <w:t xml:space="preserve"> and Petit, 2019; Chasiotis et al., 2024; Li et al., 2024).</w:t>
      </w:r>
    </w:p>
    <w:p w14:paraId="5E1300ED" w14:textId="77777777" w:rsidR="002647CB" w:rsidRPr="00227F9D" w:rsidRDefault="002647CB" w:rsidP="002647CB">
      <w:pPr>
        <w:rPr>
          <w:rFonts w:ascii="Times New Roman" w:hAnsi="Times New Roman" w:cs="Times New Roman"/>
          <w:sz w:val="24"/>
          <w:szCs w:val="24"/>
        </w:rPr>
      </w:pPr>
    </w:p>
    <w:p w14:paraId="40684310" w14:textId="73F4C1AE"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 xml:space="preserve">In this study, media ESG news sentiment and corporate energy innovation correspond to two core concepts in reputation theory: “external reputation signals” and “corporate reputation management strategies.” On the one hand, media ESG news sentiment </w:t>
      </w:r>
      <w:r w:rsidRPr="00227F9D">
        <w:rPr>
          <w:rFonts w:ascii="Times New Roman" w:hAnsi="Times New Roman" w:cs="Times New Roman"/>
          <w:sz w:val="24"/>
          <w:szCs w:val="24"/>
        </w:rPr>
        <w:lastRenderedPageBreak/>
        <w:t>conveys corporate reputation signals regarding ESG performance to stakeholders by disseminating information related to sustainable development (Asante-Appiah and Lambert, 2023). Positive sentiment enhances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favorable image in environmental governance and social responsibility, thereby strengthening stakeholder trust (Chasiotis et al., 2024). Conversely, negative sentiment intensifies external scrutiny, potentially triggering reputation crises and undermining stakeholder confidence (Capelle-</w:t>
      </w:r>
      <w:proofErr w:type="spellStart"/>
      <w:r w:rsidRPr="00227F9D">
        <w:rPr>
          <w:rFonts w:ascii="Times New Roman" w:hAnsi="Times New Roman" w:cs="Times New Roman"/>
          <w:sz w:val="24"/>
          <w:szCs w:val="24"/>
        </w:rPr>
        <w:t>Blancard</w:t>
      </w:r>
      <w:proofErr w:type="spellEnd"/>
      <w:r w:rsidRPr="00227F9D">
        <w:rPr>
          <w:rFonts w:ascii="Times New Roman" w:hAnsi="Times New Roman" w:cs="Times New Roman"/>
          <w:sz w:val="24"/>
          <w:szCs w:val="24"/>
        </w:rPr>
        <w:t xml:space="preserve"> and Petit, 2019; Serafeim and Yoon, 2023). On the other hand, corporate energy innovation, as a strategic response to media sentiment and external pressures, reflects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reputation management efforts. By actively promoting energy innovation, firms can mitigate reputation risks and establish themselves as “green leaders,” thereby continuously enhancing their reputation (Chen et al., 2023).</w:t>
      </w:r>
    </w:p>
    <w:p w14:paraId="17124D4F" w14:textId="77777777" w:rsidR="002647CB" w:rsidRPr="00227F9D" w:rsidRDefault="002647CB" w:rsidP="002647CB">
      <w:pPr>
        <w:rPr>
          <w:rFonts w:ascii="Times New Roman" w:hAnsi="Times New Roman" w:cs="Times New Roman"/>
          <w:sz w:val="24"/>
          <w:szCs w:val="24"/>
        </w:rPr>
      </w:pPr>
    </w:p>
    <w:p w14:paraId="7AE197D9" w14:textId="2EC21F96"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This study, grounded in the framework of reputation theory, analyzes the impact of media ESG sentiment on corporate energy innovation. First, it explains how media ESG news sentiment provides reputation signals that influence corporate decision-making. Second, it reveals how firms manage reputation through energy innovation as a strategic behavior, fulfilling stakeholder expectations and achieving green transition and sustainable development under the dual drivers of external oversight and internal motivation. This theoretical framework offers a robust foundation for understanding the mechanisms through which media influences corporate energy innovation.</w:t>
      </w:r>
    </w:p>
    <w:p w14:paraId="4CB02AEE" w14:textId="77777777" w:rsidR="003317B0" w:rsidRPr="00227F9D" w:rsidRDefault="003317B0">
      <w:pPr>
        <w:rPr>
          <w:rFonts w:ascii="Times New Roman" w:hAnsi="Times New Roman" w:cs="Times New Roman"/>
          <w:sz w:val="24"/>
          <w:szCs w:val="24"/>
        </w:rPr>
      </w:pPr>
    </w:p>
    <w:p w14:paraId="29583448" w14:textId="7906CA4A" w:rsidR="002647CB" w:rsidRPr="00227F9D" w:rsidRDefault="002647CB" w:rsidP="002647CB">
      <w:pPr>
        <w:rPr>
          <w:rFonts w:ascii="Times New Roman" w:hAnsi="Times New Roman" w:cs="Times New Roman"/>
          <w:b/>
          <w:bCs/>
          <w:sz w:val="24"/>
          <w:szCs w:val="24"/>
        </w:rPr>
      </w:pPr>
      <w:r w:rsidRPr="00227F9D">
        <w:rPr>
          <w:rFonts w:ascii="Times New Roman" w:hAnsi="Times New Roman" w:cs="Times New Roman"/>
          <w:b/>
          <w:bCs/>
          <w:sz w:val="24"/>
          <w:szCs w:val="24"/>
        </w:rPr>
        <w:t>3.2 ESG Media Sentiment and Corporate Energy Innovation</w:t>
      </w:r>
    </w:p>
    <w:p w14:paraId="37DA88F8" w14:textId="7B8A1F7F"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On the one hand, the external ESG reputation formed by media ESG sentiment strengthens the motivation for corporate energy innovation. Positive media sentiment enhances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public image, positioning it as a leader in sustainable development. This attracts greater resource support and boosts market competitiveness (Asante-Appiah and Lambert, 2023; Yu et al., 202</w:t>
      </w:r>
      <w:r w:rsidR="00833026" w:rsidRPr="00227F9D">
        <w:rPr>
          <w:rFonts w:ascii="Times New Roman" w:hAnsi="Times New Roman" w:cs="Times New Roman" w:hint="eastAsia"/>
          <w:sz w:val="24"/>
          <w:szCs w:val="24"/>
        </w:rPr>
        <w:t>3</w:t>
      </w:r>
      <w:r w:rsidRPr="00227F9D">
        <w:rPr>
          <w:rFonts w:ascii="Times New Roman" w:hAnsi="Times New Roman" w:cs="Times New Roman"/>
          <w:sz w:val="24"/>
          <w:szCs w:val="24"/>
        </w:rPr>
        <w:t>). For instance, favorable media coverage may draw the attention of environmental funds, green investors, and policymakers (Flammer, 2021), which facilitates access to external resources and reduces financing costs for energy innovation. In contrast, negative media sentiment poses reputational risks and erodes public trust, compelling firms to repair their reputation through innovative actions such as technological breakthroughs and energy transition (Serafeim and Yoon, 202</w:t>
      </w:r>
      <w:r w:rsidR="0055046B" w:rsidRPr="00227F9D">
        <w:rPr>
          <w:rFonts w:ascii="Times New Roman" w:hAnsi="Times New Roman" w:cs="Times New Roman" w:hint="eastAsia"/>
          <w:sz w:val="24"/>
          <w:szCs w:val="24"/>
        </w:rPr>
        <w:t>2</w:t>
      </w:r>
      <w:r w:rsidRPr="00227F9D">
        <w:rPr>
          <w:rFonts w:ascii="Times New Roman" w:hAnsi="Times New Roman" w:cs="Times New Roman"/>
          <w:sz w:val="24"/>
          <w:szCs w:val="24"/>
        </w:rPr>
        <w:t>). This effect is particularly pronounced in reputation-sensitive industries, such as energy-intensive sectors or those heavily reliant on consumer trust (Chu et al., 2024).</w:t>
      </w:r>
    </w:p>
    <w:p w14:paraId="4721022F" w14:textId="77777777" w:rsidR="002647CB" w:rsidRPr="00227F9D" w:rsidRDefault="002647CB" w:rsidP="002647CB">
      <w:pPr>
        <w:rPr>
          <w:rFonts w:ascii="Times New Roman" w:hAnsi="Times New Roman" w:cs="Times New Roman"/>
          <w:sz w:val="24"/>
          <w:szCs w:val="24"/>
        </w:rPr>
      </w:pPr>
    </w:p>
    <w:p w14:paraId="55C571A0" w14:textId="085467CF"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On the other hand, media ESG sentiment influences corporate energy innovation by shaping stakeholder expectations. According to reputation theory, media serves as a critical channel through which stakeholders gain insights into corporate behavior and performance, directly affecting public and investor expectations of future corporate actions (Lee and Raschke, 2023; Dorobantu et al., 2024). When positive media sentiment highlights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achievements in sustainable development, stakeholders—such as shareholders, consumers, and local communities—develop higher expectations for the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s continued efforts in energy innovation. These expectations may translate </w:t>
      </w:r>
      <w:r w:rsidRPr="00227F9D">
        <w:rPr>
          <w:rFonts w:ascii="Times New Roman" w:hAnsi="Times New Roman" w:cs="Times New Roman"/>
          <w:sz w:val="24"/>
          <w:szCs w:val="24"/>
        </w:rPr>
        <w:lastRenderedPageBreak/>
        <w:t>into pressure, driving firms to sustain investments in energy technology research and development (Chu et al., 2024). Furthermore, changes in media ESG sentiment may trigger demonstration effects within industries, amplifying competitive pressures among firms (Li et al., 2023</w:t>
      </w:r>
      <w:r w:rsidR="0055046B" w:rsidRPr="00227F9D">
        <w:rPr>
          <w:rFonts w:ascii="Times New Roman" w:hAnsi="Times New Roman" w:cs="Times New Roman" w:hint="eastAsia"/>
          <w:sz w:val="24"/>
          <w:szCs w:val="24"/>
        </w:rPr>
        <w:t>a</w:t>
      </w:r>
      <w:r w:rsidRPr="00227F9D">
        <w:rPr>
          <w:rFonts w:ascii="Times New Roman" w:hAnsi="Times New Roman" w:cs="Times New Roman"/>
          <w:sz w:val="24"/>
          <w:szCs w:val="24"/>
        </w:rPr>
        <w:t>), thereby further stimulating corporate efforts and outputs in energy innovation.</w:t>
      </w:r>
    </w:p>
    <w:p w14:paraId="1D104CE1" w14:textId="77777777" w:rsidR="002647CB" w:rsidRPr="00227F9D" w:rsidRDefault="002647CB" w:rsidP="002647CB">
      <w:pPr>
        <w:rPr>
          <w:rFonts w:ascii="Times New Roman" w:hAnsi="Times New Roman" w:cs="Times New Roman"/>
          <w:sz w:val="24"/>
          <w:szCs w:val="24"/>
        </w:rPr>
      </w:pPr>
    </w:p>
    <w:p w14:paraId="43081212" w14:textId="4422EF6E"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Finally, reputation theory posits that the personal reputation of corporate managers is closely tied to the overall reputation of the firm (Petkova et al., 2008; Landi et al., 2022). Positive ESG media sentiment enhances public recognition of managers, motivating them to prioritize resources for initiatives that reinforce corporate reputation, such as developing energy-saving and emission-reduction technologies (He et al., 2024). Conversely, negative ESG media sentiment may threaten managers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positions as agents of the firm, prompting them to increase resource allocation to energy innovation to demonstrate their commitment to social responsibility and safeguard their reputations (Landi et al., 2022). Additionally, the emotional signals embedded in media ESG reporting may amplify the roles of internal and external governance mechanisms—such as board oversight and market regulation—leading managers to place greater emphasis on the long-term value of energy innovation. Thus, this study proposes the following hypothesis:</w:t>
      </w:r>
    </w:p>
    <w:p w14:paraId="5DBE2E37" w14:textId="7D0F1BF4" w:rsidR="002647CB" w:rsidRPr="00227F9D" w:rsidRDefault="00DA3EB5" w:rsidP="00DA3EB5">
      <w:pPr>
        <w:ind w:firstLineChars="200" w:firstLine="480"/>
        <w:rPr>
          <w:rFonts w:ascii="Times New Roman" w:hAnsi="Times New Roman" w:cs="Times New Roman"/>
          <w:sz w:val="24"/>
          <w:szCs w:val="24"/>
        </w:rPr>
      </w:pPr>
      <w:r w:rsidRPr="00227F9D">
        <w:rPr>
          <w:rFonts w:ascii="Times New Roman" w:hAnsi="Times New Roman" w:cs="Times New Roman"/>
          <w:b/>
          <w:bCs/>
          <w:sz w:val="24"/>
          <w:szCs w:val="24"/>
        </w:rPr>
        <w:t>H</w:t>
      </w:r>
      <w:r w:rsidRPr="00227F9D">
        <w:rPr>
          <w:rFonts w:ascii="Times New Roman" w:hAnsi="Times New Roman" w:cs="Times New Roman" w:hint="eastAsia"/>
          <w:b/>
          <w:bCs/>
          <w:sz w:val="24"/>
          <w:szCs w:val="24"/>
        </w:rPr>
        <w:t>ypothesis</w:t>
      </w:r>
      <w:r w:rsidRPr="00227F9D">
        <w:rPr>
          <w:rFonts w:ascii="Times New Roman" w:hAnsi="Times New Roman" w:cs="Times New Roman"/>
          <w:b/>
          <w:bCs/>
          <w:sz w:val="24"/>
          <w:szCs w:val="24"/>
        </w:rPr>
        <w:t xml:space="preserve"> </w:t>
      </w:r>
      <w:r w:rsidRPr="00227F9D">
        <w:rPr>
          <w:rFonts w:ascii="Times New Roman" w:hAnsi="Times New Roman" w:cs="Times New Roman" w:hint="eastAsia"/>
          <w:b/>
          <w:bCs/>
          <w:sz w:val="24"/>
          <w:szCs w:val="24"/>
        </w:rPr>
        <w:t>1.</w:t>
      </w:r>
      <w:r w:rsidR="002647CB" w:rsidRPr="00227F9D">
        <w:rPr>
          <w:rFonts w:ascii="Times New Roman" w:hAnsi="Times New Roman" w:cs="Times New Roman"/>
          <w:b/>
          <w:bCs/>
          <w:sz w:val="24"/>
          <w:szCs w:val="24"/>
        </w:rPr>
        <w:t xml:space="preserve"> Positive ESG media sentiment promotes corporate energy innovation.</w:t>
      </w:r>
    </w:p>
    <w:p w14:paraId="5C0AFCB1" w14:textId="77777777" w:rsidR="002647CB" w:rsidRPr="00227F9D" w:rsidRDefault="002647CB">
      <w:pPr>
        <w:rPr>
          <w:rFonts w:ascii="Times New Roman" w:hAnsi="Times New Roman" w:cs="Times New Roman"/>
          <w:sz w:val="24"/>
          <w:szCs w:val="24"/>
        </w:rPr>
      </w:pPr>
    </w:p>
    <w:p w14:paraId="0C27A9B7" w14:textId="77777777" w:rsidR="002647CB" w:rsidRPr="00227F9D" w:rsidRDefault="002647CB" w:rsidP="002647CB">
      <w:pPr>
        <w:rPr>
          <w:rFonts w:ascii="Times New Roman" w:hAnsi="Times New Roman" w:cs="Times New Roman"/>
          <w:b/>
          <w:bCs/>
          <w:sz w:val="24"/>
          <w:szCs w:val="24"/>
        </w:rPr>
      </w:pPr>
      <w:r w:rsidRPr="00227F9D">
        <w:rPr>
          <w:rFonts w:ascii="Times New Roman" w:hAnsi="Times New Roman" w:cs="Times New Roman"/>
          <w:b/>
          <w:bCs/>
          <w:sz w:val="24"/>
          <w:szCs w:val="24"/>
        </w:rPr>
        <w:t>3.3 Mechanism Analysis</w:t>
      </w:r>
    </w:p>
    <w:p w14:paraId="339420E6" w14:textId="746F0E61"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According to reputation theory, corporate reputation directly affects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ability to secure financing and access resources in capital markets (Weng and Chen, 2017). First, positive ESG media sentiment highlights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strong performance in sustainable development, attracting the attention of green funds and socially responsible investors. Green funds, characterized by a strong preference for sustainable investments, often use ESG performance as a critical criterion for investment decisions and demand higher standards for firms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innovations in energy efficiency and emissions reduction technologies (Flammer, 2021). When ESG-related news provides clear signals to capital markets, it alleviates investor concerns arising from information asymmetry (Serafeim and Yoon, 2022; Li et al., 2024). This not only directly increases green funds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shareholding in firms but also broadens the sources of sustainable financing, offering vital capital support for energy innovation. Second, reputation theory emphasizes that a good reputation enhances trust between firms and financial institutions, fostering greater financial cooperation (</w:t>
      </w:r>
      <w:r w:rsidR="00D81DBF" w:rsidRPr="00227F9D">
        <w:rPr>
          <w:rFonts w:ascii="Times New Roman" w:hAnsi="Times New Roman" w:cs="Times New Roman" w:hint="eastAsia"/>
          <w:sz w:val="24"/>
          <w:szCs w:val="24"/>
        </w:rPr>
        <w:t>Flammer</w:t>
      </w:r>
      <w:r w:rsidRPr="00227F9D">
        <w:rPr>
          <w:rFonts w:ascii="Times New Roman" w:hAnsi="Times New Roman" w:cs="Times New Roman"/>
          <w:sz w:val="24"/>
          <w:szCs w:val="24"/>
        </w:rPr>
        <w:t>, 2021). Positive ESG media sentiment shapes a high-reputation image of firms in sustainable development, encouraging banks, investment institutions, and other financial entities to engage in more ESG-driven collaborations (Cheng et al., 2023). For example, firms may more easily obtain support for issuing green bonds or securing sustainable development loans, thereby expanding their financing capacity (Flammer, 2021). Such collaborations not only alleviate firms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financing constraints but also provide long-term and stable funding for energy innovation. Finally,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s reputation influences its risk assessment and financing </w:t>
      </w:r>
      <w:r w:rsidRPr="00227F9D">
        <w:rPr>
          <w:rFonts w:ascii="Times New Roman" w:hAnsi="Times New Roman" w:cs="Times New Roman"/>
          <w:sz w:val="24"/>
          <w:szCs w:val="24"/>
        </w:rPr>
        <w:lastRenderedPageBreak/>
        <w:t>costs in capital markets (Gu et al., 2023). When media coverage positively highlights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ESG success stories, investors perceive the firm as a low-risk, high-growth prospect. This perception reduces the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debt financing costs, further easing financial pressures and enabling the allocation of more resources to energy innovation. Based on these insights, this study proposes the following hypothesis:</w:t>
      </w:r>
    </w:p>
    <w:p w14:paraId="62BD0C01" w14:textId="637FE616" w:rsidR="002647CB" w:rsidRPr="00227F9D" w:rsidRDefault="00DA3EB5" w:rsidP="00DA3EB5">
      <w:pPr>
        <w:ind w:firstLineChars="200" w:firstLine="480"/>
        <w:rPr>
          <w:rFonts w:ascii="Times New Roman" w:hAnsi="Times New Roman" w:cs="Times New Roman"/>
          <w:sz w:val="24"/>
          <w:szCs w:val="24"/>
        </w:rPr>
      </w:pPr>
      <w:r w:rsidRPr="00227F9D">
        <w:rPr>
          <w:rFonts w:ascii="Times New Roman" w:hAnsi="Times New Roman" w:cs="Times New Roman"/>
          <w:b/>
          <w:bCs/>
          <w:sz w:val="24"/>
          <w:szCs w:val="24"/>
        </w:rPr>
        <w:t>H</w:t>
      </w:r>
      <w:r w:rsidRPr="00227F9D">
        <w:rPr>
          <w:rFonts w:ascii="Times New Roman" w:hAnsi="Times New Roman" w:cs="Times New Roman" w:hint="eastAsia"/>
          <w:b/>
          <w:bCs/>
          <w:sz w:val="24"/>
          <w:szCs w:val="24"/>
        </w:rPr>
        <w:t>ypothesis</w:t>
      </w:r>
      <w:r w:rsidRPr="00227F9D">
        <w:rPr>
          <w:rFonts w:ascii="Times New Roman" w:hAnsi="Times New Roman" w:cs="Times New Roman"/>
          <w:b/>
          <w:bCs/>
          <w:sz w:val="24"/>
          <w:szCs w:val="24"/>
        </w:rPr>
        <w:t xml:space="preserve"> </w:t>
      </w:r>
      <w:r w:rsidR="002647CB" w:rsidRPr="00227F9D">
        <w:rPr>
          <w:rFonts w:ascii="Times New Roman" w:hAnsi="Times New Roman" w:cs="Times New Roman"/>
          <w:b/>
          <w:bCs/>
          <w:sz w:val="24"/>
          <w:szCs w:val="24"/>
        </w:rPr>
        <w:t>2</w:t>
      </w:r>
      <w:r w:rsidRPr="00227F9D">
        <w:rPr>
          <w:rFonts w:ascii="Times New Roman" w:hAnsi="Times New Roman" w:cs="Times New Roman" w:hint="eastAsia"/>
          <w:b/>
          <w:bCs/>
          <w:sz w:val="24"/>
          <w:szCs w:val="24"/>
        </w:rPr>
        <w:t>.</w:t>
      </w:r>
      <w:r w:rsidR="002647CB" w:rsidRPr="00227F9D">
        <w:rPr>
          <w:rFonts w:ascii="Times New Roman" w:hAnsi="Times New Roman" w:cs="Times New Roman"/>
          <w:b/>
          <w:bCs/>
          <w:sz w:val="24"/>
          <w:szCs w:val="24"/>
        </w:rPr>
        <w:t xml:space="preserve"> </w:t>
      </w:r>
      <w:r w:rsidR="002647CB" w:rsidRPr="00227F9D">
        <w:rPr>
          <w:rFonts w:ascii="Times New Roman" w:hAnsi="Times New Roman" w:cs="Times New Roman"/>
          <w:sz w:val="24"/>
          <w:szCs w:val="24"/>
        </w:rPr>
        <w:t>Positive ESG media sentiment alleviates firms</w:t>
      </w:r>
      <w:r w:rsidR="00EF77E2" w:rsidRPr="00227F9D">
        <w:rPr>
          <w:rFonts w:ascii="Times New Roman" w:hAnsi="Times New Roman" w:cs="Times New Roman"/>
          <w:sz w:val="24"/>
          <w:szCs w:val="24"/>
        </w:rPr>
        <w:t>’</w:t>
      </w:r>
      <w:r w:rsidR="002647CB" w:rsidRPr="00227F9D">
        <w:rPr>
          <w:rFonts w:ascii="Times New Roman" w:hAnsi="Times New Roman" w:cs="Times New Roman"/>
          <w:sz w:val="24"/>
          <w:szCs w:val="24"/>
        </w:rPr>
        <w:t xml:space="preserve"> financing constraints, thereby promoting corporate energy innovation.</w:t>
      </w:r>
    </w:p>
    <w:p w14:paraId="39FADB7D" w14:textId="671691AD" w:rsidR="002647CB" w:rsidRPr="00227F9D" w:rsidRDefault="00EF77E2" w:rsidP="002647CB">
      <w:pPr>
        <w:rPr>
          <w:rFonts w:ascii="Times New Roman" w:hAnsi="Times New Roman" w:cs="Times New Roman"/>
          <w:sz w:val="24"/>
          <w:szCs w:val="24"/>
        </w:rPr>
      </w:pPr>
      <w:r w:rsidRPr="00227F9D">
        <w:rPr>
          <w:rFonts w:ascii="Times New Roman" w:hAnsi="Times New Roman" w:cs="Times New Roman"/>
          <w:sz w:val="24"/>
          <w:szCs w:val="24"/>
        </w:rPr>
        <w:t>‘</w:t>
      </w:r>
    </w:p>
    <w:p w14:paraId="6CFE4840" w14:textId="7639C421"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Corporate reputation is not merely an external evaluation of a firm</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image; it also serves as an intrinsic motivator for firms to engage in socially responsible actions beyond economic interests (Chasiotis et al., 2024). Positive ESG media sentiment reinforces firms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reputational incentives, driving them to enhance awareness of green business practices and providing a critical impetus for energy innovation. First, positive ESG media sentiment, by widely disseminating sustainable development requirements, effectively motivates firms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environmental awareness, encouraging them to establish technology development strategies oriented toward clean energy and energy conservation. This provides a strategic foundation for energy innovation. Second, positive ESG media sentiment, by increasing reputational pressure, drives firms to strengthen their environmental management systems (</w:t>
      </w:r>
      <w:r w:rsidR="00833026" w:rsidRPr="00227F9D">
        <w:rPr>
          <w:rFonts w:ascii="Times New Roman" w:hAnsi="Times New Roman" w:cs="Times New Roman"/>
          <w:sz w:val="24"/>
          <w:szCs w:val="24"/>
        </w:rPr>
        <w:t>Yu et al., 202</w:t>
      </w:r>
      <w:r w:rsidR="00833026" w:rsidRPr="00227F9D">
        <w:rPr>
          <w:rFonts w:ascii="Times New Roman" w:hAnsi="Times New Roman" w:cs="Times New Roman" w:hint="eastAsia"/>
          <w:sz w:val="24"/>
          <w:szCs w:val="24"/>
        </w:rPr>
        <w:t xml:space="preserve">3; </w:t>
      </w:r>
      <w:r w:rsidRPr="00227F9D">
        <w:rPr>
          <w:rFonts w:ascii="Times New Roman" w:hAnsi="Times New Roman" w:cs="Times New Roman"/>
          <w:sz w:val="24"/>
          <w:szCs w:val="24"/>
        </w:rPr>
        <w:t>Chu et al., 2024). By adopting environmental management standards (e.g., ISO 14001) and optimizing green resource allocation, firms can effectively integrate internal technical resources with external collaboration networks, thereby significantly improving the efficiency and effectiveness of energy innovation (</w:t>
      </w:r>
      <w:proofErr w:type="spellStart"/>
      <w:r w:rsidRPr="00227F9D">
        <w:rPr>
          <w:rFonts w:ascii="Times New Roman" w:hAnsi="Times New Roman" w:cs="Times New Roman"/>
          <w:sz w:val="24"/>
          <w:szCs w:val="24"/>
        </w:rPr>
        <w:t>Tabrizian</w:t>
      </w:r>
      <w:proofErr w:type="spellEnd"/>
      <w:r w:rsidRPr="00227F9D">
        <w:rPr>
          <w:rFonts w:ascii="Times New Roman" w:hAnsi="Times New Roman" w:cs="Times New Roman"/>
          <w:sz w:val="24"/>
          <w:szCs w:val="24"/>
        </w:rPr>
        <w:t>, 2019). Finally, firms, driven by external reputational demands, allocate more resources to critical areas to meet stakeholder expectations (Lee and Raschke, 2023; Dorobantu et al., 2024). Positive ESG media sentiment, by emphasizing the importance of green practices, strengthens management</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motivation to invest in green initiatives (Chu et al., 2024). For instance, firms may increase their allocation of funds and resources to energy-saving technologies, emissions reduction innovations, and clean energy research to demonstrate their commitment to environmental protection. This facilitates breakthroughs in key areas such as energy efficiency and pollution control, providing technological and resource support for corporate energy innovation (</w:t>
      </w:r>
      <w:proofErr w:type="spellStart"/>
      <w:r w:rsidRPr="00227F9D">
        <w:rPr>
          <w:rFonts w:ascii="Times New Roman" w:hAnsi="Times New Roman" w:cs="Times New Roman"/>
          <w:sz w:val="24"/>
          <w:szCs w:val="24"/>
        </w:rPr>
        <w:t>Koseoglu</w:t>
      </w:r>
      <w:proofErr w:type="spellEnd"/>
      <w:r w:rsidRPr="00227F9D">
        <w:rPr>
          <w:rFonts w:ascii="Times New Roman" w:hAnsi="Times New Roman" w:cs="Times New Roman"/>
          <w:sz w:val="24"/>
          <w:szCs w:val="24"/>
        </w:rPr>
        <w:t xml:space="preserve"> et al., 2022; Chen et al., 2024). Based on these insights, this study proposes the following hypothesis:</w:t>
      </w:r>
    </w:p>
    <w:p w14:paraId="6F1318B9" w14:textId="7C545D74" w:rsidR="002647CB" w:rsidRPr="00227F9D" w:rsidRDefault="002647CB" w:rsidP="00DA3EB5">
      <w:pPr>
        <w:ind w:firstLineChars="200" w:firstLine="480"/>
        <w:rPr>
          <w:rFonts w:ascii="Times New Roman" w:hAnsi="Times New Roman" w:cs="Times New Roman"/>
          <w:sz w:val="24"/>
          <w:szCs w:val="24"/>
        </w:rPr>
      </w:pPr>
      <w:r w:rsidRPr="00227F9D">
        <w:rPr>
          <w:rFonts w:ascii="Times New Roman" w:hAnsi="Times New Roman" w:cs="Times New Roman"/>
          <w:b/>
          <w:bCs/>
          <w:sz w:val="24"/>
          <w:szCs w:val="24"/>
        </w:rPr>
        <w:t>H</w:t>
      </w:r>
      <w:r w:rsidR="00DA3EB5" w:rsidRPr="00227F9D">
        <w:rPr>
          <w:rFonts w:ascii="Times New Roman" w:hAnsi="Times New Roman" w:cs="Times New Roman" w:hint="eastAsia"/>
          <w:b/>
          <w:bCs/>
          <w:sz w:val="24"/>
          <w:szCs w:val="24"/>
        </w:rPr>
        <w:t>ypothesis</w:t>
      </w:r>
      <w:r w:rsidR="00DA3EB5" w:rsidRPr="00227F9D">
        <w:rPr>
          <w:rFonts w:ascii="Times New Roman" w:hAnsi="Times New Roman" w:cs="Times New Roman"/>
          <w:b/>
          <w:bCs/>
          <w:sz w:val="24"/>
          <w:szCs w:val="24"/>
        </w:rPr>
        <w:t xml:space="preserve"> </w:t>
      </w:r>
      <w:r w:rsidRPr="00227F9D">
        <w:rPr>
          <w:rFonts w:ascii="Times New Roman" w:hAnsi="Times New Roman" w:cs="Times New Roman"/>
          <w:b/>
          <w:bCs/>
          <w:sz w:val="24"/>
          <w:szCs w:val="24"/>
        </w:rPr>
        <w:t>3</w:t>
      </w:r>
      <w:r w:rsidR="00DA3EB5" w:rsidRPr="00227F9D">
        <w:rPr>
          <w:rFonts w:ascii="Times New Roman" w:hAnsi="Times New Roman" w:cs="Times New Roman" w:hint="eastAsia"/>
          <w:b/>
          <w:bCs/>
          <w:sz w:val="24"/>
          <w:szCs w:val="24"/>
        </w:rPr>
        <w:t>.</w:t>
      </w:r>
      <w:r w:rsidRPr="00227F9D">
        <w:rPr>
          <w:rFonts w:ascii="Times New Roman" w:hAnsi="Times New Roman" w:cs="Times New Roman"/>
          <w:b/>
          <w:bCs/>
          <w:sz w:val="24"/>
          <w:szCs w:val="24"/>
        </w:rPr>
        <w:t xml:space="preserve"> </w:t>
      </w:r>
      <w:r w:rsidRPr="00227F9D">
        <w:rPr>
          <w:rFonts w:ascii="Times New Roman" w:hAnsi="Times New Roman" w:cs="Times New Roman"/>
          <w:sz w:val="24"/>
          <w:szCs w:val="24"/>
        </w:rPr>
        <w:t>Positive ESG media sentiment enhances firms</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 awareness of green business practices, thereby promoting corporate energy innovation.</w:t>
      </w:r>
    </w:p>
    <w:p w14:paraId="257EF20D" w14:textId="77777777" w:rsidR="002647CB" w:rsidRPr="00227F9D" w:rsidRDefault="002647CB">
      <w:pPr>
        <w:rPr>
          <w:rFonts w:ascii="Times New Roman" w:hAnsi="Times New Roman" w:cs="Times New Roman"/>
          <w:sz w:val="24"/>
          <w:szCs w:val="24"/>
        </w:rPr>
      </w:pPr>
    </w:p>
    <w:p w14:paraId="1CD05C08" w14:textId="77777777"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Based on the above hypotheses, Figure 1 presents the theoretical framework of this study to support the following analysis.</w:t>
      </w:r>
    </w:p>
    <w:p w14:paraId="2C8909BA" w14:textId="64A25464" w:rsidR="008F73D7" w:rsidRPr="00227F9D" w:rsidRDefault="008F73D7" w:rsidP="008F73D7">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Figure 1 about here]</w:t>
      </w:r>
    </w:p>
    <w:p w14:paraId="09217047" w14:textId="77777777" w:rsidR="002647CB" w:rsidRPr="00227F9D" w:rsidRDefault="002647CB">
      <w:pPr>
        <w:rPr>
          <w:rFonts w:ascii="Times New Roman" w:hAnsi="Times New Roman" w:cs="Times New Roman"/>
          <w:sz w:val="24"/>
          <w:szCs w:val="24"/>
        </w:rPr>
      </w:pPr>
    </w:p>
    <w:p w14:paraId="77C37B1F" w14:textId="2C8EA409" w:rsidR="002647CB" w:rsidRPr="00227F9D" w:rsidRDefault="007C6EF1" w:rsidP="002647CB">
      <w:pPr>
        <w:rPr>
          <w:rFonts w:ascii="Times New Roman" w:hAnsi="Times New Roman" w:cs="Times New Roman"/>
          <w:b/>
          <w:bCs/>
          <w:sz w:val="28"/>
          <w:szCs w:val="28"/>
        </w:rPr>
      </w:pPr>
      <w:r w:rsidRPr="00227F9D">
        <w:rPr>
          <w:rFonts w:ascii="Times New Roman" w:hAnsi="Times New Roman" w:cs="Times New Roman" w:hint="eastAsia"/>
          <w:b/>
          <w:bCs/>
          <w:sz w:val="28"/>
          <w:szCs w:val="28"/>
        </w:rPr>
        <w:t>4</w:t>
      </w:r>
      <w:r w:rsidR="002647CB" w:rsidRPr="00227F9D">
        <w:rPr>
          <w:rFonts w:ascii="Times New Roman" w:hAnsi="Times New Roman" w:cs="Times New Roman"/>
          <w:b/>
          <w:bCs/>
          <w:sz w:val="28"/>
          <w:szCs w:val="28"/>
        </w:rPr>
        <w:t xml:space="preserve">. </w:t>
      </w:r>
      <w:r w:rsidR="00CF6ACF" w:rsidRPr="00227F9D">
        <w:rPr>
          <w:rFonts w:ascii="Times New Roman" w:hAnsi="Times New Roman" w:cs="Times New Roman"/>
          <w:b/>
          <w:bCs/>
          <w:sz w:val="28"/>
          <w:szCs w:val="28"/>
        </w:rPr>
        <w:t>RESEARCH DESIGN</w:t>
      </w:r>
    </w:p>
    <w:p w14:paraId="21575092" w14:textId="303D8199" w:rsidR="002647CB" w:rsidRPr="00227F9D" w:rsidRDefault="007C6EF1" w:rsidP="002647CB">
      <w:pPr>
        <w:rPr>
          <w:rFonts w:ascii="Times New Roman" w:hAnsi="Times New Roman" w:cs="Times New Roman"/>
          <w:sz w:val="24"/>
          <w:szCs w:val="24"/>
        </w:rPr>
      </w:pPr>
      <w:r w:rsidRPr="00227F9D">
        <w:rPr>
          <w:rFonts w:ascii="Times New Roman" w:hAnsi="Times New Roman" w:cs="Times New Roman" w:hint="eastAsia"/>
          <w:b/>
          <w:bCs/>
          <w:sz w:val="24"/>
          <w:szCs w:val="24"/>
        </w:rPr>
        <w:t>4</w:t>
      </w:r>
      <w:r w:rsidR="002647CB" w:rsidRPr="00227F9D">
        <w:rPr>
          <w:rFonts w:ascii="Times New Roman" w:hAnsi="Times New Roman" w:cs="Times New Roman"/>
          <w:b/>
          <w:bCs/>
          <w:sz w:val="24"/>
          <w:szCs w:val="24"/>
        </w:rPr>
        <w:t>.1 Model</w:t>
      </w:r>
    </w:p>
    <w:p w14:paraId="2DBAB1B4" w14:textId="59907CF6"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lastRenderedPageBreak/>
        <w:t>This study focuses on examining the impact of media</w:t>
      </w:r>
      <w:r w:rsidR="00DA3EB5" w:rsidRPr="00227F9D">
        <w:rPr>
          <w:rFonts w:ascii="Times New Roman" w:hAnsi="Times New Roman" w:cs="Times New Roman" w:hint="eastAsia"/>
          <w:sz w:val="24"/>
          <w:szCs w:val="24"/>
        </w:rPr>
        <w:t xml:space="preserve"> </w:t>
      </w:r>
      <w:r w:rsidR="00DA3EB5" w:rsidRPr="00227F9D">
        <w:rPr>
          <w:rFonts w:ascii="Times New Roman" w:hAnsi="Times New Roman" w:cs="Times New Roman"/>
          <w:sz w:val="24"/>
          <w:szCs w:val="24"/>
        </w:rPr>
        <w:t>ESG</w:t>
      </w:r>
      <w:r w:rsidRPr="00227F9D">
        <w:rPr>
          <w:rFonts w:ascii="Times New Roman" w:hAnsi="Times New Roman" w:cs="Times New Roman"/>
          <w:sz w:val="24"/>
          <w:szCs w:val="24"/>
        </w:rPr>
        <w:t xml:space="preserve"> reputation on </w:t>
      </w:r>
      <w:r w:rsidRPr="00227F9D">
        <w:rPr>
          <w:rFonts w:ascii="Times New Roman" w:hAnsi="Times New Roman" w:cs="Times New Roman"/>
          <w:i/>
          <w:iCs/>
          <w:sz w:val="24"/>
          <w:szCs w:val="24"/>
        </w:rPr>
        <w:t>CEI</w:t>
      </w:r>
      <w:r w:rsidRPr="00227F9D">
        <w:rPr>
          <w:rFonts w:ascii="Times New Roman" w:hAnsi="Times New Roman" w:cs="Times New Roman"/>
          <w:sz w:val="24"/>
          <w:szCs w:val="24"/>
        </w:rPr>
        <w:t>, the following model is constructed: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026"/>
        <w:gridCol w:w="496"/>
      </w:tblGrid>
      <w:tr w:rsidR="00227F9D" w:rsidRPr="00227F9D" w14:paraId="60DD9C6A" w14:textId="77777777" w:rsidTr="00CF6ACF">
        <w:tc>
          <w:tcPr>
            <w:tcW w:w="8026" w:type="dxa"/>
          </w:tcPr>
          <w:p w14:paraId="7910DF32" w14:textId="1D351B8B" w:rsidR="00CF6ACF" w:rsidRPr="00227F9D" w:rsidRDefault="00000000" w:rsidP="002647CB">
            <w:pPr>
              <w:rPr>
                <w:sz w:val="24"/>
                <w:szCs w:val="24"/>
              </w:rPr>
            </w:pPr>
            <m:oMathPara>
              <m:oMath>
                <m:sSub>
                  <m:sSubPr>
                    <m:ctrlPr>
                      <w:rPr>
                        <w:rFonts w:ascii="Cambria Math" w:hAnsi="Cambria Math"/>
                        <w:sz w:val="24"/>
                        <w:szCs w:val="24"/>
                      </w:rPr>
                    </m:ctrlPr>
                  </m:sSubPr>
                  <m:e>
                    <m:r>
                      <w:rPr>
                        <w:rFonts w:ascii="Cambria Math" w:hAnsi="Cambria Math"/>
                        <w:sz w:val="24"/>
                        <w:szCs w:val="24"/>
                      </w:rPr>
                      <m:t>CEI</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sub>
                </m:sSub>
                <m:r>
                  <m:rPr>
                    <m:sty m:val="p"/>
                  </m:rPr>
                  <w:rPr>
                    <w:rFonts w:ascii="Cambria Math" w:hAnsi="Cambria Math"/>
                    <w:sz w:val="24"/>
                    <w:szCs w:val="24"/>
                  </w:rPr>
                  <m:t>=</m:t>
                </m:r>
                <m:r>
                  <w:rPr>
                    <w:rFonts w:ascii="Cambria Math" w:hAnsi="Cambria Math"/>
                    <w:sz w:val="24"/>
                    <w:szCs w:val="24"/>
                  </w:rPr>
                  <m:t>α</m:t>
                </m:r>
                <m:r>
                  <m:rPr>
                    <m:sty m:val="p"/>
                  </m:rPr>
                  <w:rPr>
                    <w:rFonts w:ascii="Cambria Math" w:hAnsi="Cambria Math"/>
                    <w:sz w:val="24"/>
                    <w:szCs w:val="24"/>
                  </w:rPr>
                  <m:t>+</m:t>
                </m:r>
                <m:r>
                  <w:rPr>
                    <w:rFonts w:ascii="Cambria Math" w:hAnsi="Cambria Math"/>
                    <w:sz w:val="24"/>
                    <w:szCs w:val="24"/>
                  </w:rPr>
                  <m:t>β</m:t>
                </m:r>
                <m:sSub>
                  <m:sSubPr>
                    <m:ctrlPr>
                      <w:rPr>
                        <w:rFonts w:ascii="Cambria Math" w:hAnsi="Cambria Math"/>
                        <w:sz w:val="24"/>
                        <w:szCs w:val="24"/>
                      </w:rPr>
                    </m:ctrlPr>
                  </m:sSubPr>
                  <m:e>
                    <m:r>
                      <w:rPr>
                        <w:rFonts w:ascii="Cambria Math" w:hAnsi="Cambria Math"/>
                        <w:sz w:val="24"/>
                        <w:szCs w:val="24"/>
                      </w:rPr>
                      <m:t>esg</m:t>
                    </m:r>
                    <m:r>
                      <m:rPr>
                        <m:sty m:val="p"/>
                      </m:rPr>
                      <w:rPr>
                        <w:rFonts w:ascii="Cambria Math" w:hAnsi="Cambria Math"/>
                        <w:sz w:val="24"/>
                        <w:szCs w:val="24"/>
                      </w:rPr>
                      <m:t>_</m:t>
                    </m:r>
                    <m:r>
                      <w:rPr>
                        <w:rFonts w:ascii="Cambria Math" w:hAnsi="Cambria Math"/>
                        <w:sz w:val="24"/>
                        <w:szCs w:val="24"/>
                      </w:rPr>
                      <m:t>news</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r>
                      <m:rPr>
                        <m:sty m:val="p"/>
                      </m:rPr>
                      <w:rPr>
                        <w:rFonts w:ascii="Cambria Math" w:hAnsi="Cambria Math"/>
                        <w:sz w:val="24"/>
                        <w:szCs w:val="24"/>
                      </w:rPr>
                      <m:t>-1</m:t>
                    </m:r>
                  </m:sub>
                </m:sSub>
                <m:r>
                  <m:rPr>
                    <m:sty m:val="p"/>
                  </m:rPr>
                  <w:rPr>
                    <w:rFonts w:ascii="Cambria Math" w:hAnsi="Cambria Math"/>
                    <w:sz w:val="24"/>
                    <w:szCs w:val="24"/>
                  </w:rPr>
                  <m:t>+</m:t>
                </m:r>
                <m:r>
                  <m:rPr>
                    <m:sty m:val="bi"/>
                  </m:rPr>
                  <w:rPr>
                    <w:rFonts w:ascii="Cambria Math" w:hAnsi="Cambria Math"/>
                    <w:sz w:val="24"/>
                    <w:szCs w:val="24"/>
                  </w:rPr>
                  <m:t>γ</m:t>
                </m:r>
                <m:sSub>
                  <m:sSubPr>
                    <m:ctrlPr>
                      <w:rPr>
                        <w:rFonts w:ascii="Cambria Math" w:hAnsi="Cambria Math"/>
                        <w:bCs/>
                        <w:sz w:val="24"/>
                        <w:szCs w:val="24"/>
                      </w:rPr>
                    </m:ctrlPr>
                  </m:sSubPr>
                  <m:e>
                    <m:r>
                      <w:rPr>
                        <w:rFonts w:ascii="Cambria Math" w:hAnsi="Cambria Math"/>
                        <w:sz w:val="24"/>
                        <w:szCs w:val="24"/>
                      </w:rPr>
                      <m:t>X</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r>
                      <m:rPr>
                        <m:sty m:val="p"/>
                      </m:rPr>
                      <w:rPr>
                        <w:rFonts w:ascii="Cambria Math" w:hAnsi="Cambria Math"/>
                        <w:sz w:val="24"/>
                        <w:szCs w:val="24"/>
                      </w:rPr>
                      <m:t>-1</m:t>
                    </m:r>
                  </m:sub>
                </m:sSub>
                <m:r>
                  <m:rPr>
                    <m:sty m:val="b"/>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γ</m:t>
                    </m:r>
                  </m:e>
                  <m:sub>
                    <m:r>
                      <w:rPr>
                        <w:rFonts w:ascii="Cambria Math" w:hAnsi="Cambria Math"/>
                        <w:sz w:val="24"/>
                        <w:szCs w:val="24"/>
                      </w:rPr>
                      <m:t>i</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θ</m:t>
                    </m:r>
                  </m:e>
                  <m:sub>
                    <m:r>
                      <w:rPr>
                        <w:rFonts w:ascii="Cambria Math" w:hAnsi="Cambria Math"/>
                        <w:sz w:val="24"/>
                        <w:szCs w:val="24"/>
                      </w:rPr>
                      <m:t>t</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μ</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sub>
                </m:sSub>
              </m:oMath>
            </m:oMathPara>
          </w:p>
        </w:tc>
        <w:tc>
          <w:tcPr>
            <w:tcW w:w="496" w:type="dxa"/>
          </w:tcPr>
          <w:p w14:paraId="174F863D" w14:textId="6492D5F6" w:rsidR="00CF6ACF" w:rsidRPr="00227F9D" w:rsidRDefault="00CF6ACF" w:rsidP="002647CB">
            <w:pPr>
              <w:rPr>
                <w:sz w:val="24"/>
                <w:szCs w:val="24"/>
              </w:rPr>
            </w:pPr>
            <w:r w:rsidRPr="00227F9D">
              <w:rPr>
                <w:sz w:val="24"/>
                <w:szCs w:val="24"/>
              </w:rPr>
              <w:t>(1)</w:t>
            </w:r>
          </w:p>
        </w:tc>
      </w:tr>
    </w:tbl>
    <w:p w14:paraId="189CB5F1" w14:textId="3DC108CB" w:rsidR="002647CB" w:rsidRPr="00227F9D" w:rsidRDefault="002647CB" w:rsidP="002647CB">
      <w:pPr>
        <w:rPr>
          <w:rFonts w:ascii="Times New Roman" w:hAnsi="Times New Roman" w:cs="Times New Roman"/>
          <w:iCs/>
          <w:sz w:val="24"/>
          <w:szCs w:val="24"/>
        </w:rPr>
      </w:pPr>
      <w:r w:rsidRPr="00227F9D">
        <w:rPr>
          <w:rFonts w:ascii="Times New Roman" w:hAnsi="Times New Roman" w:cs="Times New Roman"/>
          <w:sz w:val="24"/>
          <w:szCs w:val="24"/>
        </w:rPr>
        <w:t xml:space="preserve">In Eq. (1), </w:t>
      </w:r>
      <m:oMath>
        <m:sSub>
          <m:sSubPr>
            <m:ctrlPr>
              <w:rPr>
                <w:rFonts w:ascii="Cambria Math" w:hAnsi="Cambria Math" w:cs="Times New Roman"/>
                <w:i/>
                <w:sz w:val="24"/>
                <w:szCs w:val="24"/>
              </w:rPr>
            </m:ctrlPr>
          </m:sSubPr>
          <m:e>
            <m:r>
              <w:rPr>
                <w:rFonts w:ascii="Cambria Math" w:hAnsi="Cambria Math" w:cs="Times New Roman"/>
                <w:sz w:val="24"/>
                <w:szCs w:val="24"/>
              </w:rPr>
              <m:t>CEI</m:t>
            </m:r>
          </m:e>
          <m:sub>
            <m:r>
              <w:rPr>
                <w:rFonts w:ascii="Cambria Math" w:hAnsi="Cambria Math" w:cs="Times New Roman"/>
                <w:sz w:val="24"/>
                <w:szCs w:val="24"/>
              </w:rPr>
              <m:t>i,t</m:t>
            </m:r>
          </m:sub>
        </m:sSub>
      </m:oMath>
      <w:r w:rsidRPr="00227F9D">
        <w:rPr>
          <w:rFonts w:ascii="Times New Roman" w:hAnsi="Times New Roman" w:cs="Times New Roman"/>
          <w:spacing w:val="9"/>
          <w:sz w:val="24"/>
          <w:szCs w:val="24"/>
          <w:shd w:val="clear" w:color="auto" w:fill="FFFFFF"/>
        </w:rPr>
        <w:t xml:space="preserve"> represents the energy innovation of fir</w:t>
      </w:r>
      <w:r w:rsidR="00DA3EB5" w:rsidRPr="00227F9D">
        <w:rPr>
          <w:rFonts w:ascii="Times New Roman" w:hAnsi="Times New Roman" w:cs="Times New Roman" w:hint="eastAsia"/>
          <w:spacing w:val="9"/>
          <w:sz w:val="24"/>
          <w:szCs w:val="24"/>
          <w:shd w:val="clear" w:color="auto" w:fill="FFFFFF"/>
        </w:rPr>
        <w:t xml:space="preserve">m </w:t>
      </w:r>
      <w:r w:rsidR="00DA3EB5" w:rsidRPr="00227F9D">
        <w:rPr>
          <w:rFonts w:ascii="Times New Roman" w:hAnsi="Times New Roman" w:cs="Times New Roman" w:hint="eastAsia"/>
          <w:i/>
          <w:iCs/>
          <w:spacing w:val="9"/>
          <w:sz w:val="24"/>
          <w:szCs w:val="24"/>
          <w:shd w:val="clear" w:color="auto" w:fill="FFFFFF"/>
        </w:rPr>
        <w:t>i</w:t>
      </w:r>
      <w:r w:rsidRPr="00227F9D">
        <w:rPr>
          <w:rFonts w:ascii="Times New Roman" w:hAnsi="Times New Roman" w:cs="Times New Roman"/>
          <w:spacing w:val="9"/>
          <w:sz w:val="24"/>
          <w:szCs w:val="24"/>
          <w:shd w:val="clear" w:color="auto" w:fill="FFFFFF"/>
        </w:rPr>
        <w:t xml:space="preserve"> in year </w:t>
      </w:r>
      <w:r w:rsidR="00DA3EB5" w:rsidRPr="00227F9D">
        <w:rPr>
          <w:rFonts w:ascii="Times New Roman" w:hAnsi="Times New Roman" w:cs="Times New Roman" w:hint="eastAsia"/>
          <w:i/>
          <w:iCs/>
          <w:spacing w:val="9"/>
          <w:sz w:val="24"/>
          <w:szCs w:val="24"/>
          <w:shd w:val="clear" w:color="auto" w:fill="FFFFFF"/>
        </w:rPr>
        <w:t>t</w:t>
      </w:r>
      <w:r w:rsidRPr="00227F9D">
        <w:rPr>
          <w:rFonts w:ascii="Times New Roman" w:hAnsi="Times New Roman" w:cs="Times New Roman"/>
          <w:spacing w:val="9"/>
          <w:sz w:val="24"/>
          <w:szCs w:val="24"/>
          <w:shd w:val="clear" w:color="auto" w:fill="FFFFFF"/>
        </w:rPr>
        <w:t xml:space="preserve">; </w:t>
      </w:r>
      <m:oMath>
        <m:sSub>
          <m:sSubPr>
            <m:ctrlPr>
              <w:rPr>
                <w:rFonts w:ascii="Cambria Math" w:hAnsi="Cambria Math" w:cs="Times New Roman"/>
                <w:i/>
                <w:sz w:val="24"/>
                <w:szCs w:val="24"/>
              </w:rPr>
            </m:ctrlPr>
          </m:sSubPr>
          <m:e>
            <m:r>
              <w:rPr>
                <w:rFonts w:ascii="Cambria Math" w:hAnsi="Cambria Math" w:cs="Times New Roman"/>
                <w:sz w:val="24"/>
                <w:szCs w:val="24"/>
              </w:rPr>
              <m:t>esg_news</m:t>
            </m:r>
          </m:e>
          <m:sub>
            <m:r>
              <w:rPr>
                <w:rFonts w:ascii="Cambria Math" w:hAnsi="Cambria Math" w:cs="Times New Roman"/>
                <w:sz w:val="24"/>
                <w:szCs w:val="24"/>
              </w:rPr>
              <m:t>i,t-1</m:t>
            </m:r>
          </m:sub>
        </m:sSub>
      </m:oMath>
      <w:r w:rsidRPr="00227F9D">
        <w:rPr>
          <w:rFonts w:ascii="Times New Roman" w:hAnsi="Times New Roman" w:cs="Times New Roman"/>
          <w:spacing w:val="9"/>
          <w:sz w:val="24"/>
          <w:szCs w:val="24"/>
          <w:shd w:val="clear" w:color="auto" w:fill="FFFFFF"/>
        </w:rPr>
        <w:t xml:space="preserve"> is the </w:t>
      </w:r>
      <w:r w:rsidR="00CF6ACF" w:rsidRPr="00227F9D">
        <w:rPr>
          <w:rFonts w:ascii="Times New Roman" w:hAnsi="Times New Roman" w:cs="Times New Roman"/>
          <w:spacing w:val="9"/>
          <w:sz w:val="24"/>
          <w:szCs w:val="24"/>
          <w:shd w:val="clear" w:color="auto" w:fill="FFFFFF"/>
        </w:rPr>
        <w:t>media ESG sentiment</w:t>
      </w:r>
      <w:r w:rsidRPr="00227F9D">
        <w:rPr>
          <w:rFonts w:ascii="Times New Roman" w:hAnsi="Times New Roman" w:cs="Times New Roman"/>
          <w:spacing w:val="9"/>
          <w:sz w:val="24"/>
          <w:szCs w:val="24"/>
          <w:shd w:val="clear" w:color="auto" w:fill="FFFFFF"/>
        </w:rPr>
        <w:t xml:space="preserve"> of firm </w:t>
      </w:r>
      <w:r w:rsidR="00DA3EB5" w:rsidRPr="00227F9D">
        <w:rPr>
          <w:rFonts w:ascii="Times New Roman" w:hAnsi="Times New Roman" w:cs="Times New Roman" w:hint="eastAsia"/>
          <w:i/>
          <w:iCs/>
          <w:spacing w:val="9"/>
          <w:sz w:val="24"/>
          <w:szCs w:val="24"/>
          <w:shd w:val="clear" w:color="auto" w:fill="FFFFFF"/>
        </w:rPr>
        <w:t xml:space="preserve">i </w:t>
      </w:r>
      <w:r w:rsidRPr="00227F9D">
        <w:rPr>
          <w:rFonts w:ascii="Times New Roman" w:hAnsi="Times New Roman" w:cs="Times New Roman"/>
          <w:spacing w:val="9"/>
          <w:sz w:val="24"/>
          <w:szCs w:val="24"/>
          <w:shd w:val="clear" w:color="auto" w:fill="FFFFFF"/>
        </w:rPr>
        <w:t xml:space="preserve">in year </w:t>
      </w:r>
      <w:r w:rsidR="00DA3EB5" w:rsidRPr="00227F9D">
        <w:rPr>
          <w:rFonts w:ascii="Times New Roman" w:hAnsi="Times New Roman" w:cs="Times New Roman" w:hint="eastAsia"/>
          <w:i/>
          <w:iCs/>
          <w:spacing w:val="9"/>
          <w:sz w:val="24"/>
          <w:szCs w:val="24"/>
          <w:shd w:val="clear" w:color="auto" w:fill="FFFFFF"/>
        </w:rPr>
        <w:t>t-</w:t>
      </w:r>
      <w:r w:rsidR="00DA3EB5" w:rsidRPr="00227F9D">
        <w:rPr>
          <w:rFonts w:ascii="Times New Roman" w:hAnsi="Times New Roman" w:cs="Times New Roman" w:hint="eastAsia"/>
          <w:spacing w:val="9"/>
          <w:sz w:val="24"/>
          <w:szCs w:val="24"/>
          <w:shd w:val="clear" w:color="auto" w:fill="FFFFFF"/>
        </w:rPr>
        <w:t>1</w:t>
      </w:r>
      <w:r w:rsidR="00CF6ACF" w:rsidRPr="00227F9D">
        <w:rPr>
          <w:rFonts w:ascii="Times New Roman" w:hAnsi="Times New Roman" w:cs="Times New Roman"/>
          <w:spacing w:val="9"/>
          <w:sz w:val="24"/>
          <w:szCs w:val="24"/>
          <w:shd w:val="clear" w:color="auto" w:fill="FFFFFF"/>
        </w:rPr>
        <w:t>, which represents the ESG reputation of enterprise.</w:t>
      </w:r>
      <w:r w:rsidRPr="00227F9D">
        <w:rPr>
          <w:rFonts w:ascii="Times New Roman" w:hAnsi="Times New Roman" w:cs="Times New Roman"/>
          <w:spacing w:val="9"/>
          <w:sz w:val="24"/>
          <w:szCs w:val="24"/>
          <w:shd w:val="clear" w:color="auto" w:fill="FFFFFF"/>
        </w:rPr>
        <w:t xml:space="preserve">; </w:t>
      </w:r>
      <m:oMath>
        <m:sSub>
          <m:sSubPr>
            <m:ctrlPr>
              <w:rPr>
                <w:rFonts w:ascii="Cambria Math" w:hAnsi="Cambria Math" w:cs="Times New Roman"/>
                <w:bCs/>
                <w:i/>
                <w:sz w:val="24"/>
                <w:szCs w:val="24"/>
              </w:rPr>
            </m:ctrlPr>
          </m:sSubPr>
          <m:e>
            <m:r>
              <w:rPr>
                <w:rFonts w:ascii="Cambria Math" w:hAnsi="Cambria Math" w:cs="Times New Roman"/>
                <w:sz w:val="24"/>
                <w:szCs w:val="24"/>
              </w:rPr>
              <m:t>X</m:t>
            </m:r>
          </m:e>
          <m:sub>
            <m:r>
              <w:rPr>
                <w:rFonts w:ascii="Cambria Math" w:hAnsi="Cambria Math" w:cs="Times New Roman"/>
                <w:sz w:val="24"/>
                <w:szCs w:val="24"/>
              </w:rPr>
              <m:t>i,t-1</m:t>
            </m:r>
          </m:sub>
        </m:sSub>
      </m:oMath>
      <w:r w:rsidRPr="00227F9D">
        <w:rPr>
          <w:rFonts w:ascii="Times New Roman" w:hAnsi="Times New Roman" w:cs="Times New Roman"/>
          <w:b/>
          <w:bCs/>
          <w:iCs/>
          <w:sz w:val="24"/>
          <w:szCs w:val="24"/>
        </w:rPr>
        <w:t xml:space="preserve"> </w:t>
      </w:r>
      <w:r w:rsidRPr="00227F9D">
        <w:rPr>
          <w:rFonts w:ascii="Times New Roman" w:hAnsi="Times New Roman" w:cs="Times New Roman"/>
          <w:iCs/>
          <w:sz w:val="24"/>
          <w:szCs w:val="24"/>
        </w:rPr>
        <w:t>demonstrates the set of corporate control variables</w:t>
      </w:r>
      <w:r w:rsidRPr="00227F9D">
        <w:rPr>
          <w:rFonts w:ascii="Times New Roman" w:hAnsi="Times New Roman" w:cs="Times New Roman"/>
          <w:b/>
          <w:bCs/>
          <w:iCs/>
          <w:sz w:val="24"/>
          <w:szCs w:val="24"/>
        </w:rPr>
        <w:t xml:space="preserve">; </w:t>
      </w:r>
      <m:oMath>
        <m:sSub>
          <m:sSubPr>
            <m:ctrlPr>
              <w:rPr>
                <w:rFonts w:ascii="Cambria Math" w:hAnsi="Cambria Math" w:cs="Times New Roman"/>
                <w:i/>
                <w:iCs/>
                <w:sz w:val="24"/>
                <w:szCs w:val="24"/>
              </w:rPr>
            </m:ctrlPr>
          </m:sSubPr>
          <m:e>
            <m:r>
              <w:rPr>
                <w:rFonts w:ascii="Cambria Math" w:hAnsi="Cambria Math" w:cs="Times New Roman"/>
                <w:sz w:val="24"/>
                <w:szCs w:val="24"/>
              </w:rPr>
              <m:t>γ</m:t>
            </m:r>
          </m:e>
          <m:sub>
            <m:r>
              <w:rPr>
                <w:rFonts w:ascii="Cambria Math" w:hAnsi="Cambria Math" w:cs="Times New Roman"/>
                <w:sz w:val="24"/>
                <w:szCs w:val="24"/>
              </w:rPr>
              <m:t>i</m:t>
            </m:r>
          </m:sub>
        </m:sSub>
      </m:oMath>
      <w:r w:rsidRPr="00227F9D">
        <w:rPr>
          <w:rFonts w:ascii="Times New Roman" w:hAnsi="Times New Roman" w:cs="Times New Roman"/>
          <w:iCs/>
          <w:sz w:val="24"/>
          <w:szCs w:val="24"/>
        </w:rPr>
        <w:t xml:space="preserve"> and </w:t>
      </w:r>
      <m:oMath>
        <m:sSub>
          <m:sSubPr>
            <m:ctrlPr>
              <w:rPr>
                <w:rFonts w:ascii="Cambria Math" w:hAnsi="Cambria Math" w:cs="Times New Roman"/>
                <w:i/>
                <w:iCs/>
                <w:sz w:val="24"/>
                <w:szCs w:val="24"/>
              </w:rPr>
            </m:ctrlPr>
          </m:sSubPr>
          <m:e>
            <m:r>
              <w:rPr>
                <w:rFonts w:ascii="Cambria Math" w:hAnsi="Cambria Math" w:cs="Times New Roman"/>
                <w:sz w:val="24"/>
                <w:szCs w:val="24"/>
              </w:rPr>
              <m:t>θ</m:t>
            </m:r>
          </m:e>
          <m:sub>
            <m:r>
              <w:rPr>
                <w:rFonts w:ascii="Cambria Math" w:hAnsi="Cambria Math" w:cs="Times New Roman"/>
                <w:sz w:val="24"/>
                <w:szCs w:val="24"/>
              </w:rPr>
              <m:t>t</m:t>
            </m:r>
          </m:sub>
        </m:sSub>
      </m:oMath>
      <w:r w:rsidRPr="00227F9D">
        <w:rPr>
          <w:rFonts w:ascii="Times New Roman" w:hAnsi="Times New Roman" w:cs="Times New Roman"/>
          <w:iCs/>
          <w:sz w:val="24"/>
          <w:szCs w:val="24"/>
        </w:rPr>
        <w:t xml:space="preserve"> are firm- and year- fixed effects corresponding; </w:t>
      </w:r>
      <m:oMath>
        <m:sSub>
          <m:sSubPr>
            <m:ctrlPr>
              <w:rPr>
                <w:rFonts w:ascii="Cambria Math" w:hAnsi="Cambria Math" w:cs="Times New Roman"/>
                <w:i/>
                <w:iCs/>
                <w:sz w:val="24"/>
                <w:szCs w:val="24"/>
              </w:rPr>
            </m:ctrlPr>
          </m:sSubPr>
          <m:e>
            <m:r>
              <w:rPr>
                <w:rFonts w:ascii="Cambria Math" w:hAnsi="Cambria Math" w:cs="Times New Roman"/>
                <w:sz w:val="24"/>
                <w:szCs w:val="24"/>
              </w:rPr>
              <m:t>μ</m:t>
            </m:r>
          </m:e>
          <m:sub>
            <m:r>
              <w:rPr>
                <w:rFonts w:ascii="Cambria Math" w:hAnsi="Cambria Math" w:cs="Times New Roman"/>
                <w:sz w:val="24"/>
                <w:szCs w:val="24"/>
              </w:rPr>
              <m:t>i,t</m:t>
            </m:r>
          </m:sub>
        </m:sSub>
      </m:oMath>
      <w:r w:rsidRPr="00227F9D">
        <w:rPr>
          <w:rFonts w:ascii="Times New Roman" w:hAnsi="Times New Roman" w:cs="Times New Roman"/>
          <w:iCs/>
          <w:sz w:val="24"/>
          <w:szCs w:val="24"/>
        </w:rPr>
        <w:t xml:space="preserve"> is the random error term.</w:t>
      </w:r>
    </w:p>
    <w:p w14:paraId="4EFCAB47" w14:textId="77777777" w:rsidR="002647CB" w:rsidRPr="00227F9D" w:rsidRDefault="002647CB" w:rsidP="002647CB">
      <w:pPr>
        <w:rPr>
          <w:rFonts w:ascii="Times New Roman" w:hAnsi="Times New Roman" w:cs="Times New Roman"/>
        </w:rPr>
      </w:pPr>
    </w:p>
    <w:p w14:paraId="4E439CA2" w14:textId="4BAF719E" w:rsidR="002647CB" w:rsidRPr="00227F9D" w:rsidRDefault="007C6EF1" w:rsidP="002647CB">
      <w:pPr>
        <w:pStyle w:val="1"/>
        <w:spacing w:line="240" w:lineRule="auto"/>
      </w:pPr>
      <w:r w:rsidRPr="00227F9D">
        <w:rPr>
          <w:rFonts w:hint="eastAsia"/>
        </w:rPr>
        <w:t>4</w:t>
      </w:r>
      <w:r w:rsidR="002647CB" w:rsidRPr="00227F9D">
        <w:t>.2 Description of Variables</w:t>
      </w:r>
    </w:p>
    <w:p w14:paraId="12DCC487" w14:textId="267A77C3" w:rsidR="002647CB" w:rsidRPr="00227F9D" w:rsidRDefault="007C6EF1" w:rsidP="002647CB">
      <w:pPr>
        <w:rPr>
          <w:rFonts w:ascii="Times New Roman" w:hAnsi="Times New Roman" w:cs="Times New Roman"/>
          <w:b/>
          <w:bCs/>
          <w:sz w:val="24"/>
          <w:szCs w:val="24"/>
        </w:rPr>
      </w:pPr>
      <w:r w:rsidRPr="00227F9D">
        <w:rPr>
          <w:rFonts w:ascii="Times New Roman" w:hAnsi="Times New Roman" w:cs="Times New Roman" w:hint="eastAsia"/>
          <w:b/>
          <w:bCs/>
          <w:sz w:val="24"/>
          <w:szCs w:val="24"/>
        </w:rPr>
        <w:t>4</w:t>
      </w:r>
      <w:r w:rsidR="002647CB" w:rsidRPr="00227F9D">
        <w:rPr>
          <w:rFonts w:ascii="Times New Roman" w:hAnsi="Times New Roman" w:cs="Times New Roman"/>
          <w:b/>
          <w:bCs/>
          <w:sz w:val="24"/>
          <w:szCs w:val="24"/>
        </w:rPr>
        <w:t>.2.1 Dependent variable: corporate energy innovation (</w:t>
      </w:r>
      <w:r w:rsidR="002647CB" w:rsidRPr="00227F9D">
        <w:rPr>
          <w:rFonts w:ascii="Times New Roman" w:hAnsi="Times New Roman" w:cs="Times New Roman"/>
          <w:b/>
          <w:bCs/>
          <w:i/>
          <w:iCs/>
          <w:sz w:val="24"/>
          <w:szCs w:val="24"/>
        </w:rPr>
        <w:t>CEI</w:t>
      </w:r>
      <w:r w:rsidR="002647CB" w:rsidRPr="00227F9D">
        <w:rPr>
          <w:rFonts w:ascii="Times New Roman" w:hAnsi="Times New Roman" w:cs="Times New Roman"/>
          <w:b/>
          <w:bCs/>
          <w:sz w:val="24"/>
          <w:szCs w:val="24"/>
        </w:rPr>
        <w:t>)</w:t>
      </w:r>
    </w:p>
    <w:p w14:paraId="3A6C2212" w14:textId="44AB40B1" w:rsidR="002647CB" w:rsidRPr="00227F9D" w:rsidRDefault="00CF6ACF" w:rsidP="002647CB">
      <w:pPr>
        <w:rPr>
          <w:rFonts w:ascii="Times New Roman" w:hAnsi="Times New Roman" w:cs="Times New Roman"/>
          <w:sz w:val="24"/>
          <w:szCs w:val="24"/>
        </w:rPr>
      </w:pPr>
      <w:r w:rsidRPr="00227F9D">
        <w:rPr>
          <w:rFonts w:ascii="Times New Roman" w:hAnsi="Times New Roman" w:cs="Times New Roman"/>
          <w:sz w:val="24"/>
          <w:szCs w:val="24"/>
        </w:rPr>
        <w:t xml:space="preserve">This study follows the methodology of Chu et al. (2024) by utilizing machine learning techniques to identify energy-related patents of listed companies, thereby measuring </w:t>
      </w:r>
      <w:r w:rsidR="004407D4" w:rsidRPr="00227F9D">
        <w:rPr>
          <w:rFonts w:ascii="Times New Roman" w:hAnsi="Times New Roman" w:cs="Times New Roman" w:hint="eastAsia"/>
          <w:sz w:val="24"/>
          <w:szCs w:val="24"/>
        </w:rPr>
        <w:t>c</w:t>
      </w:r>
      <w:r w:rsidRPr="00227F9D">
        <w:rPr>
          <w:rFonts w:ascii="Times New Roman" w:hAnsi="Times New Roman" w:cs="Times New Roman"/>
          <w:sz w:val="24"/>
          <w:szCs w:val="24"/>
        </w:rPr>
        <w:t xml:space="preserve">orporate </w:t>
      </w:r>
      <w:r w:rsidR="004407D4" w:rsidRPr="00227F9D">
        <w:rPr>
          <w:rFonts w:ascii="Times New Roman" w:hAnsi="Times New Roman" w:cs="Times New Roman" w:hint="eastAsia"/>
          <w:sz w:val="24"/>
          <w:szCs w:val="24"/>
        </w:rPr>
        <w:t>e</w:t>
      </w:r>
      <w:r w:rsidRPr="00227F9D">
        <w:rPr>
          <w:rFonts w:ascii="Times New Roman" w:hAnsi="Times New Roman" w:cs="Times New Roman"/>
          <w:sz w:val="24"/>
          <w:szCs w:val="24"/>
        </w:rPr>
        <w:t xml:space="preserve">nergy </w:t>
      </w:r>
      <w:r w:rsidR="004407D4" w:rsidRPr="00227F9D">
        <w:rPr>
          <w:rFonts w:ascii="Times New Roman" w:hAnsi="Times New Roman" w:cs="Times New Roman" w:hint="eastAsia"/>
          <w:sz w:val="24"/>
          <w:szCs w:val="24"/>
        </w:rPr>
        <w:t>i</w:t>
      </w:r>
      <w:r w:rsidRPr="00227F9D">
        <w:rPr>
          <w:rFonts w:ascii="Times New Roman" w:hAnsi="Times New Roman" w:cs="Times New Roman"/>
          <w:sz w:val="24"/>
          <w:szCs w:val="24"/>
        </w:rPr>
        <w:t>nnovation (</w:t>
      </w:r>
      <w:r w:rsidRPr="00227F9D">
        <w:rPr>
          <w:rFonts w:ascii="Times New Roman" w:hAnsi="Times New Roman" w:cs="Times New Roman"/>
          <w:i/>
          <w:iCs/>
          <w:sz w:val="24"/>
          <w:szCs w:val="24"/>
        </w:rPr>
        <w:t>CEI</w:t>
      </w:r>
      <w:r w:rsidRPr="00227F9D">
        <w:rPr>
          <w:rFonts w:ascii="Times New Roman" w:hAnsi="Times New Roman" w:cs="Times New Roman"/>
          <w:sz w:val="24"/>
          <w:szCs w:val="24"/>
        </w:rPr>
        <w:t>)</w:t>
      </w:r>
      <w:r w:rsidR="002647CB" w:rsidRPr="00227F9D">
        <w:rPr>
          <w:rFonts w:ascii="Times New Roman" w:hAnsi="Times New Roman" w:cs="Times New Roman"/>
          <w:sz w:val="24"/>
          <w:szCs w:val="24"/>
        </w:rPr>
        <w:t>. Initially, 63 seed words</w:t>
      </w:r>
      <w:r w:rsidR="007775A5" w:rsidRPr="00227F9D">
        <w:rPr>
          <w:rFonts w:ascii="Times New Roman" w:hAnsi="Times New Roman" w:cs="Times New Roman" w:hint="eastAsia"/>
          <w:sz w:val="24"/>
          <w:szCs w:val="24"/>
        </w:rPr>
        <w:t xml:space="preserve"> (See Appendix Table A1)</w:t>
      </w:r>
      <w:r w:rsidR="002647CB" w:rsidRPr="00227F9D">
        <w:rPr>
          <w:rFonts w:ascii="Times New Roman" w:hAnsi="Times New Roman" w:cs="Times New Roman"/>
          <w:sz w:val="24"/>
          <w:szCs w:val="24"/>
        </w:rPr>
        <w:t xml:space="preserve"> were refined by screening 56 policy documents</w:t>
      </w:r>
      <w:r w:rsidR="007775A5" w:rsidRPr="00227F9D">
        <w:rPr>
          <w:rFonts w:ascii="Times New Roman" w:hAnsi="Times New Roman" w:cs="Times New Roman" w:hint="eastAsia"/>
          <w:sz w:val="24"/>
          <w:szCs w:val="24"/>
        </w:rPr>
        <w:t xml:space="preserve"> (See Appendix Table A2)</w:t>
      </w:r>
      <w:r w:rsidR="002647CB" w:rsidRPr="00227F9D">
        <w:rPr>
          <w:rFonts w:ascii="Times New Roman" w:hAnsi="Times New Roman" w:cs="Times New Roman"/>
          <w:sz w:val="24"/>
          <w:szCs w:val="24"/>
        </w:rPr>
        <w:t xml:space="preserve"> and reports of </w:t>
      </w:r>
      <w:r w:rsidR="002647CB" w:rsidRPr="00227F9D">
        <w:rPr>
          <w:rFonts w:ascii="Times New Roman" w:hAnsi="Times New Roman" w:cs="Times New Roman"/>
          <w:i/>
          <w:iCs/>
          <w:sz w:val="24"/>
          <w:szCs w:val="24"/>
        </w:rPr>
        <w:t>CEI</w:t>
      </w:r>
      <w:r w:rsidR="002647CB" w:rsidRPr="00227F9D">
        <w:rPr>
          <w:rFonts w:ascii="Times New Roman" w:hAnsi="Times New Roman" w:cs="Times New Roman"/>
          <w:sz w:val="24"/>
          <w:szCs w:val="24"/>
        </w:rPr>
        <w:t xml:space="preserve"> in China from </w:t>
      </w:r>
      <w:r w:rsidR="002647CB" w:rsidRPr="00227F9D">
        <w:rPr>
          <w:rFonts w:ascii="Times New Roman" w:hAnsi="Times New Roman" w:cs="Times New Roman"/>
          <w:i/>
          <w:iCs/>
          <w:sz w:val="24"/>
          <w:szCs w:val="24"/>
        </w:rPr>
        <w:t>Ministry of Ecology and Environment</w:t>
      </w:r>
      <w:r w:rsidR="002647CB" w:rsidRPr="00227F9D">
        <w:rPr>
          <w:rFonts w:ascii="Times New Roman" w:hAnsi="Times New Roman" w:cs="Times New Roman"/>
          <w:sz w:val="24"/>
          <w:szCs w:val="24"/>
        </w:rPr>
        <w:t xml:space="preserve">, </w:t>
      </w:r>
      <w:r w:rsidR="002647CB" w:rsidRPr="00227F9D">
        <w:rPr>
          <w:rFonts w:ascii="Times New Roman" w:hAnsi="Times New Roman" w:cs="Times New Roman"/>
          <w:i/>
          <w:iCs/>
          <w:sz w:val="24"/>
          <w:szCs w:val="24"/>
        </w:rPr>
        <w:t>People</w:t>
      </w:r>
      <w:r w:rsidR="00EF77E2" w:rsidRPr="00227F9D">
        <w:rPr>
          <w:rFonts w:ascii="Times New Roman" w:hAnsi="Times New Roman" w:cs="Times New Roman"/>
          <w:sz w:val="24"/>
          <w:szCs w:val="24"/>
        </w:rPr>
        <w:t>’</w:t>
      </w:r>
      <w:r w:rsidR="002647CB" w:rsidRPr="00227F9D">
        <w:rPr>
          <w:rFonts w:ascii="Times New Roman" w:hAnsi="Times New Roman" w:cs="Times New Roman"/>
          <w:i/>
          <w:iCs/>
          <w:sz w:val="24"/>
          <w:szCs w:val="24"/>
        </w:rPr>
        <w:t>s Bank of China</w:t>
      </w:r>
      <w:r w:rsidR="002647CB" w:rsidRPr="00227F9D">
        <w:rPr>
          <w:rFonts w:ascii="Times New Roman" w:hAnsi="Times New Roman" w:cs="Times New Roman"/>
          <w:sz w:val="24"/>
          <w:szCs w:val="24"/>
        </w:rPr>
        <w:t xml:space="preserve">, and </w:t>
      </w:r>
      <w:r w:rsidR="002647CB" w:rsidRPr="00227F9D">
        <w:rPr>
          <w:rFonts w:ascii="Times New Roman" w:hAnsi="Times New Roman" w:cs="Times New Roman"/>
          <w:i/>
          <w:iCs/>
          <w:sz w:val="24"/>
          <w:szCs w:val="24"/>
        </w:rPr>
        <w:t>National Development and Reform Commission</w:t>
      </w:r>
      <w:r w:rsidR="002647CB" w:rsidRPr="00227F9D">
        <w:rPr>
          <w:rFonts w:ascii="Times New Roman" w:hAnsi="Times New Roman" w:cs="Times New Roman"/>
          <w:sz w:val="24"/>
          <w:szCs w:val="24"/>
        </w:rPr>
        <w:t xml:space="preserve"> through the Segmentation algorithm </w:t>
      </w:r>
      <w:proofErr w:type="spellStart"/>
      <w:r w:rsidR="002647CB" w:rsidRPr="00227F9D">
        <w:rPr>
          <w:rFonts w:ascii="Times New Roman" w:hAnsi="Times New Roman" w:cs="Times New Roman"/>
          <w:i/>
          <w:iCs/>
          <w:sz w:val="24"/>
          <w:szCs w:val="24"/>
        </w:rPr>
        <w:t>Jieba</w:t>
      </w:r>
      <w:proofErr w:type="spellEnd"/>
      <w:r w:rsidR="002647CB" w:rsidRPr="00227F9D">
        <w:rPr>
          <w:rFonts w:ascii="Times New Roman" w:hAnsi="Times New Roman" w:cs="Times New Roman"/>
          <w:sz w:val="24"/>
          <w:szCs w:val="24"/>
        </w:rPr>
        <w:t xml:space="preserve"> in Python. Additionally, the CBOW model in the </w:t>
      </w:r>
      <w:r w:rsidR="002647CB" w:rsidRPr="00227F9D">
        <w:rPr>
          <w:rFonts w:ascii="Times New Roman" w:hAnsi="Times New Roman" w:cs="Times New Roman"/>
          <w:i/>
          <w:iCs/>
          <w:sz w:val="24"/>
          <w:szCs w:val="24"/>
        </w:rPr>
        <w:t xml:space="preserve">word2vec </w:t>
      </w:r>
      <w:r w:rsidR="002647CB" w:rsidRPr="00227F9D">
        <w:rPr>
          <w:rFonts w:ascii="Times New Roman" w:hAnsi="Times New Roman" w:cs="Times New Roman"/>
          <w:sz w:val="24"/>
          <w:szCs w:val="24"/>
        </w:rPr>
        <w:t>neural network shown as follows is applicable to expand the seed words through text mining in more than two million textual information of the listed corporate patents</w:t>
      </w:r>
      <w:r w:rsidRPr="00227F9D">
        <w:rPr>
          <w:rFonts w:ascii="Times New Roman" w:hAnsi="Times New Roman" w:cs="Times New Roman"/>
          <w:sz w:val="24"/>
          <w:szCs w:val="24"/>
        </w:rPr>
        <w:t xml:space="preserve"> (See Figure 2</w:t>
      </w:r>
      <w:r w:rsidRPr="00227F9D">
        <w:rPr>
          <w:rFonts w:ascii="Times New Roman" w:hAnsi="Times New Roman" w:cs="Times New Roman"/>
          <w:b/>
          <w:bCs/>
          <w:sz w:val="24"/>
          <w:szCs w:val="24"/>
        </w:rPr>
        <w:t>)</w:t>
      </w:r>
      <w:r w:rsidR="002647CB" w:rsidRPr="00227F9D">
        <w:rPr>
          <w:rFonts w:ascii="Times New Roman" w:hAnsi="Times New Roman" w:cs="Times New Roman"/>
          <w:sz w:val="24"/>
          <w:szCs w:val="24"/>
        </w:rPr>
        <w:t xml:space="preserve">.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10"/>
        <w:gridCol w:w="496"/>
      </w:tblGrid>
      <w:tr w:rsidR="00227F9D" w:rsidRPr="00227F9D" w14:paraId="7AA71F28" w14:textId="77777777" w:rsidTr="00CF6ACF">
        <w:trPr>
          <w:jc w:val="center"/>
        </w:trPr>
        <w:tc>
          <w:tcPr>
            <w:tcW w:w="8046" w:type="dxa"/>
            <w:vAlign w:val="center"/>
          </w:tcPr>
          <w:p w14:paraId="50E920A1" w14:textId="248B2EDD" w:rsidR="00CF6ACF" w:rsidRPr="00227F9D" w:rsidRDefault="00CF6ACF" w:rsidP="002647CB">
            <w:pPr>
              <w:rPr>
                <w:b/>
                <w:bCs/>
                <w:i/>
                <w:iCs/>
              </w:rPr>
            </w:pPr>
            <m:oMathPara>
              <m:oMath>
                <m:r>
                  <w:rPr>
                    <w:rFonts w:ascii="Cambria Math" w:hAnsi="Cambria Math"/>
                  </w:rPr>
                  <m:t>max</m:t>
                </m:r>
                <m:nary>
                  <m:naryPr>
                    <m:chr m:val="∑"/>
                    <m:limLoc m:val="subSup"/>
                    <m:supHide m:val="1"/>
                    <m:ctrlPr>
                      <w:rPr>
                        <w:rFonts w:ascii="Cambria Math" w:hAnsi="Cambria Math"/>
                      </w:rPr>
                    </m:ctrlPr>
                  </m:naryPr>
                  <m:sub>
                    <m:r>
                      <w:rPr>
                        <w:rFonts w:ascii="Cambria Math" w:hAnsi="Cambria Math"/>
                      </w:rPr>
                      <m:t>kϵz</m:t>
                    </m:r>
                  </m:sub>
                  <m:sup/>
                  <m:e>
                    <m:func>
                      <m:funcPr>
                        <m:ctrlPr>
                          <w:rPr>
                            <w:rFonts w:ascii="Cambria Math" w:hAnsi="Cambria Math"/>
                          </w:rPr>
                        </m:ctrlPr>
                      </m:funcPr>
                      <m:fName>
                        <m:r>
                          <m:rPr>
                            <m:sty m:val="p"/>
                          </m:rPr>
                          <w:rPr>
                            <w:rFonts w:ascii="Cambria Math" w:hAnsi="Cambria Math"/>
                          </w:rPr>
                          <m:t>log</m:t>
                        </m:r>
                      </m:fName>
                      <m:e>
                        <m:r>
                          <w:rPr>
                            <w:rFonts w:ascii="Cambria Math" w:hAnsi="Cambria Math"/>
                          </w:rPr>
                          <m:t>p</m:t>
                        </m:r>
                        <m:r>
                          <m:rPr>
                            <m:sty m:val="p"/>
                          </m:rPr>
                          <w:rPr>
                            <w:rFonts w:ascii="Cambria Math" w:hAnsi="Cambria Math"/>
                          </w:rPr>
                          <m:t>(</m:t>
                        </m:r>
                        <m:r>
                          <w:rPr>
                            <w:rFonts w:ascii="Cambria Math" w:hAnsi="Cambria Math"/>
                          </w:rPr>
                          <m:t>k</m:t>
                        </m:r>
                        <m:r>
                          <m:rPr>
                            <m:sty m:val="p"/>
                          </m:rPr>
                          <w:rPr>
                            <w:rFonts w:ascii="Cambria Math" w:hAnsi="Cambria Math"/>
                          </w:rPr>
                          <m:t>|</m:t>
                        </m:r>
                        <m:r>
                          <w:rPr>
                            <w:rFonts w:ascii="Cambria Math" w:hAnsi="Cambria Math"/>
                          </w:rPr>
                          <m:t>Context</m:t>
                        </m:r>
                        <m:d>
                          <m:dPr>
                            <m:ctrlPr>
                              <w:rPr>
                                <w:rFonts w:ascii="Cambria Math" w:hAnsi="Cambria Math"/>
                              </w:rPr>
                            </m:ctrlPr>
                          </m:dPr>
                          <m:e>
                            <m:r>
                              <w:rPr>
                                <w:rFonts w:ascii="Cambria Math" w:hAnsi="Cambria Math"/>
                              </w:rPr>
                              <m:t>k</m:t>
                            </m:r>
                          </m:e>
                        </m:d>
                        <m:r>
                          <m:rPr>
                            <m:sty m:val="p"/>
                          </m:rPr>
                          <w:rPr>
                            <w:rFonts w:ascii="Cambria Math" w:hAnsi="Cambria Math"/>
                          </w:rPr>
                          <m:t>)</m:t>
                        </m:r>
                      </m:e>
                    </m:func>
                  </m:e>
                </m:nary>
              </m:oMath>
            </m:oMathPara>
          </w:p>
        </w:tc>
        <w:tc>
          <w:tcPr>
            <w:tcW w:w="476" w:type="dxa"/>
            <w:vAlign w:val="center"/>
          </w:tcPr>
          <w:p w14:paraId="1A95A9FD" w14:textId="50DD8EBD" w:rsidR="00CF6ACF" w:rsidRPr="00227F9D" w:rsidRDefault="00CF6ACF" w:rsidP="00CF6ACF">
            <w:pPr>
              <w:pStyle w:val="Equation"/>
              <w:spacing w:line="240" w:lineRule="auto"/>
            </w:pPr>
            <w:r w:rsidRPr="00227F9D">
              <w:t>(2)</w:t>
            </w:r>
          </w:p>
        </w:tc>
      </w:tr>
    </w:tbl>
    <w:p w14:paraId="37DAF411" w14:textId="16F088FF"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 xml:space="preserve">In Eq. (2), </w:t>
      </w:r>
      <m:oMath>
        <m:r>
          <w:rPr>
            <w:rFonts w:ascii="Cambria Math" w:hAnsi="Cambria Math" w:cs="Times New Roman"/>
            <w:sz w:val="24"/>
            <w:szCs w:val="24"/>
          </w:rPr>
          <m:t>k</m:t>
        </m:r>
      </m:oMath>
      <w:r w:rsidRPr="00227F9D">
        <w:rPr>
          <w:rFonts w:ascii="Times New Roman" w:hAnsi="Times New Roman" w:cs="Times New Roman"/>
          <w:sz w:val="24"/>
          <w:szCs w:val="24"/>
        </w:rPr>
        <w:t xml:space="preserve"> is the center word, </w:t>
      </w:r>
      <m:oMath>
        <m:r>
          <w:rPr>
            <w:rFonts w:ascii="Cambria Math" w:hAnsi="Cambria Math" w:cs="Times New Roman"/>
            <w:sz w:val="24"/>
            <w:szCs w:val="24"/>
          </w:rPr>
          <m:t>z</m:t>
        </m:r>
      </m:oMath>
      <w:r w:rsidRPr="00227F9D">
        <w:rPr>
          <w:rFonts w:ascii="Times New Roman" w:hAnsi="Times New Roman" w:cs="Times New Roman"/>
          <w:sz w:val="24"/>
          <w:szCs w:val="24"/>
        </w:rPr>
        <w:t xml:space="preserve"> is the corpus, and </w:t>
      </w:r>
      <m:oMath>
        <m:r>
          <w:rPr>
            <w:rFonts w:ascii="Cambria Math" w:hAnsi="Cambria Math" w:cs="Times New Roman"/>
            <w:sz w:val="24"/>
            <w:szCs w:val="24"/>
          </w:rPr>
          <m:t>Context (k)</m:t>
        </m:r>
      </m:oMath>
      <w:r w:rsidRPr="00227F9D">
        <w:rPr>
          <w:rFonts w:ascii="Times New Roman" w:hAnsi="Times New Roman" w:cs="Times New Roman"/>
          <w:sz w:val="24"/>
          <w:szCs w:val="24"/>
        </w:rPr>
        <w:t xml:space="preserve"> is the text of the front and back for the center anchored word. After expanding the vocabulary base, a library of 236 keywords was obtained to determine by manually verifying all the keywords in the base. Subsequently, the keyword library was matched and identified with the textual information of listed company patents to determine the number of energy patent applications of the company, which is used to measure the energy innovation of the company after adding 1 to take the logarithm of the number of applications </w:t>
      </w:r>
      <w:r w:rsidR="00CF6ACF" w:rsidRPr="00227F9D">
        <w:rPr>
          <w:rFonts w:ascii="Times New Roman" w:hAnsi="Times New Roman" w:cs="Times New Roman"/>
          <w:sz w:val="24"/>
          <w:szCs w:val="24"/>
        </w:rPr>
        <w:t>(</w:t>
      </w:r>
      <w:r w:rsidR="00CF6ACF" w:rsidRPr="00227F9D">
        <w:rPr>
          <w:rFonts w:ascii="Times New Roman" w:hAnsi="Times New Roman" w:cs="Times New Roman"/>
          <w:i/>
          <w:iCs/>
          <w:sz w:val="24"/>
          <w:szCs w:val="24"/>
        </w:rPr>
        <w:t>CEI</w:t>
      </w:r>
      <w:r w:rsidR="00CF6ACF" w:rsidRPr="00227F9D">
        <w:rPr>
          <w:rFonts w:ascii="Times New Roman" w:hAnsi="Times New Roman" w:cs="Times New Roman"/>
          <w:sz w:val="24"/>
          <w:szCs w:val="24"/>
        </w:rPr>
        <w:t>)</w:t>
      </w:r>
      <w:r w:rsidRPr="00227F9D">
        <w:rPr>
          <w:rFonts w:ascii="Times New Roman" w:hAnsi="Times New Roman" w:cs="Times New Roman"/>
          <w:sz w:val="24"/>
          <w:szCs w:val="24"/>
        </w:rPr>
        <w:t>.</w:t>
      </w:r>
    </w:p>
    <w:p w14:paraId="188E89AD" w14:textId="6D99B6B4" w:rsidR="008F73D7" w:rsidRPr="00227F9D" w:rsidRDefault="008F73D7" w:rsidP="008F73D7">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Figure 2 about here]</w:t>
      </w:r>
    </w:p>
    <w:p w14:paraId="723C4F47" w14:textId="77777777" w:rsidR="002647CB" w:rsidRPr="00227F9D" w:rsidRDefault="002647CB" w:rsidP="002647CB">
      <w:pPr>
        <w:rPr>
          <w:rFonts w:ascii="Times New Roman" w:hAnsi="Times New Roman" w:cs="Times New Roman"/>
        </w:rPr>
      </w:pPr>
    </w:p>
    <w:p w14:paraId="0EBA5CC5" w14:textId="1D580957" w:rsidR="002647CB" w:rsidRPr="00227F9D" w:rsidRDefault="007C6EF1" w:rsidP="002647CB">
      <w:pPr>
        <w:rPr>
          <w:rFonts w:ascii="Times New Roman" w:hAnsi="Times New Roman" w:cs="Times New Roman"/>
          <w:b/>
          <w:bCs/>
          <w:sz w:val="24"/>
          <w:szCs w:val="24"/>
        </w:rPr>
      </w:pPr>
      <w:r w:rsidRPr="00227F9D">
        <w:rPr>
          <w:rFonts w:ascii="Times New Roman" w:hAnsi="Times New Roman" w:cs="Times New Roman" w:hint="eastAsia"/>
          <w:b/>
          <w:bCs/>
          <w:sz w:val="24"/>
          <w:szCs w:val="24"/>
        </w:rPr>
        <w:t>4</w:t>
      </w:r>
      <w:r w:rsidR="002647CB" w:rsidRPr="00227F9D">
        <w:rPr>
          <w:rFonts w:ascii="Times New Roman" w:hAnsi="Times New Roman" w:cs="Times New Roman"/>
          <w:b/>
          <w:bCs/>
          <w:sz w:val="24"/>
          <w:szCs w:val="24"/>
        </w:rPr>
        <w:t>.2.2 Independent variable: ESG media reputation</w:t>
      </w:r>
      <w:r w:rsidR="00CF6ACF" w:rsidRPr="00227F9D">
        <w:rPr>
          <w:rFonts w:ascii="Times New Roman" w:hAnsi="Times New Roman" w:cs="Times New Roman"/>
          <w:b/>
          <w:bCs/>
          <w:sz w:val="24"/>
          <w:szCs w:val="24"/>
        </w:rPr>
        <w:t xml:space="preserve"> (</w:t>
      </w:r>
      <w:proofErr w:type="spellStart"/>
      <w:r w:rsidR="00CF6ACF" w:rsidRPr="00227F9D">
        <w:rPr>
          <w:rFonts w:ascii="Times New Roman" w:hAnsi="Times New Roman" w:cs="Times New Roman"/>
          <w:b/>
          <w:bCs/>
          <w:i/>
          <w:iCs/>
          <w:sz w:val="24"/>
          <w:szCs w:val="24"/>
        </w:rPr>
        <w:t>esg_news</w:t>
      </w:r>
      <w:proofErr w:type="spellEnd"/>
      <w:r w:rsidR="00CF6ACF" w:rsidRPr="00227F9D">
        <w:rPr>
          <w:rFonts w:ascii="Times New Roman" w:hAnsi="Times New Roman" w:cs="Times New Roman"/>
          <w:b/>
          <w:bCs/>
          <w:sz w:val="24"/>
          <w:szCs w:val="24"/>
        </w:rPr>
        <w:t>)</w:t>
      </w:r>
    </w:p>
    <w:p w14:paraId="1E859C5A" w14:textId="60BDE872"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 xml:space="preserve">In this study, the </w:t>
      </w:r>
      <w:r w:rsidR="009F66B1" w:rsidRPr="00227F9D">
        <w:rPr>
          <w:rFonts w:ascii="Times New Roman" w:hAnsi="Times New Roman" w:cs="Times New Roman"/>
          <w:sz w:val="24"/>
          <w:szCs w:val="24"/>
        </w:rPr>
        <w:t>in</w:t>
      </w:r>
      <w:r w:rsidRPr="00227F9D">
        <w:rPr>
          <w:rFonts w:ascii="Times New Roman" w:hAnsi="Times New Roman" w:cs="Times New Roman"/>
          <w:sz w:val="24"/>
          <w:szCs w:val="24"/>
        </w:rPr>
        <w:t>dependent variable is ESG media reputation (</w:t>
      </w:r>
      <w:proofErr w:type="spellStart"/>
      <w:r w:rsidR="00CF6ACF"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which is measured using the average sentiment value of company news texts related to ESG in the given year. A higher value indicates a higher ESG reputation for the company. The reasons are as follows. On the one hand, news reports contain a wealth of first-hand information about a company</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ESG governance activities (Capelle</w:t>
      </w:r>
      <w:r w:rsidR="0055046B" w:rsidRPr="00227F9D">
        <w:rPr>
          <w:rFonts w:ascii="Times New Roman" w:hAnsi="Times New Roman" w:cs="Times New Roman" w:hint="eastAsia"/>
          <w:sz w:val="24"/>
          <w:szCs w:val="24"/>
        </w:rPr>
        <w:t>-</w:t>
      </w:r>
      <w:proofErr w:type="spellStart"/>
      <w:r w:rsidRPr="00227F9D">
        <w:rPr>
          <w:rFonts w:ascii="Times New Roman" w:hAnsi="Times New Roman" w:cs="Times New Roman"/>
          <w:sz w:val="24"/>
          <w:szCs w:val="24"/>
        </w:rPr>
        <w:t>Blancard</w:t>
      </w:r>
      <w:proofErr w:type="spellEnd"/>
      <w:r w:rsidRPr="00227F9D">
        <w:rPr>
          <w:rFonts w:ascii="Times New Roman" w:hAnsi="Times New Roman" w:cs="Times New Roman"/>
          <w:sz w:val="24"/>
          <w:szCs w:val="24"/>
        </w:rPr>
        <w:t xml:space="preserve"> and Petit, 2019), and the sentiment expressed in these texts can effectively reflect online public opinion</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recognition of the company</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ESG practices (Asante Appiah and Lambert, 2022; Serafim and Yoon, 2023). On the other hand, positive media coverage is positively correlated with a company</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ESG information disclosure (Yu et al., 2023). Furthermore, media sentiment influences the behavior of shareholders, customers, and other stakeholders, thereby affecting the company</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 xml:space="preserve">s market reputation (Yu et al., 2023; Chasiotis et al., 2024; Li et al., 2024). Therefore, the sentiment of ESG-related news </w:t>
      </w:r>
      <w:r w:rsidRPr="00227F9D">
        <w:rPr>
          <w:rFonts w:ascii="Times New Roman" w:hAnsi="Times New Roman" w:cs="Times New Roman"/>
          <w:sz w:val="24"/>
          <w:szCs w:val="24"/>
        </w:rPr>
        <w:lastRenderedPageBreak/>
        <w:t>texts can be considered as an effective external indicator for measuring a company</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ESG reputation. The specific steps are as follows</w:t>
      </w:r>
      <w:r w:rsidR="008F73D7" w:rsidRPr="00227F9D">
        <w:rPr>
          <w:rFonts w:ascii="Times New Roman" w:hAnsi="Times New Roman" w:cs="Times New Roman" w:hint="eastAsia"/>
          <w:sz w:val="24"/>
          <w:szCs w:val="24"/>
        </w:rPr>
        <w:t xml:space="preserve"> (See Figure 3)</w:t>
      </w:r>
      <w:r w:rsidRPr="00227F9D">
        <w:rPr>
          <w:rFonts w:ascii="Times New Roman" w:hAnsi="Times New Roman" w:cs="Times New Roman"/>
          <w:sz w:val="24"/>
          <w:szCs w:val="24"/>
        </w:rPr>
        <w:t>:</w:t>
      </w:r>
    </w:p>
    <w:p w14:paraId="06CBF7AC" w14:textId="3BC9B7E1" w:rsidR="002647CB" w:rsidRPr="00227F9D" w:rsidRDefault="002647CB" w:rsidP="002647CB">
      <w:pPr>
        <w:ind w:firstLine="420"/>
        <w:rPr>
          <w:rFonts w:ascii="Times New Roman" w:hAnsi="Times New Roman" w:cs="Times New Roman"/>
          <w:sz w:val="24"/>
          <w:szCs w:val="24"/>
        </w:rPr>
      </w:pPr>
      <w:r w:rsidRPr="00227F9D">
        <w:rPr>
          <w:rFonts w:ascii="Times New Roman" w:hAnsi="Times New Roman" w:cs="Times New Roman"/>
          <w:sz w:val="24"/>
          <w:szCs w:val="24"/>
        </w:rPr>
        <w:t xml:space="preserve">(1) Data Collection: This study employs a specialized web scraping method to retrieve and extract news text content from </w:t>
      </w:r>
      <w:r w:rsidRPr="00227F9D">
        <w:rPr>
          <w:rFonts w:ascii="Times New Roman" w:hAnsi="Times New Roman" w:cs="Times New Roman"/>
          <w:i/>
          <w:iCs/>
          <w:sz w:val="24"/>
          <w:szCs w:val="24"/>
        </w:rPr>
        <w:t>Baidu News</w:t>
      </w:r>
      <w:r w:rsidRPr="00227F9D">
        <w:rPr>
          <w:rFonts w:ascii="Times New Roman" w:hAnsi="Times New Roman" w:cs="Times New Roman"/>
          <w:sz w:val="24"/>
          <w:szCs w:val="24"/>
        </w:rPr>
        <w:t xml:space="preserve"> (</w:t>
      </w:r>
      <w:r w:rsidR="00833026" w:rsidRPr="00227F9D">
        <w:rPr>
          <w:rFonts w:ascii="Times New Roman" w:hAnsi="Times New Roman" w:cs="Times New Roman" w:hint="eastAsia"/>
          <w:sz w:val="24"/>
          <w:szCs w:val="24"/>
        </w:rPr>
        <w:t>https://news.baidu.com/</w:t>
      </w:r>
      <w:r w:rsidRPr="00227F9D">
        <w:rPr>
          <w:rFonts w:ascii="Times New Roman" w:hAnsi="Times New Roman" w:cs="Times New Roman"/>
          <w:sz w:val="24"/>
          <w:szCs w:val="24"/>
        </w:rPr>
        <w:t>). A Bloom filter is used to detect and remove duplicate news articles, retaining only news reports related to Chinese listed companies. The resulting dataset comprises over 10 million news articles.</w:t>
      </w:r>
    </w:p>
    <w:p w14:paraId="59E94631" w14:textId="4EA6B135" w:rsidR="002647CB" w:rsidRPr="00227F9D" w:rsidRDefault="002647CB" w:rsidP="002647CB">
      <w:pPr>
        <w:ind w:firstLine="420"/>
        <w:rPr>
          <w:rFonts w:ascii="Times New Roman" w:hAnsi="Times New Roman" w:cs="Times New Roman"/>
          <w:sz w:val="24"/>
          <w:szCs w:val="24"/>
        </w:rPr>
      </w:pPr>
      <w:r w:rsidRPr="00227F9D">
        <w:rPr>
          <w:rFonts w:ascii="Times New Roman" w:hAnsi="Times New Roman" w:cs="Times New Roman"/>
          <w:sz w:val="24"/>
          <w:szCs w:val="24"/>
        </w:rPr>
        <w:t>(2) ESG News Identification: Based on the research by Capelle</w:t>
      </w:r>
      <w:r w:rsidR="0055046B" w:rsidRPr="00227F9D">
        <w:rPr>
          <w:rFonts w:ascii="Times New Roman" w:hAnsi="Times New Roman" w:cs="Times New Roman" w:hint="eastAsia"/>
          <w:sz w:val="24"/>
          <w:szCs w:val="24"/>
        </w:rPr>
        <w:t>-</w:t>
      </w:r>
      <w:proofErr w:type="spellStart"/>
      <w:r w:rsidRPr="00227F9D">
        <w:rPr>
          <w:rFonts w:ascii="Times New Roman" w:hAnsi="Times New Roman" w:cs="Times New Roman"/>
          <w:sz w:val="24"/>
          <w:szCs w:val="24"/>
        </w:rPr>
        <w:t>Blancard</w:t>
      </w:r>
      <w:proofErr w:type="spellEnd"/>
      <w:r w:rsidRPr="00227F9D">
        <w:rPr>
          <w:rFonts w:ascii="Times New Roman" w:hAnsi="Times New Roman" w:cs="Times New Roman"/>
          <w:sz w:val="24"/>
          <w:szCs w:val="24"/>
        </w:rPr>
        <w:t xml:space="preserve"> and Petit (2019), this study combines machine learning and expert judgment to filter out news related to ESG from the raw news data. Specifically, ESG topics are defined according to the guidelines of the Hong Kong Stock Exchange</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w:t>
      </w:r>
      <w:r w:rsidRPr="00227F9D">
        <w:rPr>
          <w:rFonts w:ascii="Times New Roman" w:hAnsi="Times New Roman" w:cs="Times New Roman"/>
          <w:i/>
          <w:iCs/>
          <w:sz w:val="24"/>
          <w:szCs w:val="24"/>
        </w:rPr>
        <w:t>Environmental, Social, and Governance Reporting Guide</w:t>
      </w:r>
      <w:r w:rsidRPr="00227F9D">
        <w:rPr>
          <w:rFonts w:ascii="Times New Roman" w:hAnsi="Times New Roman" w:cs="Times New Roman"/>
          <w:sz w:val="24"/>
          <w:szCs w:val="24"/>
        </w:rPr>
        <w:t>,” ESG rating systems from rating agencies, and various ESG or social responsibility reports issued by companies</w:t>
      </w:r>
      <w:r w:rsidR="007775A5" w:rsidRPr="00227F9D">
        <w:rPr>
          <w:rFonts w:ascii="Times New Roman" w:hAnsi="Times New Roman" w:cs="Times New Roman" w:hint="eastAsia"/>
          <w:sz w:val="24"/>
          <w:szCs w:val="24"/>
        </w:rPr>
        <w:t xml:space="preserve"> (See Appendix Table A2)</w:t>
      </w:r>
      <w:r w:rsidRPr="00227F9D">
        <w:rPr>
          <w:rFonts w:ascii="Times New Roman" w:hAnsi="Times New Roman" w:cs="Times New Roman"/>
          <w:sz w:val="24"/>
          <w:szCs w:val="24"/>
        </w:rPr>
        <w:t xml:space="preserve">. Initially, 4,000 news articles on ESG were selected based on these topics. Four researchers reviewed 1,000 articles each, and 3,046 articles were classified as </w:t>
      </w:r>
      <w:r w:rsidR="009F66B1" w:rsidRPr="00227F9D">
        <w:rPr>
          <w:rFonts w:ascii="Times New Roman" w:hAnsi="Times New Roman" w:cs="Times New Roman"/>
          <w:sz w:val="24"/>
          <w:szCs w:val="24"/>
        </w:rPr>
        <w:t>“</w:t>
      </w:r>
      <w:r w:rsidRPr="00227F9D">
        <w:rPr>
          <w:rFonts w:ascii="Times New Roman" w:hAnsi="Times New Roman" w:cs="Times New Roman"/>
          <w:sz w:val="24"/>
          <w:szCs w:val="24"/>
        </w:rPr>
        <w:t>ESG-related</w:t>
      </w:r>
      <w:r w:rsidR="009F66B1" w:rsidRPr="00227F9D">
        <w:rPr>
          <w:rFonts w:ascii="Times New Roman" w:hAnsi="Times New Roman" w:cs="Times New Roman"/>
          <w:sz w:val="24"/>
          <w:szCs w:val="24"/>
        </w:rPr>
        <w:t>”</w:t>
      </w:r>
      <w:r w:rsidRPr="00227F9D">
        <w:rPr>
          <w:rFonts w:ascii="Times New Roman" w:hAnsi="Times New Roman" w:cs="Times New Roman"/>
          <w:sz w:val="24"/>
          <w:szCs w:val="24"/>
        </w:rPr>
        <w:t xml:space="preserve"> news. A subset of these 3,046 ESG news articles and 951 non-ESG news articles were used to train an OVR-SVM classification model. The trained model was then applied to the over 3 million raw news articles, resulting in over 2000,000 articles being flagged as related to ESG. Finally, the four researchers reviewed the automatically flagged ESG news articles, removing those with classification errors, ultimately yielding 2,276,364 ESG news articles. The accuracy rate of the model is approximately 91.33%.</w:t>
      </w:r>
    </w:p>
    <w:p w14:paraId="6536B54B" w14:textId="47302887" w:rsidR="002647CB" w:rsidRPr="00227F9D" w:rsidRDefault="002647CB" w:rsidP="002647CB">
      <w:pPr>
        <w:ind w:firstLine="420"/>
        <w:rPr>
          <w:rFonts w:ascii="Times New Roman" w:hAnsi="Times New Roman" w:cs="Times New Roman"/>
        </w:rPr>
      </w:pPr>
      <w:r w:rsidRPr="00227F9D">
        <w:rPr>
          <w:rFonts w:ascii="Times New Roman" w:hAnsi="Times New Roman" w:cs="Times New Roman"/>
          <w:sz w:val="24"/>
          <w:szCs w:val="24"/>
        </w:rPr>
        <w:t>(3) Sentiment Analysis: The sentiment analysis of news texts is conducted using Natural Language Processing (NLP) techniques. The ESG news sentiment index is calculated annually for each company. Specifically, 2,000 reports (1,000 with optimistic sentiment and 1,000 with pessimistic sentiment) are randomly selected from the 2,276,364 ESG news reports as the training dataset. The sentiment of each ESG news report is labeled and classified using a Bayesian classifier. After completing the machine learning training, the sentiment score of each ESG news report is calculated based on the previously labeled corpus and the Bayesian classification method. The final ESG media reputation indicator (</w:t>
      </w:r>
      <w:proofErr w:type="spellStart"/>
      <w:r w:rsidR="00CF6ACF"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is obtained by averaging the sentiment scores of all ESG news texts for each company per year.</w:t>
      </w:r>
    </w:p>
    <w:p w14:paraId="7CD2399F" w14:textId="2C02524D" w:rsidR="008F73D7" w:rsidRPr="00227F9D" w:rsidRDefault="008F73D7" w:rsidP="008F73D7">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Figure 3 about here]</w:t>
      </w:r>
    </w:p>
    <w:p w14:paraId="5E40810B" w14:textId="77777777" w:rsidR="002647CB" w:rsidRPr="00227F9D" w:rsidRDefault="002647CB" w:rsidP="002647CB">
      <w:pPr>
        <w:rPr>
          <w:rFonts w:ascii="Times New Roman" w:hAnsi="Times New Roman" w:cs="Times New Roman"/>
        </w:rPr>
      </w:pPr>
    </w:p>
    <w:p w14:paraId="6BA36B85" w14:textId="05B46BDF" w:rsidR="002647CB" w:rsidRPr="00227F9D" w:rsidRDefault="007C6EF1" w:rsidP="002647CB">
      <w:pPr>
        <w:rPr>
          <w:rFonts w:ascii="Times New Roman" w:hAnsi="Times New Roman" w:cs="Times New Roman"/>
          <w:b/>
          <w:bCs/>
          <w:sz w:val="24"/>
          <w:szCs w:val="24"/>
        </w:rPr>
      </w:pPr>
      <w:r w:rsidRPr="00227F9D">
        <w:rPr>
          <w:rFonts w:ascii="Times New Roman" w:hAnsi="Times New Roman" w:cs="Times New Roman" w:hint="eastAsia"/>
          <w:b/>
          <w:bCs/>
          <w:sz w:val="24"/>
          <w:szCs w:val="24"/>
        </w:rPr>
        <w:t>4</w:t>
      </w:r>
      <w:r w:rsidR="002647CB" w:rsidRPr="00227F9D">
        <w:rPr>
          <w:rFonts w:ascii="Times New Roman" w:hAnsi="Times New Roman" w:cs="Times New Roman"/>
          <w:b/>
          <w:bCs/>
          <w:sz w:val="24"/>
          <w:szCs w:val="24"/>
        </w:rPr>
        <w:t>.2.3 Controllable variables</w:t>
      </w:r>
    </w:p>
    <w:p w14:paraId="2803B016" w14:textId="5221CAD8" w:rsidR="009F66B1" w:rsidRPr="00227F9D" w:rsidRDefault="009F66B1" w:rsidP="002647CB">
      <w:pPr>
        <w:rPr>
          <w:rFonts w:ascii="Times New Roman" w:hAnsi="Times New Roman" w:cs="Times New Roman"/>
          <w:sz w:val="24"/>
          <w:szCs w:val="24"/>
        </w:rPr>
      </w:pPr>
      <w:r w:rsidRPr="00227F9D">
        <w:rPr>
          <w:rFonts w:ascii="Times New Roman" w:hAnsi="Times New Roman" w:cs="Times New Roman"/>
          <w:sz w:val="24"/>
          <w:szCs w:val="24"/>
        </w:rPr>
        <w:t xml:space="preserve">Drawing on the research approaches of Chu et al. (2024) and Tan et al. (2024), this paper incorporates several </w:t>
      </w:r>
      <w:r w:rsidR="007A67B2" w:rsidRPr="00227F9D">
        <w:rPr>
          <w:rFonts w:ascii="Times New Roman" w:hAnsi="Times New Roman" w:cs="Times New Roman"/>
          <w:sz w:val="24"/>
          <w:szCs w:val="24"/>
        </w:rPr>
        <w:t xml:space="preserve">control </w:t>
      </w:r>
      <w:r w:rsidRPr="00227F9D">
        <w:rPr>
          <w:rFonts w:ascii="Times New Roman" w:hAnsi="Times New Roman" w:cs="Times New Roman"/>
          <w:sz w:val="24"/>
          <w:szCs w:val="24"/>
        </w:rPr>
        <w:t>variables that may influence corporate energy innovation and sustainable development performance</w:t>
      </w:r>
      <w:r w:rsidR="007160B3" w:rsidRPr="00227F9D">
        <w:rPr>
          <w:rFonts w:ascii="Times New Roman" w:hAnsi="Times New Roman" w:cs="Times New Roman"/>
          <w:sz w:val="24"/>
          <w:szCs w:val="24"/>
        </w:rPr>
        <w:t>. T</w:t>
      </w:r>
      <w:r w:rsidRPr="00227F9D">
        <w:rPr>
          <w:rFonts w:ascii="Times New Roman" w:hAnsi="Times New Roman" w:cs="Times New Roman"/>
          <w:sz w:val="24"/>
          <w:szCs w:val="24"/>
        </w:rPr>
        <w:t>hese include company size (</w:t>
      </w:r>
      <w:r w:rsidRPr="00227F9D">
        <w:rPr>
          <w:rFonts w:ascii="Times New Roman" w:hAnsi="Times New Roman" w:cs="Times New Roman"/>
          <w:i/>
          <w:iCs/>
          <w:sz w:val="24"/>
          <w:szCs w:val="24"/>
        </w:rPr>
        <w:t>size</w:t>
      </w:r>
      <w:r w:rsidRPr="00227F9D">
        <w:rPr>
          <w:rFonts w:ascii="Times New Roman" w:hAnsi="Times New Roman" w:cs="Times New Roman"/>
          <w:sz w:val="24"/>
          <w:szCs w:val="24"/>
        </w:rPr>
        <w:t>),</w:t>
      </w:r>
      <w:r w:rsidR="00285BD5" w:rsidRPr="00227F9D">
        <w:rPr>
          <w:rFonts w:ascii="Times New Roman" w:hAnsi="Times New Roman" w:cs="Times New Roman"/>
          <w:sz w:val="24"/>
          <w:szCs w:val="24"/>
        </w:rPr>
        <w:t xml:space="preserve"> which reflects the resources available for energy innovation</w:t>
      </w:r>
      <w:r w:rsidR="00A34E28" w:rsidRPr="00227F9D">
        <w:rPr>
          <w:rFonts w:ascii="Times New Roman" w:hAnsi="Times New Roman" w:cs="Times New Roman"/>
          <w:sz w:val="24"/>
          <w:szCs w:val="24"/>
        </w:rPr>
        <w:t xml:space="preserve"> (</w:t>
      </w:r>
      <w:r w:rsidR="006702BB" w:rsidRPr="00227F9D">
        <w:rPr>
          <w:rFonts w:ascii="Times New Roman" w:hAnsi="Times New Roman" w:cs="Times New Roman"/>
          <w:sz w:val="24"/>
          <w:szCs w:val="24"/>
        </w:rPr>
        <w:t>Tan et al., 2025</w:t>
      </w:r>
      <w:r w:rsidR="00B419EB" w:rsidRPr="00227F9D">
        <w:rPr>
          <w:rFonts w:ascii="Times New Roman" w:hAnsi="Times New Roman" w:cs="Times New Roman"/>
          <w:sz w:val="24"/>
          <w:szCs w:val="24"/>
        </w:rPr>
        <w:t>; Tee et al., 2024</w:t>
      </w:r>
      <w:r w:rsidR="00A34E28" w:rsidRPr="00227F9D">
        <w:rPr>
          <w:rFonts w:ascii="Times New Roman" w:hAnsi="Times New Roman" w:cs="Times New Roman"/>
          <w:sz w:val="24"/>
          <w:szCs w:val="24"/>
        </w:rPr>
        <w:t>)</w:t>
      </w:r>
      <w:r w:rsidR="00285BD5" w:rsidRPr="00227F9D">
        <w:rPr>
          <w:rFonts w:ascii="Times New Roman" w:hAnsi="Times New Roman" w:cs="Times New Roman"/>
          <w:sz w:val="24"/>
          <w:szCs w:val="24"/>
        </w:rPr>
        <w:t>;</w:t>
      </w:r>
      <w:r w:rsidRPr="00227F9D">
        <w:rPr>
          <w:rFonts w:ascii="Times New Roman" w:hAnsi="Times New Roman" w:cs="Times New Roman"/>
          <w:sz w:val="24"/>
          <w:szCs w:val="24"/>
        </w:rPr>
        <w:t xml:space="preserve"> profitability (</w:t>
      </w:r>
      <w:proofErr w:type="spellStart"/>
      <w:r w:rsidRPr="00227F9D">
        <w:rPr>
          <w:rFonts w:ascii="Times New Roman" w:hAnsi="Times New Roman" w:cs="Times New Roman"/>
          <w:i/>
          <w:iCs/>
          <w:sz w:val="24"/>
          <w:szCs w:val="24"/>
        </w:rPr>
        <w:t>roa</w:t>
      </w:r>
      <w:proofErr w:type="spellEnd"/>
      <w:r w:rsidRPr="00227F9D">
        <w:rPr>
          <w:rFonts w:ascii="Times New Roman" w:hAnsi="Times New Roman" w:cs="Times New Roman"/>
          <w:sz w:val="24"/>
          <w:szCs w:val="24"/>
        </w:rPr>
        <w:t>),</w:t>
      </w:r>
      <w:r w:rsidR="00285BD5" w:rsidRPr="00227F9D">
        <w:rPr>
          <w:rFonts w:ascii="Times New Roman" w:hAnsi="Times New Roman" w:cs="Times New Roman"/>
          <w:sz w:val="24"/>
          <w:szCs w:val="24"/>
        </w:rPr>
        <w:t xml:space="preserve"> which indicates a firm’s capacity to fund sustainability initiatives</w:t>
      </w:r>
      <w:r w:rsidR="00B419EB" w:rsidRPr="00227F9D">
        <w:rPr>
          <w:rFonts w:ascii="Times New Roman" w:hAnsi="Times New Roman" w:cs="Times New Roman"/>
          <w:sz w:val="24"/>
          <w:szCs w:val="24"/>
        </w:rPr>
        <w:t xml:space="preserve"> (Tee et al., 2024)</w:t>
      </w:r>
      <w:r w:rsidR="004952F0" w:rsidRPr="00227F9D">
        <w:rPr>
          <w:rFonts w:ascii="Times New Roman" w:hAnsi="Times New Roman" w:cs="Times New Roman"/>
          <w:sz w:val="24"/>
          <w:szCs w:val="24"/>
        </w:rPr>
        <w:t>; and</w:t>
      </w:r>
      <w:r w:rsidRPr="00227F9D">
        <w:rPr>
          <w:rFonts w:ascii="Times New Roman" w:hAnsi="Times New Roman" w:cs="Times New Roman"/>
          <w:sz w:val="24"/>
          <w:szCs w:val="24"/>
        </w:rPr>
        <w:t xml:space="preserve"> financial leverage (</w:t>
      </w:r>
      <w:r w:rsidRPr="00227F9D">
        <w:rPr>
          <w:rFonts w:ascii="Times New Roman" w:hAnsi="Times New Roman" w:cs="Times New Roman"/>
          <w:i/>
          <w:iCs/>
          <w:sz w:val="24"/>
          <w:szCs w:val="24"/>
        </w:rPr>
        <w:t>lev</w:t>
      </w:r>
      <w:r w:rsidRPr="00227F9D">
        <w:rPr>
          <w:rFonts w:ascii="Times New Roman" w:hAnsi="Times New Roman" w:cs="Times New Roman"/>
          <w:sz w:val="24"/>
          <w:szCs w:val="24"/>
        </w:rPr>
        <w:t>),</w:t>
      </w:r>
      <w:r w:rsidR="004952F0" w:rsidRPr="00227F9D">
        <w:rPr>
          <w:rFonts w:ascii="Times New Roman" w:hAnsi="Times New Roman" w:cs="Times New Roman"/>
          <w:sz w:val="24"/>
          <w:szCs w:val="24"/>
        </w:rPr>
        <w:t xml:space="preserve"> which affects the firm’s flexibility in financing such projects</w:t>
      </w:r>
      <w:r w:rsidR="007B114F" w:rsidRPr="00227F9D">
        <w:rPr>
          <w:rFonts w:ascii="Times New Roman" w:hAnsi="Times New Roman" w:cs="Times New Roman"/>
          <w:sz w:val="24"/>
          <w:szCs w:val="24"/>
        </w:rPr>
        <w:t xml:space="preserve"> (</w:t>
      </w:r>
      <w:r w:rsidR="00AC3CEE" w:rsidRPr="00227F9D">
        <w:rPr>
          <w:rFonts w:ascii="Times New Roman" w:hAnsi="Times New Roman" w:cs="Times New Roman" w:hint="eastAsia"/>
          <w:sz w:val="24"/>
          <w:szCs w:val="24"/>
        </w:rPr>
        <w:t>Gao et al.</w:t>
      </w:r>
      <w:r w:rsidR="007B114F" w:rsidRPr="00227F9D">
        <w:rPr>
          <w:rFonts w:ascii="Times New Roman" w:hAnsi="Times New Roman" w:cs="Times New Roman"/>
          <w:sz w:val="24"/>
          <w:szCs w:val="24"/>
        </w:rPr>
        <w:t>,</w:t>
      </w:r>
      <w:r w:rsidR="00AC3CEE" w:rsidRPr="00227F9D">
        <w:rPr>
          <w:rFonts w:ascii="Times New Roman" w:hAnsi="Times New Roman" w:cs="Times New Roman" w:hint="eastAsia"/>
          <w:sz w:val="24"/>
          <w:szCs w:val="24"/>
        </w:rPr>
        <w:t xml:space="preserve"> 2022</w:t>
      </w:r>
      <w:r w:rsidR="007B114F" w:rsidRPr="00227F9D">
        <w:rPr>
          <w:rFonts w:ascii="Times New Roman" w:hAnsi="Times New Roman" w:cs="Times New Roman"/>
          <w:sz w:val="24"/>
          <w:szCs w:val="24"/>
        </w:rPr>
        <w:t>)</w:t>
      </w:r>
      <w:r w:rsidR="004952F0" w:rsidRPr="00227F9D">
        <w:rPr>
          <w:rFonts w:ascii="Times New Roman" w:hAnsi="Times New Roman" w:cs="Times New Roman"/>
          <w:sz w:val="24"/>
          <w:szCs w:val="24"/>
        </w:rPr>
        <w:t>.</w:t>
      </w:r>
      <w:r w:rsidRPr="00227F9D">
        <w:rPr>
          <w:rFonts w:ascii="Times New Roman" w:hAnsi="Times New Roman" w:cs="Times New Roman"/>
          <w:sz w:val="24"/>
          <w:szCs w:val="24"/>
        </w:rPr>
        <w:t xml:space="preserve"> </w:t>
      </w:r>
      <w:r w:rsidR="004952F0" w:rsidRPr="00227F9D">
        <w:rPr>
          <w:rFonts w:ascii="Times New Roman" w:hAnsi="Times New Roman" w:cs="Times New Roman"/>
          <w:sz w:val="24"/>
          <w:szCs w:val="24"/>
        </w:rPr>
        <w:t>C</w:t>
      </w:r>
      <w:r w:rsidRPr="00227F9D">
        <w:rPr>
          <w:rFonts w:ascii="Times New Roman" w:hAnsi="Times New Roman" w:cs="Times New Roman"/>
          <w:sz w:val="24"/>
          <w:szCs w:val="24"/>
        </w:rPr>
        <w:t>ompany age (</w:t>
      </w:r>
      <w:r w:rsidRPr="00227F9D">
        <w:rPr>
          <w:rFonts w:ascii="Times New Roman" w:hAnsi="Times New Roman" w:cs="Times New Roman"/>
          <w:i/>
          <w:iCs/>
          <w:sz w:val="24"/>
          <w:szCs w:val="24"/>
        </w:rPr>
        <w:t>age</w:t>
      </w:r>
      <w:r w:rsidRPr="00227F9D">
        <w:rPr>
          <w:rFonts w:ascii="Times New Roman" w:hAnsi="Times New Roman" w:cs="Times New Roman"/>
          <w:sz w:val="24"/>
          <w:szCs w:val="24"/>
        </w:rPr>
        <w:t xml:space="preserve">) </w:t>
      </w:r>
      <w:r w:rsidR="004952F0" w:rsidRPr="00227F9D">
        <w:rPr>
          <w:rFonts w:ascii="Times New Roman" w:hAnsi="Times New Roman" w:cs="Times New Roman"/>
          <w:sz w:val="24"/>
          <w:szCs w:val="24"/>
        </w:rPr>
        <w:t>is considered to account for the experience and adaptability of firms</w:t>
      </w:r>
      <w:r w:rsidR="004E731B" w:rsidRPr="00227F9D">
        <w:rPr>
          <w:rFonts w:ascii="Times New Roman" w:hAnsi="Times New Roman" w:cs="Times New Roman"/>
          <w:sz w:val="24"/>
          <w:szCs w:val="24"/>
        </w:rPr>
        <w:t xml:space="preserve"> (</w:t>
      </w:r>
      <w:r w:rsidR="00543066" w:rsidRPr="00227F9D">
        <w:rPr>
          <w:rFonts w:ascii="Times New Roman" w:hAnsi="Times New Roman" w:cs="Times New Roman"/>
          <w:sz w:val="24"/>
          <w:szCs w:val="24"/>
        </w:rPr>
        <w:t>Tan et al., 2025</w:t>
      </w:r>
      <w:r w:rsidR="004E731B" w:rsidRPr="00227F9D">
        <w:rPr>
          <w:rFonts w:ascii="Times New Roman" w:hAnsi="Times New Roman" w:cs="Times New Roman"/>
          <w:sz w:val="24"/>
          <w:szCs w:val="24"/>
        </w:rPr>
        <w:t>)</w:t>
      </w:r>
      <w:r w:rsidR="004952F0" w:rsidRPr="00227F9D">
        <w:rPr>
          <w:rFonts w:ascii="Times New Roman" w:hAnsi="Times New Roman" w:cs="Times New Roman"/>
          <w:sz w:val="24"/>
          <w:szCs w:val="24"/>
        </w:rPr>
        <w:t xml:space="preserve">, while </w:t>
      </w:r>
      <w:r w:rsidRPr="00227F9D">
        <w:rPr>
          <w:rFonts w:ascii="Times New Roman" w:hAnsi="Times New Roman" w:cs="Times New Roman"/>
          <w:sz w:val="24"/>
          <w:szCs w:val="24"/>
        </w:rPr>
        <w:t>ownership structure (</w:t>
      </w:r>
      <w:r w:rsidRPr="00227F9D">
        <w:rPr>
          <w:rFonts w:ascii="Times New Roman" w:hAnsi="Times New Roman" w:cs="Times New Roman"/>
          <w:i/>
          <w:iCs/>
          <w:sz w:val="24"/>
          <w:szCs w:val="24"/>
        </w:rPr>
        <w:t>top1</w:t>
      </w:r>
      <w:r w:rsidRPr="00227F9D">
        <w:rPr>
          <w:rFonts w:ascii="Times New Roman" w:hAnsi="Times New Roman" w:cs="Times New Roman"/>
          <w:sz w:val="24"/>
          <w:szCs w:val="24"/>
        </w:rPr>
        <w:t xml:space="preserve">) </w:t>
      </w:r>
      <w:r w:rsidR="00B90694" w:rsidRPr="00227F9D">
        <w:rPr>
          <w:rFonts w:ascii="Times New Roman" w:hAnsi="Times New Roman" w:cs="Times New Roman"/>
          <w:sz w:val="24"/>
          <w:szCs w:val="24"/>
        </w:rPr>
        <w:t xml:space="preserve">examines the potential impact of concentrated </w:t>
      </w:r>
      <w:r w:rsidR="00B90694" w:rsidRPr="00227F9D">
        <w:rPr>
          <w:rFonts w:ascii="Times New Roman" w:hAnsi="Times New Roman" w:cs="Times New Roman"/>
          <w:sz w:val="24"/>
          <w:szCs w:val="24"/>
        </w:rPr>
        <w:lastRenderedPageBreak/>
        <w:t>ownership on decision-making</w:t>
      </w:r>
      <w:r w:rsidR="007B114F" w:rsidRPr="00227F9D">
        <w:rPr>
          <w:rFonts w:ascii="Times New Roman" w:hAnsi="Times New Roman" w:cs="Times New Roman"/>
          <w:sz w:val="24"/>
          <w:szCs w:val="24"/>
        </w:rPr>
        <w:t xml:space="preserve"> (</w:t>
      </w:r>
      <w:r w:rsidR="00AC3CEE" w:rsidRPr="00227F9D">
        <w:rPr>
          <w:rFonts w:ascii="Times New Roman" w:hAnsi="Times New Roman" w:cs="Times New Roman" w:hint="eastAsia"/>
          <w:sz w:val="24"/>
          <w:szCs w:val="24"/>
        </w:rPr>
        <w:t>Li et al., 2023a</w:t>
      </w:r>
      <w:r w:rsidR="007B114F" w:rsidRPr="00227F9D">
        <w:rPr>
          <w:rFonts w:ascii="Times New Roman" w:hAnsi="Times New Roman" w:cs="Times New Roman"/>
          <w:sz w:val="24"/>
          <w:szCs w:val="24"/>
        </w:rPr>
        <w:t>)</w:t>
      </w:r>
      <w:r w:rsidR="00B90694" w:rsidRPr="00227F9D">
        <w:rPr>
          <w:rFonts w:ascii="Times New Roman" w:hAnsi="Times New Roman" w:cs="Times New Roman"/>
          <w:sz w:val="24"/>
          <w:szCs w:val="24"/>
        </w:rPr>
        <w:t>. C</w:t>
      </w:r>
      <w:r w:rsidRPr="00227F9D">
        <w:rPr>
          <w:rFonts w:ascii="Times New Roman" w:hAnsi="Times New Roman" w:cs="Times New Roman"/>
          <w:sz w:val="24"/>
          <w:szCs w:val="24"/>
        </w:rPr>
        <w:t>ompany growth (</w:t>
      </w:r>
      <w:r w:rsidRPr="00227F9D">
        <w:rPr>
          <w:rFonts w:ascii="Times New Roman" w:hAnsi="Times New Roman" w:cs="Times New Roman"/>
          <w:i/>
          <w:iCs/>
          <w:sz w:val="24"/>
          <w:szCs w:val="24"/>
        </w:rPr>
        <w:t>fix</w:t>
      </w:r>
      <w:r w:rsidRPr="00227F9D">
        <w:rPr>
          <w:rFonts w:ascii="Times New Roman" w:hAnsi="Times New Roman" w:cs="Times New Roman"/>
          <w:sz w:val="24"/>
          <w:szCs w:val="24"/>
        </w:rPr>
        <w:t>)</w:t>
      </w:r>
      <w:r w:rsidR="00B90694" w:rsidRPr="00227F9D">
        <w:rPr>
          <w:rFonts w:ascii="Times New Roman" w:hAnsi="Times New Roman" w:cs="Times New Roman"/>
          <w:sz w:val="24"/>
          <w:szCs w:val="24"/>
        </w:rPr>
        <w:t xml:space="preserve"> captures the firm’s market opportunities and inclination toward forward-looking initiatives</w:t>
      </w:r>
      <w:r w:rsidR="007B114F" w:rsidRPr="00227F9D">
        <w:rPr>
          <w:rFonts w:ascii="Times New Roman" w:hAnsi="Times New Roman" w:cs="Times New Roman"/>
          <w:sz w:val="24"/>
          <w:szCs w:val="24"/>
        </w:rPr>
        <w:t xml:space="preserve"> (</w:t>
      </w:r>
      <w:r w:rsidR="00AC3CEE" w:rsidRPr="00227F9D">
        <w:rPr>
          <w:rFonts w:ascii="Times New Roman" w:hAnsi="Times New Roman" w:cs="Times New Roman" w:hint="eastAsia"/>
          <w:sz w:val="24"/>
          <w:szCs w:val="24"/>
        </w:rPr>
        <w:t>Chu et al., 2024</w:t>
      </w:r>
      <w:r w:rsidR="007B114F" w:rsidRPr="00227F9D">
        <w:rPr>
          <w:rFonts w:ascii="Times New Roman" w:hAnsi="Times New Roman" w:cs="Times New Roman"/>
          <w:sz w:val="24"/>
          <w:szCs w:val="24"/>
        </w:rPr>
        <w:t>)</w:t>
      </w:r>
      <w:r w:rsidR="00B90694" w:rsidRPr="00227F9D">
        <w:rPr>
          <w:rFonts w:ascii="Times New Roman" w:hAnsi="Times New Roman" w:cs="Times New Roman"/>
          <w:sz w:val="24"/>
          <w:szCs w:val="24"/>
        </w:rPr>
        <w:t>. Additionally,</w:t>
      </w:r>
      <w:r w:rsidRPr="00227F9D">
        <w:rPr>
          <w:rFonts w:ascii="Times New Roman" w:hAnsi="Times New Roman" w:cs="Times New Roman"/>
          <w:sz w:val="24"/>
          <w:szCs w:val="24"/>
        </w:rPr>
        <w:t xml:space="preserve"> board size (</w:t>
      </w:r>
      <w:r w:rsidRPr="00227F9D">
        <w:rPr>
          <w:rFonts w:ascii="Times New Roman" w:hAnsi="Times New Roman" w:cs="Times New Roman"/>
          <w:i/>
          <w:iCs/>
          <w:sz w:val="24"/>
          <w:szCs w:val="24"/>
        </w:rPr>
        <w:t>board</w:t>
      </w:r>
      <w:r w:rsidRPr="00227F9D">
        <w:rPr>
          <w:rFonts w:ascii="Times New Roman" w:hAnsi="Times New Roman" w:cs="Times New Roman"/>
          <w:sz w:val="24"/>
          <w:szCs w:val="24"/>
        </w:rPr>
        <w:t>)</w:t>
      </w:r>
      <w:r w:rsidR="00B90694" w:rsidRPr="00227F9D">
        <w:rPr>
          <w:rFonts w:ascii="Times New Roman" w:hAnsi="Times New Roman" w:cs="Times New Roman"/>
          <w:sz w:val="24"/>
          <w:szCs w:val="24"/>
        </w:rPr>
        <w:t xml:space="preserve"> and</w:t>
      </w:r>
      <w:r w:rsidRPr="00227F9D">
        <w:rPr>
          <w:rFonts w:ascii="Times New Roman" w:hAnsi="Times New Roman" w:cs="Times New Roman"/>
          <w:sz w:val="24"/>
          <w:szCs w:val="24"/>
        </w:rPr>
        <w:t xml:space="preserve"> board structure (</w:t>
      </w:r>
      <w:proofErr w:type="spellStart"/>
      <w:r w:rsidRPr="00227F9D">
        <w:rPr>
          <w:rFonts w:ascii="Times New Roman" w:hAnsi="Times New Roman" w:cs="Times New Roman"/>
          <w:i/>
          <w:iCs/>
          <w:sz w:val="24"/>
          <w:szCs w:val="24"/>
        </w:rPr>
        <w:t>indep</w:t>
      </w:r>
      <w:proofErr w:type="spellEnd"/>
      <w:r w:rsidRPr="00227F9D">
        <w:rPr>
          <w:rFonts w:ascii="Times New Roman" w:hAnsi="Times New Roman" w:cs="Times New Roman"/>
          <w:sz w:val="24"/>
          <w:szCs w:val="24"/>
        </w:rPr>
        <w:t>)</w:t>
      </w:r>
      <w:r w:rsidR="00B90694" w:rsidRPr="00227F9D">
        <w:rPr>
          <w:rFonts w:ascii="Times New Roman" w:hAnsi="Times New Roman" w:cs="Times New Roman"/>
          <w:sz w:val="24"/>
          <w:szCs w:val="24"/>
        </w:rPr>
        <w:t xml:space="preserve"> are included to account for governance factors that may influence strategic priorities, with</w:t>
      </w:r>
      <w:r w:rsidRPr="00227F9D">
        <w:rPr>
          <w:rFonts w:ascii="Times New Roman" w:hAnsi="Times New Roman" w:cs="Times New Roman"/>
          <w:sz w:val="24"/>
          <w:szCs w:val="24"/>
        </w:rPr>
        <w:t xml:space="preserve"> leadership structure (</w:t>
      </w:r>
      <w:r w:rsidRPr="00227F9D">
        <w:rPr>
          <w:rFonts w:ascii="Times New Roman" w:hAnsi="Times New Roman" w:cs="Times New Roman"/>
          <w:i/>
          <w:iCs/>
          <w:sz w:val="24"/>
          <w:szCs w:val="24"/>
        </w:rPr>
        <w:t>dual</w:t>
      </w:r>
      <w:r w:rsidRPr="00227F9D">
        <w:rPr>
          <w:rFonts w:ascii="Times New Roman" w:hAnsi="Times New Roman" w:cs="Times New Roman"/>
          <w:sz w:val="24"/>
          <w:szCs w:val="24"/>
        </w:rPr>
        <w:t>),</w:t>
      </w:r>
      <w:r w:rsidR="00552265" w:rsidRPr="00227F9D">
        <w:rPr>
          <w:rFonts w:ascii="Times New Roman" w:hAnsi="Times New Roman" w:cs="Times New Roman"/>
          <w:sz w:val="24"/>
          <w:szCs w:val="24"/>
        </w:rPr>
        <w:t xml:space="preserve"> assessing the potential impact of CEO duality on strategic focus</w:t>
      </w:r>
      <w:r w:rsidR="004E731B" w:rsidRPr="00227F9D">
        <w:rPr>
          <w:rFonts w:ascii="Times New Roman" w:hAnsi="Times New Roman" w:cs="Times New Roman"/>
          <w:sz w:val="24"/>
          <w:szCs w:val="24"/>
        </w:rPr>
        <w:t xml:space="preserve"> (</w:t>
      </w:r>
      <w:r w:rsidR="00F761B6" w:rsidRPr="00227F9D">
        <w:rPr>
          <w:rFonts w:ascii="Times New Roman" w:hAnsi="Times New Roman" w:cs="Times New Roman"/>
          <w:sz w:val="24"/>
          <w:szCs w:val="24"/>
        </w:rPr>
        <w:t>Tee et al., 2024</w:t>
      </w:r>
      <w:r w:rsidR="004E731B" w:rsidRPr="00227F9D">
        <w:rPr>
          <w:rFonts w:ascii="Times New Roman" w:hAnsi="Times New Roman" w:cs="Times New Roman"/>
          <w:sz w:val="24"/>
          <w:szCs w:val="24"/>
        </w:rPr>
        <w:t>)</w:t>
      </w:r>
      <w:r w:rsidR="00552265" w:rsidRPr="00227F9D">
        <w:rPr>
          <w:rFonts w:ascii="Times New Roman" w:hAnsi="Times New Roman" w:cs="Times New Roman"/>
          <w:sz w:val="24"/>
          <w:szCs w:val="24"/>
        </w:rPr>
        <w:t xml:space="preserve">. Finally, </w:t>
      </w:r>
      <w:r w:rsidRPr="00227F9D">
        <w:rPr>
          <w:rFonts w:ascii="Times New Roman" w:hAnsi="Times New Roman" w:cs="Times New Roman"/>
          <w:sz w:val="24"/>
          <w:szCs w:val="24"/>
        </w:rPr>
        <w:t>corporate value (</w:t>
      </w:r>
      <w:proofErr w:type="spellStart"/>
      <w:r w:rsidRPr="00227F9D">
        <w:rPr>
          <w:rFonts w:ascii="Times New Roman" w:hAnsi="Times New Roman" w:cs="Times New Roman"/>
          <w:i/>
          <w:iCs/>
          <w:sz w:val="24"/>
          <w:szCs w:val="24"/>
        </w:rPr>
        <w:t>tq</w:t>
      </w:r>
      <w:proofErr w:type="spellEnd"/>
      <w:r w:rsidRPr="00227F9D">
        <w:rPr>
          <w:rFonts w:ascii="Times New Roman" w:hAnsi="Times New Roman" w:cs="Times New Roman"/>
          <w:sz w:val="24"/>
          <w:szCs w:val="24"/>
        </w:rPr>
        <w:t>)</w:t>
      </w:r>
      <w:r w:rsidR="00552265" w:rsidRPr="00227F9D">
        <w:rPr>
          <w:rFonts w:ascii="Times New Roman" w:hAnsi="Times New Roman" w:cs="Times New Roman"/>
          <w:sz w:val="24"/>
          <w:szCs w:val="24"/>
        </w:rPr>
        <w:t xml:space="preserve"> serves as an indicator of market confidence in the firm’s initiatives</w:t>
      </w:r>
      <w:r w:rsidRPr="00227F9D">
        <w:rPr>
          <w:rFonts w:ascii="Times New Roman" w:hAnsi="Times New Roman" w:cs="Times New Roman"/>
          <w:sz w:val="24"/>
          <w:szCs w:val="24"/>
        </w:rPr>
        <w:t>. The specific definitions of the main variables are presented in Table 1.</w:t>
      </w:r>
    </w:p>
    <w:p w14:paraId="6D632031" w14:textId="7CC7AC8A" w:rsidR="002647CB" w:rsidRPr="00227F9D" w:rsidRDefault="00786340" w:rsidP="00786340">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1 about here]</w:t>
      </w:r>
    </w:p>
    <w:p w14:paraId="1BB61A12" w14:textId="77777777" w:rsidR="008F73D7" w:rsidRPr="00227F9D" w:rsidRDefault="008F73D7" w:rsidP="008F73D7">
      <w:pPr>
        <w:rPr>
          <w:rFonts w:ascii="Times New Roman" w:hAnsi="Times New Roman" w:cs="Times New Roman"/>
          <w:b/>
          <w:bCs/>
          <w:sz w:val="24"/>
          <w:szCs w:val="24"/>
        </w:rPr>
      </w:pPr>
    </w:p>
    <w:p w14:paraId="0ED6FBD4" w14:textId="58B8D686" w:rsidR="002647CB" w:rsidRPr="00227F9D" w:rsidRDefault="007C6EF1" w:rsidP="002647CB">
      <w:pPr>
        <w:rPr>
          <w:rFonts w:ascii="Times New Roman" w:hAnsi="Times New Roman" w:cs="Times New Roman"/>
          <w:b/>
          <w:bCs/>
          <w:sz w:val="24"/>
          <w:szCs w:val="24"/>
        </w:rPr>
      </w:pPr>
      <w:bookmarkStart w:id="0" w:name="_Hlk174025490"/>
      <w:r w:rsidRPr="00227F9D">
        <w:rPr>
          <w:rFonts w:ascii="Times New Roman" w:hAnsi="Times New Roman" w:cs="Times New Roman" w:hint="eastAsia"/>
          <w:b/>
          <w:bCs/>
          <w:sz w:val="24"/>
          <w:szCs w:val="24"/>
        </w:rPr>
        <w:t>4</w:t>
      </w:r>
      <w:r w:rsidR="002647CB" w:rsidRPr="00227F9D">
        <w:rPr>
          <w:rFonts w:ascii="Times New Roman" w:hAnsi="Times New Roman" w:cs="Times New Roman"/>
          <w:b/>
          <w:bCs/>
          <w:sz w:val="24"/>
          <w:szCs w:val="24"/>
        </w:rPr>
        <w:t xml:space="preserve">.3 Data </w:t>
      </w:r>
      <w:r w:rsidR="00BD11E7" w:rsidRPr="00227F9D">
        <w:rPr>
          <w:rFonts w:ascii="Times New Roman" w:hAnsi="Times New Roman" w:cs="Times New Roman" w:hint="eastAsia"/>
          <w:b/>
          <w:bCs/>
          <w:sz w:val="24"/>
          <w:szCs w:val="24"/>
        </w:rPr>
        <w:t>Source</w:t>
      </w:r>
      <w:r w:rsidR="002647CB" w:rsidRPr="00227F9D">
        <w:rPr>
          <w:rFonts w:ascii="Times New Roman" w:hAnsi="Times New Roman" w:cs="Times New Roman"/>
          <w:b/>
          <w:bCs/>
          <w:sz w:val="24"/>
          <w:szCs w:val="24"/>
        </w:rPr>
        <w:t xml:space="preserve"> and Descriptive Statistics</w:t>
      </w:r>
    </w:p>
    <w:bookmarkEnd w:id="0"/>
    <w:p w14:paraId="6887A996" w14:textId="7C4EEB4B" w:rsidR="002647CB"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Since the object of this research is to investigate China</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A-share listed companies from 2012-2022, this study processed the initial samples to obtain a total of 24906 sample observations by initially excluding financial companies and companies with abnormal operating conditions</w:t>
      </w:r>
      <w:r w:rsidRPr="00227F9D">
        <w:rPr>
          <w:rFonts w:ascii="Times New Roman" w:eastAsia="SimSun" w:hAnsi="Times New Roman" w:cs="Times New Roman"/>
          <w:sz w:val="24"/>
          <w:szCs w:val="24"/>
        </w:rPr>
        <w:t xml:space="preserve"> (ST*, PT)</w:t>
      </w:r>
      <w:r w:rsidRPr="00227F9D">
        <w:rPr>
          <w:rFonts w:ascii="Times New Roman" w:hAnsi="Times New Roman" w:cs="Times New Roman"/>
          <w:sz w:val="24"/>
          <w:szCs w:val="24"/>
        </w:rPr>
        <w:t xml:space="preserve"> for the current year, further filtering the companies listed in the current year to avoid information disclosure differences caused by a short listing time, and finally eliminating samples with severe missing data. To avoid the influence of extreme values, this research used the command </w:t>
      </w:r>
      <w:r w:rsidRPr="00227F9D">
        <w:rPr>
          <w:rFonts w:ascii="Times New Roman" w:hAnsi="Times New Roman" w:cs="Times New Roman"/>
          <w:i/>
          <w:iCs/>
          <w:sz w:val="24"/>
          <w:szCs w:val="24"/>
        </w:rPr>
        <w:t>winsor2</w:t>
      </w:r>
      <w:r w:rsidRPr="00227F9D">
        <w:rPr>
          <w:rFonts w:ascii="Times New Roman" w:hAnsi="Times New Roman" w:cs="Times New Roman"/>
          <w:sz w:val="24"/>
          <w:szCs w:val="24"/>
        </w:rPr>
        <w:t xml:space="preserve"> in Stata to truncate continuous variables at the 1% and 99% percentiles. Among them, enterprise news data was assessed from </w:t>
      </w:r>
      <w:r w:rsidRPr="00227F9D">
        <w:rPr>
          <w:rFonts w:ascii="Times New Roman" w:hAnsi="Times New Roman" w:cs="Times New Roman"/>
          <w:i/>
          <w:iCs/>
          <w:sz w:val="24"/>
          <w:szCs w:val="24"/>
        </w:rPr>
        <w:t>Baidu News</w:t>
      </w:r>
      <w:r w:rsidR="00833026" w:rsidRPr="00227F9D">
        <w:rPr>
          <w:rFonts w:ascii="Times New Roman" w:hAnsi="Times New Roman" w:cs="Times New Roman" w:hint="eastAsia"/>
          <w:sz w:val="24"/>
          <w:szCs w:val="24"/>
        </w:rPr>
        <w:t xml:space="preserve"> (https://news.baidu.com/)</w:t>
      </w:r>
      <w:r w:rsidRPr="00227F9D">
        <w:rPr>
          <w:rFonts w:ascii="Times New Roman" w:hAnsi="Times New Roman" w:cs="Times New Roman"/>
          <w:sz w:val="24"/>
          <w:szCs w:val="24"/>
        </w:rPr>
        <w:t xml:space="preserve">, patent text data was extracted from the </w:t>
      </w:r>
      <w:r w:rsidR="00AC3CEE" w:rsidRPr="00227F9D">
        <w:rPr>
          <w:rFonts w:ascii="Times New Roman" w:hAnsi="Times New Roman" w:cs="Times New Roman" w:hint="eastAsia"/>
          <w:i/>
          <w:iCs/>
          <w:sz w:val="24"/>
          <w:szCs w:val="24"/>
        </w:rPr>
        <w:t>CNRDS</w:t>
      </w:r>
      <w:r w:rsidRPr="00227F9D">
        <w:rPr>
          <w:rFonts w:ascii="Times New Roman" w:hAnsi="Times New Roman" w:cs="Times New Roman"/>
          <w:sz w:val="24"/>
          <w:szCs w:val="24"/>
        </w:rPr>
        <w:t xml:space="preserve"> database</w:t>
      </w:r>
      <w:r w:rsidR="00833026" w:rsidRPr="00227F9D">
        <w:rPr>
          <w:rFonts w:ascii="Times New Roman" w:hAnsi="Times New Roman" w:cs="Times New Roman" w:hint="eastAsia"/>
          <w:sz w:val="24"/>
          <w:szCs w:val="24"/>
        </w:rPr>
        <w:t xml:space="preserve"> (</w:t>
      </w:r>
      <w:r w:rsidR="00AC3CEE" w:rsidRPr="00227F9D">
        <w:rPr>
          <w:rFonts w:ascii="Times New Roman" w:hAnsi="Times New Roman" w:cs="Times New Roman" w:hint="eastAsia"/>
          <w:sz w:val="24"/>
          <w:szCs w:val="24"/>
        </w:rPr>
        <w:t>https://www.cnrds.com/</w:t>
      </w:r>
      <w:r w:rsidR="00833026" w:rsidRPr="00227F9D">
        <w:rPr>
          <w:rFonts w:ascii="Times New Roman" w:hAnsi="Times New Roman" w:cs="Times New Roman" w:hint="eastAsia"/>
          <w:sz w:val="24"/>
          <w:szCs w:val="24"/>
        </w:rPr>
        <w:t>)</w:t>
      </w:r>
      <w:r w:rsidRPr="00227F9D">
        <w:rPr>
          <w:rFonts w:ascii="Times New Roman" w:hAnsi="Times New Roman" w:cs="Times New Roman"/>
          <w:sz w:val="24"/>
          <w:szCs w:val="24"/>
        </w:rPr>
        <w:t xml:space="preserve">, and other data was captured from the </w:t>
      </w:r>
      <w:r w:rsidRPr="00227F9D">
        <w:rPr>
          <w:rFonts w:ascii="Times New Roman" w:hAnsi="Times New Roman" w:cs="Times New Roman"/>
          <w:i/>
          <w:iCs/>
          <w:sz w:val="24"/>
          <w:szCs w:val="24"/>
        </w:rPr>
        <w:t>CSMAR</w:t>
      </w:r>
      <w:r w:rsidRPr="00227F9D">
        <w:rPr>
          <w:rFonts w:ascii="Times New Roman" w:hAnsi="Times New Roman" w:cs="Times New Roman"/>
          <w:sz w:val="24"/>
          <w:szCs w:val="24"/>
        </w:rPr>
        <w:t xml:space="preserve"> databases</w:t>
      </w:r>
      <w:r w:rsidR="00833026" w:rsidRPr="00227F9D">
        <w:rPr>
          <w:rFonts w:ascii="Times New Roman" w:hAnsi="Times New Roman" w:cs="Times New Roman" w:hint="eastAsia"/>
          <w:sz w:val="24"/>
          <w:szCs w:val="24"/>
        </w:rPr>
        <w:t xml:space="preserve"> (https://www.gtarsc.com/)</w:t>
      </w:r>
      <w:r w:rsidRPr="00227F9D">
        <w:rPr>
          <w:rFonts w:ascii="Times New Roman" w:hAnsi="Times New Roman" w:cs="Times New Roman"/>
          <w:sz w:val="24"/>
          <w:szCs w:val="24"/>
        </w:rPr>
        <w:t>.</w:t>
      </w:r>
    </w:p>
    <w:p w14:paraId="3781DAD3" w14:textId="77777777" w:rsidR="002647CB" w:rsidRPr="00227F9D" w:rsidRDefault="002647CB" w:rsidP="002647CB">
      <w:pPr>
        <w:rPr>
          <w:rFonts w:ascii="Times New Roman" w:hAnsi="Times New Roman" w:cs="Times New Roman"/>
          <w:sz w:val="24"/>
          <w:szCs w:val="24"/>
        </w:rPr>
      </w:pPr>
    </w:p>
    <w:p w14:paraId="5A6AD059" w14:textId="3412E8CD" w:rsidR="00786340" w:rsidRPr="00227F9D" w:rsidRDefault="002647CB" w:rsidP="002647CB">
      <w:pPr>
        <w:rPr>
          <w:rFonts w:ascii="Times New Roman" w:hAnsi="Times New Roman" w:cs="Times New Roman"/>
          <w:sz w:val="24"/>
          <w:szCs w:val="24"/>
        </w:rPr>
      </w:pPr>
      <w:r w:rsidRPr="00227F9D">
        <w:rPr>
          <w:rFonts w:ascii="Times New Roman" w:hAnsi="Times New Roman" w:cs="Times New Roman"/>
          <w:sz w:val="24"/>
          <w:szCs w:val="24"/>
        </w:rPr>
        <w:t>Table 2 presents the descriptive statistical results of the main variables in this research. The average value of the explained variable</w:t>
      </w:r>
      <w:r w:rsidR="009F66B1" w:rsidRPr="00227F9D">
        <w:rPr>
          <w:rFonts w:ascii="Times New Roman" w:hAnsi="Times New Roman" w:cs="Times New Roman"/>
          <w:sz w:val="24"/>
          <w:szCs w:val="24"/>
        </w:rPr>
        <w:t xml:space="preserve"> (</w:t>
      </w:r>
      <w:r w:rsidR="009F66B1" w:rsidRPr="00227F9D">
        <w:rPr>
          <w:rFonts w:ascii="Times New Roman" w:hAnsi="Times New Roman" w:cs="Times New Roman"/>
          <w:i/>
          <w:iCs/>
          <w:sz w:val="24"/>
          <w:szCs w:val="24"/>
        </w:rPr>
        <w:t>CEI</w:t>
      </w:r>
      <w:r w:rsidR="009F66B1" w:rsidRPr="00227F9D">
        <w:rPr>
          <w:rFonts w:ascii="Times New Roman" w:hAnsi="Times New Roman" w:cs="Times New Roman"/>
          <w:sz w:val="24"/>
          <w:szCs w:val="24"/>
        </w:rPr>
        <w:t>)</w:t>
      </w:r>
      <w:r w:rsidRPr="00227F9D">
        <w:rPr>
          <w:rFonts w:ascii="Times New Roman" w:hAnsi="Times New Roman" w:cs="Times New Roman"/>
          <w:sz w:val="24"/>
          <w:szCs w:val="24"/>
        </w:rPr>
        <w:t xml:space="preserve"> </w:t>
      </w:r>
      <w:r w:rsidR="009F66B1" w:rsidRPr="00227F9D">
        <w:rPr>
          <w:rFonts w:ascii="Times New Roman" w:hAnsi="Times New Roman" w:cs="Times New Roman"/>
          <w:sz w:val="24"/>
          <w:szCs w:val="24"/>
        </w:rPr>
        <w:t xml:space="preserve">is 0.9130, with a standard deviation </w:t>
      </w:r>
      <w:r w:rsidRPr="00227F9D">
        <w:rPr>
          <w:rFonts w:ascii="Times New Roman" w:hAnsi="Times New Roman" w:cs="Times New Roman"/>
          <w:sz w:val="24"/>
          <w:szCs w:val="24"/>
        </w:rPr>
        <w:t>of 1.2222. The difference between the maximum and minimum values is 4.7362, indicating that the energy innovation level of the sample enterprises is generally low, and there are significant differences. The maximum and minimum values of the explanatory variable ESG news sentiment (</w:t>
      </w:r>
      <w:proofErr w:type="spellStart"/>
      <w:r w:rsidR="008B5E7C"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w:t>
      </w:r>
      <w:r w:rsidR="008B5E7C" w:rsidRPr="00227F9D">
        <w:rPr>
          <w:rFonts w:ascii="Times New Roman" w:hAnsi="Times New Roman" w:cs="Times New Roman"/>
          <w:sz w:val="24"/>
          <w:szCs w:val="24"/>
        </w:rPr>
        <w:t>are</w:t>
      </w:r>
      <w:r w:rsidRPr="00227F9D">
        <w:rPr>
          <w:rFonts w:ascii="Times New Roman" w:hAnsi="Times New Roman" w:cs="Times New Roman"/>
          <w:sz w:val="24"/>
          <w:szCs w:val="24"/>
        </w:rPr>
        <w:t xml:space="preserve"> 0.9214 and -0.5950, with a mean of 0.3629, indicating differences in ESG news sentiment among different companies and exhibiting overall positive market sentiment</w:t>
      </w:r>
      <w:r w:rsidR="008B5E7C" w:rsidRPr="00227F9D">
        <w:rPr>
          <w:rFonts w:ascii="Times New Roman" w:hAnsi="Times New Roman" w:cs="Times New Roman"/>
          <w:sz w:val="24"/>
          <w:szCs w:val="24"/>
        </w:rPr>
        <w:t xml:space="preserve"> and reputation</w:t>
      </w:r>
      <w:r w:rsidRPr="00227F9D">
        <w:rPr>
          <w:rFonts w:ascii="Times New Roman" w:hAnsi="Times New Roman" w:cs="Times New Roman"/>
          <w:sz w:val="24"/>
          <w:szCs w:val="24"/>
        </w:rPr>
        <w:t xml:space="preserve">. The data characteristics of other control variables are consistent with existing literature. </w:t>
      </w:r>
    </w:p>
    <w:p w14:paraId="5A76E16F" w14:textId="3D0558AB" w:rsidR="002647CB" w:rsidRPr="00227F9D" w:rsidRDefault="00786340" w:rsidP="00786340">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2 about here]</w:t>
      </w:r>
    </w:p>
    <w:p w14:paraId="5EB3C385" w14:textId="77777777" w:rsidR="008F73D7" w:rsidRPr="00227F9D" w:rsidRDefault="008F73D7" w:rsidP="00786340">
      <w:pPr>
        <w:jc w:val="center"/>
        <w:rPr>
          <w:rFonts w:ascii="Times New Roman" w:hAnsi="Times New Roman" w:cs="Times New Roman"/>
          <w:b/>
          <w:bCs/>
          <w:sz w:val="24"/>
          <w:szCs w:val="24"/>
        </w:rPr>
      </w:pPr>
    </w:p>
    <w:p w14:paraId="1DB3557D" w14:textId="27070842" w:rsidR="002647CB" w:rsidRPr="00227F9D" w:rsidRDefault="007C6EF1" w:rsidP="002647CB">
      <w:pPr>
        <w:rPr>
          <w:rFonts w:ascii="Times New Roman" w:hAnsi="Times New Roman" w:cs="Times New Roman"/>
          <w:b/>
          <w:bCs/>
          <w:sz w:val="28"/>
          <w:szCs w:val="28"/>
        </w:rPr>
      </w:pPr>
      <w:r w:rsidRPr="00227F9D">
        <w:rPr>
          <w:rFonts w:ascii="Times New Roman" w:hAnsi="Times New Roman" w:cs="Times New Roman" w:hint="eastAsia"/>
          <w:b/>
          <w:bCs/>
          <w:sz w:val="28"/>
          <w:szCs w:val="28"/>
        </w:rPr>
        <w:t>5</w:t>
      </w:r>
      <w:r w:rsidR="002647CB" w:rsidRPr="00227F9D">
        <w:rPr>
          <w:rFonts w:ascii="Times New Roman" w:hAnsi="Times New Roman" w:cs="Times New Roman"/>
          <w:b/>
          <w:bCs/>
          <w:sz w:val="28"/>
          <w:szCs w:val="28"/>
        </w:rPr>
        <w:t>. E</w:t>
      </w:r>
      <w:r w:rsidR="009F66B1" w:rsidRPr="00227F9D">
        <w:rPr>
          <w:rFonts w:ascii="Times New Roman" w:hAnsi="Times New Roman" w:cs="Times New Roman"/>
          <w:b/>
          <w:bCs/>
          <w:sz w:val="28"/>
          <w:szCs w:val="28"/>
        </w:rPr>
        <w:t>MPIRICAL ANALYSIS</w:t>
      </w:r>
    </w:p>
    <w:p w14:paraId="03E3610C" w14:textId="2006D34E" w:rsidR="002647CB" w:rsidRPr="00227F9D" w:rsidRDefault="007C6EF1" w:rsidP="002647CB">
      <w:pPr>
        <w:rPr>
          <w:rFonts w:ascii="Times New Roman" w:hAnsi="Times New Roman" w:cs="Times New Roman"/>
          <w:b/>
          <w:bCs/>
          <w:sz w:val="24"/>
          <w:szCs w:val="24"/>
        </w:rPr>
      </w:pPr>
      <w:r w:rsidRPr="00227F9D">
        <w:rPr>
          <w:rFonts w:ascii="Times New Roman" w:hAnsi="Times New Roman" w:cs="Times New Roman" w:hint="eastAsia"/>
          <w:b/>
          <w:bCs/>
          <w:sz w:val="24"/>
          <w:szCs w:val="24"/>
        </w:rPr>
        <w:t>5</w:t>
      </w:r>
      <w:r w:rsidR="002647CB" w:rsidRPr="00227F9D">
        <w:rPr>
          <w:rFonts w:ascii="Times New Roman" w:hAnsi="Times New Roman" w:cs="Times New Roman"/>
          <w:b/>
          <w:bCs/>
          <w:sz w:val="24"/>
          <w:szCs w:val="24"/>
        </w:rPr>
        <w:t>.1 Impact of ESG Media Sentiment on CEI</w:t>
      </w:r>
    </w:p>
    <w:p w14:paraId="38770BA3" w14:textId="77777777" w:rsidR="000C7D4A" w:rsidRPr="00227F9D" w:rsidRDefault="008B5E7C" w:rsidP="002647CB">
      <w:pPr>
        <w:rPr>
          <w:rFonts w:ascii="Times New Roman" w:hAnsi="Times New Roman" w:cs="Times New Roman"/>
          <w:sz w:val="24"/>
          <w:szCs w:val="24"/>
        </w:rPr>
      </w:pPr>
      <w:r w:rsidRPr="00227F9D">
        <w:rPr>
          <w:rFonts w:ascii="Times New Roman" w:hAnsi="Times New Roman" w:cs="Times New Roman"/>
          <w:sz w:val="24"/>
          <w:szCs w:val="24"/>
        </w:rPr>
        <w:t xml:space="preserve">Table 3 presents the baseline regression estimation results of media ESG sentiment on corporate energy innovation. Column (1) reveals a positive correlation between media ESG sentiment and CEI. Building on this positive correlation, Column (2) displays the estimation results after adding a series of control variables that may influence CEI, showing that the estimated coefficient for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remains positive. In Columns (3) and (4), we further incorporate company effects and year fixed effects. Although the regression coefficient for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decreases, it still maintains a significant positive </w:t>
      </w:r>
      <w:r w:rsidRPr="00227F9D">
        <w:rPr>
          <w:rFonts w:ascii="Times New Roman" w:hAnsi="Times New Roman" w:cs="Times New Roman"/>
          <w:sz w:val="24"/>
          <w:szCs w:val="24"/>
        </w:rPr>
        <w:lastRenderedPageBreak/>
        <w:t>correlation at the 1% level. This indicates that a favorable ESG reputation shaped by positive ESG news sentiment can significantly enhance corporate energy innovation.</w:t>
      </w:r>
      <w:r w:rsidR="001F28B7" w:rsidRPr="00227F9D">
        <w:rPr>
          <w:rFonts w:ascii="Times New Roman" w:hAnsi="Times New Roman" w:cs="Times New Roman" w:hint="eastAsia"/>
          <w:sz w:val="24"/>
          <w:szCs w:val="24"/>
        </w:rPr>
        <w:t xml:space="preserve"> </w:t>
      </w:r>
    </w:p>
    <w:p w14:paraId="6DA359CA" w14:textId="77777777" w:rsidR="000C7D4A" w:rsidRPr="00227F9D" w:rsidRDefault="000C7D4A" w:rsidP="002647CB">
      <w:pPr>
        <w:rPr>
          <w:rFonts w:ascii="Times New Roman" w:hAnsi="Times New Roman" w:cs="Times New Roman"/>
          <w:sz w:val="24"/>
          <w:szCs w:val="24"/>
        </w:rPr>
      </w:pPr>
    </w:p>
    <w:p w14:paraId="63A29610" w14:textId="4FE753B9" w:rsidR="002647CB" w:rsidRPr="00227F9D" w:rsidRDefault="001F28B7" w:rsidP="002647CB">
      <w:pPr>
        <w:rPr>
          <w:rFonts w:ascii="Times New Roman" w:hAnsi="Times New Roman" w:cs="Times New Roman"/>
        </w:rPr>
      </w:pPr>
      <w:r w:rsidRPr="00227F9D">
        <w:rPr>
          <w:rFonts w:ascii="Times New Roman" w:hAnsi="Times New Roman" w:cs="Times New Roman" w:hint="eastAsia"/>
          <w:sz w:val="24"/>
          <w:szCs w:val="24"/>
        </w:rPr>
        <w:t>These results underscore the critical role of media ESG sentiment as a catalyst for aligning corporate objectives with global sustainability priorities (Serafeim and Yoon, 2022; Asante-Appiah and Lambert, 2023; Yu et al., 202</w:t>
      </w:r>
      <w:r w:rsidR="00833026" w:rsidRPr="00227F9D">
        <w:rPr>
          <w:rFonts w:ascii="Times New Roman" w:hAnsi="Times New Roman" w:cs="Times New Roman" w:hint="eastAsia"/>
          <w:sz w:val="24"/>
          <w:szCs w:val="24"/>
        </w:rPr>
        <w:t>3</w:t>
      </w:r>
      <w:r w:rsidRPr="00227F9D">
        <w:rPr>
          <w:rFonts w:ascii="Times New Roman" w:hAnsi="Times New Roman" w:cs="Times New Roman" w:hint="eastAsia"/>
          <w:sz w:val="24"/>
          <w:szCs w:val="24"/>
        </w:rPr>
        <w:t>). Furthermore, this finding aligns with the core of reputation theory, which posits that positive ESG sentiment can shape a favorable corporate market reputation (Capelle-</w:t>
      </w:r>
      <w:proofErr w:type="spellStart"/>
      <w:r w:rsidRPr="00227F9D">
        <w:rPr>
          <w:rFonts w:ascii="Times New Roman" w:hAnsi="Times New Roman" w:cs="Times New Roman" w:hint="eastAsia"/>
          <w:sz w:val="24"/>
          <w:szCs w:val="24"/>
        </w:rPr>
        <w:t>Blancard</w:t>
      </w:r>
      <w:proofErr w:type="spellEnd"/>
      <w:r w:rsidRPr="00227F9D">
        <w:rPr>
          <w:rFonts w:ascii="Times New Roman" w:hAnsi="Times New Roman" w:cs="Times New Roman" w:hint="eastAsia"/>
          <w:sz w:val="24"/>
          <w:szCs w:val="24"/>
        </w:rPr>
        <w:t xml:space="preserve"> and Petit, 2019; Chasiotis et al., 2024). This enhanced reputation aids in garnering effective support from various stakeholders, such as opportunities for loans related to sustainability and partnerships involving other ESG financial products (Flammer, 2021), which are crucial for energy innovation.</w:t>
      </w:r>
    </w:p>
    <w:p w14:paraId="2EFB96AE" w14:textId="4B541BA2" w:rsidR="00786340" w:rsidRPr="00227F9D" w:rsidRDefault="00786340" w:rsidP="00786340">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3 about here]</w:t>
      </w:r>
    </w:p>
    <w:p w14:paraId="6EAC7B63" w14:textId="77777777" w:rsidR="002647CB" w:rsidRPr="00227F9D" w:rsidRDefault="002647CB">
      <w:pPr>
        <w:rPr>
          <w:rFonts w:ascii="Times New Roman" w:hAnsi="Times New Roman" w:cs="Times New Roman"/>
          <w:sz w:val="24"/>
          <w:szCs w:val="24"/>
        </w:rPr>
      </w:pPr>
    </w:p>
    <w:p w14:paraId="49AA6768" w14:textId="3C0B908F" w:rsidR="00884233" w:rsidRPr="00227F9D" w:rsidRDefault="007C6EF1" w:rsidP="00884233">
      <w:pPr>
        <w:rPr>
          <w:rFonts w:ascii="Times New Roman" w:hAnsi="Times New Roman" w:cs="Times New Roman"/>
          <w:b/>
          <w:bCs/>
          <w:sz w:val="24"/>
          <w:szCs w:val="24"/>
        </w:rPr>
      </w:pPr>
      <w:r w:rsidRPr="00227F9D">
        <w:rPr>
          <w:rFonts w:ascii="Times New Roman" w:hAnsi="Times New Roman" w:cs="Times New Roman" w:hint="eastAsia"/>
          <w:b/>
          <w:bCs/>
          <w:sz w:val="24"/>
          <w:szCs w:val="24"/>
        </w:rPr>
        <w:t>5</w:t>
      </w:r>
      <w:r w:rsidR="00884233" w:rsidRPr="00227F9D">
        <w:rPr>
          <w:rFonts w:ascii="Times New Roman" w:hAnsi="Times New Roman" w:cs="Times New Roman"/>
          <w:b/>
          <w:bCs/>
          <w:sz w:val="24"/>
          <w:szCs w:val="24"/>
        </w:rPr>
        <w:t>.2 Indicator Validity Test</w:t>
      </w:r>
    </w:p>
    <w:p w14:paraId="294DECD4" w14:textId="77777777" w:rsidR="00884233" w:rsidRPr="00227F9D" w:rsidRDefault="00884233" w:rsidP="00884233">
      <w:pPr>
        <w:rPr>
          <w:rFonts w:ascii="Times New Roman" w:hAnsi="Times New Roman" w:cs="Times New Roman"/>
          <w:sz w:val="24"/>
          <w:szCs w:val="24"/>
        </w:rPr>
      </w:pPr>
      <w:r w:rsidRPr="00227F9D">
        <w:rPr>
          <w:rFonts w:ascii="Times New Roman" w:hAnsi="Times New Roman" w:cs="Times New Roman"/>
          <w:sz w:val="24"/>
          <w:szCs w:val="24"/>
        </w:rPr>
        <w:t>ESG public opinion information is also an essential element of ESG ratings, and the accuracy of public opinion information significantly impacts ESG news sentiment indicators. This study uses the ESG score data of four well-known domestic and international ESG rating agencies, including Bloomberg (</w:t>
      </w:r>
      <w:proofErr w:type="spellStart"/>
      <w:r w:rsidRPr="00227F9D">
        <w:rPr>
          <w:rFonts w:ascii="Times New Roman" w:hAnsi="Times New Roman" w:cs="Times New Roman"/>
          <w:i/>
          <w:iCs/>
          <w:sz w:val="24"/>
          <w:szCs w:val="24"/>
        </w:rPr>
        <w:t>bb_esg</w:t>
      </w:r>
      <w:proofErr w:type="spellEnd"/>
      <w:r w:rsidRPr="00227F9D">
        <w:rPr>
          <w:rFonts w:ascii="Times New Roman" w:hAnsi="Times New Roman" w:cs="Times New Roman"/>
          <w:sz w:val="24"/>
          <w:szCs w:val="24"/>
        </w:rPr>
        <w:t>), Wind (</w:t>
      </w:r>
      <w:proofErr w:type="spellStart"/>
      <w:r w:rsidRPr="00227F9D">
        <w:rPr>
          <w:rFonts w:ascii="Times New Roman" w:hAnsi="Times New Roman" w:cs="Times New Roman"/>
          <w:i/>
          <w:iCs/>
          <w:sz w:val="24"/>
          <w:szCs w:val="24"/>
        </w:rPr>
        <w:t>wind_esg</w:t>
      </w:r>
      <w:proofErr w:type="spellEnd"/>
      <w:r w:rsidRPr="00227F9D">
        <w:rPr>
          <w:rFonts w:ascii="Times New Roman" w:hAnsi="Times New Roman" w:cs="Times New Roman"/>
          <w:sz w:val="24"/>
          <w:szCs w:val="24"/>
        </w:rPr>
        <w:t xml:space="preserve">), </w:t>
      </w:r>
      <w:proofErr w:type="spellStart"/>
      <w:r w:rsidRPr="00227F9D">
        <w:rPr>
          <w:rFonts w:ascii="Times New Roman" w:hAnsi="Times New Roman" w:cs="Times New Roman"/>
          <w:sz w:val="24"/>
          <w:szCs w:val="24"/>
        </w:rPr>
        <w:t>SynTao</w:t>
      </w:r>
      <w:proofErr w:type="spellEnd"/>
      <w:r w:rsidRPr="00227F9D">
        <w:rPr>
          <w:rFonts w:ascii="Times New Roman" w:hAnsi="Times New Roman" w:cs="Times New Roman"/>
          <w:sz w:val="24"/>
          <w:szCs w:val="24"/>
        </w:rPr>
        <w:t xml:space="preserve"> Green Finance (</w:t>
      </w:r>
      <w:proofErr w:type="spellStart"/>
      <w:r w:rsidRPr="00227F9D">
        <w:rPr>
          <w:rFonts w:ascii="Times New Roman" w:hAnsi="Times New Roman" w:cs="Times New Roman"/>
          <w:i/>
          <w:iCs/>
          <w:sz w:val="24"/>
          <w:szCs w:val="24"/>
        </w:rPr>
        <w:t>sd_esg</w:t>
      </w:r>
      <w:proofErr w:type="spellEnd"/>
      <w:r w:rsidRPr="00227F9D">
        <w:rPr>
          <w:rFonts w:ascii="Times New Roman" w:hAnsi="Times New Roman" w:cs="Times New Roman"/>
          <w:sz w:val="24"/>
          <w:szCs w:val="24"/>
        </w:rPr>
        <w:t xml:space="preserve">), and </w:t>
      </w:r>
      <w:proofErr w:type="spellStart"/>
      <w:r w:rsidRPr="00227F9D">
        <w:rPr>
          <w:rFonts w:ascii="Times New Roman" w:hAnsi="Times New Roman" w:cs="Times New Roman"/>
          <w:sz w:val="24"/>
          <w:szCs w:val="24"/>
        </w:rPr>
        <w:t>Huazheng</w:t>
      </w:r>
      <w:proofErr w:type="spellEnd"/>
      <w:r w:rsidRPr="00227F9D">
        <w:rPr>
          <w:rFonts w:ascii="Times New Roman" w:hAnsi="Times New Roman" w:cs="Times New Roman"/>
          <w:sz w:val="24"/>
          <w:szCs w:val="24"/>
        </w:rPr>
        <w:t xml:space="preserve"> (</w:t>
      </w:r>
      <w:proofErr w:type="spellStart"/>
      <w:r w:rsidRPr="00227F9D">
        <w:rPr>
          <w:rFonts w:ascii="Times New Roman" w:hAnsi="Times New Roman" w:cs="Times New Roman"/>
          <w:i/>
          <w:iCs/>
          <w:sz w:val="24"/>
          <w:szCs w:val="24"/>
        </w:rPr>
        <w:t>hz_esg</w:t>
      </w:r>
      <w:proofErr w:type="spellEnd"/>
      <w:r w:rsidRPr="00227F9D">
        <w:rPr>
          <w:rFonts w:ascii="Times New Roman" w:hAnsi="Times New Roman" w:cs="Times New Roman"/>
          <w:sz w:val="24"/>
          <w:szCs w:val="24"/>
        </w:rPr>
        <w:t>), to carry out the test, and combines with the ESG data of the above four rating agencies in the previous study (Avramov et al., 2022) to calculate the rating divergence (</w:t>
      </w:r>
      <w:proofErr w:type="spellStart"/>
      <w:r w:rsidRPr="00227F9D">
        <w:rPr>
          <w:rFonts w:ascii="Times New Roman" w:hAnsi="Times New Roman" w:cs="Times New Roman"/>
          <w:i/>
          <w:iCs/>
          <w:sz w:val="24"/>
          <w:szCs w:val="24"/>
        </w:rPr>
        <w:t>esg_uncer</w:t>
      </w:r>
      <w:proofErr w:type="spellEnd"/>
      <w:r w:rsidRPr="00227F9D">
        <w:rPr>
          <w:rFonts w:ascii="Times New Roman" w:hAnsi="Times New Roman" w:cs="Times New Roman"/>
          <w:sz w:val="24"/>
          <w:szCs w:val="24"/>
        </w:rPr>
        <w:t>) to verify the validity of the ESG news sentiment indicator, showing the regression results in Table 4. The results in columns (1) to (4) of Table 4 show that the coefficient of ESG news sentiment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is consistently significantly positive for the ESG data of the above four agencies, indicating that there is a robust statistical relationship between this indicator and the ESG score data of the rating agencies while the correlation between ESG news sentiment indicators and rating disagreement (</w:t>
      </w:r>
      <w:proofErr w:type="spellStart"/>
      <w:r w:rsidRPr="00227F9D">
        <w:rPr>
          <w:rFonts w:ascii="Times New Roman" w:hAnsi="Times New Roman" w:cs="Times New Roman"/>
          <w:i/>
          <w:iCs/>
          <w:sz w:val="24"/>
          <w:szCs w:val="24"/>
        </w:rPr>
        <w:t>esg_uncer</w:t>
      </w:r>
      <w:proofErr w:type="spellEnd"/>
      <w:r w:rsidRPr="00227F9D">
        <w:rPr>
          <w:rFonts w:ascii="Times New Roman" w:hAnsi="Times New Roman" w:cs="Times New Roman"/>
          <w:sz w:val="24"/>
          <w:szCs w:val="24"/>
        </w:rPr>
        <w:t>) is significantly negative in Column (5) of Table 4. The above results indicate that the ESG news text sentiment indicator has a certain degree of external validity and contains incremental information, so it is reasonable and dependable to portray the ESG public opinion risk of enterprises to a certain extent.</w:t>
      </w:r>
    </w:p>
    <w:p w14:paraId="4F53F858" w14:textId="4D3EB836" w:rsidR="00786340" w:rsidRPr="00227F9D" w:rsidRDefault="00786340" w:rsidP="00786340">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4 about here]</w:t>
      </w:r>
    </w:p>
    <w:p w14:paraId="2A65C866" w14:textId="77777777" w:rsidR="00884233" w:rsidRPr="00227F9D" w:rsidRDefault="00884233" w:rsidP="00884233">
      <w:pPr>
        <w:rPr>
          <w:rFonts w:ascii="Times New Roman" w:hAnsi="Times New Roman" w:cs="Times New Roman"/>
          <w:sz w:val="24"/>
          <w:szCs w:val="24"/>
        </w:rPr>
      </w:pPr>
    </w:p>
    <w:p w14:paraId="07266064" w14:textId="68C47DD1" w:rsidR="0019458C" w:rsidRPr="00227F9D" w:rsidRDefault="0019458C" w:rsidP="0019458C">
      <w:pPr>
        <w:rPr>
          <w:rFonts w:ascii="Times New Roman" w:hAnsi="Times New Roman" w:cs="Times New Roman"/>
          <w:sz w:val="24"/>
          <w:szCs w:val="24"/>
        </w:rPr>
      </w:pPr>
      <w:r w:rsidRPr="00227F9D">
        <w:rPr>
          <w:rFonts w:ascii="Times New Roman" w:hAnsi="Times New Roman" w:cs="Times New Roman" w:hint="eastAsia"/>
          <w:sz w:val="24"/>
          <w:szCs w:val="24"/>
        </w:rPr>
        <w:t>Additionally, we discuss the validity of the energy innovation indicator. On the one hand, we use empirical evidence to test the effectiveness of the</w:t>
      </w:r>
      <w:r w:rsidRPr="00227F9D">
        <w:rPr>
          <w:rFonts w:ascii="Times New Roman" w:hAnsi="Times New Roman" w:cs="Times New Roman" w:hint="eastAsia"/>
          <w:i/>
          <w:iCs/>
          <w:sz w:val="24"/>
          <w:szCs w:val="24"/>
        </w:rPr>
        <w:t xml:space="preserve"> CEI</w:t>
      </w:r>
      <w:r w:rsidRPr="00227F9D">
        <w:rPr>
          <w:rFonts w:ascii="Times New Roman" w:hAnsi="Times New Roman" w:cs="Times New Roman" w:hint="eastAsia"/>
          <w:sz w:val="24"/>
          <w:szCs w:val="24"/>
        </w:rPr>
        <w:t xml:space="preserve"> indicator. This paper aggregates the identified energy innovation indicator (</w:t>
      </w:r>
      <w:r w:rsidRPr="00227F9D">
        <w:rPr>
          <w:rFonts w:ascii="Times New Roman" w:hAnsi="Times New Roman" w:cs="Times New Roman" w:hint="eastAsia"/>
          <w:i/>
          <w:iCs/>
          <w:sz w:val="24"/>
          <w:szCs w:val="24"/>
        </w:rPr>
        <w:t>CEI</w:t>
      </w:r>
      <w:r w:rsidRPr="00227F9D">
        <w:rPr>
          <w:rFonts w:ascii="Times New Roman" w:hAnsi="Times New Roman" w:cs="Times New Roman" w:hint="eastAsia"/>
          <w:sz w:val="24"/>
          <w:szCs w:val="24"/>
        </w:rPr>
        <w:t xml:space="preserve">) at the annual level and compares its annual trend with the annual trends of corporate green patent applications and green patents granted, as shown in Figure </w:t>
      </w:r>
      <w:r w:rsidR="000C7D4A" w:rsidRPr="00227F9D">
        <w:rPr>
          <w:rFonts w:ascii="Times New Roman" w:hAnsi="Times New Roman" w:cs="Times New Roman" w:hint="eastAsia"/>
          <w:sz w:val="24"/>
          <w:szCs w:val="24"/>
        </w:rPr>
        <w:t>4</w:t>
      </w:r>
      <w:r w:rsidRPr="00227F9D">
        <w:rPr>
          <w:rFonts w:ascii="Times New Roman" w:hAnsi="Times New Roman" w:cs="Times New Roman" w:hint="eastAsia"/>
          <w:sz w:val="24"/>
          <w:szCs w:val="24"/>
        </w:rPr>
        <w:t>. Since 2012, there has been a clear upward trend in both green innovation and energy innovation in the context of green development. This trend aligns well with the evolution of China</w:t>
      </w:r>
      <w:r w:rsidRPr="00227F9D">
        <w:rPr>
          <w:rFonts w:ascii="Times New Roman" w:hAnsi="Times New Roman" w:cs="Times New Roman"/>
          <w:sz w:val="24"/>
          <w:szCs w:val="24"/>
        </w:rPr>
        <w:t>’</w:t>
      </w:r>
      <w:r w:rsidRPr="00227F9D">
        <w:rPr>
          <w:rFonts w:ascii="Times New Roman" w:hAnsi="Times New Roman" w:cs="Times New Roman" w:hint="eastAsia"/>
          <w:sz w:val="24"/>
          <w:szCs w:val="24"/>
        </w:rPr>
        <w:t>s sustainable development policies and the current state of energy transformation in Chinese enterprises</w:t>
      </w:r>
      <w:r w:rsidR="001D7E3E" w:rsidRPr="00227F9D">
        <w:rPr>
          <w:rFonts w:ascii="Times New Roman" w:hAnsi="Times New Roman" w:cs="Times New Roman" w:hint="eastAsia"/>
          <w:sz w:val="24"/>
          <w:szCs w:val="24"/>
        </w:rPr>
        <w:t xml:space="preserve"> (Chen et al., 202</w:t>
      </w:r>
      <w:r w:rsidR="00BA78D5" w:rsidRPr="00227F9D">
        <w:rPr>
          <w:rFonts w:ascii="Times New Roman" w:hAnsi="Times New Roman" w:cs="Times New Roman" w:hint="eastAsia"/>
          <w:sz w:val="24"/>
          <w:szCs w:val="24"/>
        </w:rPr>
        <w:t>5</w:t>
      </w:r>
      <w:r w:rsidR="001D7E3E" w:rsidRPr="00227F9D">
        <w:rPr>
          <w:rFonts w:ascii="Times New Roman" w:hAnsi="Times New Roman" w:cs="Times New Roman" w:hint="eastAsia"/>
          <w:sz w:val="24"/>
          <w:szCs w:val="24"/>
        </w:rPr>
        <w:t>)</w:t>
      </w:r>
      <w:r w:rsidRPr="00227F9D">
        <w:rPr>
          <w:rFonts w:ascii="Times New Roman" w:hAnsi="Times New Roman" w:cs="Times New Roman" w:hint="eastAsia"/>
          <w:sz w:val="24"/>
          <w:szCs w:val="24"/>
        </w:rPr>
        <w:t>, thereby supporting the validity of the green transformation indicators identified in this study.</w:t>
      </w:r>
    </w:p>
    <w:p w14:paraId="7C6B81D2" w14:textId="5C3BC637" w:rsidR="00833026" w:rsidRPr="00227F9D" w:rsidRDefault="00833026" w:rsidP="00833026">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lastRenderedPageBreak/>
        <w:t>[Insert Figure 4 about here]</w:t>
      </w:r>
    </w:p>
    <w:p w14:paraId="69DE163C" w14:textId="77777777" w:rsidR="003253C5" w:rsidRPr="00227F9D" w:rsidRDefault="003253C5" w:rsidP="0019458C">
      <w:pPr>
        <w:rPr>
          <w:rFonts w:ascii="Times New Roman" w:hAnsi="Times New Roman" w:cs="Times New Roman"/>
          <w:sz w:val="24"/>
          <w:szCs w:val="24"/>
        </w:rPr>
      </w:pPr>
    </w:p>
    <w:p w14:paraId="5F70C3FA" w14:textId="3837B094" w:rsidR="0019458C" w:rsidRPr="00227F9D" w:rsidRDefault="0019458C" w:rsidP="0019458C">
      <w:pPr>
        <w:rPr>
          <w:rFonts w:ascii="Times New Roman" w:hAnsi="Times New Roman" w:cs="Times New Roman"/>
          <w:sz w:val="24"/>
          <w:szCs w:val="24"/>
        </w:rPr>
      </w:pPr>
      <w:r w:rsidRPr="00227F9D">
        <w:rPr>
          <w:rFonts w:ascii="Times New Roman" w:hAnsi="Times New Roman" w:cs="Times New Roman" w:hint="eastAsia"/>
          <w:sz w:val="24"/>
          <w:szCs w:val="24"/>
        </w:rPr>
        <w:t xml:space="preserve">On the other hand, we adopt the testing approach of </w:t>
      </w:r>
      <w:r w:rsidR="000C7D4A" w:rsidRPr="00227F9D">
        <w:rPr>
          <w:rFonts w:ascii="Times New Roman" w:hAnsi="Times New Roman" w:cs="Times New Roman" w:hint="eastAsia"/>
          <w:sz w:val="24"/>
          <w:szCs w:val="24"/>
        </w:rPr>
        <w:t>Scholtes et al. (2011)</w:t>
      </w:r>
      <w:r w:rsidRPr="00227F9D">
        <w:rPr>
          <w:rFonts w:ascii="Times New Roman" w:hAnsi="Times New Roman" w:cs="Times New Roman" w:hint="eastAsia"/>
          <w:sz w:val="24"/>
          <w:szCs w:val="24"/>
        </w:rPr>
        <w:t xml:space="preserve"> and employ empirical methods for validation. Specifically, we include three empirical indicators: first, following the methodology of Chu et al. (2024), we utilize the textual information from the annual reports of listed companies to reflect the degree of corporate energy transformation (</w:t>
      </w:r>
      <w:r w:rsidRPr="00227F9D">
        <w:rPr>
          <w:rFonts w:ascii="Times New Roman" w:hAnsi="Times New Roman" w:cs="Times New Roman" w:hint="eastAsia"/>
          <w:i/>
          <w:iCs/>
          <w:sz w:val="24"/>
          <w:szCs w:val="24"/>
        </w:rPr>
        <w:t>CET</w:t>
      </w:r>
      <w:r w:rsidRPr="00227F9D">
        <w:rPr>
          <w:rFonts w:ascii="Times New Roman" w:hAnsi="Times New Roman" w:cs="Times New Roman" w:hint="eastAsia"/>
          <w:sz w:val="24"/>
          <w:szCs w:val="24"/>
        </w:rPr>
        <w:t>) through the frequency of energy transition-related terms. Second, we measure corporate energy intensity (</w:t>
      </w:r>
      <w:r w:rsidRPr="00227F9D">
        <w:rPr>
          <w:rFonts w:ascii="Times New Roman" w:hAnsi="Times New Roman" w:cs="Times New Roman" w:hint="eastAsia"/>
          <w:i/>
          <w:iCs/>
          <w:sz w:val="24"/>
          <w:szCs w:val="24"/>
        </w:rPr>
        <w:t>ECI</w:t>
      </w:r>
      <w:r w:rsidRPr="00227F9D">
        <w:rPr>
          <w:rFonts w:ascii="Times New Roman" w:hAnsi="Times New Roman" w:cs="Times New Roman" w:hint="eastAsia"/>
          <w:sz w:val="24"/>
          <w:szCs w:val="24"/>
        </w:rPr>
        <w:t>) as the total energy consumption divided by operating revenue</w:t>
      </w:r>
      <w:r w:rsidR="002968F9" w:rsidRPr="00227F9D">
        <w:rPr>
          <w:rFonts w:ascii="Times New Roman" w:hAnsi="Times New Roman" w:cs="Times New Roman" w:hint="eastAsia"/>
          <w:sz w:val="24"/>
          <w:szCs w:val="24"/>
        </w:rPr>
        <w:t xml:space="preserve"> (Tan et al., 2025)</w:t>
      </w:r>
      <w:r w:rsidRPr="00227F9D">
        <w:rPr>
          <w:rFonts w:ascii="Times New Roman" w:hAnsi="Times New Roman" w:cs="Times New Roman" w:hint="eastAsia"/>
          <w:sz w:val="24"/>
          <w:szCs w:val="24"/>
        </w:rPr>
        <w:t>. Third, we take the logarithm of carbon dioxide emissions (</w:t>
      </w:r>
      <w:r w:rsidRPr="00227F9D">
        <w:rPr>
          <w:rFonts w:ascii="Times New Roman" w:hAnsi="Times New Roman" w:cs="Times New Roman" w:hint="eastAsia"/>
          <w:i/>
          <w:iCs/>
          <w:sz w:val="24"/>
          <w:szCs w:val="24"/>
        </w:rPr>
        <w:t>CO2</w:t>
      </w:r>
      <w:r w:rsidRPr="00227F9D">
        <w:rPr>
          <w:rFonts w:ascii="Times New Roman" w:hAnsi="Times New Roman" w:cs="Times New Roman" w:hint="eastAsia"/>
          <w:sz w:val="24"/>
          <w:szCs w:val="24"/>
        </w:rPr>
        <w:t xml:space="preserve">). According to the regression results in Table 5, </w:t>
      </w:r>
      <w:r w:rsidRPr="00227F9D">
        <w:rPr>
          <w:rFonts w:ascii="Times New Roman" w:hAnsi="Times New Roman" w:cs="Times New Roman" w:hint="eastAsia"/>
          <w:i/>
          <w:iCs/>
          <w:sz w:val="24"/>
          <w:szCs w:val="24"/>
        </w:rPr>
        <w:t>CEI</w:t>
      </w:r>
      <w:r w:rsidRPr="00227F9D">
        <w:rPr>
          <w:rFonts w:ascii="Times New Roman" w:hAnsi="Times New Roman" w:cs="Times New Roman" w:hint="eastAsia"/>
          <w:sz w:val="24"/>
          <w:szCs w:val="24"/>
        </w:rPr>
        <w:t xml:space="preserve"> indeed captures information about corporate energy transformation to a certain extent while effectively reducing corporate energy consumption intensity and carbon dioxide emissions. Th</w:t>
      </w:r>
      <w:r w:rsidR="001D7E3E" w:rsidRPr="00227F9D">
        <w:rPr>
          <w:rFonts w:ascii="Times New Roman" w:hAnsi="Times New Roman" w:cs="Times New Roman" w:hint="eastAsia"/>
          <w:sz w:val="24"/>
          <w:szCs w:val="24"/>
        </w:rPr>
        <w:t>e</w:t>
      </w:r>
      <w:r w:rsidRPr="00227F9D">
        <w:rPr>
          <w:rFonts w:ascii="Times New Roman" w:hAnsi="Times New Roman" w:cs="Times New Roman" w:hint="eastAsia"/>
          <w:sz w:val="24"/>
          <w:szCs w:val="24"/>
        </w:rPr>
        <w:t>s</w:t>
      </w:r>
      <w:r w:rsidR="001D7E3E" w:rsidRPr="00227F9D">
        <w:rPr>
          <w:rFonts w:ascii="Times New Roman" w:hAnsi="Times New Roman" w:cs="Times New Roman" w:hint="eastAsia"/>
          <w:sz w:val="24"/>
          <w:szCs w:val="24"/>
        </w:rPr>
        <w:t>e</w:t>
      </w:r>
      <w:r w:rsidRPr="00227F9D">
        <w:rPr>
          <w:rFonts w:ascii="Times New Roman" w:hAnsi="Times New Roman" w:cs="Times New Roman" w:hint="eastAsia"/>
          <w:sz w:val="24"/>
          <w:szCs w:val="24"/>
        </w:rPr>
        <w:t xml:space="preserve"> finding</w:t>
      </w:r>
      <w:r w:rsidR="001D7E3E" w:rsidRPr="00227F9D">
        <w:rPr>
          <w:rFonts w:ascii="Times New Roman" w:hAnsi="Times New Roman" w:cs="Times New Roman" w:hint="eastAsia"/>
          <w:sz w:val="24"/>
          <w:szCs w:val="24"/>
        </w:rPr>
        <w:t>s</w:t>
      </w:r>
      <w:r w:rsidRPr="00227F9D">
        <w:rPr>
          <w:rFonts w:ascii="Times New Roman" w:hAnsi="Times New Roman" w:cs="Times New Roman" w:hint="eastAsia"/>
          <w:sz w:val="24"/>
          <w:szCs w:val="24"/>
        </w:rPr>
        <w:t xml:space="preserve"> </w:t>
      </w:r>
      <w:r w:rsidR="001D7E3E" w:rsidRPr="00227F9D">
        <w:rPr>
          <w:rFonts w:ascii="Times New Roman" w:hAnsi="Times New Roman" w:cs="Times New Roman" w:hint="eastAsia"/>
          <w:sz w:val="24"/>
          <w:szCs w:val="24"/>
        </w:rPr>
        <w:t>are</w:t>
      </w:r>
      <w:r w:rsidRPr="00227F9D">
        <w:rPr>
          <w:rFonts w:ascii="Times New Roman" w:hAnsi="Times New Roman" w:cs="Times New Roman" w:hint="eastAsia"/>
          <w:sz w:val="24"/>
          <w:szCs w:val="24"/>
        </w:rPr>
        <w:t xml:space="preserve"> highly consistent with existing literature (</w:t>
      </w:r>
      <w:r w:rsidR="001D7E3E" w:rsidRPr="00227F9D">
        <w:rPr>
          <w:rFonts w:ascii="Times New Roman" w:hAnsi="Times New Roman" w:cs="Times New Roman" w:hint="eastAsia"/>
          <w:sz w:val="24"/>
          <w:szCs w:val="24"/>
        </w:rPr>
        <w:t>Fischer et al., 2017; Chu et al., 2024; Tan et al., 2025</w:t>
      </w:r>
      <w:r w:rsidRPr="00227F9D">
        <w:rPr>
          <w:rFonts w:ascii="Times New Roman" w:hAnsi="Times New Roman" w:cs="Times New Roman" w:hint="eastAsia"/>
          <w:sz w:val="24"/>
          <w:szCs w:val="24"/>
        </w:rPr>
        <w:t>), thus supporting the rationale behind the indicators used in this study.</w:t>
      </w:r>
    </w:p>
    <w:p w14:paraId="343D5531" w14:textId="25038DC6" w:rsidR="00786340" w:rsidRPr="00227F9D" w:rsidRDefault="00786340" w:rsidP="00786340">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5 about here]</w:t>
      </w:r>
    </w:p>
    <w:p w14:paraId="4C434CD7" w14:textId="77777777" w:rsidR="000C7D4A" w:rsidRPr="00227F9D" w:rsidRDefault="000C7D4A" w:rsidP="00884233">
      <w:pPr>
        <w:rPr>
          <w:rFonts w:ascii="Times New Roman" w:hAnsi="Times New Roman" w:cs="Times New Roman"/>
          <w:sz w:val="24"/>
          <w:szCs w:val="24"/>
        </w:rPr>
      </w:pPr>
    </w:p>
    <w:p w14:paraId="1DC5C61A" w14:textId="29AA07C8" w:rsidR="00884233" w:rsidRPr="00227F9D" w:rsidRDefault="007C6EF1" w:rsidP="00884233">
      <w:pPr>
        <w:rPr>
          <w:rFonts w:ascii="Times New Roman" w:hAnsi="Times New Roman" w:cs="Times New Roman"/>
          <w:b/>
          <w:bCs/>
          <w:sz w:val="24"/>
          <w:szCs w:val="24"/>
        </w:rPr>
      </w:pPr>
      <w:r w:rsidRPr="00227F9D">
        <w:rPr>
          <w:rFonts w:ascii="Times New Roman" w:hAnsi="Times New Roman" w:cs="Times New Roman" w:hint="eastAsia"/>
          <w:b/>
          <w:bCs/>
          <w:sz w:val="24"/>
          <w:szCs w:val="24"/>
        </w:rPr>
        <w:t>5</w:t>
      </w:r>
      <w:r w:rsidR="00884233" w:rsidRPr="00227F9D">
        <w:rPr>
          <w:rFonts w:ascii="Times New Roman" w:hAnsi="Times New Roman" w:cs="Times New Roman"/>
          <w:b/>
          <w:bCs/>
          <w:sz w:val="24"/>
          <w:szCs w:val="24"/>
        </w:rPr>
        <w:t>.3 Robustness Tests</w:t>
      </w:r>
    </w:p>
    <w:p w14:paraId="474D8D24" w14:textId="4BB8607B" w:rsidR="00884233" w:rsidRPr="00227F9D" w:rsidRDefault="007C6EF1" w:rsidP="00884233">
      <w:pPr>
        <w:rPr>
          <w:rFonts w:ascii="Times New Roman" w:hAnsi="Times New Roman" w:cs="Times New Roman"/>
          <w:sz w:val="24"/>
          <w:szCs w:val="24"/>
        </w:rPr>
      </w:pPr>
      <w:r w:rsidRPr="00227F9D">
        <w:rPr>
          <w:rFonts w:ascii="Times New Roman" w:hAnsi="Times New Roman" w:cs="Times New Roman" w:hint="eastAsia"/>
          <w:sz w:val="24"/>
          <w:szCs w:val="24"/>
        </w:rPr>
        <w:t>5</w:t>
      </w:r>
      <w:r w:rsidR="00884233" w:rsidRPr="00227F9D">
        <w:rPr>
          <w:rFonts w:ascii="Times New Roman" w:hAnsi="Times New Roman" w:cs="Times New Roman"/>
          <w:sz w:val="24"/>
          <w:szCs w:val="24"/>
        </w:rPr>
        <w:t>.3.1 DID estimation</w:t>
      </w:r>
    </w:p>
    <w:p w14:paraId="79356BEF" w14:textId="40849442" w:rsidR="00735D28" w:rsidRPr="00227F9D" w:rsidRDefault="00884233" w:rsidP="00884233">
      <w:pPr>
        <w:rPr>
          <w:rFonts w:ascii="Times New Roman" w:hAnsi="Times New Roman" w:cs="Times New Roman"/>
          <w:sz w:val="24"/>
          <w:szCs w:val="24"/>
        </w:rPr>
      </w:pPr>
      <w:r w:rsidRPr="00227F9D">
        <w:rPr>
          <w:rFonts w:ascii="Times New Roman" w:hAnsi="Times New Roman" w:cs="Times New Roman"/>
          <w:sz w:val="24"/>
          <w:szCs w:val="24"/>
        </w:rPr>
        <w:t>Given that activities related to CEI may affect media discussion and sentiment feedback on corporate ESG performance, leading to a reverse causality problem, this research introduced the market regime of the first announcement of ESG ratings in 2015 as an exogenous policy shock and constructed a multi-temporal D</w:t>
      </w:r>
      <w:r w:rsidR="001D7E3E" w:rsidRPr="00227F9D">
        <w:rPr>
          <w:rFonts w:ascii="Times New Roman" w:hAnsi="Times New Roman" w:cs="Times New Roman" w:hint="eastAsia"/>
          <w:sz w:val="24"/>
          <w:szCs w:val="24"/>
        </w:rPr>
        <w:t>ifference-in-</w:t>
      </w:r>
      <w:r w:rsidRPr="00227F9D">
        <w:rPr>
          <w:rFonts w:ascii="Times New Roman" w:hAnsi="Times New Roman" w:cs="Times New Roman"/>
          <w:sz w:val="24"/>
          <w:szCs w:val="24"/>
        </w:rPr>
        <w:t>D</w:t>
      </w:r>
      <w:r w:rsidR="001D7E3E" w:rsidRPr="00227F9D">
        <w:rPr>
          <w:rFonts w:ascii="Times New Roman" w:hAnsi="Times New Roman" w:cs="Times New Roman" w:hint="eastAsia"/>
          <w:sz w:val="24"/>
          <w:szCs w:val="24"/>
        </w:rPr>
        <w:t>ifference (DID)</w:t>
      </w:r>
      <w:r w:rsidRPr="00227F9D">
        <w:rPr>
          <w:rFonts w:ascii="Times New Roman" w:hAnsi="Times New Roman" w:cs="Times New Roman"/>
          <w:sz w:val="24"/>
          <w:szCs w:val="24"/>
        </w:rPr>
        <w:t xml:space="preserve"> model for robustness testing from </w:t>
      </w:r>
      <w:proofErr w:type="spellStart"/>
      <w:r w:rsidRPr="00227F9D">
        <w:rPr>
          <w:rFonts w:ascii="Times New Roman" w:hAnsi="Times New Roman" w:cs="Times New Roman"/>
          <w:i/>
          <w:iCs/>
          <w:sz w:val="24"/>
          <w:szCs w:val="24"/>
        </w:rPr>
        <w:t>SynTao</w:t>
      </w:r>
      <w:proofErr w:type="spellEnd"/>
      <w:r w:rsidRPr="00227F9D">
        <w:rPr>
          <w:rFonts w:ascii="Times New Roman" w:hAnsi="Times New Roman" w:cs="Times New Roman"/>
          <w:i/>
          <w:iCs/>
          <w:sz w:val="24"/>
          <w:szCs w:val="24"/>
        </w:rPr>
        <w:t xml:space="preserve"> Green Finance</w:t>
      </w:r>
      <w:r w:rsidRPr="00227F9D">
        <w:rPr>
          <w:rFonts w:ascii="Times New Roman" w:hAnsi="Times New Roman" w:cs="Times New Roman"/>
          <w:sz w:val="24"/>
          <w:szCs w:val="24"/>
        </w:rPr>
        <w:t>, the first ESG rating certifier in China recognized by the Climate Bond Standard, frequently mentioned by news media since its rating system is first published and likely to be directly affected whether a firm is included in the rating list by the media</w:t>
      </w:r>
      <w:r w:rsidR="00EF77E2" w:rsidRPr="00227F9D">
        <w:rPr>
          <w:rFonts w:ascii="Times New Roman" w:hAnsi="Times New Roman" w:cs="Times New Roman"/>
          <w:sz w:val="24"/>
          <w:szCs w:val="24"/>
        </w:rPr>
        <w:t>’</w:t>
      </w:r>
      <w:r w:rsidRPr="00227F9D">
        <w:rPr>
          <w:rFonts w:ascii="Times New Roman" w:hAnsi="Times New Roman" w:cs="Times New Roman"/>
          <w:sz w:val="24"/>
          <w:szCs w:val="24"/>
        </w:rPr>
        <w:t>s sentiment towards ESG issues. Accordingly, this study constructed the following regression model: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01"/>
        <w:gridCol w:w="505"/>
      </w:tblGrid>
      <w:tr w:rsidR="00227F9D" w:rsidRPr="00227F9D" w14:paraId="4BBB6134" w14:textId="77777777" w:rsidTr="00735D28">
        <w:tc>
          <w:tcPr>
            <w:tcW w:w="8017" w:type="dxa"/>
          </w:tcPr>
          <w:p w14:paraId="37149F53" w14:textId="2CBF389D" w:rsidR="00735D28" w:rsidRPr="00227F9D" w:rsidRDefault="00000000" w:rsidP="00884233">
            <w:pPr>
              <w:rPr>
                <w:sz w:val="24"/>
                <w:szCs w:val="24"/>
              </w:rPr>
            </w:pPr>
            <m:oMathPara>
              <m:oMath>
                <m:sSub>
                  <m:sSubPr>
                    <m:ctrlPr>
                      <w:rPr>
                        <w:rFonts w:ascii="Cambria Math" w:hAnsi="Cambria Math"/>
                        <w:sz w:val="24"/>
                        <w:szCs w:val="24"/>
                      </w:rPr>
                    </m:ctrlPr>
                  </m:sSubPr>
                  <m:e>
                    <m:r>
                      <w:rPr>
                        <w:rFonts w:ascii="Cambria Math" w:hAnsi="Cambria Math"/>
                        <w:sz w:val="24"/>
                        <w:szCs w:val="24"/>
                      </w:rPr>
                      <m:t>CEI</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sub>
                </m:sSub>
                <m:r>
                  <m:rPr>
                    <m:sty m:val="p"/>
                  </m:rPr>
                  <w:rPr>
                    <w:rFonts w:ascii="Cambria Math" w:hAnsi="Cambria Math"/>
                    <w:sz w:val="24"/>
                    <w:szCs w:val="24"/>
                  </w:rPr>
                  <m:t>=</m:t>
                </m:r>
                <m:r>
                  <w:rPr>
                    <w:rFonts w:ascii="Cambria Math" w:hAnsi="Cambria Math"/>
                    <w:sz w:val="24"/>
                    <w:szCs w:val="24"/>
                  </w:rPr>
                  <m:t>α</m:t>
                </m:r>
                <m:r>
                  <m:rPr>
                    <m:sty m:val="p"/>
                  </m:rPr>
                  <w:rPr>
                    <w:rFonts w:ascii="Cambria Math" w:hAnsi="Cambria Math"/>
                    <w:sz w:val="24"/>
                    <w:szCs w:val="24"/>
                  </w:rPr>
                  <m:t>+</m:t>
                </m:r>
                <m:r>
                  <w:rPr>
                    <w:rFonts w:ascii="Cambria Math" w:hAnsi="Cambria Math"/>
                    <w:sz w:val="24"/>
                    <w:szCs w:val="24"/>
                  </w:rPr>
                  <m:t>β</m:t>
                </m:r>
                <m:sSub>
                  <m:sSubPr>
                    <m:ctrlPr>
                      <w:rPr>
                        <w:rFonts w:ascii="Cambria Math" w:hAnsi="Cambria Math"/>
                        <w:sz w:val="24"/>
                        <w:szCs w:val="24"/>
                      </w:rPr>
                    </m:ctrlPr>
                  </m:sSubPr>
                  <m:e>
                    <m:r>
                      <w:rPr>
                        <w:rFonts w:ascii="Cambria Math" w:hAnsi="Cambria Math"/>
                        <w:sz w:val="24"/>
                        <w:szCs w:val="24"/>
                      </w:rPr>
                      <m:t>ESG_rate</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sub>
                </m:sSub>
                <m:r>
                  <m:rPr>
                    <m:sty m:val="p"/>
                  </m:rPr>
                  <w:rPr>
                    <w:rFonts w:ascii="Cambria Math" w:hAnsi="Cambria Math"/>
                    <w:sz w:val="24"/>
                    <w:szCs w:val="24"/>
                  </w:rPr>
                  <m:t>+</m:t>
                </m:r>
                <m:r>
                  <m:rPr>
                    <m:sty m:val="bi"/>
                  </m:rPr>
                  <w:rPr>
                    <w:rFonts w:ascii="Cambria Math" w:hAnsi="Cambria Math"/>
                    <w:sz w:val="24"/>
                    <w:szCs w:val="24"/>
                  </w:rPr>
                  <m:t>γ</m:t>
                </m:r>
                <m:sSub>
                  <m:sSubPr>
                    <m:ctrlPr>
                      <w:rPr>
                        <w:rFonts w:ascii="Cambria Math" w:hAnsi="Cambria Math"/>
                        <w:bCs/>
                        <w:sz w:val="24"/>
                        <w:szCs w:val="24"/>
                      </w:rPr>
                    </m:ctrlPr>
                  </m:sSubPr>
                  <m:e>
                    <m:r>
                      <w:rPr>
                        <w:rFonts w:ascii="Cambria Math" w:hAnsi="Cambria Math"/>
                        <w:sz w:val="24"/>
                        <w:szCs w:val="24"/>
                      </w:rPr>
                      <m:t>Χ</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r>
                      <m:rPr>
                        <m:sty m:val="p"/>
                      </m:rPr>
                      <w:rPr>
                        <w:rFonts w:ascii="Cambria Math" w:hAnsi="Cambria Math"/>
                        <w:sz w:val="24"/>
                        <w:szCs w:val="24"/>
                      </w:rPr>
                      <m:t>-1</m:t>
                    </m:r>
                  </m:sub>
                </m:sSub>
                <m:r>
                  <m:rPr>
                    <m:sty m:val="b"/>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γ</m:t>
                    </m:r>
                  </m:e>
                  <m:sub>
                    <m:r>
                      <w:rPr>
                        <w:rFonts w:ascii="Cambria Math" w:hAnsi="Cambria Math"/>
                        <w:sz w:val="24"/>
                        <w:szCs w:val="24"/>
                      </w:rPr>
                      <m:t>i</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θ</m:t>
                    </m:r>
                  </m:e>
                  <m:sub>
                    <m:r>
                      <w:rPr>
                        <w:rFonts w:ascii="Cambria Math" w:hAnsi="Cambria Math"/>
                        <w:sz w:val="24"/>
                        <w:szCs w:val="24"/>
                      </w:rPr>
                      <m:t>t</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μ</m:t>
                    </m:r>
                  </m:e>
                  <m:sub>
                    <m:r>
                      <w:rPr>
                        <w:rFonts w:ascii="Cambria Math" w:hAnsi="Cambria Math"/>
                        <w:sz w:val="24"/>
                        <w:szCs w:val="24"/>
                      </w:rPr>
                      <m:t>i</m:t>
                    </m:r>
                    <m:r>
                      <m:rPr>
                        <m:sty m:val="p"/>
                      </m:rPr>
                      <w:rPr>
                        <w:rFonts w:ascii="Cambria Math" w:hAnsi="Cambria Math"/>
                        <w:sz w:val="24"/>
                        <w:szCs w:val="24"/>
                      </w:rPr>
                      <m:t>,</m:t>
                    </m:r>
                    <m:r>
                      <w:rPr>
                        <w:rFonts w:ascii="Cambria Math" w:hAnsi="Cambria Math"/>
                        <w:sz w:val="24"/>
                        <w:szCs w:val="24"/>
                      </w:rPr>
                      <m:t>t</m:t>
                    </m:r>
                  </m:sub>
                </m:sSub>
              </m:oMath>
            </m:oMathPara>
          </w:p>
        </w:tc>
        <w:tc>
          <w:tcPr>
            <w:tcW w:w="505" w:type="dxa"/>
          </w:tcPr>
          <w:p w14:paraId="2D30FF35" w14:textId="45011212" w:rsidR="00735D28" w:rsidRPr="00227F9D" w:rsidRDefault="00735D28" w:rsidP="00735D28">
            <w:pPr>
              <w:jc w:val="right"/>
              <w:rPr>
                <w:sz w:val="24"/>
                <w:szCs w:val="24"/>
              </w:rPr>
            </w:pPr>
            <w:r w:rsidRPr="00227F9D">
              <w:rPr>
                <w:sz w:val="24"/>
                <w:szCs w:val="24"/>
              </w:rPr>
              <w:t>(3)</w:t>
            </w:r>
          </w:p>
        </w:tc>
      </w:tr>
    </w:tbl>
    <w:p w14:paraId="68C6DEB9" w14:textId="659226D3" w:rsidR="00884233" w:rsidRPr="00227F9D" w:rsidRDefault="00884233" w:rsidP="00884233">
      <w:pPr>
        <w:rPr>
          <w:rFonts w:ascii="Times New Roman" w:hAnsi="Times New Roman" w:cs="Times New Roman"/>
          <w:sz w:val="24"/>
          <w:szCs w:val="24"/>
        </w:rPr>
      </w:pPr>
      <w:r w:rsidRPr="00227F9D">
        <w:rPr>
          <w:rFonts w:ascii="Times New Roman" w:hAnsi="Times New Roman" w:cs="Times New Roman"/>
          <w:sz w:val="24"/>
          <w:szCs w:val="24"/>
        </w:rPr>
        <w:t xml:space="preserve">In Eq. (3), </w:t>
      </w:r>
      <w:proofErr w:type="spellStart"/>
      <w:r w:rsidR="001D7E3E" w:rsidRPr="00227F9D">
        <w:rPr>
          <w:rFonts w:ascii="Times New Roman" w:hAnsi="Times New Roman" w:cs="Times New Roman" w:hint="eastAsia"/>
          <w:i/>
          <w:iCs/>
          <w:sz w:val="24"/>
          <w:szCs w:val="24"/>
        </w:rPr>
        <w:t>ESG_rate</w:t>
      </w:r>
      <w:proofErr w:type="spellEnd"/>
      <w:r w:rsidRPr="00227F9D">
        <w:rPr>
          <w:rFonts w:ascii="Times New Roman" w:hAnsi="Times New Roman" w:cs="Times New Roman"/>
          <w:sz w:val="24"/>
          <w:szCs w:val="24"/>
        </w:rPr>
        <w:t xml:space="preserve"> represents the policy variable if the enterprise </w:t>
      </w:r>
      <w:r w:rsidRPr="00227F9D">
        <w:rPr>
          <w:rFonts w:ascii="Times New Roman" w:hAnsi="Times New Roman" w:cs="Times New Roman"/>
          <w:i/>
          <w:iCs/>
          <w:sz w:val="24"/>
          <w:szCs w:val="24"/>
        </w:rPr>
        <w:t>i</w:t>
      </w:r>
      <w:r w:rsidRPr="00227F9D">
        <w:rPr>
          <w:rFonts w:ascii="Times New Roman" w:hAnsi="Times New Roman" w:cs="Times New Roman"/>
          <w:sz w:val="24"/>
          <w:szCs w:val="24"/>
        </w:rPr>
        <w:t xml:space="preserve"> is included in the ESG rating list of </w:t>
      </w:r>
      <w:proofErr w:type="spellStart"/>
      <w:r w:rsidRPr="00227F9D">
        <w:rPr>
          <w:rFonts w:ascii="Times New Roman" w:hAnsi="Times New Roman" w:cs="Times New Roman"/>
          <w:i/>
          <w:iCs/>
          <w:sz w:val="24"/>
          <w:szCs w:val="24"/>
        </w:rPr>
        <w:t>SynTao</w:t>
      </w:r>
      <w:proofErr w:type="spellEnd"/>
      <w:r w:rsidRPr="00227F9D">
        <w:rPr>
          <w:rFonts w:ascii="Times New Roman" w:hAnsi="Times New Roman" w:cs="Times New Roman"/>
          <w:i/>
          <w:iCs/>
          <w:sz w:val="24"/>
          <w:szCs w:val="24"/>
        </w:rPr>
        <w:t xml:space="preserve"> Green Finance</w:t>
      </w:r>
      <w:r w:rsidRPr="00227F9D">
        <w:rPr>
          <w:rFonts w:ascii="Times New Roman" w:hAnsi="Times New Roman" w:cs="Times New Roman"/>
          <w:sz w:val="24"/>
          <w:szCs w:val="24"/>
        </w:rPr>
        <w:t xml:space="preserve"> in year t, the value of </w:t>
      </w:r>
      <w:proofErr w:type="spellStart"/>
      <w:r w:rsidR="001D7E3E" w:rsidRPr="00227F9D">
        <w:rPr>
          <w:rFonts w:ascii="Times New Roman" w:hAnsi="Times New Roman" w:cs="Times New Roman" w:hint="eastAsia"/>
          <w:i/>
          <w:iCs/>
          <w:sz w:val="24"/>
          <w:szCs w:val="24"/>
        </w:rPr>
        <w:t>ESG_rate</w:t>
      </w:r>
      <w:proofErr w:type="spellEnd"/>
      <w:r w:rsidRPr="00227F9D">
        <w:rPr>
          <w:rFonts w:ascii="Times New Roman" w:hAnsi="Times New Roman" w:cs="Times New Roman"/>
          <w:sz w:val="24"/>
          <w:szCs w:val="24"/>
        </w:rPr>
        <w:t xml:space="preserve"> is 1, and vice versa, it is 0. The parallel trend assumption is a fundamental prerequisite before conducting DID estimation. Column (1) of Table </w:t>
      </w:r>
      <w:r w:rsidR="00786340" w:rsidRPr="00227F9D">
        <w:rPr>
          <w:rFonts w:ascii="Times New Roman" w:hAnsi="Times New Roman" w:cs="Times New Roman" w:hint="eastAsia"/>
          <w:sz w:val="24"/>
          <w:szCs w:val="24"/>
        </w:rPr>
        <w:t>6</w:t>
      </w:r>
      <w:r w:rsidRPr="00227F9D">
        <w:rPr>
          <w:rFonts w:ascii="Times New Roman" w:hAnsi="Times New Roman" w:cs="Times New Roman"/>
          <w:sz w:val="24"/>
          <w:szCs w:val="24"/>
        </w:rPr>
        <w:t xml:space="preserve"> shows the parallel trend test results</w:t>
      </w:r>
      <w:proofErr w:type="gramStart"/>
      <w:r w:rsidRPr="00227F9D">
        <w:rPr>
          <w:rFonts w:ascii="Times New Roman" w:hAnsi="Times New Roman" w:cs="Times New Roman"/>
          <w:sz w:val="24"/>
          <w:szCs w:val="24"/>
        </w:rPr>
        <w:t>, the</w:t>
      </w:r>
      <w:proofErr w:type="gramEnd"/>
      <w:r w:rsidRPr="00227F9D">
        <w:rPr>
          <w:rFonts w:ascii="Times New Roman" w:hAnsi="Times New Roman" w:cs="Times New Roman"/>
          <w:sz w:val="24"/>
          <w:szCs w:val="24"/>
        </w:rPr>
        <w:t xml:space="preserve"> period before the policy shock (</w:t>
      </w:r>
      <w:proofErr w:type="gramStart"/>
      <w:r w:rsidRPr="00227F9D">
        <w:rPr>
          <w:rFonts w:ascii="Times New Roman" w:hAnsi="Times New Roman" w:cs="Times New Roman"/>
          <w:sz w:val="24"/>
          <w:szCs w:val="24"/>
        </w:rPr>
        <w:t>pre</w:t>
      </w:r>
      <w:r w:rsidR="00735D28" w:rsidRPr="00227F9D">
        <w:rPr>
          <w:rFonts w:ascii="Times New Roman" w:hAnsi="Times New Roman" w:cs="Times New Roman"/>
          <w:sz w:val="24"/>
          <w:szCs w:val="24"/>
        </w:rPr>
        <w:t xml:space="preserve"> </w:t>
      </w:r>
      <w:r w:rsidRPr="00227F9D">
        <w:rPr>
          <w:rFonts w:ascii="Times New Roman" w:hAnsi="Times New Roman" w:cs="Times New Roman"/>
          <w:sz w:val="24"/>
          <w:szCs w:val="24"/>
        </w:rPr>
        <w:t>4</w:t>
      </w:r>
      <w:proofErr w:type="gramEnd"/>
      <w:r w:rsidRPr="00227F9D">
        <w:rPr>
          <w:rFonts w:ascii="Times New Roman" w:hAnsi="Times New Roman" w:cs="Times New Roman"/>
          <w:sz w:val="24"/>
          <w:szCs w:val="24"/>
        </w:rPr>
        <w:t xml:space="preserve">, pre 3, pre 2) was not significant, while the coefficients after the policy shock were significantly positive, indicating that the development trend of enterprise energy innovation remained consistent before the implementation of the ESG rating market system in Figure </w:t>
      </w:r>
      <w:r w:rsidR="003253C5" w:rsidRPr="00227F9D">
        <w:rPr>
          <w:rFonts w:ascii="Times New Roman" w:hAnsi="Times New Roman" w:cs="Times New Roman" w:hint="eastAsia"/>
          <w:sz w:val="24"/>
          <w:szCs w:val="24"/>
        </w:rPr>
        <w:t>5</w:t>
      </w:r>
      <w:r w:rsidRPr="00227F9D">
        <w:rPr>
          <w:rFonts w:ascii="Times New Roman" w:hAnsi="Times New Roman" w:cs="Times New Roman"/>
          <w:sz w:val="24"/>
          <w:szCs w:val="24"/>
        </w:rPr>
        <w:t xml:space="preserve">. Furthermore, the estimated results in column (2) of Table </w:t>
      </w:r>
      <w:r w:rsidR="00786340" w:rsidRPr="00227F9D">
        <w:rPr>
          <w:rFonts w:ascii="Times New Roman" w:hAnsi="Times New Roman" w:cs="Times New Roman" w:hint="eastAsia"/>
          <w:sz w:val="24"/>
          <w:szCs w:val="24"/>
        </w:rPr>
        <w:t>6</w:t>
      </w:r>
      <w:r w:rsidRPr="00227F9D">
        <w:rPr>
          <w:rFonts w:ascii="Times New Roman" w:hAnsi="Times New Roman" w:cs="Times New Roman"/>
          <w:sz w:val="24"/>
          <w:szCs w:val="24"/>
        </w:rPr>
        <w:t xml:space="preserve"> revealed that the coefficient of </w:t>
      </w:r>
      <w:proofErr w:type="spellStart"/>
      <w:r w:rsidR="001D7E3E" w:rsidRPr="00227F9D">
        <w:rPr>
          <w:rFonts w:ascii="Times New Roman" w:hAnsi="Times New Roman" w:cs="Times New Roman" w:hint="eastAsia"/>
          <w:i/>
          <w:iCs/>
          <w:sz w:val="24"/>
          <w:szCs w:val="24"/>
        </w:rPr>
        <w:t>ESG_rate</w:t>
      </w:r>
      <w:proofErr w:type="spellEnd"/>
      <w:r w:rsidRPr="00227F9D">
        <w:rPr>
          <w:rFonts w:ascii="Times New Roman" w:hAnsi="Times New Roman" w:cs="Times New Roman"/>
          <w:sz w:val="24"/>
          <w:szCs w:val="24"/>
        </w:rPr>
        <w:t xml:space="preserve"> is 0.1277, significantly positive at the 1% level, indicating that the changes in media sentiment caused by introducing the ESG rating system can effectively stimulate </w:t>
      </w:r>
      <w:r w:rsidRPr="00227F9D">
        <w:rPr>
          <w:rFonts w:ascii="Times New Roman" w:hAnsi="Times New Roman" w:cs="Times New Roman"/>
          <w:i/>
          <w:iCs/>
          <w:sz w:val="24"/>
          <w:szCs w:val="24"/>
        </w:rPr>
        <w:t>CEI</w:t>
      </w:r>
      <w:r w:rsidRPr="00227F9D">
        <w:rPr>
          <w:rFonts w:ascii="Times New Roman" w:hAnsi="Times New Roman" w:cs="Times New Roman"/>
          <w:sz w:val="24"/>
          <w:szCs w:val="24"/>
        </w:rPr>
        <w:t>.</w:t>
      </w:r>
    </w:p>
    <w:p w14:paraId="6EDFE9D5" w14:textId="77777777" w:rsidR="00EB6742" w:rsidRPr="00227F9D" w:rsidRDefault="00EB6742" w:rsidP="00EB6742">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Figure 5 about here]</w:t>
      </w:r>
    </w:p>
    <w:p w14:paraId="11CE4012" w14:textId="77777777" w:rsidR="00884233" w:rsidRPr="00227F9D" w:rsidRDefault="00884233" w:rsidP="00884233">
      <w:pPr>
        <w:rPr>
          <w:rFonts w:ascii="Times New Roman" w:hAnsi="Times New Roman" w:cs="Times New Roman"/>
          <w:sz w:val="24"/>
          <w:szCs w:val="24"/>
        </w:rPr>
      </w:pPr>
    </w:p>
    <w:p w14:paraId="307CA15F" w14:textId="39693BA3" w:rsidR="00884233" w:rsidRPr="00227F9D" w:rsidRDefault="007C6EF1" w:rsidP="00884233">
      <w:pPr>
        <w:rPr>
          <w:rFonts w:ascii="Times New Roman" w:hAnsi="Times New Roman" w:cs="Times New Roman"/>
          <w:sz w:val="24"/>
          <w:szCs w:val="24"/>
        </w:rPr>
      </w:pPr>
      <w:r w:rsidRPr="00227F9D">
        <w:rPr>
          <w:rFonts w:ascii="Times New Roman" w:hAnsi="Times New Roman" w:cs="Times New Roman" w:hint="eastAsia"/>
          <w:sz w:val="24"/>
          <w:szCs w:val="24"/>
        </w:rPr>
        <w:t>5</w:t>
      </w:r>
      <w:r w:rsidR="00884233" w:rsidRPr="00227F9D">
        <w:rPr>
          <w:rFonts w:ascii="Times New Roman" w:hAnsi="Times New Roman" w:cs="Times New Roman"/>
          <w:sz w:val="24"/>
          <w:szCs w:val="24"/>
        </w:rPr>
        <w:t>.</w:t>
      </w:r>
      <w:r w:rsidRPr="00227F9D">
        <w:rPr>
          <w:rFonts w:ascii="Times New Roman" w:hAnsi="Times New Roman" w:cs="Times New Roman" w:hint="eastAsia"/>
          <w:sz w:val="24"/>
          <w:szCs w:val="24"/>
        </w:rPr>
        <w:t>3</w:t>
      </w:r>
      <w:r w:rsidR="00884233" w:rsidRPr="00227F9D">
        <w:rPr>
          <w:rFonts w:ascii="Times New Roman" w:hAnsi="Times New Roman" w:cs="Times New Roman"/>
          <w:sz w:val="24"/>
          <w:szCs w:val="24"/>
        </w:rPr>
        <w:t>.2 Instrumental variables regressions</w:t>
      </w:r>
    </w:p>
    <w:p w14:paraId="49BAEFA6" w14:textId="1B067429" w:rsidR="00CC0105" w:rsidRPr="00227F9D" w:rsidRDefault="00CC0105" w:rsidP="00CC0105">
      <w:pPr>
        <w:rPr>
          <w:rFonts w:ascii="Times New Roman" w:hAnsi="Times New Roman" w:cs="Times New Roman"/>
          <w:sz w:val="24"/>
          <w:szCs w:val="24"/>
        </w:rPr>
      </w:pPr>
      <w:r w:rsidRPr="00227F9D">
        <w:rPr>
          <w:rFonts w:ascii="Times New Roman" w:hAnsi="Times New Roman" w:cs="Times New Roman"/>
          <w:sz w:val="24"/>
          <w:szCs w:val="24"/>
        </w:rPr>
        <w:t xml:space="preserve">Although this study controls for firm effects and year fixed effects in the baseline </w:t>
      </w:r>
      <w:r w:rsidRPr="00227F9D">
        <w:rPr>
          <w:rFonts w:ascii="Times New Roman" w:hAnsi="Times New Roman" w:cs="Times New Roman"/>
          <w:sz w:val="24"/>
          <w:szCs w:val="24"/>
        </w:rPr>
        <w:lastRenderedPageBreak/>
        <w:t>regressions, endogeneity issues, such as omitted variable bias and reverse causality, may still exist and potentially bias the results. To address these concerns, we construct an instrumental variable (</w:t>
      </w:r>
      <w:r w:rsidRPr="00227F9D">
        <w:rPr>
          <w:rFonts w:ascii="Times New Roman" w:hAnsi="Times New Roman" w:cs="Times New Roman"/>
          <w:i/>
          <w:iCs/>
          <w:sz w:val="24"/>
          <w:szCs w:val="24"/>
        </w:rPr>
        <w:t>IV</w:t>
      </w:r>
      <w:r w:rsidRPr="00227F9D">
        <w:rPr>
          <w:rFonts w:ascii="Times New Roman" w:hAnsi="Times New Roman" w:cs="Times New Roman"/>
          <w:sz w:val="24"/>
          <w:szCs w:val="24"/>
        </w:rPr>
        <w:t>) by interacting the ESG sentiment of international news media (excluding China)</w:t>
      </w:r>
      <w:r w:rsidRPr="00227F9D">
        <w:rPr>
          <w:rStyle w:val="FootnoteReference"/>
          <w:rFonts w:ascii="Times New Roman" w:hAnsi="Times New Roman" w:cs="Times New Roman"/>
          <w:sz w:val="24"/>
          <w:szCs w:val="24"/>
        </w:rPr>
        <w:footnoteReference w:id="1"/>
      </w:r>
      <w:r w:rsidRPr="00227F9D">
        <w:rPr>
          <w:rFonts w:ascii="Times New Roman" w:hAnsi="Times New Roman" w:cs="Times New Roman"/>
          <w:sz w:val="24"/>
          <w:szCs w:val="24"/>
        </w:rPr>
        <w:t xml:space="preserve"> with the number of newspaper types in the firm’s locality. The rationale is as follows</w:t>
      </w:r>
      <w:r w:rsidRPr="00227F9D">
        <w:rPr>
          <w:rFonts w:ascii="Times New Roman" w:hAnsi="Times New Roman" w:cs="Times New Roman" w:hint="eastAsia"/>
          <w:sz w:val="24"/>
          <w:szCs w:val="24"/>
        </w:rPr>
        <w:t>. O</w:t>
      </w:r>
      <w:r w:rsidRPr="00227F9D">
        <w:rPr>
          <w:rFonts w:ascii="Times New Roman" w:hAnsi="Times New Roman" w:cs="Times New Roman"/>
          <w:sz w:val="24"/>
          <w:szCs w:val="24"/>
        </w:rPr>
        <w:t>n the one hand, ESG sentiment in international news media reflects global attitudes toward ESG issues, while the diversity of newspaper types represents the variety and breadth of information dissemination in China’s media market. Together, they capture the extent to which international ESG sentiment is transmitted domestically, influencing the sentiment of Chinese media when reporting on corporate ESG topics, thereby satisfying the relevance condition.</w:t>
      </w:r>
      <w:r w:rsidRPr="00227F9D">
        <w:rPr>
          <w:rFonts w:ascii="Times New Roman" w:hAnsi="Times New Roman" w:cs="Times New Roman" w:hint="eastAsia"/>
          <w:sz w:val="24"/>
          <w:szCs w:val="24"/>
        </w:rPr>
        <w:t xml:space="preserve"> </w:t>
      </w:r>
      <w:r w:rsidRPr="00227F9D">
        <w:rPr>
          <w:rFonts w:ascii="Times New Roman" w:hAnsi="Times New Roman" w:cs="Times New Roman"/>
          <w:sz w:val="24"/>
          <w:szCs w:val="24"/>
        </w:rPr>
        <w:t>On the other hand, ESG sentiment in international media is largely shaped by global sustainability policies and is only weakly related to the green transition strategies of individual Chinese firms, thereby meeting the exogeneity requirement.</w:t>
      </w:r>
    </w:p>
    <w:p w14:paraId="3A613706" w14:textId="77777777" w:rsidR="00CC0105" w:rsidRPr="00227F9D" w:rsidRDefault="00CC0105" w:rsidP="00CC0105">
      <w:pPr>
        <w:rPr>
          <w:rFonts w:ascii="Times New Roman" w:hAnsi="Times New Roman" w:cs="Times New Roman"/>
          <w:sz w:val="24"/>
          <w:szCs w:val="24"/>
        </w:rPr>
      </w:pPr>
    </w:p>
    <w:p w14:paraId="4768CD8D" w14:textId="5F1E33FD" w:rsidR="00735D28" w:rsidRPr="00227F9D" w:rsidRDefault="00CC0105" w:rsidP="00884233">
      <w:pPr>
        <w:rPr>
          <w:rFonts w:ascii="Times New Roman" w:hAnsi="Times New Roman" w:cs="Times New Roman"/>
          <w:sz w:val="24"/>
          <w:szCs w:val="24"/>
        </w:rPr>
      </w:pPr>
      <w:r w:rsidRPr="00227F9D">
        <w:rPr>
          <w:rFonts w:ascii="Times New Roman" w:hAnsi="Times New Roman" w:cs="Times New Roman"/>
          <w:sz w:val="24"/>
          <w:szCs w:val="24"/>
        </w:rPr>
        <w:t xml:space="preserve">The first-stage regression results, presented in Column (3) of Table </w:t>
      </w:r>
      <w:r w:rsidR="00786340" w:rsidRPr="00227F9D">
        <w:rPr>
          <w:rFonts w:ascii="Times New Roman" w:hAnsi="Times New Roman" w:cs="Times New Roman" w:hint="eastAsia"/>
          <w:sz w:val="24"/>
          <w:szCs w:val="24"/>
        </w:rPr>
        <w:t>6</w:t>
      </w:r>
      <w:r w:rsidRPr="00227F9D">
        <w:rPr>
          <w:rFonts w:ascii="Times New Roman" w:hAnsi="Times New Roman" w:cs="Times New Roman"/>
          <w:sz w:val="24"/>
          <w:szCs w:val="24"/>
        </w:rPr>
        <w:t xml:space="preserve">, show that the estimated coefficient of the </w:t>
      </w:r>
      <w:r w:rsidRPr="00227F9D">
        <w:rPr>
          <w:rFonts w:ascii="Times New Roman" w:hAnsi="Times New Roman" w:cs="Times New Roman"/>
          <w:i/>
          <w:iCs/>
          <w:sz w:val="24"/>
          <w:szCs w:val="24"/>
        </w:rPr>
        <w:t>IV</w:t>
      </w:r>
      <w:r w:rsidRPr="00227F9D">
        <w:rPr>
          <w:rFonts w:ascii="Times New Roman" w:hAnsi="Times New Roman" w:cs="Times New Roman"/>
          <w:sz w:val="24"/>
          <w:szCs w:val="24"/>
        </w:rPr>
        <w:t xml:space="preserve"> is significantly positive. Tests, including the K-P </w:t>
      </w:r>
      <w:proofErr w:type="spellStart"/>
      <w:r w:rsidRPr="00227F9D">
        <w:rPr>
          <w:rFonts w:ascii="Times New Roman" w:hAnsi="Times New Roman" w:cs="Times New Roman"/>
          <w:sz w:val="24"/>
          <w:szCs w:val="24"/>
        </w:rPr>
        <w:t>rk</w:t>
      </w:r>
      <w:proofErr w:type="spellEnd"/>
      <w:r w:rsidRPr="00227F9D">
        <w:rPr>
          <w:rFonts w:ascii="Times New Roman" w:hAnsi="Times New Roman" w:cs="Times New Roman"/>
          <w:sz w:val="24"/>
          <w:szCs w:val="24"/>
        </w:rPr>
        <w:t xml:space="preserve"> LM statistic, the C-D Wald F statistic, and the K-P Wald F statistic, confirm that the chosen IV is valid. The second-stage regression results in Column (4) of Table </w:t>
      </w:r>
      <w:r w:rsidR="00786340" w:rsidRPr="00227F9D">
        <w:rPr>
          <w:rFonts w:ascii="Times New Roman" w:hAnsi="Times New Roman" w:cs="Times New Roman" w:hint="eastAsia"/>
          <w:sz w:val="24"/>
          <w:szCs w:val="24"/>
        </w:rPr>
        <w:t>6</w:t>
      </w:r>
      <w:r w:rsidRPr="00227F9D">
        <w:rPr>
          <w:rFonts w:ascii="Times New Roman" w:hAnsi="Times New Roman" w:cs="Times New Roman"/>
          <w:sz w:val="24"/>
          <w:szCs w:val="24"/>
        </w:rPr>
        <w:t xml:space="preserve"> indicate that the core explanatory variable</w:t>
      </w:r>
      <w:r w:rsidRPr="00227F9D">
        <w:rPr>
          <w:rFonts w:ascii="Times New Roman" w:hAnsi="Times New Roman" w:cs="Times New Roman" w:hint="eastAsia"/>
          <w:sz w:val="24"/>
          <w:szCs w:val="24"/>
        </w:rPr>
        <w:t xml:space="preserve">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hint="eastAsia"/>
          <w:sz w:val="24"/>
          <w:szCs w:val="24"/>
        </w:rPr>
        <w:t>)</w:t>
      </w:r>
      <w:r w:rsidRPr="00227F9D">
        <w:rPr>
          <w:rFonts w:ascii="Times New Roman" w:hAnsi="Times New Roman" w:cs="Times New Roman"/>
          <w:sz w:val="24"/>
          <w:szCs w:val="24"/>
        </w:rPr>
        <w:t>, remains significantly positive at the 1% level.</w:t>
      </w:r>
      <w:r w:rsidRPr="00227F9D">
        <w:rPr>
          <w:rFonts w:ascii="Times New Roman" w:hAnsi="Times New Roman" w:cs="Times New Roman" w:hint="eastAsia"/>
          <w:sz w:val="24"/>
          <w:szCs w:val="24"/>
        </w:rPr>
        <w:t xml:space="preserve"> </w:t>
      </w:r>
      <w:r w:rsidRPr="00227F9D">
        <w:rPr>
          <w:rFonts w:ascii="Times New Roman" w:hAnsi="Times New Roman" w:cs="Times New Roman"/>
          <w:sz w:val="24"/>
          <w:szCs w:val="24"/>
        </w:rPr>
        <w:t>Thus, after accounting for endogeneity, optimistic ESG media sentiment still significantly enhances firms’ energy innovation outputs.</w:t>
      </w:r>
    </w:p>
    <w:p w14:paraId="647E3227" w14:textId="44CD1A8A" w:rsidR="00786340" w:rsidRPr="00227F9D" w:rsidRDefault="00786340" w:rsidP="00786340">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6 about here]</w:t>
      </w:r>
    </w:p>
    <w:p w14:paraId="3EF33BBE" w14:textId="77777777" w:rsidR="00735D28" w:rsidRPr="00227F9D" w:rsidRDefault="00735D28" w:rsidP="00884233">
      <w:pPr>
        <w:rPr>
          <w:rFonts w:ascii="Times New Roman" w:hAnsi="Times New Roman" w:cs="Times New Roman"/>
        </w:rPr>
      </w:pPr>
    </w:p>
    <w:p w14:paraId="73107F6B" w14:textId="4A5A4A0F" w:rsidR="00735D28" w:rsidRPr="00227F9D" w:rsidRDefault="007C6EF1" w:rsidP="00735D28">
      <w:pPr>
        <w:rPr>
          <w:rFonts w:ascii="Times New Roman" w:hAnsi="Times New Roman" w:cs="Times New Roman"/>
          <w:sz w:val="24"/>
          <w:szCs w:val="24"/>
        </w:rPr>
      </w:pPr>
      <w:r w:rsidRPr="00227F9D">
        <w:rPr>
          <w:rFonts w:ascii="Times New Roman" w:hAnsi="Times New Roman" w:cs="Times New Roman" w:hint="eastAsia"/>
          <w:sz w:val="24"/>
          <w:szCs w:val="24"/>
        </w:rPr>
        <w:t>5</w:t>
      </w:r>
      <w:r w:rsidR="00735D28" w:rsidRPr="00227F9D">
        <w:rPr>
          <w:rFonts w:ascii="Times New Roman" w:hAnsi="Times New Roman" w:cs="Times New Roman"/>
          <w:sz w:val="24"/>
          <w:szCs w:val="24"/>
        </w:rPr>
        <w:t>.</w:t>
      </w:r>
      <w:r w:rsidRPr="00227F9D">
        <w:rPr>
          <w:rFonts w:ascii="Times New Roman" w:hAnsi="Times New Roman" w:cs="Times New Roman" w:hint="eastAsia"/>
          <w:sz w:val="24"/>
          <w:szCs w:val="24"/>
        </w:rPr>
        <w:t>3</w:t>
      </w:r>
      <w:r w:rsidR="00735D28" w:rsidRPr="00227F9D">
        <w:rPr>
          <w:rFonts w:ascii="Times New Roman" w:hAnsi="Times New Roman" w:cs="Times New Roman"/>
          <w:sz w:val="24"/>
          <w:szCs w:val="24"/>
        </w:rPr>
        <w:t>.3 Placebo test</w:t>
      </w:r>
    </w:p>
    <w:p w14:paraId="5AF52E05" w14:textId="191C546F" w:rsidR="00735D28" w:rsidRPr="00227F9D" w:rsidRDefault="00735D28" w:rsidP="00735D28">
      <w:pPr>
        <w:rPr>
          <w:rFonts w:ascii="Times New Roman" w:hAnsi="Times New Roman" w:cs="Times New Roman"/>
          <w:sz w:val="24"/>
          <w:szCs w:val="24"/>
        </w:rPr>
      </w:pPr>
      <w:r w:rsidRPr="00227F9D">
        <w:rPr>
          <w:rFonts w:ascii="Times New Roman" w:hAnsi="Times New Roman" w:cs="Times New Roman"/>
          <w:sz w:val="24"/>
          <w:szCs w:val="24"/>
        </w:rPr>
        <w:t>A placebo test is applied to rule out the effect of possible unobserved geographical factors on the estimation results of this research. First, different corporate ESG news sentiment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is randomly disrupted to regenerate the ESG news sentiment variable. Then, the randomly assigned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is re-run the regression test on enterprise energy innovations, and the distribution plot of the estimated coefficients is observed after 500 repetitions. According to Figure </w:t>
      </w:r>
      <w:r w:rsidR="00EB6742" w:rsidRPr="00227F9D">
        <w:rPr>
          <w:rFonts w:ascii="Times New Roman" w:hAnsi="Times New Roman" w:cs="Times New Roman" w:hint="eastAsia"/>
          <w:sz w:val="24"/>
          <w:szCs w:val="24"/>
        </w:rPr>
        <w:t>6</w:t>
      </w:r>
      <w:r w:rsidRPr="00227F9D">
        <w:rPr>
          <w:rFonts w:ascii="Times New Roman" w:hAnsi="Times New Roman" w:cs="Times New Roman"/>
          <w:sz w:val="24"/>
          <w:szCs w:val="24"/>
        </w:rPr>
        <w:t>, the coefficient estimates are around 0; also, most of the corresponding p-values are more significant than 0.1. It shows that other unobserved geographic characteristics do not affect the main estimation results of this study.</w:t>
      </w:r>
    </w:p>
    <w:p w14:paraId="7735C7EF" w14:textId="2E6B9415" w:rsidR="00833026" w:rsidRPr="00227F9D" w:rsidRDefault="00833026" w:rsidP="00833026">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 xml:space="preserve">[Insert Figure </w:t>
      </w:r>
      <w:r w:rsidR="00EB6742" w:rsidRPr="00227F9D">
        <w:rPr>
          <w:rFonts w:ascii="Times New Roman" w:hAnsi="Times New Roman" w:cs="Times New Roman" w:hint="eastAsia"/>
          <w:b/>
          <w:bCs/>
          <w:sz w:val="24"/>
          <w:szCs w:val="24"/>
        </w:rPr>
        <w:t>6</w:t>
      </w:r>
      <w:r w:rsidRPr="00227F9D">
        <w:rPr>
          <w:rFonts w:ascii="Times New Roman" w:hAnsi="Times New Roman" w:cs="Times New Roman" w:hint="eastAsia"/>
          <w:b/>
          <w:bCs/>
          <w:sz w:val="24"/>
          <w:szCs w:val="24"/>
        </w:rPr>
        <w:t xml:space="preserve"> about here]</w:t>
      </w:r>
    </w:p>
    <w:p w14:paraId="6A88191B" w14:textId="77777777" w:rsidR="00833026" w:rsidRPr="00227F9D" w:rsidRDefault="00833026" w:rsidP="00735D28">
      <w:pPr>
        <w:rPr>
          <w:rFonts w:ascii="Times New Roman" w:hAnsi="Times New Roman" w:cs="Times New Roman"/>
          <w:b/>
          <w:bCs/>
        </w:rPr>
      </w:pPr>
    </w:p>
    <w:p w14:paraId="1AC2F744" w14:textId="631BBEA0" w:rsidR="00735D28" w:rsidRPr="00227F9D" w:rsidRDefault="007C6EF1" w:rsidP="00735D28">
      <w:pPr>
        <w:rPr>
          <w:rFonts w:ascii="Times New Roman" w:hAnsi="Times New Roman" w:cs="Times New Roman"/>
          <w:sz w:val="24"/>
          <w:szCs w:val="24"/>
        </w:rPr>
      </w:pPr>
      <w:r w:rsidRPr="00227F9D">
        <w:rPr>
          <w:rFonts w:ascii="Times New Roman" w:hAnsi="Times New Roman" w:cs="Times New Roman" w:hint="eastAsia"/>
          <w:sz w:val="24"/>
          <w:szCs w:val="24"/>
        </w:rPr>
        <w:t>5</w:t>
      </w:r>
      <w:r w:rsidR="00735D28" w:rsidRPr="00227F9D">
        <w:rPr>
          <w:rFonts w:ascii="Times New Roman" w:hAnsi="Times New Roman" w:cs="Times New Roman"/>
          <w:sz w:val="24"/>
          <w:szCs w:val="24"/>
        </w:rPr>
        <w:t>.</w:t>
      </w:r>
      <w:r w:rsidRPr="00227F9D">
        <w:rPr>
          <w:rFonts w:ascii="Times New Roman" w:hAnsi="Times New Roman" w:cs="Times New Roman" w:hint="eastAsia"/>
          <w:sz w:val="24"/>
          <w:szCs w:val="24"/>
        </w:rPr>
        <w:t>3</w:t>
      </w:r>
      <w:r w:rsidR="00735D28" w:rsidRPr="00227F9D">
        <w:rPr>
          <w:rFonts w:ascii="Times New Roman" w:hAnsi="Times New Roman" w:cs="Times New Roman"/>
          <w:sz w:val="24"/>
          <w:szCs w:val="24"/>
        </w:rPr>
        <w:t>.4 Replacement of core variables</w:t>
      </w:r>
    </w:p>
    <w:p w14:paraId="57CEA058" w14:textId="681D8963" w:rsidR="00735D28" w:rsidRPr="00227F9D" w:rsidRDefault="00735D28" w:rsidP="00735D28">
      <w:pPr>
        <w:rPr>
          <w:rFonts w:ascii="Times New Roman" w:hAnsi="Times New Roman" w:cs="Times New Roman"/>
          <w:sz w:val="24"/>
          <w:szCs w:val="24"/>
        </w:rPr>
      </w:pPr>
      <w:r w:rsidRPr="00227F9D">
        <w:rPr>
          <w:rFonts w:ascii="Times New Roman" w:hAnsi="Times New Roman" w:cs="Times New Roman"/>
          <w:sz w:val="24"/>
          <w:szCs w:val="24"/>
        </w:rPr>
        <w:t xml:space="preserve">To further demonstrate the robustness of the finding that ESG media sentiment significantly increases </w:t>
      </w:r>
      <w:r w:rsidRPr="00227F9D">
        <w:rPr>
          <w:rFonts w:ascii="Times New Roman" w:hAnsi="Times New Roman" w:cs="Times New Roman"/>
          <w:i/>
          <w:iCs/>
          <w:sz w:val="24"/>
          <w:szCs w:val="24"/>
        </w:rPr>
        <w:t>CEI</w:t>
      </w:r>
      <w:r w:rsidRPr="00227F9D">
        <w:rPr>
          <w:rFonts w:ascii="Times New Roman" w:hAnsi="Times New Roman" w:cs="Times New Roman"/>
          <w:sz w:val="24"/>
          <w:szCs w:val="24"/>
        </w:rPr>
        <w:t xml:space="preserve"> output, the core variables are replaced in this study by calculating the ESG news net tone as the core explanatory variable (</w:t>
      </w:r>
      <w:proofErr w:type="spellStart"/>
      <w:r w:rsidRPr="00227F9D">
        <w:rPr>
          <w:rFonts w:ascii="Times New Roman" w:hAnsi="Times New Roman" w:cs="Times New Roman"/>
          <w:i/>
          <w:iCs/>
          <w:sz w:val="24"/>
          <w:szCs w:val="24"/>
        </w:rPr>
        <w:t>esg_ratio</w:t>
      </w:r>
      <w:proofErr w:type="spellEnd"/>
      <w:r w:rsidRPr="00227F9D">
        <w:rPr>
          <w:rFonts w:ascii="Times New Roman" w:hAnsi="Times New Roman" w:cs="Times New Roman"/>
          <w:sz w:val="24"/>
          <w:szCs w:val="24"/>
        </w:rPr>
        <w:t>), showing that higher values of this variable mean more positive corporate ESG news wording and vice versa. In addition, considering the influence of media pluralism, we re-</w:t>
      </w:r>
      <w:r w:rsidRPr="00227F9D">
        <w:rPr>
          <w:rFonts w:ascii="Times New Roman" w:hAnsi="Times New Roman" w:cs="Times New Roman"/>
          <w:sz w:val="24"/>
          <w:szCs w:val="24"/>
        </w:rPr>
        <w:lastRenderedPageBreak/>
        <w:t>measured the core explanatory variable (</w:t>
      </w:r>
      <w:proofErr w:type="spellStart"/>
      <w:r w:rsidRPr="00227F9D">
        <w:rPr>
          <w:rFonts w:ascii="Times New Roman" w:hAnsi="Times New Roman" w:cs="Times New Roman"/>
          <w:i/>
          <w:iCs/>
          <w:sz w:val="24"/>
          <w:szCs w:val="24"/>
        </w:rPr>
        <w:t>esg_major</w:t>
      </w:r>
      <w:proofErr w:type="spellEnd"/>
      <w:r w:rsidRPr="00227F9D">
        <w:rPr>
          <w:rFonts w:ascii="Times New Roman" w:hAnsi="Times New Roman" w:cs="Times New Roman"/>
          <w:sz w:val="24"/>
          <w:szCs w:val="24"/>
        </w:rPr>
        <w:t xml:space="preserve">) based on news texts from 16 mainstream official media in China. Columns (1) and (2) of Table </w:t>
      </w:r>
      <w:r w:rsidR="00DF5485" w:rsidRPr="00227F9D">
        <w:rPr>
          <w:rFonts w:ascii="Times New Roman" w:hAnsi="Times New Roman" w:cs="Times New Roman" w:hint="eastAsia"/>
          <w:sz w:val="24"/>
          <w:szCs w:val="24"/>
        </w:rPr>
        <w:t>7</w:t>
      </w:r>
      <w:r w:rsidRPr="00227F9D">
        <w:rPr>
          <w:rFonts w:ascii="Times New Roman" w:hAnsi="Times New Roman" w:cs="Times New Roman"/>
          <w:sz w:val="24"/>
          <w:szCs w:val="24"/>
        </w:rPr>
        <w:t xml:space="preserve"> demonstrate that the coefficients are positive. For the explanatory variable (</w:t>
      </w:r>
      <w:r w:rsidRPr="00227F9D">
        <w:rPr>
          <w:rFonts w:ascii="Times New Roman" w:hAnsi="Times New Roman" w:cs="Times New Roman"/>
          <w:i/>
          <w:iCs/>
          <w:sz w:val="24"/>
          <w:szCs w:val="24"/>
        </w:rPr>
        <w:t>CEI</w:t>
      </w:r>
      <w:r w:rsidRPr="00227F9D">
        <w:rPr>
          <w:rFonts w:ascii="Times New Roman" w:hAnsi="Times New Roman" w:cs="Times New Roman"/>
          <w:sz w:val="24"/>
          <w:szCs w:val="24"/>
        </w:rPr>
        <w:t>), the following analysis identified corporate innovation texts with 236 energy-related keywords in the baseline regression. In this part, this study expanded the keywords to 478 to re-measure CEI (</w:t>
      </w:r>
      <w:r w:rsidRPr="00227F9D">
        <w:rPr>
          <w:rFonts w:ascii="Times New Roman" w:hAnsi="Times New Roman" w:cs="Times New Roman"/>
          <w:i/>
          <w:iCs/>
          <w:sz w:val="24"/>
          <w:szCs w:val="24"/>
        </w:rPr>
        <w:t>CEI_</w:t>
      </w:r>
      <w:r w:rsidRPr="00227F9D">
        <w:rPr>
          <w:rFonts w:ascii="Times New Roman" w:hAnsi="Times New Roman" w:cs="Times New Roman"/>
          <w:sz w:val="24"/>
          <w:szCs w:val="24"/>
        </w:rPr>
        <w:t xml:space="preserve">2), showing the estimated result in column (3) of Table </w:t>
      </w:r>
      <w:r w:rsidR="00786340" w:rsidRPr="00227F9D">
        <w:rPr>
          <w:rFonts w:ascii="Times New Roman" w:hAnsi="Times New Roman" w:cs="Times New Roman" w:hint="eastAsia"/>
          <w:sz w:val="24"/>
          <w:szCs w:val="24"/>
        </w:rPr>
        <w:t>7</w:t>
      </w:r>
      <w:r w:rsidRPr="00227F9D">
        <w:rPr>
          <w:rFonts w:ascii="Times New Roman" w:hAnsi="Times New Roman" w:cs="Times New Roman"/>
          <w:sz w:val="24"/>
          <w:szCs w:val="24"/>
        </w:rPr>
        <w:t xml:space="preserve"> to illustrate ESG media sentiment can promote CEI, since the regression coefficient of </w:t>
      </w:r>
      <w:proofErr w:type="spellStart"/>
      <w:r w:rsidRPr="00227F9D">
        <w:rPr>
          <w:rFonts w:ascii="Times New Roman" w:hAnsi="Times New Roman" w:cs="Times New Roman"/>
          <w:sz w:val="24"/>
          <w:szCs w:val="24"/>
        </w:rPr>
        <w:t>esg_news</w:t>
      </w:r>
      <w:proofErr w:type="spellEnd"/>
      <w:r w:rsidRPr="00227F9D">
        <w:rPr>
          <w:rFonts w:ascii="Times New Roman" w:hAnsi="Times New Roman" w:cs="Times New Roman"/>
          <w:sz w:val="24"/>
          <w:szCs w:val="24"/>
        </w:rPr>
        <w:t xml:space="preserve"> is 0.0245, significantly positive at 5% level.</w:t>
      </w:r>
    </w:p>
    <w:p w14:paraId="50CFC6D4" w14:textId="2FA57703" w:rsidR="00DF5485" w:rsidRPr="00227F9D" w:rsidRDefault="00DF5485" w:rsidP="00DF5485">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7 about here]</w:t>
      </w:r>
    </w:p>
    <w:p w14:paraId="18C63042" w14:textId="77777777" w:rsidR="00735D28" w:rsidRPr="00227F9D" w:rsidRDefault="00735D28" w:rsidP="00735D28">
      <w:pPr>
        <w:rPr>
          <w:rFonts w:ascii="Times New Roman" w:hAnsi="Times New Roman" w:cs="Times New Roman"/>
        </w:rPr>
      </w:pPr>
    </w:p>
    <w:p w14:paraId="7BB4C345" w14:textId="5756DDFF" w:rsidR="00922079" w:rsidRPr="00227F9D" w:rsidRDefault="007C6EF1" w:rsidP="00922079">
      <w:pPr>
        <w:rPr>
          <w:rFonts w:ascii="Times New Roman" w:hAnsi="Times New Roman" w:cs="Times New Roman"/>
          <w:sz w:val="24"/>
          <w:szCs w:val="24"/>
        </w:rPr>
      </w:pPr>
      <w:r w:rsidRPr="00227F9D">
        <w:rPr>
          <w:rFonts w:ascii="Times New Roman" w:hAnsi="Times New Roman" w:cs="Times New Roman" w:hint="eastAsia"/>
          <w:sz w:val="24"/>
          <w:szCs w:val="24"/>
        </w:rPr>
        <w:t>5</w:t>
      </w:r>
      <w:r w:rsidR="00922079" w:rsidRPr="00227F9D">
        <w:rPr>
          <w:rFonts w:ascii="Times New Roman" w:hAnsi="Times New Roman" w:cs="Times New Roman"/>
          <w:sz w:val="24"/>
          <w:szCs w:val="24"/>
        </w:rPr>
        <w:t>.</w:t>
      </w:r>
      <w:r w:rsidRPr="00227F9D">
        <w:rPr>
          <w:rFonts w:ascii="Times New Roman" w:hAnsi="Times New Roman" w:cs="Times New Roman" w:hint="eastAsia"/>
          <w:sz w:val="24"/>
          <w:szCs w:val="24"/>
        </w:rPr>
        <w:t>3</w:t>
      </w:r>
      <w:r w:rsidR="00922079" w:rsidRPr="00227F9D">
        <w:rPr>
          <w:rFonts w:ascii="Times New Roman" w:hAnsi="Times New Roman" w:cs="Times New Roman"/>
          <w:sz w:val="24"/>
          <w:szCs w:val="24"/>
        </w:rPr>
        <w:t>.5 Considering the impact of other factors</w:t>
      </w:r>
    </w:p>
    <w:p w14:paraId="60B433D0" w14:textId="59FB9222" w:rsidR="00922079" w:rsidRPr="00227F9D" w:rsidRDefault="00BD11E7" w:rsidP="00922079">
      <w:pPr>
        <w:rPr>
          <w:rFonts w:ascii="Times New Roman" w:hAnsi="Times New Roman" w:cs="Times New Roman"/>
          <w:sz w:val="24"/>
          <w:szCs w:val="24"/>
        </w:rPr>
      </w:pPr>
      <w:r w:rsidRPr="00227F9D">
        <w:rPr>
          <w:rFonts w:ascii="Times New Roman" w:hAnsi="Times New Roman" w:cs="Times New Roman" w:hint="eastAsia"/>
          <w:sz w:val="24"/>
          <w:szCs w:val="24"/>
        </w:rPr>
        <w:t>On the one hand</w:t>
      </w:r>
      <w:r w:rsidR="00922079" w:rsidRPr="00227F9D">
        <w:rPr>
          <w:rFonts w:ascii="Times New Roman" w:hAnsi="Times New Roman" w:cs="Times New Roman"/>
          <w:sz w:val="24"/>
          <w:szCs w:val="24"/>
        </w:rPr>
        <w:t>, considering that municipalities directly under the central government (Beijing, Shanghai, Tianjin and Chongqing) tend to receive more national policy support and resource tilting (</w:t>
      </w:r>
      <w:r w:rsidR="00833026" w:rsidRPr="00227F9D">
        <w:rPr>
          <w:rFonts w:ascii="Times New Roman" w:hAnsi="Times New Roman" w:cs="Times New Roman" w:hint="eastAsia"/>
          <w:sz w:val="24"/>
          <w:szCs w:val="24"/>
        </w:rPr>
        <w:t>Chu</w:t>
      </w:r>
      <w:r w:rsidR="00922079" w:rsidRPr="00227F9D">
        <w:rPr>
          <w:rFonts w:ascii="Times New Roman" w:hAnsi="Times New Roman" w:cs="Times New Roman"/>
          <w:sz w:val="24"/>
          <w:szCs w:val="24"/>
        </w:rPr>
        <w:t xml:space="preserve"> et al., 2024), which to a certain extent attracts more funds and talents to flow into the field of clean energy and has an impact on the energy innovation outputs of local enterprises. Therefore, this study excludes the interference of sample firms from municipalities directly under the central government in the sample treatment process, and the results are shown in column (4) of Table </w:t>
      </w:r>
      <w:r w:rsidR="00DF5485" w:rsidRPr="00227F9D">
        <w:rPr>
          <w:rFonts w:ascii="Times New Roman" w:hAnsi="Times New Roman" w:cs="Times New Roman" w:hint="eastAsia"/>
          <w:sz w:val="24"/>
          <w:szCs w:val="24"/>
        </w:rPr>
        <w:t>7</w:t>
      </w:r>
      <w:r w:rsidR="00922079" w:rsidRPr="00227F9D">
        <w:rPr>
          <w:rFonts w:ascii="Times New Roman" w:hAnsi="Times New Roman" w:cs="Times New Roman"/>
          <w:sz w:val="24"/>
          <w:szCs w:val="24"/>
        </w:rPr>
        <w:t xml:space="preserve">. </w:t>
      </w:r>
      <w:r w:rsidRPr="00227F9D">
        <w:rPr>
          <w:rFonts w:ascii="Times New Roman" w:hAnsi="Times New Roman" w:cs="Times New Roman" w:hint="eastAsia"/>
          <w:sz w:val="24"/>
          <w:szCs w:val="24"/>
        </w:rPr>
        <w:t>On the other hand</w:t>
      </w:r>
      <w:r w:rsidR="00922079" w:rsidRPr="00227F9D">
        <w:rPr>
          <w:rFonts w:ascii="Times New Roman" w:hAnsi="Times New Roman" w:cs="Times New Roman"/>
          <w:sz w:val="24"/>
          <w:szCs w:val="24"/>
        </w:rPr>
        <w:t>, considering the possible cyclical turnover of some industries during the sample period and the high impact of macro-systemic risk on firms</w:t>
      </w:r>
      <w:r w:rsidR="00EF77E2" w:rsidRPr="00227F9D">
        <w:rPr>
          <w:rFonts w:ascii="Times New Roman" w:hAnsi="Times New Roman" w:cs="Times New Roman"/>
          <w:sz w:val="24"/>
          <w:szCs w:val="24"/>
        </w:rPr>
        <w:t>’</w:t>
      </w:r>
      <w:r w:rsidR="00922079" w:rsidRPr="00227F9D">
        <w:rPr>
          <w:rFonts w:ascii="Times New Roman" w:hAnsi="Times New Roman" w:cs="Times New Roman"/>
          <w:sz w:val="24"/>
          <w:szCs w:val="24"/>
        </w:rPr>
        <w:t xml:space="preserve"> sustainable development (Tan et al., 202</w:t>
      </w:r>
      <w:r w:rsidR="00833026" w:rsidRPr="00227F9D">
        <w:rPr>
          <w:rFonts w:ascii="Times New Roman" w:hAnsi="Times New Roman" w:cs="Times New Roman" w:hint="eastAsia"/>
          <w:sz w:val="24"/>
          <w:szCs w:val="24"/>
        </w:rPr>
        <w:t>5</w:t>
      </w:r>
      <w:r w:rsidR="00922079" w:rsidRPr="00227F9D">
        <w:rPr>
          <w:rFonts w:ascii="Times New Roman" w:hAnsi="Times New Roman" w:cs="Times New Roman"/>
          <w:sz w:val="24"/>
          <w:szCs w:val="24"/>
        </w:rPr>
        <w:t xml:space="preserve">), column (5) of Table </w:t>
      </w:r>
      <w:r w:rsidR="00DF5485" w:rsidRPr="00227F9D">
        <w:rPr>
          <w:rFonts w:ascii="Times New Roman" w:hAnsi="Times New Roman" w:cs="Times New Roman" w:hint="eastAsia"/>
          <w:sz w:val="24"/>
          <w:szCs w:val="24"/>
        </w:rPr>
        <w:t>7</w:t>
      </w:r>
      <w:r w:rsidR="00922079" w:rsidRPr="00227F9D">
        <w:rPr>
          <w:rFonts w:ascii="Times New Roman" w:hAnsi="Times New Roman" w:cs="Times New Roman"/>
          <w:sz w:val="24"/>
          <w:szCs w:val="24"/>
        </w:rPr>
        <w:t xml:space="preserve"> introduces the fixed effects of “industry × year” and “province × year” to exclude the interference of the above factors. All these results indicate that the conclusions of this paper are robust and reliable.</w:t>
      </w:r>
    </w:p>
    <w:p w14:paraId="7C34953D" w14:textId="77777777" w:rsidR="00922079" w:rsidRPr="00227F9D" w:rsidRDefault="00922079" w:rsidP="00922079">
      <w:pPr>
        <w:rPr>
          <w:rFonts w:ascii="Times New Roman" w:hAnsi="Times New Roman" w:cs="Times New Roman"/>
          <w:sz w:val="24"/>
          <w:szCs w:val="24"/>
        </w:rPr>
      </w:pPr>
    </w:p>
    <w:p w14:paraId="084E4DD5" w14:textId="2A933609" w:rsidR="00922079" w:rsidRPr="00227F9D" w:rsidRDefault="007C6EF1" w:rsidP="00922079">
      <w:pPr>
        <w:rPr>
          <w:rFonts w:ascii="Times New Roman" w:hAnsi="Times New Roman" w:cs="Times New Roman"/>
          <w:b/>
          <w:bCs/>
          <w:sz w:val="28"/>
          <w:szCs w:val="28"/>
        </w:rPr>
      </w:pPr>
      <w:r w:rsidRPr="00227F9D">
        <w:rPr>
          <w:rFonts w:ascii="Times New Roman" w:hAnsi="Times New Roman" w:cs="Times New Roman" w:hint="eastAsia"/>
          <w:b/>
          <w:bCs/>
          <w:sz w:val="28"/>
          <w:szCs w:val="28"/>
        </w:rPr>
        <w:t>6</w:t>
      </w:r>
      <w:r w:rsidR="00922079" w:rsidRPr="00227F9D">
        <w:rPr>
          <w:rFonts w:ascii="Times New Roman" w:hAnsi="Times New Roman" w:cs="Times New Roman"/>
          <w:b/>
          <w:bCs/>
          <w:sz w:val="28"/>
          <w:szCs w:val="28"/>
        </w:rPr>
        <w:t>. F</w:t>
      </w:r>
      <w:r w:rsidR="00EF77E2" w:rsidRPr="00227F9D">
        <w:rPr>
          <w:rFonts w:ascii="Times New Roman" w:hAnsi="Times New Roman" w:cs="Times New Roman" w:hint="eastAsia"/>
          <w:b/>
          <w:bCs/>
          <w:sz w:val="28"/>
          <w:szCs w:val="28"/>
        </w:rPr>
        <w:t>URTHER ANALYSIS</w:t>
      </w:r>
    </w:p>
    <w:p w14:paraId="3F0CA3D8" w14:textId="6CF7C21D" w:rsidR="00922079" w:rsidRPr="00227F9D" w:rsidRDefault="007C6EF1" w:rsidP="00922079">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922079" w:rsidRPr="00227F9D">
        <w:rPr>
          <w:rFonts w:ascii="Times New Roman" w:hAnsi="Times New Roman" w:cs="Times New Roman"/>
          <w:b/>
          <w:bCs/>
          <w:sz w:val="24"/>
          <w:szCs w:val="24"/>
        </w:rPr>
        <w:t>.1 Mechanism Analysis</w:t>
      </w:r>
    </w:p>
    <w:p w14:paraId="62F66989" w14:textId="39CEB3D7" w:rsidR="00922079" w:rsidRPr="00227F9D" w:rsidRDefault="007C6EF1" w:rsidP="00922079">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922079" w:rsidRPr="00227F9D">
        <w:rPr>
          <w:rFonts w:ascii="Times New Roman" w:hAnsi="Times New Roman" w:cs="Times New Roman"/>
          <w:b/>
          <w:bCs/>
          <w:sz w:val="24"/>
          <w:szCs w:val="24"/>
        </w:rPr>
        <w:t xml:space="preserve">.1.1 </w:t>
      </w:r>
      <w:r w:rsidR="00962AEB" w:rsidRPr="00227F9D">
        <w:rPr>
          <w:rFonts w:ascii="Times New Roman" w:hAnsi="Times New Roman" w:cs="Times New Roman" w:hint="eastAsia"/>
          <w:b/>
          <w:bCs/>
          <w:sz w:val="24"/>
          <w:szCs w:val="24"/>
        </w:rPr>
        <w:t>F</w:t>
      </w:r>
      <w:r w:rsidR="00922079" w:rsidRPr="00227F9D">
        <w:rPr>
          <w:rFonts w:ascii="Times New Roman" w:hAnsi="Times New Roman" w:cs="Times New Roman"/>
          <w:b/>
          <w:bCs/>
          <w:sz w:val="24"/>
          <w:szCs w:val="24"/>
        </w:rPr>
        <w:t xml:space="preserve">inancing </w:t>
      </w:r>
      <w:r w:rsidR="00962AEB" w:rsidRPr="00227F9D">
        <w:rPr>
          <w:rFonts w:ascii="Times New Roman" w:hAnsi="Times New Roman" w:cs="Times New Roman" w:hint="eastAsia"/>
          <w:b/>
          <w:bCs/>
          <w:sz w:val="24"/>
          <w:szCs w:val="24"/>
        </w:rPr>
        <w:t>C</w:t>
      </w:r>
      <w:r w:rsidR="00922079" w:rsidRPr="00227F9D">
        <w:rPr>
          <w:rFonts w:ascii="Times New Roman" w:hAnsi="Times New Roman" w:cs="Times New Roman"/>
          <w:b/>
          <w:bCs/>
          <w:sz w:val="24"/>
          <w:szCs w:val="24"/>
        </w:rPr>
        <w:t xml:space="preserve">onstraints and </w:t>
      </w:r>
      <w:r w:rsidR="00962AEB" w:rsidRPr="00227F9D">
        <w:rPr>
          <w:rFonts w:ascii="Times New Roman" w:hAnsi="Times New Roman" w:cs="Times New Roman" w:hint="eastAsia"/>
          <w:b/>
          <w:bCs/>
          <w:sz w:val="24"/>
          <w:szCs w:val="24"/>
        </w:rPr>
        <w:t>Sustainable Finance</w:t>
      </w:r>
    </w:p>
    <w:p w14:paraId="46FA1F26" w14:textId="77777777" w:rsidR="00962AEB" w:rsidRPr="00227F9D" w:rsidRDefault="00962AEB" w:rsidP="00962AEB">
      <w:pPr>
        <w:rPr>
          <w:rFonts w:ascii="Times New Roman" w:hAnsi="Times New Roman" w:cs="Times New Roman"/>
          <w:sz w:val="24"/>
          <w:szCs w:val="24"/>
        </w:rPr>
      </w:pPr>
      <w:r w:rsidRPr="00227F9D">
        <w:rPr>
          <w:rFonts w:ascii="Times New Roman" w:hAnsi="Times New Roman" w:cs="Times New Roman"/>
          <w:sz w:val="24"/>
          <w:szCs w:val="24"/>
        </w:rPr>
        <w:t>According to reputation theory, positive media ESG sentiment helps shape a company’s good reputation, attracting the attention of green funds and responsible investors. These investors often set specific requirements for the company’s sustainability strategy (Flammer, 2021), thus driving the company to engage in energy innovation. In addition, positive ESG media coverage reduces information asymmetry, alleviating investors’ risk perceptions, thereby lowering financing costs and facilitating access to green financing (Serafeim and Yoon, 2022; Li et al., 2024). Therefore, the positive ESG image that a company builds in the media can significantly enhance its financing capabilities, especially in terms of funding support for green projects and energy innovation. To validate this mechanism, this study examines its impact from two perspectives: financing costs and sustainable financing.</w:t>
      </w:r>
    </w:p>
    <w:p w14:paraId="0489E1AE" w14:textId="22DB97B6" w:rsidR="00962AEB" w:rsidRPr="00227F9D" w:rsidRDefault="00962AEB" w:rsidP="00962AEB">
      <w:pPr>
        <w:rPr>
          <w:rFonts w:ascii="Times New Roman" w:hAnsi="Times New Roman" w:cs="Times New Roman"/>
          <w:sz w:val="24"/>
          <w:szCs w:val="24"/>
        </w:rPr>
      </w:pPr>
      <w:r w:rsidRPr="00227F9D">
        <w:rPr>
          <w:rFonts w:ascii="Times New Roman" w:hAnsi="Times New Roman" w:cs="Times New Roman"/>
          <w:sz w:val="24"/>
          <w:szCs w:val="24"/>
        </w:rPr>
        <w:t>First, we use the KZ index</w:t>
      </w:r>
      <w:r w:rsidRPr="00227F9D">
        <w:rPr>
          <w:rFonts w:ascii="Times New Roman" w:hAnsi="Times New Roman" w:cs="Times New Roman" w:hint="eastAsia"/>
          <w:sz w:val="24"/>
          <w:szCs w:val="24"/>
        </w:rPr>
        <w:t xml:space="preserve"> </w:t>
      </w:r>
      <w:r w:rsidRPr="00227F9D">
        <w:rPr>
          <w:rFonts w:ascii="Times New Roman" w:hAnsi="Times New Roman" w:cs="Times New Roman"/>
          <w:sz w:val="24"/>
          <w:szCs w:val="24"/>
        </w:rPr>
        <w:t>(</w:t>
      </w:r>
      <w:r w:rsidRPr="00227F9D">
        <w:rPr>
          <w:rFonts w:ascii="Times New Roman" w:hAnsi="Times New Roman" w:cs="Times New Roman"/>
          <w:i/>
          <w:iCs/>
          <w:sz w:val="24"/>
          <w:szCs w:val="24"/>
        </w:rPr>
        <w:t>KZ</w:t>
      </w:r>
      <w:r w:rsidRPr="00227F9D">
        <w:rPr>
          <w:rFonts w:ascii="Times New Roman" w:hAnsi="Times New Roman" w:cs="Times New Roman"/>
          <w:sz w:val="24"/>
          <w:szCs w:val="24"/>
        </w:rPr>
        <w:t xml:space="preserve">), based on company financial data, to measure the overall financing constraints of a company, where a higher value indicates greater financing constraints </w:t>
      </w:r>
      <w:r w:rsidRPr="00227F9D">
        <w:rPr>
          <w:rFonts w:ascii="Times New Roman" w:hAnsi="Times New Roman" w:cs="Times New Roman" w:hint="eastAsia"/>
          <w:sz w:val="24"/>
          <w:szCs w:val="24"/>
        </w:rPr>
        <w:t>(</w:t>
      </w:r>
      <w:r w:rsidR="002968F9" w:rsidRPr="00227F9D">
        <w:rPr>
          <w:rFonts w:ascii="Times New Roman" w:hAnsi="Times New Roman" w:cs="Times New Roman" w:hint="eastAsia"/>
          <w:sz w:val="24"/>
          <w:szCs w:val="24"/>
        </w:rPr>
        <w:t>Guariglia and Yang</w:t>
      </w:r>
      <w:r w:rsidRPr="00227F9D">
        <w:rPr>
          <w:rFonts w:ascii="Times New Roman" w:hAnsi="Times New Roman" w:cs="Times New Roman" w:hint="eastAsia"/>
          <w:sz w:val="24"/>
          <w:szCs w:val="24"/>
        </w:rPr>
        <w:t xml:space="preserve">, </w:t>
      </w:r>
      <w:r w:rsidR="002968F9" w:rsidRPr="00227F9D">
        <w:rPr>
          <w:rFonts w:ascii="Times New Roman" w:hAnsi="Times New Roman" w:cs="Times New Roman" w:hint="eastAsia"/>
          <w:sz w:val="24"/>
          <w:szCs w:val="24"/>
        </w:rPr>
        <w:t>2016</w:t>
      </w:r>
      <w:r w:rsidRPr="00227F9D">
        <w:rPr>
          <w:rFonts w:ascii="Times New Roman" w:hAnsi="Times New Roman" w:cs="Times New Roman"/>
          <w:sz w:val="24"/>
          <w:szCs w:val="24"/>
        </w:rPr>
        <w:t>). Second, we measure the company’s debt financing costs (</w:t>
      </w:r>
      <w:r w:rsidRPr="00227F9D">
        <w:rPr>
          <w:rFonts w:ascii="Times New Roman" w:hAnsi="Times New Roman" w:cs="Times New Roman"/>
          <w:i/>
          <w:iCs/>
          <w:sz w:val="24"/>
          <w:szCs w:val="24"/>
        </w:rPr>
        <w:t>Cost</w:t>
      </w:r>
      <w:r w:rsidRPr="00227F9D">
        <w:rPr>
          <w:rFonts w:ascii="Times New Roman" w:hAnsi="Times New Roman" w:cs="Times New Roman"/>
          <w:sz w:val="24"/>
          <w:szCs w:val="24"/>
        </w:rPr>
        <w:t xml:space="preserve">) using the ratio of interest expenses to total debt. Third, drawing on Chu et al. (2024), we use Python software to identify green funds and </w:t>
      </w:r>
      <w:r w:rsidRPr="00227F9D">
        <w:rPr>
          <w:rFonts w:ascii="Times New Roman" w:hAnsi="Times New Roman" w:cs="Times New Roman"/>
          <w:sz w:val="24"/>
          <w:szCs w:val="24"/>
        </w:rPr>
        <w:lastRenderedPageBreak/>
        <w:t>calculate the proportion of each company held by green funds, which reflects the company’s green financing level (</w:t>
      </w:r>
      <w:r w:rsidRPr="00227F9D">
        <w:rPr>
          <w:rFonts w:ascii="Times New Roman" w:hAnsi="Times New Roman" w:cs="Times New Roman"/>
          <w:i/>
          <w:iCs/>
          <w:sz w:val="24"/>
          <w:szCs w:val="24"/>
        </w:rPr>
        <w:t>Ginvestor</w:t>
      </w:r>
      <w:r w:rsidRPr="00227F9D">
        <w:rPr>
          <w:rFonts w:ascii="Times New Roman" w:hAnsi="Times New Roman" w:cs="Times New Roman"/>
          <w:sz w:val="24"/>
          <w:szCs w:val="24"/>
        </w:rPr>
        <w:t>). Fourth, we use the ESG financial cooperation index (</w:t>
      </w:r>
      <w:proofErr w:type="spellStart"/>
      <w:r w:rsidRPr="00227F9D">
        <w:rPr>
          <w:rFonts w:ascii="Times New Roman" w:hAnsi="Times New Roman" w:cs="Times New Roman"/>
          <w:i/>
          <w:iCs/>
          <w:sz w:val="24"/>
          <w:szCs w:val="24"/>
        </w:rPr>
        <w:t>ESG_cor</w:t>
      </w:r>
      <w:proofErr w:type="spellEnd"/>
      <w:r w:rsidRPr="00227F9D">
        <w:rPr>
          <w:rFonts w:ascii="Times New Roman" w:hAnsi="Times New Roman" w:cs="Times New Roman"/>
          <w:sz w:val="24"/>
          <w:szCs w:val="24"/>
        </w:rPr>
        <w:t>)</w:t>
      </w:r>
      <w:r w:rsidRPr="00227F9D">
        <w:rPr>
          <w:rStyle w:val="FootnoteReference"/>
          <w:rFonts w:ascii="Times New Roman" w:hAnsi="Times New Roman" w:cs="Times New Roman"/>
          <w:sz w:val="24"/>
          <w:szCs w:val="24"/>
        </w:rPr>
        <w:footnoteReference w:id="2"/>
      </w:r>
      <w:r w:rsidRPr="00227F9D">
        <w:rPr>
          <w:rFonts w:ascii="Times New Roman" w:hAnsi="Times New Roman" w:cs="Times New Roman"/>
          <w:sz w:val="24"/>
          <w:szCs w:val="24"/>
        </w:rPr>
        <w:t xml:space="preserve">, derived from the </w:t>
      </w:r>
      <w:proofErr w:type="spellStart"/>
      <w:r w:rsidRPr="00227F9D">
        <w:rPr>
          <w:rFonts w:ascii="Times New Roman" w:hAnsi="Times New Roman" w:cs="Times New Roman"/>
          <w:sz w:val="24"/>
          <w:szCs w:val="24"/>
        </w:rPr>
        <w:t>Mio</w:t>
      </w:r>
      <w:r w:rsidRPr="00227F9D">
        <w:rPr>
          <w:rFonts w:ascii="Times New Roman" w:hAnsi="Times New Roman" w:cs="Times New Roman" w:hint="eastAsia"/>
          <w:sz w:val="24"/>
          <w:szCs w:val="24"/>
        </w:rPr>
        <w:t>tech</w:t>
      </w:r>
      <w:proofErr w:type="spellEnd"/>
      <w:r w:rsidRPr="00227F9D">
        <w:rPr>
          <w:rFonts w:ascii="Times New Roman" w:hAnsi="Times New Roman" w:cs="Times New Roman"/>
          <w:sz w:val="24"/>
          <w:szCs w:val="24"/>
        </w:rPr>
        <w:t xml:space="preserve"> ESG database</w:t>
      </w:r>
      <w:r w:rsidR="00BD11E7" w:rsidRPr="00227F9D">
        <w:rPr>
          <w:rFonts w:ascii="Times New Roman" w:hAnsi="Times New Roman" w:cs="Times New Roman" w:hint="eastAsia"/>
          <w:sz w:val="24"/>
          <w:szCs w:val="24"/>
        </w:rPr>
        <w:t xml:space="preserve"> (https://www.miotech.com/en-US)</w:t>
      </w:r>
      <w:r w:rsidRPr="00227F9D">
        <w:rPr>
          <w:rFonts w:ascii="Times New Roman" w:hAnsi="Times New Roman" w:cs="Times New Roman"/>
          <w:sz w:val="24"/>
          <w:szCs w:val="24"/>
        </w:rPr>
        <w:t>.</w:t>
      </w:r>
    </w:p>
    <w:p w14:paraId="38A380C4" w14:textId="07227718" w:rsidR="00962AEB" w:rsidRPr="00227F9D" w:rsidRDefault="00962AEB" w:rsidP="00962AEB">
      <w:pPr>
        <w:rPr>
          <w:rFonts w:ascii="Times New Roman" w:hAnsi="Times New Roman" w:cs="Times New Roman"/>
          <w:sz w:val="24"/>
          <w:szCs w:val="24"/>
        </w:rPr>
      </w:pPr>
    </w:p>
    <w:p w14:paraId="267EC2FC" w14:textId="12FBC8D2" w:rsidR="00922079" w:rsidRPr="00227F9D" w:rsidRDefault="00962AEB" w:rsidP="00922079">
      <w:pPr>
        <w:rPr>
          <w:rFonts w:ascii="Times New Roman" w:hAnsi="Times New Roman" w:cs="Times New Roman"/>
          <w:sz w:val="24"/>
          <w:szCs w:val="24"/>
        </w:rPr>
      </w:pPr>
      <w:r w:rsidRPr="00227F9D">
        <w:rPr>
          <w:rFonts w:ascii="Times New Roman" w:hAnsi="Times New Roman" w:cs="Times New Roman"/>
          <w:sz w:val="24"/>
          <w:szCs w:val="24"/>
        </w:rPr>
        <w:t xml:space="preserve">Table </w:t>
      </w:r>
      <w:r w:rsidR="00DF5485" w:rsidRPr="00227F9D">
        <w:rPr>
          <w:rFonts w:ascii="Times New Roman" w:hAnsi="Times New Roman" w:cs="Times New Roman" w:hint="eastAsia"/>
          <w:sz w:val="24"/>
          <w:szCs w:val="24"/>
        </w:rPr>
        <w:t>8</w:t>
      </w:r>
      <w:r w:rsidRPr="00227F9D">
        <w:rPr>
          <w:rFonts w:ascii="Times New Roman" w:hAnsi="Times New Roman" w:cs="Times New Roman"/>
          <w:sz w:val="24"/>
          <w:szCs w:val="24"/>
        </w:rPr>
        <w:t xml:space="preserve"> presents the corresponding estimation results. As shown in columns (1) and (2), the estimated coefficients for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on financing constraints (</w:t>
      </w:r>
      <w:r w:rsidRPr="00227F9D">
        <w:rPr>
          <w:rFonts w:ascii="Times New Roman" w:hAnsi="Times New Roman" w:cs="Times New Roman"/>
          <w:i/>
          <w:iCs/>
          <w:sz w:val="24"/>
          <w:szCs w:val="24"/>
        </w:rPr>
        <w:t>KZ</w:t>
      </w:r>
      <w:r w:rsidRPr="00227F9D">
        <w:rPr>
          <w:rFonts w:ascii="Times New Roman" w:hAnsi="Times New Roman" w:cs="Times New Roman"/>
          <w:sz w:val="24"/>
          <w:szCs w:val="24"/>
        </w:rPr>
        <w:t>) and debt financing costs (</w:t>
      </w:r>
      <w:r w:rsidRPr="00227F9D">
        <w:rPr>
          <w:rFonts w:ascii="Times New Roman" w:hAnsi="Times New Roman" w:cs="Times New Roman"/>
          <w:i/>
          <w:iCs/>
          <w:sz w:val="24"/>
          <w:szCs w:val="24"/>
        </w:rPr>
        <w:t>Cost</w:t>
      </w:r>
      <w:r w:rsidRPr="00227F9D">
        <w:rPr>
          <w:rFonts w:ascii="Times New Roman" w:hAnsi="Times New Roman" w:cs="Times New Roman"/>
          <w:sz w:val="24"/>
          <w:szCs w:val="24"/>
        </w:rPr>
        <w:t xml:space="preserve">) are negative and highly significant, indicating that positive ESG media sentiment effectively reduces financing costs and alleviates financing constraints. Furthermore, from the perspective of sustainable financing, we explore the main reasons why external financing support promotes corporate energy innovation. Columns (3) and (4) report the results for green fund ownership and ESG financial cooperation. The estimated coefficients for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are significantly positive at the 1% level, suggesting that the positive media ESG sentiment and the resulting company reputation indeed help firms access sustainable financing. This analysis highlights the important role of media-driven ESG sentiment in improving a company’s access to both traditional and sustainable financing, ultimately supporting energy innovation</w:t>
      </w:r>
      <w:r w:rsidR="00922079" w:rsidRPr="00227F9D">
        <w:rPr>
          <w:rFonts w:ascii="Times New Roman" w:hAnsi="Times New Roman" w:cs="Times New Roman"/>
          <w:sz w:val="24"/>
          <w:szCs w:val="24"/>
        </w:rPr>
        <w:t>.</w:t>
      </w:r>
    </w:p>
    <w:p w14:paraId="0355F099" w14:textId="09D344AF" w:rsidR="00DF5485" w:rsidRPr="00227F9D" w:rsidRDefault="00DF5485" w:rsidP="00DF5485">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8 about here]</w:t>
      </w:r>
    </w:p>
    <w:p w14:paraId="560E72C6" w14:textId="77777777" w:rsidR="00DF5485" w:rsidRPr="00227F9D" w:rsidRDefault="00DF5485" w:rsidP="00922079">
      <w:pPr>
        <w:rPr>
          <w:rFonts w:ascii="Times New Roman" w:hAnsi="Times New Roman" w:cs="Times New Roman"/>
          <w:sz w:val="24"/>
          <w:szCs w:val="24"/>
        </w:rPr>
      </w:pPr>
    </w:p>
    <w:p w14:paraId="23094BAD" w14:textId="33B6228A" w:rsidR="00962AEB" w:rsidRPr="00227F9D" w:rsidRDefault="007C6EF1" w:rsidP="00922079">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962AEB" w:rsidRPr="00227F9D">
        <w:rPr>
          <w:rFonts w:ascii="Times New Roman" w:hAnsi="Times New Roman" w:cs="Times New Roman"/>
          <w:b/>
          <w:bCs/>
          <w:sz w:val="24"/>
          <w:szCs w:val="24"/>
        </w:rPr>
        <w:t>.1.</w:t>
      </w:r>
      <w:r w:rsidR="00962AEB" w:rsidRPr="00227F9D">
        <w:rPr>
          <w:rFonts w:ascii="Times New Roman" w:hAnsi="Times New Roman" w:cs="Times New Roman" w:hint="eastAsia"/>
          <w:b/>
          <w:bCs/>
          <w:sz w:val="24"/>
          <w:szCs w:val="24"/>
        </w:rPr>
        <w:t>2</w:t>
      </w:r>
      <w:r w:rsidR="00962AEB" w:rsidRPr="00227F9D">
        <w:rPr>
          <w:rFonts w:ascii="Times New Roman" w:hAnsi="Times New Roman" w:cs="Times New Roman"/>
          <w:b/>
          <w:bCs/>
          <w:sz w:val="24"/>
          <w:szCs w:val="24"/>
        </w:rPr>
        <w:t xml:space="preserve"> </w:t>
      </w:r>
      <w:r w:rsidR="00962AEB" w:rsidRPr="00227F9D">
        <w:rPr>
          <w:rFonts w:ascii="Times New Roman" w:hAnsi="Times New Roman" w:cs="Times New Roman" w:hint="eastAsia"/>
          <w:b/>
          <w:bCs/>
          <w:sz w:val="24"/>
          <w:szCs w:val="24"/>
        </w:rPr>
        <w:t>Awareness of Green Business Practices</w:t>
      </w:r>
    </w:p>
    <w:p w14:paraId="09705F64" w14:textId="7B066C9D" w:rsidR="00962AEB" w:rsidRPr="00227F9D" w:rsidRDefault="00962AEB" w:rsidP="00962AEB">
      <w:pPr>
        <w:rPr>
          <w:rFonts w:ascii="Times New Roman" w:hAnsi="Times New Roman" w:cs="Times New Roman"/>
          <w:sz w:val="24"/>
          <w:szCs w:val="24"/>
        </w:rPr>
      </w:pPr>
      <w:r w:rsidRPr="00227F9D">
        <w:rPr>
          <w:rFonts w:ascii="Times New Roman" w:hAnsi="Times New Roman" w:cs="Times New Roman"/>
          <w:sz w:val="24"/>
          <w:szCs w:val="24"/>
        </w:rPr>
        <w:t xml:space="preserve">Reputation theory suggests that positive media ESG sentiment can enhance corporate reputation pressure (Chasiotis et al., 2024), motivating firms to strengthen their green business practices and, in turn, drive energy innovation. On </w:t>
      </w:r>
      <w:r w:rsidRPr="00227F9D">
        <w:rPr>
          <w:rFonts w:ascii="Times New Roman" w:hAnsi="Times New Roman" w:cs="Times New Roman" w:hint="eastAsia"/>
          <w:sz w:val="24"/>
          <w:szCs w:val="24"/>
        </w:rPr>
        <w:t xml:space="preserve">the </w:t>
      </w:r>
      <w:r w:rsidRPr="00227F9D">
        <w:rPr>
          <w:rFonts w:ascii="Times New Roman" w:hAnsi="Times New Roman" w:cs="Times New Roman"/>
          <w:sz w:val="24"/>
          <w:szCs w:val="24"/>
        </w:rPr>
        <w:t>one hand, optimistic media ESG sentiment significantly increases corporate responsibility in areas such as environmental awareness, environmental management, investment, and technological innovation by widely disseminating the company’s sustainability requirements. On the other hand, positive ESG sentiment encourages companies to invest more in areas such as environmental management systems, resource allocation, and green technology research and development, providing strategic support and resource guarantees for energy innovation (</w:t>
      </w:r>
      <w:proofErr w:type="spellStart"/>
      <w:r w:rsidR="00BA78D5" w:rsidRPr="00227F9D">
        <w:rPr>
          <w:rFonts w:ascii="Times New Roman" w:hAnsi="Times New Roman" w:cs="Times New Roman"/>
          <w:sz w:val="24"/>
          <w:szCs w:val="24"/>
        </w:rPr>
        <w:t>Tabrizian</w:t>
      </w:r>
      <w:proofErr w:type="spellEnd"/>
      <w:r w:rsidR="00BA78D5" w:rsidRPr="00227F9D">
        <w:rPr>
          <w:rFonts w:ascii="Times New Roman" w:hAnsi="Times New Roman" w:cs="Times New Roman"/>
          <w:sz w:val="24"/>
          <w:szCs w:val="24"/>
        </w:rPr>
        <w:t>, 2019</w:t>
      </w:r>
      <w:r w:rsidR="00BA78D5" w:rsidRPr="00227F9D">
        <w:rPr>
          <w:rFonts w:ascii="Times New Roman" w:hAnsi="Times New Roman" w:cs="Times New Roman" w:hint="eastAsia"/>
          <w:sz w:val="24"/>
          <w:szCs w:val="24"/>
        </w:rPr>
        <w:t xml:space="preserve">; </w:t>
      </w:r>
      <w:r w:rsidRPr="00227F9D">
        <w:rPr>
          <w:rFonts w:ascii="Times New Roman" w:hAnsi="Times New Roman" w:cs="Times New Roman"/>
          <w:sz w:val="24"/>
          <w:szCs w:val="24"/>
        </w:rPr>
        <w:t>Chu et al., 2024).</w:t>
      </w:r>
      <w:r w:rsidRPr="00227F9D">
        <w:rPr>
          <w:rFonts w:ascii="Times New Roman" w:hAnsi="Times New Roman" w:cs="Times New Roman" w:hint="eastAsia"/>
          <w:sz w:val="24"/>
          <w:szCs w:val="24"/>
        </w:rPr>
        <w:t xml:space="preserve"> </w:t>
      </w:r>
      <w:r w:rsidRPr="00227F9D">
        <w:rPr>
          <w:rFonts w:ascii="Times New Roman" w:hAnsi="Times New Roman" w:cs="Times New Roman"/>
          <w:sz w:val="24"/>
          <w:szCs w:val="24"/>
        </w:rPr>
        <w:t xml:space="preserve">To validate the above theoretical analysis, this study draws on the work of Tan et al. (2024) and collects data on the five dimensions of green business practice awareness from the CSR indicator system of listed companies, as provided by </w:t>
      </w:r>
      <w:proofErr w:type="spellStart"/>
      <w:r w:rsidRPr="00227F9D">
        <w:rPr>
          <w:rFonts w:ascii="Times New Roman" w:hAnsi="Times New Roman" w:cs="Times New Roman"/>
          <w:sz w:val="24"/>
          <w:szCs w:val="24"/>
        </w:rPr>
        <w:t>Hexun</w:t>
      </w:r>
      <w:proofErr w:type="spellEnd"/>
      <w:r w:rsidRPr="00227F9D">
        <w:rPr>
          <w:rFonts w:ascii="Times New Roman" w:hAnsi="Times New Roman" w:cs="Times New Roman" w:hint="eastAsia"/>
          <w:sz w:val="24"/>
          <w:szCs w:val="24"/>
        </w:rPr>
        <w:t xml:space="preserve"> (https://www.hexun.com/)</w:t>
      </w:r>
      <w:r w:rsidRPr="00227F9D">
        <w:rPr>
          <w:rFonts w:ascii="Times New Roman" w:hAnsi="Times New Roman" w:cs="Times New Roman"/>
          <w:sz w:val="24"/>
          <w:szCs w:val="24"/>
        </w:rPr>
        <w:t>. These dimensions include environmental awareness</w:t>
      </w:r>
      <w:r w:rsidRPr="00227F9D">
        <w:rPr>
          <w:rFonts w:ascii="Times New Roman" w:hAnsi="Times New Roman" w:cs="Times New Roman" w:hint="eastAsia"/>
          <w:sz w:val="24"/>
          <w:szCs w:val="24"/>
        </w:rPr>
        <w:t xml:space="preserve"> (</w:t>
      </w:r>
      <w:r w:rsidRPr="00227F9D">
        <w:rPr>
          <w:rFonts w:ascii="Times New Roman" w:hAnsi="Times New Roman" w:cs="Times New Roman" w:hint="eastAsia"/>
          <w:i/>
          <w:iCs/>
          <w:sz w:val="24"/>
          <w:szCs w:val="24"/>
        </w:rPr>
        <w:t>EA</w:t>
      </w:r>
      <w:r w:rsidRPr="00227F9D">
        <w:rPr>
          <w:rFonts w:ascii="Times New Roman" w:hAnsi="Times New Roman" w:cs="Times New Roman" w:hint="eastAsia"/>
          <w:sz w:val="24"/>
          <w:szCs w:val="24"/>
        </w:rPr>
        <w:t>)</w:t>
      </w:r>
      <w:r w:rsidRPr="00227F9D">
        <w:rPr>
          <w:rFonts w:ascii="Times New Roman" w:hAnsi="Times New Roman" w:cs="Times New Roman"/>
          <w:sz w:val="24"/>
          <w:szCs w:val="24"/>
        </w:rPr>
        <w:t>, environmental management</w:t>
      </w:r>
      <w:r w:rsidRPr="00227F9D">
        <w:rPr>
          <w:rFonts w:ascii="Times New Roman" w:hAnsi="Times New Roman" w:cs="Times New Roman" w:hint="eastAsia"/>
          <w:sz w:val="24"/>
          <w:szCs w:val="24"/>
        </w:rPr>
        <w:t xml:space="preserve"> (</w:t>
      </w:r>
      <w:r w:rsidRPr="00227F9D">
        <w:rPr>
          <w:rFonts w:ascii="Times New Roman" w:hAnsi="Times New Roman" w:cs="Times New Roman" w:hint="eastAsia"/>
          <w:i/>
          <w:iCs/>
          <w:sz w:val="24"/>
          <w:szCs w:val="24"/>
        </w:rPr>
        <w:t>EM</w:t>
      </w:r>
      <w:r w:rsidRPr="00227F9D">
        <w:rPr>
          <w:rFonts w:ascii="Times New Roman" w:hAnsi="Times New Roman" w:cs="Times New Roman" w:hint="eastAsia"/>
          <w:sz w:val="24"/>
          <w:szCs w:val="24"/>
        </w:rPr>
        <w:t>)</w:t>
      </w:r>
      <w:r w:rsidRPr="00227F9D">
        <w:rPr>
          <w:rFonts w:ascii="Times New Roman" w:hAnsi="Times New Roman" w:cs="Times New Roman"/>
          <w:sz w:val="24"/>
          <w:szCs w:val="24"/>
        </w:rPr>
        <w:t>, environmental investment</w:t>
      </w:r>
      <w:r w:rsidRPr="00227F9D">
        <w:rPr>
          <w:rFonts w:ascii="Times New Roman" w:hAnsi="Times New Roman" w:cs="Times New Roman" w:hint="eastAsia"/>
          <w:sz w:val="24"/>
          <w:szCs w:val="24"/>
        </w:rPr>
        <w:t xml:space="preserve"> (</w:t>
      </w:r>
      <w:r w:rsidRPr="00227F9D">
        <w:rPr>
          <w:rFonts w:ascii="Times New Roman" w:hAnsi="Times New Roman" w:cs="Times New Roman" w:hint="eastAsia"/>
          <w:i/>
          <w:iCs/>
          <w:sz w:val="24"/>
          <w:szCs w:val="24"/>
        </w:rPr>
        <w:t>EI</w:t>
      </w:r>
      <w:r w:rsidRPr="00227F9D">
        <w:rPr>
          <w:rFonts w:ascii="Times New Roman" w:hAnsi="Times New Roman" w:cs="Times New Roman" w:hint="eastAsia"/>
          <w:sz w:val="24"/>
          <w:szCs w:val="24"/>
        </w:rPr>
        <w:t>)</w:t>
      </w:r>
      <w:r w:rsidRPr="00227F9D">
        <w:rPr>
          <w:rFonts w:ascii="Times New Roman" w:hAnsi="Times New Roman" w:cs="Times New Roman"/>
          <w:sz w:val="24"/>
          <w:szCs w:val="24"/>
        </w:rPr>
        <w:t>, pollution reduction</w:t>
      </w:r>
      <w:r w:rsidRPr="00227F9D">
        <w:rPr>
          <w:rFonts w:ascii="Times New Roman" w:hAnsi="Times New Roman" w:cs="Times New Roman" w:hint="eastAsia"/>
          <w:sz w:val="24"/>
          <w:szCs w:val="24"/>
        </w:rPr>
        <w:t xml:space="preserve"> (</w:t>
      </w:r>
      <w:r w:rsidRPr="00227F9D">
        <w:rPr>
          <w:rFonts w:ascii="Times New Roman" w:hAnsi="Times New Roman" w:cs="Times New Roman" w:hint="eastAsia"/>
          <w:i/>
          <w:iCs/>
          <w:sz w:val="24"/>
          <w:szCs w:val="24"/>
        </w:rPr>
        <w:t>PR</w:t>
      </w:r>
      <w:r w:rsidRPr="00227F9D">
        <w:rPr>
          <w:rFonts w:ascii="Times New Roman" w:hAnsi="Times New Roman" w:cs="Times New Roman" w:hint="eastAsia"/>
          <w:sz w:val="24"/>
          <w:szCs w:val="24"/>
        </w:rPr>
        <w:t>)</w:t>
      </w:r>
      <w:r w:rsidRPr="00227F9D">
        <w:rPr>
          <w:rFonts w:ascii="Times New Roman" w:hAnsi="Times New Roman" w:cs="Times New Roman"/>
          <w:sz w:val="24"/>
          <w:szCs w:val="24"/>
        </w:rPr>
        <w:t>, and energy conservation</w:t>
      </w:r>
      <w:r w:rsidRPr="00227F9D">
        <w:rPr>
          <w:rFonts w:ascii="Times New Roman" w:hAnsi="Times New Roman" w:cs="Times New Roman" w:hint="eastAsia"/>
          <w:sz w:val="24"/>
          <w:szCs w:val="24"/>
        </w:rPr>
        <w:t xml:space="preserve"> (</w:t>
      </w:r>
      <w:r w:rsidRPr="00227F9D">
        <w:rPr>
          <w:rFonts w:ascii="Times New Roman" w:hAnsi="Times New Roman" w:cs="Times New Roman" w:hint="eastAsia"/>
          <w:i/>
          <w:iCs/>
          <w:sz w:val="24"/>
          <w:szCs w:val="24"/>
        </w:rPr>
        <w:t>EC</w:t>
      </w:r>
      <w:r w:rsidRPr="00227F9D">
        <w:rPr>
          <w:rFonts w:ascii="Times New Roman" w:hAnsi="Times New Roman" w:cs="Times New Roman" w:hint="eastAsia"/>
          <w:sz w:val="24"/>
          <w:szCs w:val="24"/>
        </w:rPr>
        <w:t>)</w:t>
      </w:r>
      <w:r w:rsidRPr="00227F9D">
        <w:rPr>
          <w:rFonts w:ascii="Times New Roman" w:hAnsi="Times New Roman" w:cs="Times New Roman"/>
          <w:sz w:val="24"/>
          <w:szCs w:val="24"/>
        </w:rPr>
        <w:t xml:space="preserve">. The higher the scores in these areas, the better the company’s green business practice awareness. The results presented in Table </w:t>
      </w:r>
      <w:r w:rsidR="00DF5485" w:rsidRPr="00227F9D">
        <w:rPr>
          <w:rFonts w:ascii="Times New Roman" w:hAnsi="Times New Roman" w:cs="Times New Roman" w:hint="eastAsia"/>
          <w:sz w:val="24"/>
          <w:szCs w:val="24"/>
        </w:rPr>
        <w:t>9</w:t>
      </w:r>
      <w:r w:rsidRPr="00227F9D">
        <w:rPr>
          <w:rFonts w:ascii="Times New Roman" w:hAnsi="Times New Roman" w:cs="Times New Roman"/>
          <w:sz w:val="24"/>
          <w:szCs w:val="24"/>
        </w:rPr>
        <w:t xml:space="preserve"> show the specific impact of media ESG sentiment on the five dimensions of corporate green business practice awareness. The </w:t>
      </w:r>
      <w:r w:rsidRPr="00227F9D">
        <w:rPr>
          <w:rFonts w:ascii="Times New Roman" w:hAnsi="Times New Roman" w:cs="Times New Roman"/>
          <w:sz w:val="24"/>
          <w:szCs w:val="24"/>
        </w:rPr>
        <w:lastRenderedPageBreak/>
        <w:t xml:space="preserve">regression coefficients </w:t>
      </w:r>
      <w:r w:rsidRPr="00227F9D">
        <w:rPr>
          <w:rFonts w:ascii="Times New Roman" w:hAnsi="Times New Roman" w:cs="Times New Roman" w:hint="eastAsia"/>
          <w:sz w:val="24"/>
          <w:szCs w:val="24"/>
        </w:rPr>
        <w:t>of</w:t>
      </w:r>
      <w:r w:rsidRPr="00227F9D">
        <w:rPr>
          <w:rFonts w:ascii="Times New Roman" w:hAnsi="Times New Roman" w:cs="Times New Roman"/>
          <w:sz w:val="24"/>
          <w:szCs w:val="24"/>
        </w:rPr>
        <w:t xml:space="preserve"> </w:t>
      </w:r>
      <w:proofErr w:type="spellStart"/>
      <w:r w:rsidRPr="00227F9D">
        <w:rPr>
          <w:rFonts w:ascii="Times New Roman" w:hAnsi="Times New Roman" w:cs="Times New Roman"/>
          <w:i/>
          <w:iCs/>
          <w:sz w:val="24"/>
          <w:szCs w:val="24"/>
        </w:rPr>
        <w:t>esg_news</w:t>
      </w:r>
      <w:proofErr w:type="spellEnd"/>
      <w:r w:rsidRPr="00227F9D">
        <w:rPr>
          <w:rFonts w:ascii="Times New Roman" w:hAnsi="Times New Roman" w:cs="Times New Roman"/>
          <w:sz w:val="24"/>
          <w:szCs w:val="24"/>
        </w:rPr>
        <w:t xml:space="preserve"> are positive and significant, indicating that optimistic media ESG sentiment promotes companies to enhance environmental awareness, strengthen environmental management, increase environmental investment, and positively influences pollution reduction and energy conservation. These green business practices directly drive energy innovation across the entire corporate process. Therefore, technological breakthroughs and green investments in areas such as energy conservation, emission reduction, and clean energy are seen as a positive response to media-positive sentiment and external reputation demands (Lee and Raschke, 2023; Dorobantu et al., 2024), effectively promoting corporate energy innovation.</w:t>
      </w:r>
    </w:p>
    <w:p w14:paraId="08FE9298" w14:textId="4BDFA718" w:rsidR="00DF5485" w:rsidRPr="00227F9D" w:rsidRDefault="00DF5485" w:rsidP="00DF5485">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9 about here]</w:t>
      </w:r>
    </w:p>
    <w:p w14:paraId="76BF735E" w14:textId="77777777" w:rsidR="00922079" w:rsidRPr="00227F9D" w:rsidRDefault="00922079" w:rsidP="00922079">
      <w:pPr>
        <w:rPr>
          <w:rFonts w:ascii="Times New Roman" w:hAnsi="Times New Roman" w:cs="Times New Roman"/>
          <w:sz w:val="24"/>
          <w:szCs w:val="24"/>
        </w:rPr>
      </w:pPr>
    </w:p>
    <w:p w14:paraId="233A12B2" w14:textId="5C04077A" w:rsidR="00922079" w:rsidRPr="00227F9D" w:rsidRDefault="007C6EF1" w:rsidP="00922079">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922079" w:rsidRPr="00227F9D">
        <w:rPr>
          <w:rFonts w:ascii="Times New Roman" w:hAnsi="Times New Roman" w:cs="Times New Roman"/>
          <w:b/>
          <w:bCs/>
          <w:sz w:val="24"/>
          <w:szCs w:val="24"/>
        </w:rPr>
        <w:t>.2 Heterogeneity Analysis</w:t>
      </w:r>
    </w:p>
    <w:p w14:paraId="0C7FF379" w14:textId="77777777" w:rsidR="00592830" w:rsidRPr="00227F9D" w:rsidRDefault="00592830" w:rsidP="00592830">
      <w:pPr>
        <w:rPr>
          <w:rFonts w:ascii="Times New Roman" w:hAnsi="Times New Roman" w:cs="Times New Roman"/>
          <w:sz w:val="24"/>
          <w:szCs w:val="24"/>
        </w:rPr>
      </w:pPr>
      <w:r w:rsidRPr="00227F9D">
        <w:rPr>
          <w:rFonts w:ascii="Times New Roman" w:hAnsi="Times New Roman" w:cs="Times New Roman"/>
          <w:sz w:val="24"/>
          <w:szCs w:val="24"/>
        </w:rPr>
        <w:t>Reputation theory emphasizes that the impact of a company's reputation on its behavior is constrained by external factors (Cui et al., 2018; Wang et al., 2024). Various internal and external factors, such as energy intensity, regional green finance development, and urban ESG governance levels, can lead to different mechanisms through which positive media ESG sentiment affects a company. First, a company's energy consumption intensity determines the level of environmental pressure it faces (Tan et al., 2024), which may cause different companies to respond differently to media ESG sentiment. Second, the level of green finance development directly affects a company's ability to obtain green funding (Flammer, 2021), thus influencing how media ESG sentiment incentivizes green innovation. Lastly, the level of ESG governance in cities determines the social and policy environment that companies operate within (Teixeira et al., 2023), affecting their willingness to engage in green transformation driven by media sentiment. By focusing on these heterogeneous factors, we can gain deeper insights into how media ESG sentiment stimulates corporate energy innovation in different contexts.</w:t>
      </w:r>
    </w:p>
    <w:p w14:paraId="4A9A32DA" w14:textId="77777777" w:rsidR="00592830" w:rsidRPr="00227F9D" w:rsidRDefault="00592830" w:rsidP="00592830">
      <w:pPr>
        <w:rPr>
          <w:rFonts w:ascii="Times New Roman" w:hAnsi="Times New Roman" w:cs="Times New Roman"/>
          <w:sz w:val="24"/>
          <w:szCs w:val="24"/>
        </w:rPr>
      </w:pPr>
    </w:p>
    <w:p w14:paraId="77787999" w14:textId="08AE2DF2" w:rsidR="00592830" w:rsidRPr="00227F9D" w:rsidRDefault="007C6EF1" w:rsidP="00592830">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592830" w:rsidRPr="00227F9D">
        <w:rPr>
          <w:rFonts w:ascii="Times New Roman" w:hAnsi="Times New Roman" w:cs="Times New Roman" w:hint="eastAsia"/>
          <w:b/>
          <w:bCs/>
          <w:sz w:val="24"/>
          <w:szCs w:val="24"/>
        </w:rPr>
        <w:t>.2.1 C</w:t>
      </w:r>
      <w:r w:rsidR="00592830" w:rsidRPr="00227F9D">
        <w:rPr>
          <w:rFonts w:ascii="Times New Roman" w:hAnsi="Times New Roman" w:cs="Times New Roman"/>
          <w:b/>
          <w:bCs/>
          <w:sz w:val="24"/>
          <w:szCs w:val="24"/>
        </w:rPr>
        <w:t>orporate energy consumption</w:t>
      </w:r>
    </w:p>
    <w:p w14:paraId="23AC3264" w14:textId="7F734F59" w:rsidR="00592830" w:rsidRPr="00227F9D" w:rsidRDefault="00592830" w:rsidP="00592830">
      <w:pPr>
        <w:rPr>
          <w:rFonts w:ascii="Times New Roman" w:hAnsi="Times New Roman" w:cs="Times New Roman"/>
          <w:sz w:val="24"/>
          <w:szCs w:val="24"/>
        </w:rPr>
      </w:pPr>
      <w:r w:rsidRPr="00227F9D">
        <w:rPr>
          <w:rFonts w:ascii="Times New Roman" w:hAnsi="Times New Roman" w:cs="Times New Roman" w:hint="eastAsia"/>
          <w:sz w:val="24"/>
          <w:szCs w:val="24"/>
        </w:rPr>
        <w:t>C</w:t>
      </w:r>
      <w:r w:rsidRPr="00227F9D">
        <w:rPr>
          <w:rFonts w:ascii="Times New Roman" w:hAnsi="Times New Roman" w:cs="Times New Roman"/>
          <w:sz w:val="24"/>
          <w:szCs w:val="24"/>
        </w:rPr>
        <w:t>orporate energy consumption is closely related to energy innovation, and companies with higher energy consumption intensity may be more sensitive to ESG media sentiment. To examine how different companies respond to media ESG sentiment, this study follows Tan et al. (202</w:t>
      </w:r>
      <w:r w:rsidR="002968F9" w:rsidRPr="00227F9D">
        <w:rPr>
          <w:rFonts w:ascii="Times New Roman" w:hAnsi="Times New Roman" w:cs="Times New Roman" w:hint="eastAsia"/>
          <w:sz w:val="24"/>
          <w:szCs w:val="24"/>
        </w:rPr>
        <w:t>5</w:t>
      </w:r>
      <w:r w:rsidRPr="00227F9D">
        <w:rPr>
          <w:rFonts w:ascii="Times New Roman" w:hAnsi="Times New Roman" w:cs="Times New Roman"/>
          <w:sz w:val="24"/>
          <w:szCs w:val="24"/>
        </w:rPr>
        <w:t xml:space="preserve">) and measures energy intensity as the ratio of total energy consumption to economic output, dividing the sample into high-energy-intensity and low-energy-intensity firms based on the median. The regression results in columns (1) and (2) of Table </w:t>
      </w:r>
      <w:r w:rsidR="00DF5485" w:rsidRPr="00227F9D">
        <w:rPr>
          <w:rFonts w:ascii="Times New Roman" w:hAnsi="Times New Roman" w:cs="Times New Roman" w:hint="eastAsia"/>
          <w:sz w:val="24"/>
          <w:szCs w:val="24"/>
        </w:rPr>
        <w:t>10</w:t>
      </w:r>
      <w:r w:rsidRPr="00227F9D">
        <w:rPr>
          <w:rFonts w:ascii="Times New Roman" w:hAnsi="Times New Roman" w:cs="Times New Roman"/>
          <w:sz w:val="24"/>
          <w:szCs w:val="24"/>
        </w:rPr>
        <w:t xml:space="preserve"> show that ESG media sentiment has a significant positive effect on energy innovation output only for high-energy-intensity firms, while it has no significant impact on low-energy-intensity firms. This may be due to two reasons: first, high-energy-intensity firms face greater scrutiny and regulatory pressure from stakeholders, including investors, customers, and regulators, regarding their environmental performance (Chu et al., 2024); second, these firms bear higher energy costs and environmental risks in their operations (Zhang et al., 2022). Positive ESG media sentiment can motivate these firms to innovate in energy to reduce costs, optimize resource use, and minimize their environmental footprint, thus meeting stakeholder expectations. This finding aligns with He et al. (2022) and Luo et al. (2022), </w:t>
      </w:r>
      <w:r w:rsidRPr="00227F9D">
        <w:rPr>
          <w:rFonts w:ascii="Times New Roman" w:hAnsi="Times New Roman" w:cs="Times New Roman"/>
          <w:sz w:val="24"/>
          <w:szCs w:val="24"/>
        </w:rPr>
        <w:lastRenderedPageBreak/>
        <w:t>further supporting the notion that media attention can stimulate technological innovation in high-energy-intensity firms under a stakeholder analysis framework.</w:t>
      </w:r>
    </w:p>
    <w:p w14:paraId="529EE7EA" w14:textId="77777777" w:rsidR="00592830" w:rsidRPr="00227F9D" w:rsidRDefault="00592830" w:rsidP="00592830">
      <w:pPr>
        <w:rPr>
          <w:rFonts w:ascii="Times New Roman" w:hAnsi="Times New Roman" w:cs="Times New Roman"/>
          <w:sz w:val="24"/>
          <w:szCs w:val="24"/>
        </w:rPr>
      </w:pPr>
    </w:p>
    <w:p w14:paraId="21718E11" w14:textId="3BE01A1F" w:rsidR="00592830" w:rsidRPr="00227F9D" w:rsidRDefault="007C6EF1" w:rsidP="00592830">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592830" w:rsidRPr="00227F9D">
        <w:rPr>
          <w:rFonts w:ascii="Times New Roman" w:hAnsi="Times New Roman" w:cs="Times New Roman" w:hint="eastAsia"/>
          <w:b/>
          <w:bCs/>
          <w:sz w:val="24"/>
          <w:szCs w:val="24"/>
        </w:rPr>
        <w:t xml:space="preserve">.2.2 </w:t>
      </w:r>
      <w:r w:rsidR="00043C99" w:rsidRPr="00227F9D">
        <w:rPr>
          <w:rFonts w:ascii="Times New Roman" w:hAnsi="Times New Roman" w:cs="Times New Roman" w:hint="eastAsia"/>
          <w:b/>
          <w:bCs/>
          <w:sz w:val="24"/>
          <w:szCs w:val="24"/>
        </w:rPr>
        <w:t>Regional green finance development</w:t>
      </w:r>
    </w:p>
    <w:p w14:paraId="2015DA1B" w14:textId="1A940572" w:rsidR="00592830" w:rsidRPr="00227F9D" w:rsidRDefault="00043C99" w:rsidP="00592830">
      <w:pPr>
        <w:rPr>
          <w:rFonts w:ascii="Times New Roman" w:hAnsi="Times New Roman" w:cs="Times New Roman"/>
          <w:sz w:val="24"/>
          <w:szCs w:val="24"/>
        </w:rPr>
      </w:pPr>
      <w:r w:rsidRPr="00227F9D">
        <w:rPr>
          <w:rFonts w:ascii="Times New Roman" w:hAnsi="Times New Roman" w:cs="Times New Roman" w:hint="eastAsia"/>
          <w:sz w:val="24"/>
          <w:szCs w:val="24"/>
        </w:rPr>
        <w:t>T</w:t>
      </w:r>
      <w:r w:rsidR="00592830" w:rsidRPr="00227F9D">
        <w:rPr>
          <w:rFonts w:ascii="Times New Roman" w:hAnsi="Times New Roman" w:cs="Times New Roman"/>
          <w:sz w:val="24"/>
          <w:szCs w:val="24"/>
        </w:rPr>
        <w:t xml:space="preserve">he development of green finance varies significantly across regions and affects ESG disclosure and corporate energy innovation requirements (Zhang, 2023). The improvement of green finance policies often promotes sustainable development (Lee and Lee, 2022), thereby enhancing companies' incentives for energy innovation. This study further analyzes the differentiated effects of media ESG sentiment on CEI under different levels of green finance development. Following Lee and Lee (2022), we classify regions into those with high and low levels of green finance based on provincial green finance development. The results in columns (3) and (4) of Table </w:t>
      </w:r>
      <w:r w:rsidR="00DF5485" w:rsidRPr="00227F9D">
        <w:rPr>
          <w:rFonts w:ascii="Times New Roman" w:hAnsi="Times New Roman" w:cs="Times New Roman" w:hint="eastAsia"/>
          <w:sz w:val="24"/>
          <w:szCs w:val="24"/>
        </w:rPr>
        <w:t>10</w:t>
      </w:r>
      <w:r w:rsidR="00592830" w:rsidRPr="00227F9D">
        <w:rPr>
          <w:rFonts w:ascii="Times New Roman" w:hAnsi="Times New Roman" w:cs="Times New Roman"/>
          <w:sz w:val="24"/>
          <w:szCs w:val="24"/>
        </w:rPr>
        <w:t xml:space="preserve"> reveal that in regions with higher levels of green finance, better access to green credit strengthens the positive effect of ESG media sentiment on CEI output. This may be because, compared to regions with lower green finance development, firms in areas with better green finance development typically face higher demands for information transparency and ESG disclosure standards, prompting them to pay more attention to ESG issues (Zhang, 2023). When media and the public provide positive evaluations of their ESG performance, firms are more likely to respond to key information and engage in energy innovation. This finding is consistent with Irfan et al. (2022), which shows that green finance policies can promote corporate green innovation, affirming the key role of green finance in sustainable development theory.</w:t>
      </w:r>
    </w:p>
    <w:p w14:paraId="0E45EBA7" w14:textId="49181745" w:rsidR="00DF5485" w:rsidRPr="00227F9D" w:rsidRDefault="00DF5485" w:rsidP="00DF5485">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10 about here]</w:t>
      </w:r>
    </w:p>
    <w:p w14:paraId="68E56572" w14:textId="77777777" w:rsidR="00043C99" w:rsidRPr="00227F9D" w:rsidRDefault="00043C99" w:rsidP="00592830">
      <w:pPr>
        <w:rPr>
          <w:rFonts w:ascii="Times New Roman" w:hAnsi="Times New Roman" w:cs="Times New Roman"/>
          <w:sz w:val="24"/>
          <w:szCs w:val="24"/>
        </w:rPr>
      </w:pPr>
    </w:p>
    <w:p w14:paraId="288FBAF3" w14:textId="641353A2" w:rsidR="00043C99" w:rsidRPr="00227F9D" w:rsidRDefault="007C6EF1" w:rsidP="00592830">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043C99" w:rsidRPr="00227F9D">
        <w:rPr>
          <w:rFonts w:ascii="Times New Roman" w:hAnsi="Times New Roman" w:cs="Times New Roman" w:hint="eastAsia"/>
          <w:b/>
          <w:bCs/>
          <w:sz w:val="24"/>
          <w:szCs w:val="24"/>
        </w:rPr>
        <w:t>.2.3 Urban ESG governance</w:t>
      </w:r>
    </w:p>
    <w:p w14:paraId="015D04FF" w14:textId="623615A1" w:rsidR="00592830" w:rsidRPr="00227F9D" w:rsidRDefault="00043C99" w:rsidP="00592830">
      <w:pPr>
        <w:rPr>
          <w:rFonts w:ascii="Times New Roman" w:hAnsi="Times New Roman" w:cs="Times New Roman"/>
          <w:sz w:val="24"/>
          <w:szCs w:val="24"/>
        </w:rPr>
      </w:pPr>
      <w:r w:rsidRPr="00227F9D">
        <w:rPr>
          <w:rFonts w:ascii="Times New Roman" w:hAnsi="Times New Roman" w:cs="Times New Roman" w:hint="eastAsia"/>
          <w:sz w:val="24"/>
          <w:szCs w:val="24"/>
        </w:rPr>
        <w:t>U</w:t>
      </w:r>
      <w:r w:rsidR="00592830" w:rsidRPr="00227F9D">
        <w:rPr>
          <w:rFonts w:ascii="Times New Roman" w:hAnsi="Times New Roman" w:cs="Times New Roman"/>
          <w:sz w:val="24"/>
          <w:szCs w:val="24"/>
        </w:rPr>
        <w:t>rban ESG governance refers to a city</w:t>
      </w:r>
      <w:r w:rsidRPr="00227F9D">
        <w:rPr>
          <w:rFonts w:ascii="Times New Roman" w:hAnsi="Times New Roman" w:cs="Times New Roman"/>
          <w:sz w:val="24"/>
          <w:szCs w:val="24"/>
        </w:rPr>
        <w:t>’</w:t>
      </w:r>
      <w:r w:rsidR="00592830" w:rsidRPr="00227F9D">
        <w:rPr>
          <w:rFonts w:ascii="Times New Roman" w:hAnsi="Times New Roman" w:cs="Times New Roman"/>
          <w:sz w:val="24"/>
          <w:szCs w:val="24"/>
        </w:rPr>
        <w:t xml:space="preserve">s overall performance and policy framework regarding environmental, social, and governance aspects, including urban planning, resource management, industrial layout, and social services (Teixeira et al., 2023). Strong urban ESG governance indicates that local governments have taken more proactive measures to promote sustainable development, environmental protection, and social fairness and transparency (Son et al., 2023). Given this, this study further explores how media ESG sentiment influences CEI under varying levels of urban ESG governance. Specifically, following Liu et al. (2023), we use Python software to conduct frequency analysis of ESG-related keywords in the government work reports of various municipalities. By calculating the proportion of ESG-related keywords to the total word count, we derive an urban ESG governance intensity index. The results in columns (5) and (6) of Table 9 show that in cities with better ESG governance, the positive impact of ESG media sentiment on CEI is more pronounced. In cities with stronger ESG governance, local governments typically implement stricter environmental regulations and policies, encouraging firms to pursue sustainable development (Teixeira et al., 2023). Strong ESG governance policies provide clear development directions and necessary support for firms, making them more likely to respond to media-driven ESG sentiment by engaging in energy innovation to meet policy requirements. This finding resonates with institutional theory, which emphasizes </w:t>
      </w:r>
      <w:r w:rsidR="00592830" w:rsidRPr="00227F9D">
        <w:rPr>
          <w:rFonts w:ascii="Times New Roman" w:hAnsi="Times New Roman" w:cs="Times New Roman"/>
          <w:sz w:val="24"/>
          <w:szCs w:val="24"/>
        </w:rPr>
        <w:lastRenderedPageBreak/>
        <w:t>the impact of social environment and institutional structures on corporate behavior (Chu et al., 2024), and enriches legitimacy theory from a media perspective.</w:t>
      </w:r>
    </w:p>
    <w:p w14:paraId="22A7F503" w14:textId="77777777" w:rsidR="00922079" w:rsidRPr="00227F9D" w:rsidRDefault="00922079" w:rsidP="00922079">
      <w:pPr>
        <w:rPr>
          <w:rFonts w:ascii="Times New Roman" w:hAnsi="Times New Roman" w:cs="Times New Roman"/>
          <w:sz w:val="24"/>
          <w:szCs w:val="24"/>
        </w:rPr>
      </w:pPr>
    </w:p>
    <w:p w14:paraId="273B7057" w14:textId="43E4A8C7" w:rsidR="00922079" w:rsidRPr="00227F9D" w:rsidRDefault="007C6EF1" w:rsidP="00922079">
      <w:pPr>
        <w:rPr>
          <w:rFonts w:ascii="Times New Roman" w:hAnsi="Times New Roman" w:cs="Times New Roman"/>
          <w:b/>
          <w:bCs/>
          <w:sz w:val="24"/>
          <w:szCs w:val="24"/>
        </w:rPr>
      </w:pPr>
      <w:r w:rsidRPr="00227F9D">
        <w:rPr>
          <w:rFonts w:ascii="Times New Roman" w:hAnsi="Times New Roman" w:cs="Times New Roman" w:hint="eastAsia"/>
          <w:b/>
          <w:bCs/>
          <w:sz w:val="24"/>
          <w:szCs w:val="24"/>
        </w:rPr>
        <w:t>6</w:t>
      </w:r>
      <w:r w:rsidR="00922079" w:rsidRPr="00227F9D">
        <w:rPr>
          <w:rFonts w:ascii="Times New Roman" w:hAnsi="Times New Roman" w:cs="Times New Roman"/>
          <w:b/>
          <w:bCs/>
          <w:sz w:val="24"/>
          <w:szCs w:val="24"/>
        </w:rPr>
        <w:t>.3 The Impact of ESG News Sentiment and Media attention on CEI across Different Pillars</w:t>
      </w:r>
    </w:p>
    <w:p w14:paraId="2361ED8C" w14:textId="77777777" w:rsidR="00D55670" w:rsidRPr="00227F9D" w:rsidRDefault="00D55670" w:rsidP="00D55670">
      <w:pPr>
        <w:rPr>
          <w:rFonts w:ascii="Times New Roman" w:hAnsi="Times New Roman" w:cs="Times New Roman"/>
          <w:sz w:val="24"/>
          <w:szCs w:val="24"/>
        </w:rPr>
      </w:pPr>
      <w:r w:rsidRPr="00227F9D">
        <w:rPr>
          <w:rFonts w:ascii="Times New Roman" w:hAnsi="Times New Roman" w:cs="Times New Roman"/>
          <w:sz w:val="24"/>
          <w:szCs w:val="24"/>
        </w:rPr>
        <w:t>In the previous sections, we explored the relationship between media ESG sentiment and corporate energy innovation. To deepen this discussion, we now conduct a more detailed analysis of media sentiment across three sub-dimensions. Additionally, we further introduce media ESG attention, incorporating perspectives on both information content and sentiment. This approach will help us gain a more comprehensive understanding of the role media plays in promoting corporate energy innovation.</w:t>
      </w:r>
    </w:p>
    <w:p w14:paraId="6D2C0FF3" w14:textId="77777777" w:rsidR="00D55670" w:rsidRPr="00227F9D" w:rsidRDefault="00D55670" w:rsidP="00922079">
      <w:pPr>
        <w:rPr>
          <w:rFonts w:ascii="Times New Roman" w:hAnsi="Times New Roman" w:cs="Times New Roman"/>
          <w:sz w:val="24"/>
          <w:szCs w:val="24"/>
        </w:rPr>
      </w:pPr>
    </w:p>
    <w:p w14:paraId="053D7277" w14:textId="30BC4DB0" w:rsidR="00D55670" w:rsidRPr="00227F9D" w:rsidRDefault="00D55670" w:rsidP="00922079">
      <w:pPr>
        <w:rPr>
          <w:rFonts w:ascii="Times New Roman" w:hAnsi="Times New Roman" w:cs="Times New Roman"/>
          <w:sz w:val="24"/>
          <w:szCs w:val="24"/>
        </w:rPr>
      </w:pPr>
      <w:r w:rsidRPr="00227F9D">
        <w:rPr>
          <w:rFonts w:ascii="Times New Roman" w:hAnsi="Times New Roman" w:cs="Times New Roman" w:hint="eastAsia"/>
          <w:sz w:val="24"/>
          <w:szCs w:val="24"/>
        </w:rPr>
        <w:t>First, we</w:t>
      </w:r>
      <w:r w:rsidR="00922079" w:rsidRPr="00227F9D">
        <w:rPr>
          <w:rFonts w:ascii="Times New Roman" w:hAnsi="Times New Roman" w:cs="Times New Roman"/>
          <w:sz w:val="24"/>
          <w:szCs w:val="24"/>
        </w:rPr>
        <w:t xml:space="preserve"> refine the examination of ESG news sentiment by separating ESG news into three pillars (E, S, and G) and computing media sentiment (</w:t>
      </w:r>
      <w:proofErr w:type="spellStart"/>
      <w:r w:rsidR="00922079" w:rsidRPr="00227F9D">
        <w:rPr>
          <w:rFonts w:ascii="Times New Roman" w:hAnsi="Times New Roman" w:cs="Times New Roman"/>
          <w:i/>
          <w:iCs/>
          <w:sz w:val="24"/>
          <w:szCs w:val="24"/>
        </w:rPr>
        <w:t>E_news</w:t>
      </w:r>
      <w:proofErr w:type="spellEnd"/>
      <w:r w:rsidR="00922079" w:rsidRPr="00227F9D">
        <w:rPr>
          <w:rFonts w:ascii="Times New Roman" w:hAnsi="Times New Roman" w:cs="Times New Roman"/>
          <w:sz w:val="24"/>
          <w:szCs w:val="24"/>
        </w:rPr>
        <w:t xml:space="preserve">, </w:t>
      </w:r>
      <w:proofErr w:type="spellStart"/>
      <w:r w:rsidR="00922079" w:rsidRPr="00227F9D">
        <w:rPr>
          <w:rFonts w:ascii="Times New Roman" w:hAnsi="Times New Roman" w:cs="Times New Roman"/>
          <w:i/>
          <w:iCs/>
          <w:sz w:val="24"/>
          <w:szCs w:val="24"/>
        </w:rPr>
        <w:t>S_news</w:t>
      </w:r>
      <w:proofErr w:type="spellEnd"/>
      <w:r w:rsidR="00922079" w:rsidRPr="00227F9D">
        <w:rPr>
          <w:rFonts w:ascii="Times New Roman" w:hAnsi="Times New Roman" w:cs="Times New Roman"/>
          <w:sz w:val="24"/>
          <w:szCs w:val="24"/>
        </w:rPr>
        <w:t xml:space="preserve">, </w:t>
      </w:r>
      <w:proofErr w:type="spellStart"/>
      <w:r w:rsidR="00922079" w:rsidRPr="00227F9D">
        <w:rPr>
          <w:rFonts w:ascii="Times New Roman" w:hAnsi="Times New Roman" w:cs="Times New Roman"/>
          <w:i/>
          <w:iCs/>
          <w:sz w:val="24"/>
          <w:szCs w:val="24"/>
        </w:rPr>
        <w:t>G_news</w:t>
      </w:r>
      <w:proofErr w:type="spellEnd"/>
      <w:r w:rsidR="00922079" w:rsidRPr="00227F9D">
        <w:rPr>
          <w:rFonts w:ascii="Times New Roman" w:hAnsi="Times New Roman" w:cs="Times New Roman"/>
          <w:sz w:val="24"/>
          <w:szCs w:val="24"/>
        </w:rPr>
        <w:t>). The coefficients from Column (1) to (3) in Table 1</w:t>
      </w:r>
      <w:r w:rsidR="00DF5485" w:rsidRPr="00227F9D">
        <w:rPr>
          <w:rFonts w:ascii="Times New Roman" w:hAnsi="Times New Roman" w:cs="Times New Roman" w:hint="eastAsia"/>
          <w:sz w:val="24"/>
          <w:szCs w:val="24"/>
        </w:rPr>
        <w:t>1</w:t>
      </w:r>
      <w:r w:rsidR="00922079" w:rsidRPr="00227F9D">
        <w:rPr>
          <w:rFonts w:ascii="Times New Roman" w:hAnsi="Times New Roman" w:cs="Times New Roman"/>
          <w:sz w:val="24"/>
          <w:szCs w:val="24"/>
        </w:rPr>
        <w:t xml:space="preserve"> show that </w:t>
      </w:r>
      <w:proofErr w:type="spellStart"/>
      <w:r w:rsidR="00922079" w:rsidRPr="00227F9D">
        <w:rPr>
          <w:rFonts w:ascii="Times New Roman" w:hAnsi="Times New Roman" w:cs="Times New Roman"/>
          <w:i/>
          <w:iCs/>
          <w:sz w:val="24"/>
          <w:szCs w:val="24"/>
        </w:rPr>
        <w:t>E_news</w:t>
      </w:r>
      <w:proofErr w:type="spellEnd"/>
      <w:r w:rsidR="00922079" w:rsidRPr="00227F9D">
        <w:rPr>
          <w:rFonts w:ascii="Times New Roman" w:hAnsi="Times New Roman" w:cs="Times New Roman"/>
          <w:sz w:val="24"/>
          <w:szCs w:val="24"/>
        </w:rPr>
        <w:t xml:space="preserve"> and</w:t>
      </w:r>
      <w:r w:rsidR="00922079" w:rsidRPr="00227F9D">
        <w:rPr>
          <w:rFonts w:ascii="Times New Roman" w:hAnsi="Times New Roman" w:cs="Times New Roman"/>
          <w:i/>
          <w:iCs/>
          <w:sz w:val="24"/>
          <w:szCs w:val="24"/>
        </w:rPr>
        <w:t xml:space="preserve"> </w:t>
      </w:r>
      <w:proofErr w:type="spellStart"/>
      <w:r w:rsidR="00922079" w:rsidRPr="00227F9D">
        <w:rPr>
          <w:rFonts w:ascii="Times New Roman" w:hAnsi="Times New Roman" w:cs="Times New Roman"/>
          <w:i/>
          <w:iCs/>
          <w:sz w:val="24"/>
          <w:szCs w:val="24"/>
        </w:rPr>
        <w:t>S_news</w:t>
      </w:r>
      <w:proofErr w:type="spellEnd"/>
      <w:r w:rsidR="00922079" w:rsidRPr="00227F9D">
        <w:rPr>
          <w:rFonts w:ascii="Times New Roman" w:hAnsi="Times New Roman" w:cs="Times New Roman"/>
          <w:sz w:val="24"/>
          <w:szCs w:val="24"/>
        </w:rPr>
        <w:t xml:space="preserve"> are significantly positive, whereas </w:t>
      </w:r>
      <w:proofErr w:type="spellStart"/>
      <w:r w:rsidR="00922079" w:rsidRPr="00227F9D">
        <w:rPr>
          <w:rFonts w:ascii="Times New Roman" w:hAnsi="Times New Roman" w:cs="Times New Roman"/>
          <w:i/>
          <w:iCs/>
          <w:sz w:val="24"/>
          <w:szCs w:val="24"/>
        </w:rPr>
        <w:t>G_news</w:t>
      </w:r>
      <w:proofErr w:type="spellEnd"/>
      <w:r w:rsidR="00922079" w:rsidRPr="00227F9D">
        <w:rPr>
          <w:rFonts w:ascii="Times New Roman" w:hAnsi="Times New Roman" w:cs="Times New Roman"/>
          <w:sz w:val="24"/>
          <w:szCs w:val="24"/>
        </w:rPr>
        <w:t xml:space="preserve"> is insignificant. Therefore, the news sentiment of environmental and social dimensions is more effective in promoting </w:t>
      </w:r>
      <w:r w:rsidR="00922079" w:rsidRPr="00227F9D">
        <w:rPr>
          <w:rFonts w:ascii="Times New Roman" w:hAnsi="Times New Roman" w:cs="Times New Roman"/>
          <w:i/>
          <w:iCs/>
          <w:sz w:val="24"/>
          <w:szCs w:val="24"/>
        </w:rPr>
        <w:t xml:space="preserve">CEI </w:t>
      </w:r>
      <w:r w:rsidR="00922079" w:rsidRPr="00227F9D">
        <w:rPr>
          <w:rFonts w:ascii="Times New Roman" w:hAnsi="Times New Roman" w:cs="Times New Roman"/>
          <w:sz w:val="24"/>
          <w:szCs w:val="24"/>
        </w:rPr>
        <w:t>since positive environmental sentiment directly enhances a corporation</w:t>
      </w:r>
      <w:r w:rsidR="00EF77E2" w:rsidRPr="00227F9D">
        <w:rPr>
          <w:rFonts w:ascii="Times New Roman" w:hAnsi="Times New Roman" w:cs="Times New Roman"/>
          <w:sz w:val="24"/>
          <w:szCs w:val="24"/>
        </w:rPr>
        <w:t>’</w:t>
      </w:r>
      <w:r w:rsidR="00922079" w:rsidRPr="00227F9D">
        <w:rPr>
          <w:rFonts w:ascii="Times New Roman" w:hAnsi="Times New Roman" w:cs="Times New Roman"/>
          <w:sz w:val="24"/>
          <w:szCs w:val="24"/>
        </w:rPr>
        <w:t>s external financing capabilities, encouraging investments in energy innovation with the support of green credit policies</w:t>
      </w:r>
      <w:r w:rsidR="00043C99" w:rsidRPr="00227F9D">
        <w:rPr>
          <w:rFonts w:ascii="Times New Roman" w:hAnsi="Times New Roman" w:cs="Times New Roman" w:hint="eastAsia"/>
          <w:sz w:val="24"/>
          <w:szCs w:val="24"/>
        </w:rPr>
        <w:t xml:space="preserve"> (</w:t>
      </w:r>
      <w:r w:rsidRPr="00227F9D">
        <w:rPr>
          <w:rFonts w:ascii="Times New Roman" w:hAnsi="Times New Roman" w:cs="Times New Roman" w:hint="eastAsia"/>
          <w:sz w:val="24"/>
          <w:szCs w:val="24"/>
        </w:rPr>
        <w:t>Luo et al., 2022</w:t>
      </w:r>
      <w:r w:rsidR="00043C99" w:rsidRPr="00227F9D">
        <w:rPr>
          <w:rFonts w:ascii="Times New Roman" w:hAnsi="Times New Roman" w:cs="Times New Roman" w:hint="eastAsia"/>
          <w:sz w:val="24"/>
          <w:szCs w:val="24"/>
        </w:rPr>
        <w:t>)</w:t>
      </w:r>
      <w:r w:rsidR="00922079" w:rsidRPr="00227F9D">
        <w:rPr>
          <w:rFonts w:ascii="Times New Roman" w:hAnsi="Times New Roman" w:cs="Times New Roman"/>
          <w:sz w:val="24"/>
          <w:szCs w:val="24"/>
        </w:rPr>
        <w:t>. Similarly, favorable media sentiment towards social-related events minimizes regulatory risks</w:t>
      </w:r>
      <w:r w:rsidR="00043C99" w:rsidRPr="00227F9D">
        <w:rPr>
          <w:rFonts w:ascii="Times New Roman" w:hAnsi="Times New Roman" w:cs="Times New Roman" w:hint="eastAsia"/>
          <w:sz w:val="24"/>
          <w:szCs w:val="24"/>
        </w:rPr>
        <w:t xml:space="preserve"> (</w:t>
      </w:r>
      <w:r w:rsidR="00D81DBF" w:rsidRPr="00227F9D">
        <w:rPr>
          <w:rFonts w:ascii="Times New Roman" w:hAnsi="Times New Roman" w:cs="Times New Roman"/>
          <w:sz w:val="24"/>
          <w:szCs w:val="24"/>
        </w:rPr>
        <w:t>Chasiotis et al., 2024</w:t>
      </w:r>
      <w:r w:rsidR="00043C99" w:rsidRPr="00227F9D">
        <w:rPr>
          <w:rFonts w:ascii="Times New Roman" w:hAnsi="Times New Roman" w:cs="Times New Roman" w:hint="eastAsia"/>
          <w:sz w:val="24"/>
          <w:szCs w:val="24"/>
        </w:rPr>
        <w:t>)</w:t>
      </w:r>
      <w:r w:rsidR="00922079" w:rsidRPr="00227F9D">
        <w:rPr>
          <w:rFonts w:ascii="Times New Roman" w:hAnsi="Times New Roman" w:cs="Times New Roman"/>
          <w:sz w:val="24"/>
          <w:szCs w:val="24"/>
        </w:rPr>
        <w:t xml:space="preserve">, garners public and investor interest, and fosters a corporate culture inclined towards green transitions and reputation enhancement through energy innovation. </w:t>
      </w:r>
    </w:p>
    <w:p w14:paraId="078FA7A5" w14:textId="77777777" w:rsidR="00D55670" w:rsidRPr="00227F9D" w:rsidRDefault="00D55670" w:rsidP="00922079">
      <w:pPr>
        <w:rPr>
          <w:rFonts w:ascii="Times New Roman" w:hAnsi="Times New Roman" w:cs="Times New Roman"/>
          <w:sz w:val="24"/>
          <w:szCs w:val="24"/>
        </w:rPr>
      </w:pPr>
    </w:p>
    <w:p w14:paraId="31CDD4F0" w14:textId="6FCA586F" w:rsidR="00922079" w:rsidRPr="00227F9D" w:rsidRDefault="00922079" w:rsidP="00922079">
      <w:pPr>
        <w:rPr>
          <w:rFonts w:ascii="Times New Roman" w:hAnsi="Times New Roman" w:cs="Times New Roman"/>
          <w:sz w:val="24"/>
          <w:szCs w:val="24"/>
        </w:rPr>
      </w:pPr>
      <w:r w:rsidRPr="00227F9D">
        <w:rPr>
          <w:rFonts w:ascii="Times New Roman" w:hAnsi="Times New Roman" w:cs="Times New Roman"/>
          <w:sz w:val="24"/>
          <w:szCs w:val="24"/>
        </w:rPr>
        <w:t>Additionally, analysis of ESG media attention through the logarithmic transformation of the total (</w:t>
      </w:r>
      <w:proofErr w:type="spellStart"/>
      <w:r w:rsidRPr="00227F9D">
        <w:rPr>
          <w:rFonts w:ascii="Times New Roman" w:hAnsi="Times New Roman" w:cs="Times New Roman"/>
          <w:i/>
          <w:iCs/>
          <w:sz w:val="24"/>
          <w:szCs w:val="24"/>
        </w:rPr>
        <w:t>esg_total</w:t>
      </w:r>
      <w:proofErr w:type="spellEnd"/>
      <w:r w:rsidRPr="00227F9D">
        <w:rPr>
          <w:rFonts w:ascii="Times New Roman" w:hAnsi="Times New Roman" w:cs="Times New Roman"/>
          <w:sz w:val="24"/>
          <w:szCs w:val="24"/>
        </w:rPr>
        <w:t>) and dimensional news coverage (</w:t>
      </w:r>
      <w:proofErr w:type="spellStart"/>
      <w:r w:rsidRPr="00227F9D">
        <w:rPr>
          <w:rFonts w:ascii="Times New Roman" w:hAnsi="Times New Roman" w:cs="Times New Roman"/>
          <w:i/>
          <w:iCs/>
          <w:sz w:val="24"/>
          <w:szCs w:val="24"/>
        </w:rPr>
        <w:t>env_atten</w:t>
      </w:r>
      <w:proofErr w:type="spellEnd"/>
      <w:r w:rsidRPr="00227F9D">
        <w:rPr>
          <w:rFonts w:ascii="Times New Roman" w:hAnsi="Times New Roman" w:cs="Times New Roman"/>
          <w:sz w:val="24"/>
          <w:szCs w:val="24"/>
        </w:rPr>
        <w:t xml:space="preserve">, </w:t>
      </w:r>
      <w:proofErr w:type="spellStart"/>
      <w:r w:rsidRPr="00227F9D">
        <w:rPr>
          <w:rFonts w:ascii="Times New Roman" w:hAnsi="Times New Roman" w:cs="Times New Roman"/>
          <w:i/>
          <w:iCs/>
          <w:sz w:val="24"/>
          <w:szCs w:val="24"/>
        </w:rPr>
        <w:t>soc_atten</w:t>
      </w:r>
      <w:proofErr w:type="spellEnd"/>
      <w:r w:rsidRPr="00227F9D">
        <w:rPr>
          <w:rFonts w:ascii="Times New Roman" w:hAnsi="Times New Roman" w:cs="Times New Roman"/>
          <w:sz w:val="24"/>
          <w:szCs w:val="24"/>
        </w:rPr>
        <w:t xml:space="preserve">, and </w:t>
      </w:r>
      <w:proofErr w:type="spellStart"/>
      <w:r w:rsidRPr="00227F9D">
        <w:rPr>
          <w:rFonts w:ascii="Times New Roman" w:hAnsi="Times New Roman" w:cs="Times New Roman"/>
          <w:i/>
          <w:iCs/>
          <w:sz w:val="24"/>
          <w:szCs w:val="24"/>
        </w:rPr>
        <w:t>gov_atten</w:t>
      </w:r>
      <w:proofErr w:type="spellEnd"/>
      <w:r w:rsidRPr="00227F9D">
        <w:rPr>
          <w:rFonts w:ascii="Times New Roman" w:hAnsi="Times New Roman" w:cs="Times New Roman"/>
          <w:sz w:val="24"/>
          <w:szCs w:val="24"/>
        </w:rPr>
        <w:t>) shown in Column (4) to (7) in Table 1</w:t>
      </w:r>
      <w:r w:rsidR="00DF5485" w:rsidRPr="00227F9D">
        <w:rPr>
          <w:rFonts w:ascii="Times New Roman" w:hAnsi="Times New Roman" w:cs="Times New Roman" w:hint="eastAsia"/>
          <w:sz w:val="24"/>
          <w:szCs w:val="24"/>
        </w:rPr>
        <w:t>1</w:t>
      </w:r>
      <w:r w:rsidRPr="00227F9D">
        <w:rPr>
          <w:rFonts w:ascii="Times New Roman" w:hAnsi="Times New Roman" w:cs="Times New Roman"/>
          <w:sz w:val="24"/>
          <w:szCs w:val="24"/>
        </w:rPr>
        <w:t xml:space="preserve"> reveals that the more news reports there are about corporate ESG information, the stronger the promotion effect on CEI; </w:t>
      </w:r>
      <w:proofErr w:type="spellStart"/>
      <w:r w:rsidRPr="00227F9D">
        <w:rPr>
          <w:rFonts w:ascii="Times New Roman" w:hAnsi="Times New Roman" w:cs="Times New Roman"/>
          <w:i/>
          <w:iCs/>
          <w:sz w:val="24"/>
          <w:szCs w:val="24"/>
        </w:rPr>
        <w:t>env_atten</w:t>
      </w:r>
      <w:proofErr w:type="spellEnd"/>
      <w:r w:rsidRPr="00227F9D">
        <w:rPr>
          <w:rFonts w:ascii="Times New Roman" w:hAnsi="Times New Roman" w:cs="Times New Roman"/>
          <w:sz w:val="24"/>
          <w:szCs w:val="24"/>
        </w:rPr>
        <w:t xml:space="preserve"> and </w:t>
      </w:r>
      <w:proofErr w:type="spellStart"/>
      <w:r w:rsidRPr="00227F9D">
        <w:rPr>
          <w:rFonts w:ascii="Times New Roman" w:hAnsi="Times New Roman" w:cs="Times New Roman"/>
          <w:i/>
          <w:iCs/>
          <w:sz w:val="24"/>
          <w:szCs w:val="24"/>
        </w:rPr>
        <w:t>soc_atten</w:t>
      </w:r>
      <w:proofErr w:type="spellEnd"/>
      <w:r w:rsidRPr="00227F9D">
        <w:rPr>
          <w:rFonts w:ascii="Times New Roman" w:hAnsi="Times New Roman" w:cs="Times New Roman"/>
          <w:sz w:val="24"/>
          <w:szCs w:val="24"/>
        </w:rPr>
        <w:t xml:space="preserve"> significantly increases CEI output. However, the estimated coefficients on the </w:t>
      </w:r>
      <w:proofErr w:type="spellStart"/>
      <w:r w:rsidRPr="00227F9D">
        <w:rPr>
          <w:rFonts w:ascii="Times New Roman" w:hAnsi="Times New Roman" w:cs="Times New Roman"/>
          <w:i/>
          <w:iCs/>
          <w:sz w:val="24"/>
          <w:szCs w:val="24"/>
        </w:rPr>
        <w:t>gov_atten</w:t>
      </w:r>
      <w:proofErr w:type="spellEnd"/>
      <w:r w:rsidRPr="00227F9D">
        <w:rPr>
          <w:rFonts w:ascii="Times New Roman" w:hAnsi="Times New Roman" w:cs="Times New Roman"/>
          <w:sz w:val="24"/>
          <w:szCs w:val="24"/>
        </w:rPr>
        <w:t xml:space="preserve"> are insignificant due to two reasons. Firstly, positive ESG news attention boosts managerial optimism about the returns on innovation investments (</w:t>
      </w:r>
      <w:r w:rsidR="00D55670" w:rsidRPr="00227F9D">
        <w:rPr>
          <w:rFonts w:ascii="Times New Roman" w:hAnsi="Times New Roman" w:cs="Times New Roman" w:hint="eastAsia"/>
          <w:sz w:val="24"/>
          <w:szCs w:val="24"/>
        </w:rPr>
        <w:t>Yu et al., 202</w:t>
      </w:r>
      <w:r w:rsidR="00833026" w:rsidRPr="00227F9D">
        <w:rPr>
          <w:rFonts w:ascii="Times New Roman" w:hAnsi="Times New Roman" w:cs="Times New Roman" w:hint="eastAsia"/>
          <w:sz w:val="24"/>
          <w:szCs w:val="24"/>
        </w:rPr>
        <w:t>3</w:t>
      </w:r>
      <w:r w:rsidRPr="00227F9D">
        <w:rPr>
          <w:rFonts w:ascii="Times New Roman" w:hAnsi="Times New Roman" w:cs="Times New Roman"/>
          <w:sz w:val="24"/>
          <w:szCs w:val="24"/>
        </w:rPr>
        <w:t xml:space="preserve">), enhancing investor acceptability of innovation risks and facilitating sustainable development projects like energy transition. Secondly, the </w:t>
      </w:r>
      <w:r w:rsidRPr="00227F9D">
        <w:rPr>
          <w:rFonts w:ascii="Times New Roman" w:hAnsi="Times New Roman" w:cs="Times New Roman"/>
          <w:i/>
          <w:iCs/>
          <w:sz w:val="24"/>
          <w:szCs w:val="24"/>
        </w:rPr>
        <w:t xml:space="preserve">E </w:t>
      </w:r>
      <w:r w:rsidRPr="00227F9D">
        <w:rPr>
          <w:rFonts w:ascii="Times New Roman" w:hAnsi="Times New Roman" w:cs="Times New Roman"/>
          <w:sz w:val="24"/>
          <w:szCs w:val="24"/>
        </w:rPr>
        <w:t xml:space="preserve">and </w:t>
      </w:r>
      <w:r w:rsidRPr="00227F9D">
        <w:rPr>
          <w:rFonts w:ascii="Times New Roman" w:hAnsi="Times New Roman" w:cs="Times New Roman"/>
          <w:i/>
          <w:iCs/>
          <w:sz w:val="24"/>
          <w:szCs w:val="24"/>
        </w:rPr>
        <w:t>S</w:t>
      </w:r>
      <w:r w:rsidRPr="00227F9D">
        <w:rPr>
          <w:rFonts w:ascii="Times New Roman" w:hAnsi="Times New Roman" w:cs="Times New Roman"/>
          <w:sz w:val="24"/>
          <w:szCs w:val="24"/>
        </w:rPr>
        <w:t xml:space="preserve"> pillars of media attention more effectively convey positive signals of corporate green sustainability, appealing to green investors and improving corporate stock liquidity and returns (</w:t>
      </w:r>
      <w:r w:rsidR="00D55670" w:rsidRPr="00227F9D">
        <w:rPr>
          <w:rFonts w:ascii="Times New Roman" w:hAnsi="Times New Roman" w:cs="Times New Roman" w:hint="eastAsia"/>
          <w:sz w:val="24"/>
          <w:szCs w:val="24"/>
        </w:rPr>
        <w:t>He et al., 2024</w:t>
      </w:r>
      <w:r w:rsidRPr="00227F9D">
        <w:rPr>
          <w:rFonts w:ascii="Times New Roman" w:hAnsi="Times New Roman" w:cs="Times New Roman"/>
          <w:sz w:val="24"/>
          <w:szCs w:val="24"/>
        </w:rPr>
        <w:t>), promoting more investments in energy innovation.</w:t>
      </w:r>
    </w:p>
    <w:p w14:paraId="333708FB" w14:textId="4733317C" w:rsidR="00DF5485" w:rsidRPr="00227F9D" w:rsidRDefault="00DF5485" w:rsidP="00DF5485">
      <w:pPr>
        <w:jc w:val="center"/>
        <w:rPr>
          <w:rFonts w:ascii="Times New Roman" w:hAnsi="Times New Roman" w:cs="Times New Roman"/>
          <w:b/>
          <w:bCs/>
          <w:sz w:val="24"/>
          <w:szCs w:val="24"/>
        </w:rPr>
      </w:pPr>
      <w:r w:rsidRPr="00227F9D">
        <w:rPr>
          <w:rFonts w:ascii="Times New Roman" w:hAnsi="Times New Roman" w:cs="Times New Roman" w:hint="eastAsia"/>
          <w:b/>
          <w:bCs/>
          <w:sz w:val="24"/>
          <w:szCs w:val="24"/>
        </w:rPr>
        <w:t>[Insert Table 11 about here]</w:t>
      </w:r>
    </w:p>
    <w:p w14:paraId="10550C47" w14:textId="77777777" w:rsidR="00922079" w:rsidRPr="00227F9D" w:rsidRDefault="00922079" w:rsidP="00922079">
      <w:pPr>
        <w:rPr>
          <w:rFonts w:ascii="Times New Roman" w:hAnsi="Times New Roman" w:cs="Times New Roman"/>
          <w:sz w:val="24"/>
          <w:szCs w:val="24"/>
        </w:rPr>
      </w:pPr>
    </w:p>
    <w:p w14:paraId="419876B2" w14:textId="43A4E54D" w:rsidR="00922079" w:rsidRPr="00227F9D" w:rsidRDefault="007C6EF1" w:rsidP="00922079">
      <w:pPr>
        <w:rPr>
          <w:rFonts w:ascii="Times New Roman" w:hAnsi="Times New Roman" w:cs="Times New Roman"/>
          <w:b/>
          <w:bCs/>
          <w:sz w:val="28"/>
          <w:szCs w:val="28"/>
        </w:rPr>
      </w:pPr>
      <w:r w:rsidRPr="00227F9D">
        <w:rPr>
          <w:rFonts w:ascii="Times New Roman" w:hAnsi="Times New Roman" w:cs="Times New Roman" w:hint="eastAsia"/>
          <w:b/>
          <w:bCs/>
          <w:sz w:val="28"/>
          <w:szCs w:val="28"/>
        </w:rPr>
        <w:t>7</w:t>
      </w:r>
      <w:r w:rsidR="00922079" w:rsidRPr="00227F9D">
        <w:rPr>
          <w:rFonts w:ascii="Times New Roman" w:hAnsi="Times New Roman" w:cs="Times New Roman"/>
          <w:b/>
          <w:bCs/>
          <w:sz w:val="28"/>
          <w:szCs w:val="28"/>
        </w:rPr>
        <w:t>. C</w:t>
      </w:r>
      <w:r w:rsidR="00EF77E2" w:rsidRPr="00227F9D">
        <w:rPr>
          <w:rFonts w:ascii="Times New Roman" w:hAnsi="Times New Roman" w:cs="Times New Roman" w:hint="eastAsia"/>
          <w:b/>
          <w:bCs/>
          <w:sz w:val="28"/>
          <w:szCs w:val="28"/>
        </w:rPr>
        <w:t>ONCLUSION AND SUGGESTION</w:t>
      </w:r>
    </w:p>
    <w:p w14:paraId="05F6136F" w14:textId="454FA552" w:rsidR="006E40DB" w:rsidRPr="00227F9D" w:rsidRDefault="007C6EF1" w:rsidP="006E40DB">
      <w:pPr>
        <w:rPr>
          <w:rFonts w:ascii="Times New Roman" w:hAnsi="Times New Roman" w:cs="Times New Roman"/>
          <w:b/>
          <w:bCs/>
          <w:sz w:val="24"/>
          <w:szCs w:val="24"/>
        </w:rPr>
      </w:pPr>
      <w:r w:rsidRPr="00227F9D">
        <w:rPr>
          <w:rFonts w:ascii="Times New Roman" w:hAnsi="Times New Roman" w:cs="Times New Roman" w:hint="eastAsia"/>
          <w:b/>
          <w:bCs/>
          <w:sz w:val="24"/>
          <w:szCs w:val="24"/>
        </w:rPr>
        <w:t>7</w:t>
      </w:r>
      <w:r w:rsidR="006E40DB" w:rsidRPr="00227F9D">
        <w:rPr>
          <w:rFonts w:ascii="Times New Roman" w:hAnsi="Times New Roman" w:cs="Times New Roman" w:hint="eastAsia"/>
          <w:b/>
          <w:bCs/>
          <w:sz w:val="24"/>
          <w:szCs w:val="24"/>
        </w:rPr>
        <w:t>.1 Conclusion and Discussion</w:t>
      </w:r>
    </w:p>
    <w:p w14:paraId="0E2584C7" w14:textId="2933292A" w:rsidR="006E40DB" w:rsidRPr="00227F9D" w:rsidRDefault="006E40DB" w:rsidP="006E40DB">
      <w:pPr>
        <w:rPr>
          <w:rFonts w:ascii="Times New Roman" w:hAnsi="Times New Roman" w:cs="Times New Roman"/>
          <w:sz w:val="24"/>
          <w:szCs w:val="24"/>
        </w:rPr>
      </w:pPr>
      <w:r w:rsidRPr="00227F9D">
        <w:rPr>
          <w:rFonts w:ascii="Times New Roman" w:hAnsi="Times New Roman" w:cs="Times New Roman"/>
          <w:sz w:val="24"/>
          <w:szCs w:val="24"/>
        </w:rPr>
        <w:t xml:space="preserve">This study explores the relationship between ESG news sentiment-driven ESG reputation and corporate energy innovation through the lens of reputation theory, yielding several important findings. First, positive ESG news sentiment significantly </w:t>
      </w:r>
      <w:r w:rsidRPr="00227F9D">
        <w:rPr>
          <w:rFonts w:ascii="Times New Roman" w:hAnsi="Times New Roman" w:cs="Times New Roman"/>
          <w:sz w:val="24"/>
          <w:szCs w:val="24"/>
        </w:rPr>
        <w:lastRenderedPageBreak/>
        <w:t>promotes corporate energy innovation by enhancing a company</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s ESG market reputation. This finding aligns with the core tenet of reputation theory, which posits that a company</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 xml:space="preserve">s external reputation can effectively influence its decision-making (Cui et al., 2018). When companies face positive media coverage, they often perceive external stakeholders (such as investors and consumers) as having expectations and demands regarding their actions. This external pressure motivates companies to adopt more innovative measures in order to maintain or enhance their market reputation (Asante-Appiah and Lambert, 2023; von </w:t>
      </w:r>
      <w:proofErr w:type="spellStart"/>
      <w:r w:rsidRPr="00227F9D">
        <w:rPr>
          <w:rFonts w:ascii="Times New Roman" w:hAnsi="Times New Roman" w:cs="Times New Roman"/>
          <w:sz w:val="24"/>
          <w:szCs w:val="24"/>
        </w:rPr>
        <w:t>Berlepsch</w:t>
      </w:r>
      <w:proofErr w:type="spellEnd"/>
      <w:r w:rsidRPr="00227F9D">
        <w:rPr>
          <w:rFonts w:ascii="Times New Roman" w:hAnsi="Times New Roman" w:cs="Times New Roman"/>
          <w:sz w:val="24"/>
          <w:szCs w:val="24"/>
        </w:rPr>
        <w:t xml:space="preserve"> et al., 2024). Therefore, the positive influence of ESG news sentiment on corporate energy innovation can be seen as a strategic response by firms to external reputation pressures, which resonates with the findings of Luo et al. (2022) and Serafeim and Yoon (2023).</w:t>
      </w:r>
      <w:r w:rsidR="002968F9" w:rsidRPr="00227F9D">
        <w:rPr>
          <w:rFonts w:ascii="Times New Roman" w:hAnsi="Times New Roman" w:cs="Times New Roman" w:hint="eastAsia"/>
          <w:sz w:val="24"/>
          <w:szCs w:val="24"/>
        </w:rPr>
        <w:t xml:space="preserve"> </w:t>
      </w:r>
      <w:r w:rsidR="002968F9" w:rsidRPr="00227F9D">
        <w:rPr>
          <w:rFonts w:ascii="Times New Roman" w:hAnsi="Times New Roman" w:cs="Times New Roman"/>
          <w:sz w:val="24"/>
          <w:szCs w:val="24"/>
        </w:rPr>
        <w:t>These insights align with SDG 17 (Partnerships for the Goals), emphasizing the need for cross-sector collaboration in achieving sustainability objectives.</w:t>
      </w:r>
    </w:p>
    <w:p w14:paraId="78CF66BC" w14:textId="77777777" w:rsidR="002968F9" w:rsidRPr="00227F9D" w:rsidRDefault="002968F9" w:rsidP="006E40DB">
      <w:pPr>
        <w:rPr>
          <w:rFonts w:ascii="Times New Roman" w:hAnsi="Times New Roman" w:cs="Times New Roman"/>
          <w:sz w:val="24"/>
          <w:szCs w:val="24"/>
        </w:rPr>
      </w:pPr>
    </w:p>
    <w:p w14:paraId="52F61B2E" w14:textId="5F773D92" w:rsidR="006E40DB" w:rsidRPr="00227F9D" w:rsidRDefault="006E40DB" w:rsidP="006E40DB">
      <w:pPr>
        <w:rPr>
          <w:rFonts w:ascii="Times New Roman" w:hAnsi="Times New Roman" w:cs="Times New Roman"/>
          <w:sz w:val="24"/>
          <w:szCs w:val="24"/>
        </w:rPr>
      </w:pPr>
      <w:r w:rsidRPr="00227F9D">
        <w:rPr>
          <w:rFonts w:ascii="Times New Roman" w:hAnsi="Times New Roman" w:cs="Times New Roman"/>
          <w:sz w:val="24"/>
          <w:szCs w:val="24"/>
        </w:rPr>
        <w:t>Second, the mechanism analysis reveals that the alleviation of financing constraints and the enhancement of companies</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 xml:space="preserve"> awareness of green business practices are key pathways through which positive ESG news sentiment promotes energy innovation. Within the framework of reputation theory, a company</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s reputation is not only shaped by its historical performance but also by its attitudes and actions regarding social and environmental issues (Wang et al., 2024; Chasiotis et al., 2024). In this context, positive ESG news sentiment can enhance a company</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s green image, earning more trust and support in the green finance market, thereby alleviating its financing constraints. Additionally, ESG news sentiment raises awareness within companies about environmental issues, fostering the development of internal green business practices, which explains their active engagement in green transformation. This finding is consistent with Chu et al. (2024) and Chasiotis et al. (2024), who argue that the enhancement of reputation can provide companies with better resource allocation and technological innovation opportunities.</w:t>
      </w:r>
      <w:r w:rsidR="002968F9" w:rsidRPr="00227F9D">
        <w:rPr>
          <w:rFonts w:ascii="Times New Roman" w:hAnsi="Times New Roman" w:cs="Times New Roman" w:hint="eastAsia"/>
          <w:sz w:val="24"/>
          <w:szCs w:val="24"/>
        </w:rPr>
        <w:t xml:space="preserve"> This reinforces the relevance of SDG 9 (Industry, Innovation, and Infrastructure) and SDG 12 (Responsible Consumption and Production), as green finance and innovation are pivotal to sustainable development in both the private and public sectors.</w:t>
      </w:r>
    </w:p>
    <w:p w14:paraId="16C14405" w14:textId="77777777" w:rsidR="006E40DB" w:rsidRPr="00227F9D" w:rsidRDefault="006E40DB" w:rsidP="006E40DB">
      <w:pPr>
        <w:rPr>
          <w:rFonts w:ascii="Times New Roman" w:hAnsi="Times New Roman" w:cs="Times New Roman"/>
          <w:sz w:val="24"/>
          <w:szCs w:val="24"/>
        </w:rPr>
      </w:pPr>
    </w:p>
    <w:p w14:paraId="467D883B" w14:textId="4E1C181A" w:rsidR="006E40DB" w:rsidRPr="00227F9D" w:rsidRDefault="006E40DB" w:rsidP="006E40DB">
      <w:pPr>
        <w:rPr>
          <w:rFonts w:ascii="Times New Roman" w:hAnsi="Times New Roman" w:cs="Times New Roman"/>
          <w:sz w:val="24"/>
          <w:szCs w:val="24"/>
        </w:rPr>
      </w:pPr>
      <w:r w:rsidRPr="00227F9D">
        <w:rPr>
          <w:rFonts w:ascii="Times New Roman" w:hAnsi="Times New Roman" w:cs="Times New Roman"/>
          <w:sz w:val="24"/>
          <w:szCs w:val="24"/>
        </w:rPr>
        <w:t>Moreover, the heterogeneity analysis reveals that in regions with well-developed green finance and strict ESG governance, as well as in high-energy-consuming firms, the effect of ESG news sentiment on corporate energy innovation is particularly significant. This result reflects the importance of “external environment” and “stakeholder pressure” in reputation theory (Cui et al., 2018). A company</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s behavior is influenced not only by its internal characteristics but also by strong external constraints such as the policy and market environment (Teixeira et al., 2023). In regions with advanced green finance, companies can more easily access green financing, which incentivizes them to respond positively to ESG news sentiment, driving energy innovation. At the same time, high-energy-consuming firms, facing greater external regulatory pressure and environmental risks, are more effectively motivated by positive ESG news sentiment to adopt green technological innovations. This finding supports He et al. (2022), who argue that high-</w:t>
      </w:r>
      <w:r w:rsidRPr="00227F9D">
        <w:rPr>
          <w:rFonts w:ascii="Times New Roman" w:hAnsi="Times New Roman" w:cs="Times New Roman"/>
          <w:sz w:val="24"/>
          <w:szCs w:val="24"/>
        </w:rPr>
        <w:lastRenderedPageBreak/>
        <w:t>energy-consuming firms are more responsive to media sentiment, accelerating their green transformation.</w:t>
      </w:r>
    </w:p>
    <w:p w14:paraId="3A54F382" w14:textId="77777777" w:rsidR="006E40DB" w:rsidRPr="00227F9D" w:rsidRDefault="006E40DB" w:rsidP="006E40DB">
      <w:pPr>
        <w:rPr>
          <w:rFonts w:ascii="Times New Roman" w:hAnsi="Times New Roman" w:cs="Times New Roman"/>
          <w:sz w:val="24"/>
          <w:szCs w:val="24"/>
        </w:rPr>
      </w:pPr>
    </w:p>
    <w:p w14:paraId="58E01513" w14:textId="1C0ABB47" w:rsidR="006E40DB" w:rsidRPr="00227F9D" w:rsidRDefault="006E40DB" w:rsidP="006E40DB">
      <w:pPr>
        <w:rPr>
          <w:rFonts w:ascii="Times New Roman" w:hAnsi="Times New Roman" w:cs="Times New Roman"/>
          <w:sz w:val="24"/>
          <w:szCs w:val="24"/>
        </w:rPr>
      </w:pPr>
      <w:r w:rsidRPr="00227F9D">
        <w:rPr>
          <w:rFonts w:ascii="Times New Roman" w:hAnsi="Times New Roman" w:cs="Times New Roman"/>
          <w:sz w:val="24"/>
          <w:szCs w:val="24"/>
        </w:rPr>
        <w:t>Finally, the study finds that the motivational effect of ESG news sentiment on corporate energy innovation is particularly pronounced in the environmental (</w:t>
      </w:r>
      <w:r w:rsidRPr="00227F9D">
        <w:rPr>
          <w:rFonts w:ascii="Times New Roman" w:hAnsi="Times New Roman" w:cs="Times New Roman"/>
          <w:i/>
          <w:iCs/>
          <w:sz w:val="24"/>
          <w:szCs w:val="24"/>
        </w:rPr>
        <w:t>E</w:t>
      </w:r>
      <w:r w:rsidRPr="00227F9D">
        <w:rPr>
          <w:rFonts w:ascii="Times New Roman" w:hAnsi="Times New Roman" w:cs="Times New Roman"/>
          <w:sz w:val="24"/>
          <w:szCs w:val="24"/>
        </w:rPr>
        <w:t>) and social (</w:t>
      </w:r>
      <w:r w:rsidRPr="00227F9D">
        <w:rPr>
          <w:rFonts w:ascii="Times New Roman" w:hAnsi="Times New Roman" w:cs="Times New Roman"/>
          <w:i/>
          <w:iCs/>
          <w:sz w:val="24"/>
          <w:szCs w:val="24"/>
        </w:rPr>
        <w:t>S</w:t>
      </w:r>
      <w:r w:rsidRPr="00227F9D">
        <w:rPr>
          <w:rFonts w:ascii="Times New Roman" w:hAnsi="Times New Roman" w:cs="Times New Roman"/>
          <w:sz w:val="24"/>
          <w:szCs w:val="24"/>
        </w:rPr>
        <w:t>) dimensions, and it intensifies with increasing media attention. This finding can be further explained by the concepts of “sustainability” and “legitimacy” in reputation theory (</w:t>
      </w:r>
      <w:proofErr w:type="spellStart"/>
      <w:r w:rsidRPr="00227F9D">
        <w:rPr>
          <w:rFonts w:ascii="Times New Roman" w:hAnsi="Times New Roman" w:cs="Times New Roman"/>
          <w:sz w:val="24"/>
          <w:szCs w:val="24"/>
        </w:rPr>
        <w:t>Menicacci</w:t>
      </w:r>
      <w:proofErr w:type="spellEnd"/>
      <w:r w:rsidRPr="00227F9D">
        <w:rPr>
          <w:rFonts w:ascii="Times New Roman" w:hAnsi="Times New Roman" w:cs="Times New Roman"/>
          <w:sz w:val="24"/>
          <w:szCs w:val="24"/>
        </w:rPr>
        <w:t xml:space="preserve"> and Simoni, 2024). When dealing with environmental and social issues, companies often seek to improve their performance in these areas to enhance their legitimacy within society (Emma et al., 2024). As media attention to these dimensions increases, a company</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s performance in these areas becomes more critical, and the impact of media sentiment is therefore more pronounced. The research by Chu et al. (2024) also suggests that media coverage of climate risks strengthens a company</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s motivation for energy transition innovation, providing strong support for the findings of this study.</w:t>
      </w:r>
      <w:r w:rsidR="002968F9" w:rsidRPr="00227F9D">
        <w:rPr>
          <w:rFonts w:ascii="Times New Roman" w:hAnsi="Times New Roman" w:cs="Times New Roman" w:hint="eastAsia"/>
          <w:sz w:val="24"/>
          <w:szCs w:val="24"/>
        </w:rPr>
        <w:t xml:space="preserve"> </w:t>
      </w:r>
      <w:r w:rsidR="002968F9" w:rsidRPr="00227F9D">
        <w:rPr>
          <w:rFonts w:ascii="Times New Roman" w:hAnsi="Times New Roman" w:cs="Times New Roman"/>
          <w:sz w:val="24"/>
          <w:szCs w:val="24"/>
        </w:rPr>
        <w:t>This is in line with SDG 12 (Responsible Consumption and Production) and SDG 13 (Climate Action), which highlight the importance of public awareness and corporate responsibility in tackling climate change.</w:t>
      </w:r>
    </w:p>
    <w:p w14:paraId="29EBF684" w14:textId="77777777" w:rsidR="00090F93" w:rsidRPr="00227F9D" w:rsidRDefault="00090F93" w:rsidP="006E40DB">
      <w:pPr>
        <w:rPr>
          <w:rFonts w:ascii="Times New Roman" w:hAnsi="Times New Roman" w:cs="Times New Roman"/>
          <w:sz w:val="24"/>
          <w:szCs w:val="24"/>
        </w:rPr>
      </w:pPr>
    </w:p>
    <w:p w14:paraId="6C299E11" w14:textId="14A4A18D" w:rsidR="00090F93" w:rsidRPr="00227F9D" w:rsidRDefault="00090F93" w:rsidP="00090F93">
      <w:pPr>
        <w:rPr>
          <w:rFonts w:ascii="Times New Roman" w:hAnsi="Times New Roman" w:cs="Times New Roman"/>
          <w:sz w:val="24"/>
          <w:szCs w:val="24"/>
        </w:rPr>
      </w:pPr>
      <w:r w:rsidRPr="00227F9D">
        <w:rPr>
          <w:rFonts w:ascii="Times New Roman" w:hAnsi="Times New Roman" w:cs="Times New Roman"/>
          <w:sz w:val="24"/>
          <w:szCs w:val="24"/>
        </w:rPr>
        <w:t xml:space="preserve">This study makes several theoretical contributions. </w:t>
      </w:r>
      <w:r w:rsidRPr="00227F9D">
        <w:rPr>
          <w:rFonts w:ascii="Times New Roman" w:hAnsi="Times New Roman" w:cs="Times New Roman" w:hint="eastAsia"/>
          <w:sz w:val="24"/>
          <w:szCs w:val="24"/>
        </w:rPr>
        <w:t>(1)</w:t>
      </w:r>
      <w:r w:rsidRPr="00227F9D">
        <w:rPr>
          <w:rFonts w:ascii="Times New Roman" w:hAnsi="Times New Roman" w:cs="Times New Roman"/>
          <w:sz w:val="24"/>
          <w:szCs w:val="24"/>
        </w:rPr>
        <w:t xml:space="preserve"> </w:t>
      </w:r>
      <w:r w:rsidRPr="00227F9D">
        <w:rPr>
          <w:rFonts w:ascii="Times New Roman" w:hAnsi="Times New Roman" w:cs="Times New Roman" w:hint="eastAsia"/>
          <w:sz w:val="24"/>
          <w:szCs w:val="24"/>
        </w:rPr>
        <w:t>I</w:t>
      </w:r>
      <w:r w:rsidRPr="00227F9D">
        <w:rPr>
          <w:rFonts w:ascii="Times New Roman" w:hAnsi="Times New Roman" w:cs="Times New Roman"/>
          <w:sz w:val="24"/>
          <w:szCs w:val="24"/>
        </w:rPr>
        <w:t>t expands on reputation theory by exploring how ESG news sentiment influences corporate energy innovation. Specifically, it extends reputation theory from its traditional focus on corporate reputation management (Lin-Hi and Blumberg, 2018; Miller, 2020) to the field of corporate energy innovation, revealing the profound impact of external media sentiment on firms</w:t>
      </w:r>
      <w:r w:rsidR="00BA78D5" w:rsidRPr="00227F9D">
        <w:rPr>
          <w:rFonts w:ascii="Times New Roman" w:hAnsi="Times New Roman" w:cs="Times New Roman"/>
          <w:sz w:val="24"/>
          <w:szCs w:val="24"/>
        </w:rPr>
        <w:t>’</w:t>
      </w:r>
      <w:r w:rsidRPr="00227F9D">
        <w:rPr>
          <w:rFonts w:ascii="Times New Roman" w:hAnsi="Times New Roman" w:cs="Times New Roman"/>
          <w:sz w:val="24"/>
          <w:szCs w:val="24"/>
        </w:rPr>
        <w:t xml:space="preserve"> green decision-making and innovation behaviors, particularly in enhancing corporate ESG reputation. This contribution fills a gap in reputation theory by explaining how media sentiment drives corporate energy innovation.</w:t>
      </w:r>
      <w:r w:rsidRPr="00227F9D">
        <w:rPr>
          <w:rFonts w:ascii="Times New Roman" w:hAnsi="Times New Roman" w:cs="Times New Roman" w:hint="eastAsia"/>
          <w:sz w:val="24"/>
          <w:szCs w:val="24"/>
        </w:rPr>
        <w:t xml:space="preserve"> (2) T</w:t>
      </w:r>
      <w:r w:rsidRPr="00227F9D">
        <w:rPr>
          <w:rFonts w:ascii="Times New Roman" w:hAnsi="Times New Roman" w:cs="Times New Roman"/>
          <w:sz w:val="24"/>
          <w:szCs w:val="24"/>
        </w:rPr>
        <w:t>he study highlights the role of external factors such as media attention, green finance, and regional policies in driving corporate energy innovation within the context of ESG news sentiment. It addresses the gap in the existing literature, which often focuses on the impact of single factors, such as green finance or policies, on corporate green performance (Krueger et al., 2020; Flammer, 2021; Tan et al., 2025), while neglecting the interactive effects of these factors within the ESG context. This study systematically examines how a multidimensional external environment affects corporate energy innovation, thereby broadening the research perspective on corporate sustainability.</w:t>
      </w:r>
      <w:r w:rsidRPr="00227F9D">
        <w:rPr>
          <w:rFonts w:ascii="Times New Roman" w:hAnsi="Times New Roman" w:cs="Times New Roman" w:hint="eastAsia"/>
          <w:sz w:val="24"/>
          <w:szCs w:val="24"/>
        </w:rPr>
        <w:t xml:space="preserve"> (3) T</w:t>
      </w:r>
      <w:r w:rsidRPr="00227F9D">
        <w:rPr>
          <w:rFonts w:ascii="Times New Roman" w:hAnsi="Times New Roman" w:cs="Times New Roman"/>
          <w:sz w:val="24"/>
          <w:szCs w:val="24"/>
        </w:rPr>
        <w:t>he study provides important practical insights for governments and firms in the areas of energy innovation and sustainable development, particularly regarding how to enhance ESG reputation management, expand green financing channels, and design effective green policies. These insights offer theoretical support and policy recommendations for promoting corporate energy transition. Thus, this study not only extends the application of reputation theory but also provides valuable, practical guidance for firms and policymakers.</w:t>
      </w:r>
    </w:p>
    <w:p w14:paraId="721B248C" w14:textId="77777777" w:rsidR="00922079" w:rsidRPr="00227F9D" w:rsidRDefault="00922079" w:rsidP="00922079">
      <w:pPr>
        <w:rPr>
          <w:rFonts w:ascii="Times New Roman" w:hAnsi="Times New Roman" w:cs="Times New Roman"/>
          <w:sz w:val="24"/>
          <w:szCs w:val="24"/>
        </w:rPr>
      </w:pPr>
    </w:p>
    <w:p w14:paraId="1401A44A" w14:textId="0416DC0A" w:rsidR="006E40DB" w:rsidRPr="00227F9D" w:rsidRDefault="007C6EF1" w:rsidP="00922079">
      <w:pPr>
        <w:rPr>
          <w:rFonts w:ascii="Times New Roman" w:hAnsi="Times New Roman" w:cs="Times New Roman"/>
          <w:b/>
          <w:bCs/>
          <w:sz w:val="24"/>
          <w:szCs w:val="24"/>
        </w:rPr>
      </w:pPr>
      <w:r w:rsidRPr="00227F9D">
        <w:rPr>
          <w:rFonts w:ascii="Times New Roman" w:hAnsi="Times New Roman" w:cs="Times New Roman" w:hint="eastAsia"/>
          <w:b/>
          <w:bCs/>
          <w:sz w:val="24"/>
          <w:szCs w:val="24"/>
        </w:rPr>
        <w:t>7</w:t>
      </w:r>
      <w:r w:rsidR="006E40DB" w:rsidRPr="00227F9D">
        <w:rPr>
          <w:rFonts w:ascii="Times New Roman" w:hAnsi="Times New Roman" w:cs="Times New Roman" w:hint="eastAsia"/>
          <w:b/>
          <w:bCs/>
          <w:sz w:val="24"/>
          <w:szCs w:val="24"/>
        </w:rPr>
        <w:t>.2 Implication</w:t>
      </w:r>
    </w:p>
    <w:p w14:paraId="65623CD0" w14:textId="65144723" w:rsidR="002746D9" w:rsidRPr="00227F9D" w:rsidRDefault="006E40DB" w:rsidP="002746D9">
      <w:pPr>
        <w:rPr>
          <w:rFonts w:ascii="Times New Roman" w:hAnsi="Times New Roman" w:cs="Times New Roman"/>
          <w:sz w:val="24"/>
          <w:szCs w:val="24"/>
        </w:rPr>
      </w:pPr>
      <w:r w:rsidRPr="00227F9D">
        <w:rPr>
          <w:rFonts w:ascii="Times New Roman" w:hAnsi="Times New Roman" w:cs="Times New Roman"/>
          <w:sz w:val="24"/>
          <w:szCs w:val="24"/>
        </w:rPr>
        <w:t>There are also some</w:t>
      </w:r>
      <w:r w:rsidRPr="00227F9D">
        <w:rPr>
          <w:rFonts w:ascii="Times New Roman" w:hAnsi="Times New Roman" w:cs="Times New Roman" w:hint="eastAsia"/>
          <w:sz w:val="24"/>
          <w:szCs w:val="24"/>
        </w:rPr>
        <w:t xml:space="preserve"> implications </w:t>
      </w:r>
      <w:r w:rsidRPr="00227F9D">
        <w:rPr>
          <w:rFonts w:ascii="Times New Roman" w:hAnsi="Times New Roman" w:cs="Times New Roman"/>
          <w:sz w:val="24"/>
          <w:szCs w:val="24"/>
        </w:rPr>
        <w:t>to make.</w:t>
      </w:r>
      <w:r w:rsidR="002746D9" w:rsidRPr="00227F9D">
        <w:rPr>
          <w:rFonts w:ascii="Times New Roman" w:hAnsi="Times New Roman" w:cs="Times New Roman" w:hint="eastAsia"/>
          <w:sz w:val="24"/>
          <w:szCs w:val="24"/>
        </w:rPr>
        <w:t xml:space="preserve"> (1) </w:t>
      </w:r>
      <w:r w:rsidR="00090F93" w:rsidRPr="00227F9D">
        <w:rPr>
          <w:rFonts w:ascii="Times New Roman" w:hAnsi="Times New Roman" w:cs="Times New Roman" w:hint="eastAsia"/>
          <w:sz w:val="24"/>
          <w:szCs w:val="24"/>
        </w:rPr>
        <w:t>E</w:t>
      </w:r>
      <w:r w:rsidR="002746D9" w:rsidRPr="00227F9D">
        <w:rPr>
          <w:rFonts w:ascii="Times New Roman" w:hAnsi="Times New Roman" w:cs="Times New Roman"/>
          <w:sz w:val="24"/>
          <w:szCs w:val="24"/>
        </w:rPr>
        <w:t xml:space="preserve">stablish and strengthen the corporate </w:t>
      </w:r>
      <w:r w:rsidR="002746D9" w:rsidRPr="00227F9D">
        <w:rPr>
          <w:rFonts w:ascii="Times New Roman" w:hAnsi="Times New Roman" w:cs="Times New Roman"/>
          <w:sz w:val="24"/>
          <w:szCs w:val="24"/>
        </w:rPr>
        <w:lastRenderedPageBreak/>
        <w:t>ESG communication and reputation management mechanisms. Companies need to set up specialized ESG communication teams, develop systematic media engagement strategies, and proactively cooperate with media outlets to showcase their ESG performance and plans. Especially when releasing ESG-related news, companies should share detailed case studies on green innovation, energy-saving and emission-reduction results, and social responsibility investments to enhance trust among external stakeholders. Furthermore, companies should regularly publish ESG reports and use channels such as social media platforms and industry conferences to maintain active interactions with the public and establish an ongoing reputation management system.</w:t>
      </w:r>
      <w:r w:rsidR="002746D9" w:rsidRPr="00227F9D">
        <w:rPr>
          <w:rFonts w:ascii="Times New Roman" w:hAnsi="Times New Roman" w:cs="Times New Roman" w:hint="eastAsia"/>
          <w:sz w:val="24"/>
          <w:szCs w:val="24"/>
        </w:rPr>
        <w:t xml:space="preserve"> (2) </w:t>
      </w:r>
      <w:r w:rsidR="00090F93" w:rsidRPr="00227F9D">
        <w:rPr>
          <w:rFonts w:ascii="Times New Roman" w:hAnsi="Times New Roman" w:cs="Times New Roman" w:hint="eastAsia"/>
          <w:sz w:val="24"/>
          <w:szCs w:val="24"/>
        </w:rPr>
        <w:t>E</w:t>
      </w:r>
      <w:r w:rsidR="002746D9" w:rsidRPr="00227F9D">
        <w:rPr>
          <w:rFonts w:ascii="Times New Roman" w:hAnsi="Times New Roman" w:cs="Times New Roman"/>
          <w:sz w:val="24"/>
          <w:szCs w:val="24"/>
        </w:rPr>
        <w:t>xpand the construction of green financing channels. Companies should actively seek ESG financial partnerships and leverage green financial instruments to broaden access to green funding. In this process, companies can enhance communication and cooperation with banks and investors, demonstrating the potential of their ESG projects to secure more ESG financial support. Meanwhile, governments and financial institutions should increase financial support for green projects, streamline the approval process for sustainable finance, and provide companies with more low-interest ESG financing options to reduce financing costs, thus promoting energy innovation.</w:t>
      </w:r>
      <w:r w:rsidR="002746D9" w:rsidRPr="00227F9D">
        <w:rPr>
          <w:rFonts w:ascii="Times New Roman" w:hAnsi="Times New Roman" w:cs="Times New Roman" w:hint="eastAsia"/>
          <w:sz w:val="24"/>
          <w:szCs w:val="24"/>
        </w:rPr>
        <w:t xml:space="preserve"> (3) </w:t>
      </w:r>
      <w:r w:rsidR="00090F93" w:rsidRPr="00227F9D">
        <w:rPr>
          <w:rFonts w:ascii="Times New Roman" w:hAnsi="Times New Roman" w:cs="Times New Roman" w:hint="eastAsia"/>
          <w:sz w:val="24"/>
          <w:szCs w:val="24"/>
        </w:rPr>
        <w:t>F</w:t>
      </w:r>
      <w:r w:rsidR="002746D9" w:rsidRPr="00227F9D">
        <w:rPr>
          <w:rFonts w:ascii="Times New Roman" w:hAnsi="Times New Roman" w:cs="Times New Roman"/>
          <w:sz w:val="24"/>
          <w:szCs w:val="24"/>
        </w:rPr>
        <w:t>ormulate and effectively implement more incentivizing green policies. Governments should encourage companies to respond more actively to media attention on ESG issues by enforcing strict green standards and ESG policies, driving companies to increase their investments in energy transformation and improve overall regional sustainability levels. For example, local governments can establish special green development funds to support the research and application of energy-efficient and environmentally-friendly green technologies. At the same time, governments should strengthen ESG information disclosure requirements for local companies, ensuring that companies fulfill their social and environmental responsibilities.</w:t>
      </w:r>
    </w:p>
    <w:p w14:paraId="596D4E7F" w14:textId="48249F70" w:rsidR="00922079" w:rsidRPr="00227F9D" w:rsidRDefault="00922079" w:rsidP="00922079">
      <w:pPr>
        <w:rPr>
          <w:rFonts w:ascii="Times New Roman" w:hAnsi="Times New Roman" w:cs="Times New Roman"/>
          <w:sz w:val="24"/>
          <w:szCs w:val="24"/>
        </w:rPr>
      </w:pPr>
    </w:p>
    <w:p w14:paraId="51693760" w14:textId="46D3B3B4" w:rsidR="00922079" w:rsidRPr="00227F9D" w:rsidRDefault="007C6EF1" w:rsidP="00922079">
      <w:pPr>
        <w:rPr>
          <w:rFonts w:ascii="Times New Roman" w:hAnsi="Times New Roman" w:cs="Times New Roman"/>
          <w:b/>
          <w:bCs/>
          <w:sz w:val="24"/>
          <w:szCs w:val="24"/>
        </w:rPr>
      </w:pPr>
      <w:r w:rsidRPr="00227F9D">
        <w:rPr>
          <w:rFonts w:ascii="Times New Roman" w:hAnsi="Times New Roman" w:cs="Times New Roman" w:hint="eastAsia"/>
          <w:b/>
          <w:bCs/>
          <w:sz w:val="24"/>
          <w:szCs w:val="24"/>
        </w:rPr>
        <w:t>7</w:t>
      </w:r>
      <w:r w:rsidR="00090F93" w:rsidRPr="00227F9D">
        <w:rPr>
          <w:rFonts w:ascii="Times New Roman" w:hAnsi="Times New Roman" w:cs="Times New Roman" w:hint="eastAsia"/>
          <w:b/>
          <w:bCs/>
          <w:sz w:val="24"/>
          <w:szCs w:val="24"/>
        </w:rPr>
        <w:t>.3 Limitations and Future Directions</w:t>
      </w:r>
    </w:p>
    <w:p w14:paraId="1B7FEF39" w14:textId="4C7E4487" w:rsidR="00922079" w:rsidRPr="00227F9D" w:rsidRDefault="00922079" w:rsidP="00922079">
      <w:pPr>
        <w:rPr>
          <w:rFonts w:ascii="Times New Roman" w:hAnsi="Times New Roman" w:cs="Times New Roman"/>
          <w:sz w:val="24"/>
          <w:szCs w:val="24"/>
        </w:rPr>
      </w:pPr>
      <w:r w:rsidRPr="00227F9D">
        <w:rPr>
          <w:rFonts w:ascii="Times New Roman" w:hAnsi="Times New Roman" w:cs="Times New Roman"/>
          <w:sz w:val="24"/>
          <w:szCs w:val="24"/>
        </w:rPr>
        <w:t>This study has some limitations. Firstly, this study ignores the potential impacts of different local policy and regulatory frameworks on energy innovation and ESG practices, resulting in potentially less in-depth policy research. Secondly, the specific impacts of collaborative governance networks among corporations, government and research institutes are excluded. Therefore, subsequent research could be carried out in two aspects, including (1) examining how different regulatory frameworks and policies affect corporate ESG practices and energy innovation to inform policymakers about the effectiveness of current regulations and areas for improvement and (2) exploring the collaborative governance network by social media network analysis based on ESG news.</w:t>
      </w:r>
    </w:p>
    <w:p w14:paraId="415CB52D" w14:textId="0F08923A" w:rsidR="00264F32" w:rsidRPr="00227F9D" w:rsidRDefault="00264F32" w:rsidP="00922079">
      <w:pPr>
        <w:rPr>
          <w:rFonts w:ascii="Times New Roman" w:hAnsi="Times New Roman" w:cs="Times New Roman"/>
          <w:sz w:val="24"/>
          <w:szCs w:val="24"/>
        </w:rPr>
      </w:pPr>
    </w:p>
    <w:p w14:paraId="2CFEF126" w14:textId="77777777" w:rsidR="00A02EA3" w:rsidRPr="00227F9D" w:rsidRDefault="00A02EA3" w:rsidP="00922079">
      <w:pPr>
        <w:rPr>
          <w:rFonts w:ascii="Times New Roman" w:hAnsi="Times New Roman" w:cs="Times New Roman"/>
          <w:sz w:val="24"/>
          <w:szCs w:val="24"/>
        </w:rPr>
      </w:pPr>
    </w:p>
    <w:p w14:paraId="2586F6A2" w14:textId="0F07B91B" w:rsidR="007753E0" w:rsidRPr="00227F9D" w:rsidRDefault="007753E0" w:rsidP="00264F32">
      <w:pPr>
        <w:rPr>
          <w:rFonts w:ascii="Times New Roman" w:hAnsi="Times New Roman" w:cs="Times New Roman"/>
          <w:b/>
          <w:bCs/>
          <w:sz w:val="24"/>
          <w:szCs w:val="24"/>
        </w:rPr>
      </w:pPr>
      <w:r w:rsidRPr="00227F9D">
        <w:rPr>
          <w:rFonts w:ascii="Times New Roman" w:hAnsi="Times New Roman" w:cs="Times New Roman" w:hint="eastAsia"/>
          <w:b/>
          <w:bCs/>
          <w:sz w:val="24"/>
          <w:szCs w:val="24"/>
        </w:rPr>
        <w:t>R</w:t>
      </w:r>
      <w:r w:rsidR="00264F32" w:rsidRPr="00227F9D">
        <w:rPr>
          <w:rFonts w:ascii="Times New Roman" w:hAnsi="Times New Roman" w:cs="Times New Roman" w:hint="eastAsia"/>
          <w:b/>
          <w:bCs/>
          <w:sz w:val="24"/>
          <w:szCs w:val="24"/>
        </w:rPr>
        <w:t>EFERENCE</w:t>
      </w:r>
    </w:p>
    <w:p w14:paraId="16744525"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Asante-Appiah B, Lambert T A. (2023). The Role of the External Auditor in Managing Environmental, Social, and Governance (ESG) Reputation Risk. Review of Accounting Studies, 28(4), 2589-2641.</w:t>
      </w:r>
    </w:p>
    <w:p w14:paraId="058D58EA"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lastRenderedPageBreak/>
        <w:t xml:space="preserve">Avramov, D., Cheng, S., </w:t>
      </w:r>
      <w:proofErr w:type="spellStart"/>
      <w:r w:rsidRPr="00227F9D">
        <w:rPr>
          <w:rFonts w:ascii="Times New Roman" w:hAnsi="Times New Roman" w:cs="Times New Roman"/>
          <w:szCs w:val="21"/>
        </w:rPr>
        <w:t>Lioui</w:t>
      </w:r>
      <w:proofErr w:type="spellEnd"/>
      <w:r w:rsidRPr="00227F9D">
        <w:rPr>
          <w:rFonts w:ascii="Times New Roman" w:hAnsi="Times New Roman" w:cs="Times New Roman"/>
          <w:szCs w:val="21"/>
        </w:rPr>
        <w:t xml:space="preserve">, A., &amp; </w:t>
      </w:r>
      <w:proofErr w:type="spellStart"/>
      <w:r w:rsidRPr="00227F9D">
        <w:rPr>
          <w:rFonts w:ascii="Times New Roman" w:hAnsi="Times New Roman" w:cs="Times New Roman"/>
          <w:szCs w:val="21"/>
        </w:rPr>
        <w:t>Tarelli</w:t>
      </w:r>
      <w:proofErr w:type="spellEnd"/>
      <w:r w:rsidRPr="00227F9D">
        <w:rPr>
          <w:rFonts w:ascii="Times New Roman" w:hAnsi="Times New Roman" w:cs="Times New Roman"/>
          <w:szCs w:val="21"/>
        </w:rPr>
        <w:t xml:space="preserve">, A. (2022). Sustainable investing with ESG rating uncertainty. Journal of financial economics, 145(2), 642-664. </w:t>
      </w:r>
    </w:p>
    <w:p w14:paraId="1A98AC87"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Capelle-</w:t>
      </w:r>
      <w:proofErr w:type="spellStart"/>
      <w:r w:rsidRPr="00227F9D">
        <w:rPr>
          <w:rFonts w:ascii="Times New Roman" w:hAnsi="Times New Roman" w:cs="Times New Roman"/>
          <w:szCs w:val="21"/>
        </w:rPr>
        <w:t>Blancard</w:t>
      </w:r>
      <w:proofErr w:type="spellEnd"/>
      <w:r w:rsidRPr="00227F9D">
        <w:rPr>
          <w:rFonts w:ascii="Times New Roman" w:hAnsi="Times New Roman" w:cs="Times New Roman"/>
          <w:szCs w:val="21"/>
        </w:rPr>
        <w:t xml:space="preserve"> G, Petit A. (2019). Every Little Helps? ESG News and Stock Market Reaction. Journal of Business Ethics, 157, 543–565.</w:t>
      </w:r>
    </w:p>
    <w:p w14:paraId="6E1F6E43" w14:textId="77777777" w:rsidR="00D81DBF" w:rsidRPr="00227F9D" w:rsidRDefault="00D81DBF" w:rsidP="00264F32">
      <w:pPr>
        <w:ind w:left="420" w:hangingChars="200" w:hanging="420"/>
        <w:rPr>
          <w:rFonts w:ascii="Times New Roman" w:hAnsi="Times New Roman" w:cs="Times New Roman"/>
          <w:szCs w:val="21"/>
        </w:rPr>
      </w:pPr>
      <w:r w:rsidRPr="005421C3">
        <w:rPr>
          <w:rFonts w:ascii="Times New Roman" w:hAnsi="Times New Roman" w:cs="Times New Roman"/>
          <w:szCs w:val="21"/>
          <w:lang w:val="fi-FI"/>
        </w:rPr>
        <w:t xml:space="preserve">Chasiotis, I., Gounopoulos, D., Konstantios, D., Naoum, </w:t>
      </w:r>
      <w:r w:rsidRPr="005421C3">
        <w:rPr>
          <w:rFonts w:ascii="Times New Roman" w:hAnsi="Times New Roman" w:cs="Times New Roman" w:hint="eastAsia"/>
          <w:szCs w:val="21"/>
          <w:lang w:val="fi-FI"/>
        </w:rPr>
        <w:t>V.</w:t>
      </w:r>
      <w:r w:rsidRPr="005421C3">
        <w:rPr>
          <w:rFonts w:ascii="Times New Roman" w:hAnsi="Times New Roman" w:cs="Times New Roman" w:hint="eastAsia"/>
          <w:szCs w:val="21"/>
          <w:lang w:val="fi-FI"/>
        </w:rPr>
        <w:t>‐</w:t>
      </w:r>
      <w:r w:rsidRPr="005421C3">
        <w:rPr>
          <w:rFonts w:ascii="Times New Roman" w:hAnsi="Times New Roman" w:cs="Times New Roman"/>
          <w:szCs w:val="21"/>
          <w:lang w:val="fi-FI"/>
        </w:rPr>
        <w:t xml:space="preserve">C.,&amp; Patsika, V. (2024). </w:t>
      </w:r>
      <w:r w:rsidRPr="00227F9D">
        <w:rPr>
          <w:rFonts w:ascii="Times New Roman" w:hAnsi="Times New Roman" w:cs="Times New Roman"/>
          <w:szCs w:val="21"/>
        </w:rPr>
        <w:t>Does ESG reputational risk affect the efficiency and speed of adjustment of corporate investment? European Financial Management, 30, 839–878.</w:t>
      </w:r>
    </w:p>
    <w:p w14:paraId="46D5FB86"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Chen, P., Chu, Z., Zhao, Y., &amp; Li, Y. </w:t>
      </w:r>
      <w:r w:rsidRPr="00227F9D">
        <w:rPr>
          <w:rFonts w:ascii="Times New Roman" w:hAnsi="Times New Roman" w:cs="Times New Roman" w:hint="eastAsia"/>
          <w:szCs w:val="21"/>
        </w:rPr>
        <w:t xml:space="preserve">(2025). </w:t>
      </w:r>
      <w:r w:rsidRPr="00227F9D">
        <w:rPr>
          <w:rFonts w:ascii="Times New Roman" w:hAnsi="Times New Roman" w:cs="Times New Roman"/>
          <w:szCs w:val="21"/>
        </w:rPr>
        <w:t>Is urban innovation capacity shaping new models of economic development? Evidence from the circular economy. Sustainable Development.</w:t>
      </w:r>
      <w:r w:rsidRPr="00227F9D">
        <w:rPr>
          <w:rFonts w:ascii="Times New Roman" w:hAnsi="Times New Roman" w:cs="Times New Roman" w:hint="eastAsia"/>
          <w:szCs w:val="21"/>
        </w:rPr>
        <w:t xml:space="preserve"> https://doi.org/10.1002/sd.3134</w:t>
      </w:r>
    </w:p>
    <w:p w14:paraId="1A1F0ED6"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Chen, Z., Hao, X., &amp; Chen, F. (2023). Green innovation and enterprise reputation value. Business Strategy and the Environment, 32(4), 1698-1718.</w:t>
      </w:r>
    </w:p>
    <w:p w14:paraId="3488E256"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Cheng, L. T., Sharma, P., &amp; Broadstock, D. C. (2023). Interactive effects of brand reputation and ESG on green bond issues: A sustainable development perspective. Business strategy and the environment, 32(1), 570-586.</w:t>
      </w:r>
    </w:p>
    <w:p w14:paraId="025FD8BC"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Chu, Z., Zhang, Q., Tan, W., &amp; Chen, P. (2024). Assessing the impact of climate policy stringency on corporate energy innovation: Insights from China. Energy Economics, 140, 107959.</w:t>
      </w:r>
    </w:p>
    <w:p w14:paraId="320A4F75"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Chun, R. (2005). Corporate reputation: Meaning and measurement. International journal of management reviews, 7(2), 91-109.</w:t>
      </w:r>
    </w:p>
    <w:p w14:paraId="509706F5"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lang w:val="fi-FI"/>
        </w:rPr>
        <w:t xml:space="preserve">Cui, J., Jo, H., &amp; Na, H. (2018). </w:t>
      </w:r>
      <w:r w:rsidRPr="00227F9D">
        <w:rPr>
          <w:rFonts w:ascii="Times New Roman" w:hAnsi="Times New Roman" w:cs="Times New Roman"/>
          <w:szCs w:val="21"/>
        </w:rPr>
        <w:t xml:space="preserve">Does corporate social responsibility affect information </w:t>
      </w:r>
      <w:proofErr w:type="gramStart"/>
      <w:r w:rsidRPr="00227F9D">
        <w:rPr>
          <w:rFonts w:ascii="Times New Roman" w:hAnsi="Times New Roman" w:cs="Times New Roman"/>
          <w:szCs w:val="21"/>
        </w:rPr>
        <w:t>asymmetry?.</w:t>
      </w:r>
      <w:proofErr w:type="gramEnd"/>
      <w:r w:rsidRPr="00227F9D">
        <w:rPr>
          <w:rFonts w:ascii="Times New Roman" w:hAnsi="Times New Roman" w:cs="Times New Roman"/>
          <w:szCs w:val="21"/>
        </w:rPr>
        <w:t xml:space="preserve"> Journal of </w:t>
      </w:r>
      <w:r w:rsidRPr="00227F9D">
        <w:rPr>
          <w:rFonts w:ascii="Times New Roman" w:hAnsi="Times New Roman" w:cs="Times New Roman" w:hint="eastAsia"/>
          <w:szCs w:val="21"/>
        </w:rPr>
        <w:t>B</w:t>
      </w:r>
      <w:r w:rsidRPr="00227F9D">
        <w:rPr>
          <w:rFonts w:ascii="Times New Roman" w:hAnsi="Times New Roman" w:cs="Times New Roman"/>
          <w:szCs w:val="21"/>
        </w:rPr>
        <w:t xml:space="preserve">usiness </w:t>
      </w:r>
      <w:r w:rsidRPr="00227F9D">
        <w:rPr>
          <w:rFonts w:ascii="Times New Roman" w:hAnsi="Times New Roman" w:cs="Times New Roman" w:hint="eastAsia"/>
          <w:szCs w:val="21"/>
        </w:rPr>
        <w:t>E</w:t>
      </w:r>
      <w:r w:rsidRPr="00227F9D">
        <w:rPr>
          <w:rFonts w:ascii="Times New Roman" w:hAnsi="Times New Roman" w:cs="Times New Roman"/>
          <w:szCs w:val="21"/>
        </w:rPr>
        <w:t>thics, 148, 549-572.</w:t>
      </w:r>
    </w:p>
    <w:p w14:paraId="4CF2D279"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Di Giuli, A., &amp; Laux, P. A. (2022). The effect of media-linked directors on financing and external governance. Journal of Financial Economics, 145(2), 103-131.</w:t>
      </w:r>
    </w:p>
    <w:p w14:paraId="1A815443"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Dorobantu, S., </w:t>
      </w:r>
      <w:proofErr w:type="spellStart"/>
      <w:r w:rsidRPr="00227F9D">
        <w:rPr>
          <w:rFonts w:ascii="Times New Roman" w:hAnsi="Times New Roman" w:cs="Times New Roman"/>
          <w:szCs w:val="21"/>
        </w:rPr>
        <w:t>Henisz</w:t>
      </w:r>
      <w:proofErr w:type="spellEnd"/>
      <w:r w:rsidRPr="00227F9D">
        <w:rPr>
          <w:rFonts w:ascii="Times New Roman" w:hAnsi="Times New Roman" w:cs="Times New Roman"/>
          <w:szCs w:val="21"/>
        </w:rPr>
        <w:t>, W. J., &amp; Nartey, L. J. (2024). Firm–Stakeholder Dialogue and the Media: The Evolution of Stakeholder Evaluations in Different Informational Environments. Academy of Management Journal, 67(1), 92-125.</w:t>
      </w:r>
    </w:p>
    <w:p w14:paraId="6E8A3BD2"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Du, A. M., Lu, M., Zhang, Y., &amp; Li, Z. (2025). Confucian culture and corporate environmental management: The role of innovation, financing constraints and managerial myopia. Research in International Business and Finance, 73, 102585.</w:t>
      </w:r>
    </w:p>
    <w:p w14:paraId="4825CAF2"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Dyck, A., </w:t>
      </w:r>
      <w:proofErr w:type="spellStart"/>
      <w:r w:rsidRPr="00227F9D">
        <w:rPr>
          <w:rFonts w:ascii="Times New Roman" w:hAnsi="Times New Roman" w:cs="Times New Roman"/>
          <w:szCs w:val="21"/>
        </w:rPr>
        <w:t>Volchkova</w:t>
      </w:r>
      <w:proofErr w:type="spellEnd"/>
      <w:r w:rsidRPr="00227F9D">
        <w:rPr>
          <w:rFonts w:ascii="Times New Roman" w:hAnsi="Times New Roman" w:cs="Times New Roman"/>
          <w:szCs w:val="21"/>
        </w:rPr>
        <w:t>, N., &amp; Zingales, L. (2008). The corporate governance role of the media: Evidence from Russia. The Journal of finance, 63(3), 1093-1135.</w:t>
      </w:r>
    </w:p>
    <w:p w14:paraId="6CE76FDE" w14:textId="77777777" w:rsidR="00D81DBF" w:rsidRPr="00227F9D" w:rsidRDefault="00D81DBF" w:rsidP="00264F32">
      <w:pPr>
        <w:ind w:left="420" w:hangingChars="200" w:hanging="420"/>
        <w:rPr>
          <w:rFonts w:ascii="Times New Roman" w:hAnsi="Times New Roman" w:cs="Times New Roman"/>
          <w:szCs w:val="21"/>
        </w:rPr>
      </w:pPr>
      <w:proofErr w:type="spellStart"/>
      <w:r w:rsidRPr="00227F9D">
        <w:rPr>
          <w:rFonts w:ascii="Times New Roman" w:hAnsi="Times New Roman" w:cs="Times New Roman"/>
          <w:szCs w:val="21"/>
        </w:rPr>
        <w:t>ElAlfy</w:t>
      </w:r>
      <w:proofErr w:type="spellEnd"/>
      <w:r w:rsidRPr="00227F9D">
        <w:rPr>
          <w:rFonts w:ascii="Times New Roman" w:hAnsi="Times New Roman" w:cs="Times New Roman"/>
          <w:szCs w:val="21"/>
        </w:rPr>
        <w:t xml:space="preserve">, A., Darwish, K. M., &amp; Weber, O. (2020). Corporations and sustainable development goals communication on social media: Corporate social responsibility or just another </w:t>
      </w:r>
      <w:proofErr w:type="gramStart"/>
      <w:r w:rsidRPr="00227F9D">
        <w:rPr>
          <w:rFonts w:ascii="Times New Roman" w:hAnsi="Times New Roman" w:cs="Times New Roman"/>
          <w:szCs w:val="21"/>
        </w:rPr>
        <w:t>buzzword?.</w:t>
      </w:r>
      <w:proofErr w:type="gramEnd"/>
      <w:r w:rsidRPr="00227F9D">
        <w:rPr>
          <w:rFonts w:ascii="Times New Roman" w:hAnsi="Times New Roman" w:cs="Times New Roman"/>
          <w:szCs w:val="21"/>
        </w:rPr>
        <w:t xml:space="preserve"> Sustainable Development, 28(5), 1418-1430.</w:t>
      </w:r>
    </w:p>
    <w:p w14:paraId="05BB7C35"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Fischer, D., Haucke, F., &amp; Sundermann, A. (2017). What does the media mean by ‘</w:t>
      </w:r>
      <w:proofErr w:type="spellStart"/>
      <w:r w:rsidRPr="00227F9D">
        <w:rPr>
          <w:rFonts w:ascii="Times New Roman" w:hAnsi="Times New Roman" w:cs="Times New Roman"/>
          <w:szCs w:val="21"/>
        </w:rPr>
        <w:t>sustainability’or</w:t>
      </w:r>
      <w:proofErr w:type="spellEnd"/>
      <w:r w:rsidRPr="00227F9D">
        <w:rPr>
          <w:rFonts w:ascii="Times New Roman" w:hAnsi="Times New Roman" w:cs="Times New Roman"/>
          <w:szCs w:val="21"/>
        </w:rPr>
        <w:t xml:space="preserve"> ‘sustainable development’? An empirical analysis of sustainability terminology in German newspapers over two decades. Sustainable </w:t>
      </w:r>
      <w:r w:rsidRPr="00227F9D">
        <w:rPr>
          <w:rFonts w:ascii="Times New Roman" w:hAnsi="Times New Roman" w:cs="Times New Roman" w:hint="eastAsia"/>
          <w:szCs w:val="21"/>
        </w:rPr>
        <w:t>D</w:t>
      </w:r>
      <w:r w:rsidRPr="00227F9D">
        <w:rPr>
          <w:rFonts w:ascii="Times New Roman" w:hAnsi="Times New Roman" w:cs="Times New Roman"/>
          <w:szCs w:val="21"/>
        </w:rPr>
        <w:t>evelopment, 25(6), 610-624.</w:t>
      </w:r>
    </w:p>
    <w:p w14:paraId="0498A7BE"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Flammer, C. (2021). Corporate green bonds. Journal of </w:t>
      </w:r>
      <w:r w:rsidRPr="00227F9D">
        <w:rPr>
          <w:rFonts w:ascii="Times New Roman" w:hAnsi="Times New Roman" w:cs="Times New Roman" w:hint="eastAsia"/>
          <w:szCs w:val="21"/>
        </w:rPr>
        <w:t>F</w:t>
      </w:r>
      <w:r w:rsidRPr="00227F9D">
        <w:rPr>
          <w:rFonts w:ascii="Times New Roman" w:hAnsi="Times New Roman" w:cs="Times New Roman"/>
          <w:szCs w:val="21"/>
        </w:rPr>
        <w:t xml:space="preserve">inancial </w:t>
      </w:r>
      <w:r w:rsidRPr="00227F9D">
        <w:rPr>
          <w:rFonts w:ascii="Times New Roman" w:hAnsi="Times New Roman" w:cs="Times New Roman" w:hint="eastAsia"/>
          <w:szCs w:val="21"/>
        </w:rPr>
        <w:t>E</w:t>
      </w:r>
      <w:r w:rsidRPr="00227F9D">
        <w:rPr>
          <w:rFonts w:ascii="Times New Roman" w:hAnsi="Times New Roman" w:cs="Times New Roman"/>
          <w:szCs w:val="21"/>
        </w:rPr>
        <w:t>conomics, 142(2), 499-516.</w:t>
      </w:r>
    </w:p>
    <w:p w14:paraId="6F67D71F"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Gao, H., He, J., &amp; Li, Y. (2022). Media spotlight, corporate sustainability and the cost of debt. Applied Economics, 54(34), 3989-4005.</w:t>
      </w:r>
    </w:p>
    <w:p w14:paraId="7DB4BBD1"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Gu, X., Hasan, I., &amp; Lu, H. (2023). Institutions and corporate reputation: Evidence from public debt markets. Journal of </w:t>
      </w:r>
      <w:r w:rsidRPr="00227F9D">
        <w:rPr>
          <w:rFonts w:ascii="Times New Roman" w:hAnsi="Times New Roman" w:cs="Times New Roman" w:hint="eastAsia"/>
          <w:szCs w:val="21"/>
        </w:rPr>
        <w:t>B</w:t>
      </w:r>
      <w:r w:rsidRPr="00227F9D">
        <w:rPr>
          <w:rFonts w:ascii="Times New Roman" w:hAnsi="Times New Roman" w:cs="Times New Roman"/>
          <w:szCs w:val="21"/>
        </w:rPr>
        <w:t xml:space="preserve">usiness </w:t>
      </w:r>
      <w:r w:rsidRPr="00227F9D">
        <w:rPr>
          <w:rFonts w:ascii="Times New Roman" w:hAnsi="Times New Roman" w:cs="Times New Roman" w:hint="eastAsia"/>
          <w:szCs w:val="21"/>
        </w:rPr>
        <w:t>E</w:t>
      </w:r>
      <w:r w:rsidRPr="00227F9D">
        <w:rPr>
          <w:rFonts w:ascii="Times New Roman" w:hAnsi="Times New Roman" w:cs="Times New Roman"/>
          <w:szCs w:val="21"/>
        </w:rPr>
        <w:t>thics, 183(1), 165-189.</w:t>
      </w:r>
    </w:p>
    <w:p w14:paraId="19962F00" w14:textId="77777777" w:rsidR="00D81DBF" w:rsidRPr="00227F9D" w:rsidRDefault="00D81DBF" w:rsidP="00D81DBF">
      <w:pPr>
        <w:ind w:left="420" w:hangingChars="200" w:hanging="420"/>
        <w:rPr>
          <w:rFonts w:ascii="Times New Roman" w:hAnsi="Times New Roman" w:cs="Times New Roman"/>
          <w:szCs w:val="21"/>
        </w:rPr>
      </w:pPr>
      <w:r w:rsidRPr="00227F9D">
        <w:rPr>
          <w:rFonts w:ascii="Times New Roman" w:hAnsi="Times New Roman" w:cs="Times New Roman" w:hint="eastAsia"/>
          <w:szCs w:val="21"/>
        </w:rPr>
        <w:t xml:space="preserve">Guariglia, A., &amp; Yang, J. (2016). A balancing act: Managing financial constraints and agency costs to minimize investment inefficiency in the Chinese market. Journal of Corporate Finance, 36, </w:t>
      </w:r>
      <w:r w:rsidRPr="00227F9D">
        <w:rPr>
          <w:rFonts w:ascii="Times New Roman" w:hAnsi="Times New Roman" w:cs="Times New Roman" w:hint="eastAsia"/>
          <w:szCs w:val="21"/>
        </w:rPr>
        <w:lastRenderedPageBreak/>
        <w:t>111-130.</w:t>
      </w:r>
    </w:p>
    <w:p w14:paraId="3195C008"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Hasan, M. M., Bhuiyan, M. B. U., &amp; Taylor, G. (2024). Corporate culture and carbon emission performance. British Accounting Review, 56(6), 1-20.</w:t>
      </w:r>
    </w:p>
    <w:p w14:paraId="58F4D31D"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He, F., Guo, X., &amp; Yue, P. (2024). Media coverage and corporate ESG performance: Evidence from China. International Review of Financial Analysis, 91, 103003.</w:t>
      </w:r>
    </w:p>
    <w:p w14:paraId="4353E211"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He, Z., Cao, C., &amp; Feng, C. (2022). Media attention, environmental information disclosure and corporate green technology innovations in China’s heavily polluting industries. Emerging Markets Finance and Trade, 58(14), 3939-3952.</w:t>
      </w:r>
    </w:p>
    <w:p w14:paraId="04147A8D"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Heese, J., &amp; Pacelli, J. (2024). The monitoring role of social media. Review of Accounting Studies, 29(2), 1666-1706.</w:t>
      </w:r>
    </w:p>
    <w:p w14:paraId="20AE1491"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Hosan, S., Rahman, M. M., </w:t>
      </w:r>
      <w:proofErr w:type="spellStart"/>
      <w:r w:rsidRPr="00227F9D">
        <w:rPr>
          <w:rFonts w:ascii="Times New Roman" w:hAnsi="Times New Roman" w:cs="Times New Roman"/>
          <w:szCs w:val="21"/>
        </w:rPr>
        <w:t>Karmaker</w:t>
      </w:r>
      <w:proofErr w:type="spellEnd"/>
      <w:r w:rsidRPr="00227F9D">
        <w:rPr>
          <w:rFonts w:ascii="Times New Roman" w:hAnsi="Times New Roman" w:cs="Times New Roman"/>
          <w:szCs w:val="21"/>
        </w:rPr>
        <w:t xml:space="preserve">, S. C., &amp; Saha, B. B. (2023). Energy subsidies and energy technology innovation: Policies for </w:t>
      </w:r>
      <w:proofErr w:type="spellStart"/>
      <w:r w:rsidRPr="00227F9D">
        <w:rPr>
          <w:rFonts w:ascii="Times New Roman" w:hAnsi="Times New Roman" w:cs="Times New Roman"/>
          <w:szCs w:val="21"/>
        </w:rPr>
        <w:t>polygeneration</w:t>
      </w:r>
      <w:proofErr w:type="spellEnd"/>
      <w:r w:rsidRPr="00227F9D">
        <w:rPr>
          <w:rFonts w:ascii="Times New Roman" w:hAnsi="Times New Roman" w:cs="Times New Roman"/>
          <w:szCs w:val="21"/>
        </w:rPr>
        <w:t xml:space="preserve"> systems diffusion. Energy, 267, 126601.</w:t>
      </w:r>
    </w:p>
    <w:p w14:paraId="5157D1FF"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Irfan, M., Razzaq, A., Sharif, A., &amp; Yang, X. (2022). Influence mechanism between green finance and green innovation: exploring regional policy intervention effects in China. Technological Forecasting and Social Change, 182, 121882.</w:t>
      </w:r>
    </w:p>
    <w:p w14:paraId="311FFCE1"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Khan, I., Zakari, A., Dagar, V., &amp; Singh, S. (2022). World energy trilemma and transformative energy developments as determinants of economic growth amid environmental sustainability. Energy Economics, 108, 105884.</w:t>
      </w:r>
    </w:p>
    <w:p w14:paraId="33350407" w14:textId="77777777" w:rsidR="00D81DBF" w:rsidRPr="00227F9D" w:rsidRDefault="00D81DBF" w:rsidP="00264F32">
      <w:pPr>
        <w:ind w:left="420" w:hangingChars="200" w:hanging="420"/>
        <w:rPr>
          <w:rFonts w:ascii="Times New Roman" w:hAnsi="Times New Roman" w:cs="Times New Roman"/>
          <w:szCs w:val="21"/>
        </w:rPr>
      </w:pPr>
      <w:proofErr w:type="spellStart"/>
      <w:r w:rsidRPr="00227F9D">
        <w:rPr>
          <w:rFonts w:ascii="Times New Roman" w:hAnsi="Times New Roman" w:cs="Times New Roman"/>
          <w:szCs w:val="21"/>
        </w:rPr>
        <w:t>Koseoglu</w:t>
      </w:r>
      <w:proofErr w:type="spellEnd"/>
      <w:r w:rsidRPr="00227F9D">
        <w:rPr>
          <w:rFonts w:ascii="Times New Roman" w:hAnsi="Times New Roman" w:cs="Times New Roman"/>
          <w:szCs w:val="21"/>
        </w:rPr>
        <w:t xml:space="preserve">, A., Yucel, A. G., &amp; </w:t>
      </w:r>
      <w:proofErr w:type="spellStart"/>
      <w:r w:rsidRPr="00227F9D">
        <w:rPr>
          <w:rFonts w:ascii="Times New Roman" w:hAnsi="Times New Roman" w:cs="Times New Roman"/>
          <w:szCs w:val="21"/>
        </w:rPr>
        <w:t>Ulucak</w:t>
      </w:r>
      <w:proofErr w:type="spellEnd"/>
      <w:r w:rsidRPr="00227F9D">
        <w:rPr>
          <w:rFonts w:ascii="Times New Roman" w:hAnsi="Times New Roman" w:cs="Times New Roman"/>
          <w:szCs w:val="21"/>
        </w:rPr>
        <w:t xml:space="preserve">, R. (2022). Green innovation and ecological footprint relationship for a sustainable development: Evidence from top 20 green innovator countries. Sustainable </w:t>
      </w:r>
      <w:r w:rsidRPr="00227F9D">
        <w:rPr>
          <w:rFonts w:ascii="Times New Roman" w:hAnsi="Times New Roman" w:cs="Times New Roman" w:hint="eastAsia"/>
          <w:szCs w:val="21"/>
        </w:rPr>
        <w:t>D</w:t>
      </w:r>
      <w:r w:rsidRPr="00227F9D">
        <w:rPr>
          <w:rFonts w:ascii="Times New Roman" w:hAnsi="Times New Roman" w:cs="Times New Roman"/>
          <w:szCs w:val="21"/>
        </w:rPr>
        <w:t>evelopment, 30(5), 976-988.</w:t>
      </w:r>
    </w:p>
    <w:p w14:paraId="13E8548A"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Krueger, P., Sautner, Z., &amp; Starks, L. T. (2020). The importance of climate risks for institutional investors. Review of </w:t>
      </w:r>
      <w:r w:rsidRPr="00227F9D">
        <w:rPr>
          <w:rFonts w:ascii="Times New Roman" w:hAnsi="Times New Roman" w:cs="Times New Roman" w:hint="eastAsia"/>
          <w:szCs w:val="21"/>
        </w:rPr>
        <w:t>F</w:t>
      </w:r>
      <w:r w:rsidRPr="00227F9D">
        <w:rPr>
          <w:rFonts w:ascii="Times New Roman" w:hAnsi="Times New Roman" w:cs="Times New Roman"/>
          <w:szCs w:val="21"/>
        </w:rPr>
        <w:t xml:space="preserve">inancial </w:t>
      </w:r>
      <w:r w:rsidRPr="00227F9D">
        <w:rPr>
          <w:rFonts w:ascii="Times New Roman" w:hAnsi="Times New Roman" w:cs="Times New Roman" w:hint="eastAsia"/>
          <w:szCs w:val="21"/>
        </w:rPr>
        <w:t>S</w:t>
      </w:r>
      <w:r w:rsidRPr="00227F9D">
        <w:rPr>
          <w:rFonts w:ascii="Times New Roman" w:hAnsi="Times New Roman" w:cs="Times New Roman"/>
          <w:szCs w:val="21"/>
        </w:rPr>
        <w:t>tudies, 33(3), 1067-1111.</w:t>
      </w:r>
    </w:p>
    <w:p w14:paraId="52FFFD5C"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Landi, G. C., Iandolo, F., Renzi, A., &amp; Rey, A. (2022). Embedding sustainability in risk management: The impact of environmental, social, and governance ratings on corporate financial risk. Corporate Social Responsibility and Environmental Management, 29(4), 1096-1107.</w:t>
      </w:r>
    </w:p>
    <w:p w14:paraId="41A79A59"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Lee, C. C., &amp; Lee, C. C. (2022). How does green finance affect green total factor productivity? Evidence from China. Energy </w:t>
      </w:r>
      <w:r w:rsidRPr="00227F9D">
        <w:rPr>
          <w:rFonts w:ascii="Times New Roman" w:hAnsi="Times New Roman" w:cs="Times New Roman" w:hint="eastAsia"/>
          <w:szCs w:val="21"/>
        </w:rPr>
        <w:t>E</w:t>
      </w:r>
      <w:r w:rsidRPr="00227F9D">
        <w:rPr>
          <w:rFonts w:ascii="Times New Roman" w:hAnsi="Times New Roman" w:cs="Times New Roman"/>
          <w:szCs w:val="21"/>
        </w:rPr>
        <w:t>conomics, 107, 105863.</w:t>
      </w:r>
    </w:p>
    <w:p w14:paraId="55D91FB3"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lang w:val="fi-FI"/>
        </w:rPr>
        <w:t xml:space="preserve">Lee, M. T., &amp; Raschke, R. L. (2023). </w:t>
      </w:r>
      <w:r w:rsidRPr="00227F9D">
        <w:rPr>
          <w:rFonts w:ascii="Times New Roman" w:hAnsi="Times New Roman" w:cs="Times New Roman"/>
          <w:szCs w:val="21"/>
        </w:rPr>
        <w:t xml:space="preserve">Stakeholder legitimacy in firm greening and financial performance: What about greenwashing </w:t>
      </w:r>
      <w:proofErr w:type="gramStart"/>
      <w:r w:rsidRPr="00227F9D">
        <w:rPr>
          <w:rFonts w:ascii="Times New Roman" w:hAnsi="Times New Roman" w:cs="Times New Roman"/>
          <w:szCs w:val="21"/>
        </w:rPr>
        <w:t>temptations?.</w:t>
      </w:r>
      <w:proofErr w:type="gramEnd"/>
      <w:r w:rsidRPr="00227F9D">
        <w:rPr>
          <w:rFonts w:ascii="Times New Roman" w:hAnsi="Times New Roman" w:cs="Times New Roman"/>
          <w:szCs w:val="21"/>
        </w:rPr>
        <w:t xml:space="preserve"> Journal of Business Research, 155, 113393.</w:t>
      </w:r>
    </w:p>
    <w:p w14:paraId="05A1E7EE"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Li, J., Lian, G., &amp; Xu, A. (2023</w:t>
      </w:r>
      <w:r w:rsidRPr="00227F9D">
        <w:rPr>
          <w:rFonts w:ascii="Times New Roman" w:hAnsi="Times New Roman" w:cs="Times New Roman" w:hint="eastAsia"/>
          <w:szCs w:val="21"/>
        </w:rPr>
        <w:t>a</w:t>
      </w:r>
      <w:r w:rsidRPr="00227F9D">
        <w:rPr>
          <w:rFonts w:ascii="Times New Roman" w:hAnsi="Times New Roman" w:cs="Times New Roman"/>
          <w:szCs w:val="21"/>
        </w:rPr>
        <w:t>). How do ESG affect the spillover of green innovation among peer firms? Mechanism discussion and performance study. Journal of Business Research, 158, 113648.</w:t>
      </w:r>
    </w:p>
    <w:p w14:paraId="2F4B3708"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Li, Q., Watts, E. M., &amp; Zhu, C. (2024). Retail investors and ESG news. Journal of Accounting and Economics. 78(2-3), 101719. </w:t>
      </w:r>
    </w:p>
    <w:p w14:paraId="738AEFC4"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Li, Z., Huang, Z., &amp; Su, Y. (2023</w:t>
      </w:r>
      <w:r w:rsidRPr="00227F9D">
        <w:rPr>
          <w:rFonts w:ascii="Times New Roman" w:hAnsi="Times New Roman" w:cs="Times New Roman" w:hint="eastAsia"/>
          <w:szCs w:val="21"/>
        </w:rPr>
        <w:t>b</w:t>
      </w:r>
      <w:r w:rsidRPr="00227F9D">
        <w:rPr>
          <w:rFonts w:ascii="Times New Roman" w:hAnsi="Times New Roman" w:cs="Times New Roman"/>
          <w:szCs w:val="21"/>
        </w:rPr>
        <w:t>). New media environment, environmental regulation and corporate green technology innovation: Evidence from China. Energy Economics, 119, 106545.</w:t>
      </w:r>
    </w:p>
    <w:p w14:paraId="341D2572"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Lin-Hi, N., &amp; Blumberg, I. (2018). The link between (not) practicing CSR and corporate reputation: Psychological foundations and managerial implications. Journal of Business </w:t>
      </w:r>
      <w:r w:rsidRPr="00227F9D">
        <w:rPr>
          <w:rFonts w:ascii="Times New Roman" w:hAnsi="Times New Roman" w:cs="Times New Roman" w:hint="eastAsia"/>
          <w:szCs w:val="21"/>
        </w:rPr>
        <w:t>E</w:t>
      </w:r>
      <w:r w:rsidRPr="00227F9D">
        <w:rPr>
          <w:rFonts w:ascii="Times New Roman" w:hAnsi="Times New Roman" w:cs="Times New Roman"/>
          <w:szCs w:val="21"/>
        </w:rPr>
        <w:t>thics, 150, 185-198.</w:t>
      </w:r>
    </w:p>
    <w:p w14:paraId="5D3247FA"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Liu, X., Cifuentes-Faura, J., Zhao, S., &amp; Wang, L. (2023). Government environmental attention and carbon emissions governance: Firm-level evidence from China. Economic Analysis and Policy, 80, 121-142.</w:t>
      </w:r>
    </w:p>
    <w:p w14:paraId="6D00192F"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lastRenderedPageBreak/>
        <w:t xml:space="preserve">Long, L., Wang, C., &amp; Zhang, M. (2024). Does social media pressure induce corporate hypocrisy? Evidence of ESG greenwashing from China. Journal of </w:t>
      </w:r>
      <w:r w:rsidRPr="00227F9D">
        <w:rPr>
          <w:rFonts w:ascii="Times New Roman" w:hAnsi="Times New Roman" w:cs="Times New Roman" w:hint="eastAsia"/>
          <w:szCs w:val="21"/>
        </w:rPr>
        <w:t>B</w:t>
      </w:r>
      <w:r w:rsidRPr="00227F9D">
        <w:rPr>
          <w:rFonts w:ascii="Times New Roman" w:hAnsi="Times New Roman" w:cs="Times New Roman"/>
          <w:szCs w:val="21"/>
        </w:rPr>
        <w:t xml:space="preserve">usiness </w:t>
      </w:r>
      <w:r w:rsidRPr="00227F9D">
        <w:rPr>
          <w:rFonts w:ascii="Times New Roman" w:hAnsi="Times New Roman" w:cs="Times New Roman" w:hint="eastAsia"/>
          <w:szCs w:val="21"/>
        </w:rPr>
        <w:t>E</w:t>
      </w:r>
      <w:r w:rsidRPr="00227F9D">
        <w:rPr>
          <w:rFonts w:ascii="Times New Roman" w:hAnsi="Times New Roman" w:cs="Times New Roman"/>
          <w:szCs w:val="21"/>
        </w:rPr>
        <w:t>thics.</w:t>
      </w:r>
      <w:r w:rsidRPr="00227F9D">
        <w:rPr>
          <w:rFonts w:ascii="Times New Roman" w:hAnsi="Times New Roman" w:cs="Times New Roman" w:hint="eastAsia"/>
          <w:szCs w:val="21"/>
        </w:rPr>
        <w:t xml:space="preserve"> https://doi.org/10.1007/s10551-024-05747-3</w:t>
      </w:r>
    </w:p>
    <w:p w14:paraId="37D31856"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Luo, Y., Xiong, G., &amp; Mardani, A. (2022). Environmental information disclosure and corporate innovation: The “Inverted U-shaped” regulating effect of media attention. Journal of Business Research, 146, 453-463.</w:t>
      </w:r>
    </w:p>
    <w:p w14:paraId="38596340"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Miller, S. R., Eden, L., &amp; Li, D. (2020). CSR reputation and firm performance: A dynamic approach. Journal of Business Ethics, 163, 619-636.</w:t>
      </w:r>
    </w:p>
    <w:p w14:paraId="58415714"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Naseer, M. M., Guo, Y., Bagh, T., &amp; Zhu, X. (2024). Sustainable investments in volatile times: Nexus of climate change risk, ESG practices, and market volatility. International Review of Financial Analysis, 95, 103492.</w:t>
      </w:r>
    </w:p>
    <w:p w14:paraId="5DB68962"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Nesta, L., Vona, F., &amp; Nicolli, F. (2014). Environmental policies, competition and innovation in renewable energy. Journal of Environmental Economics and Management, 67(3), 396-411.</w:t>
      </w:r>
    </w:p>
    <w:p w14:paraId="3EC15CC1" w14:textId="77777777" w:rsidR="00D81DBF" w:rsidRPr="00227F9D" w:rsidRDefault="00D81DBF" w:rsidP="00264F32">
      <w:pPr>
        <w:ind w:left="420" w:hangingChars="200" w:hanging="420"/>
        <w:rPr>
          <w:rFonts w:ascii="Times New Roman" w:hAnsi="Times New Roman" w:cs="Times New Roman"/>
          <w:szCs w:val="21"/>
        </w:rPr>
      </w:pPr>
      <w:proofErr w:type="spellStart"/>
      <w:r w:rsidRPr="00227F9D">
        <w:rPr>
          <w:rFonts w:ascii="Times New Roman" w:hAnsi="Times New Roman" w:cs="Times New Roman"/>
          <w:szCs w:val="21"/>
        </w:rPr>
        <w:t>Nijsse</w:t>
      </w:r>
      <w:proofErr w:type="spellEnd"/>
      <w:r w:rsidRPr="00227F9D">
        <w:rPr>
          <w:rFonts w:ascii="Times New Roman" w:hAnsi="Times New Roman" w:cs="Times New Roman"/>
          <w:szCs w:val="21"/>
        </w:rPr>
        <w:t>, F. J., Mercure, J. F., Ameli, N., Larosa, F., Kothari, S., Rickman, J., ... &amp; Pollitt, H. (2023). The momentum of the solar energy transition. Nature Communications, 14(1), 6542.</w:t>
      </w:r>
    </w:p>
    <w:p w14:paraId="1B101E06"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lang w:val="fi-FI"/>
        </w:rPr>
        <w:t xml:space="preserve">Petkova, A. P., Rindova, V. P., &amp; Gupta, A. K. (2008). </w:t>
      </w:r>
      <w:r w:rsidRPr="00227F9D">
        <w:rPr>
          <w:rFonts w:ascii="Times New Roman" w:hAnsi="Times New Roman" w:cs="Times New Roman"/>
          <w:szCs w:val="21"/>
        </w:rPr>
        <w:t>How can new ventures build reputation? An exploratory study. Corporate Reputation Review, 11, 320-334.</w:t>
      </w:r>
    </w:p>
    <w:p w14:paraId="545C91B6"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Porter, M. E., &amp; Linde, C. V. D. (1995). Toward a new conception of the environment-competitiveness relationship. Journal of economic perspectives, 9(4), 97-118.</w:t>
      </w:r>
    </w:p>
    <w:p w14:paraId="7E4EE288"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Ren, C., Ting, I. W. K., Lu, W. M., &amp; </w:t>
      </w:r>
      <w:proofErr w:type="spellStart"/>
      <w:r w:rsidRPr="00227F9D">
        <w:rPr>
          <w:rFonts w:ascii="Times New Roman" w:hAnsi="Times New Roman" w:cs="Times New Roman"/>
          <w:szCs w:val="21"/>
        </w:rPr>
        <w:t>Kweh</w:t>
      </w:r>
      <w:proofErr w:type="spellEnd"/>
      <w:r w:rsidRPr="00227F9D">
        <w:rPr>
          <w:rFonts w:ascii="Times New Roman" w:hAnsi="Times New Roman" w:cs="Times New Roman"/>
          <w:szCs w:val="21"/>
        </w:rPr>
        <w:t>, Q. L. (2022). Nonlinear effects of ESG on energy‐adjusted firm efficiency: Evidence from the stakeholder engagement of apple incorporated. Corporate Social Responsibility and Environmental Management, 29(5), 1231-1246.</w:t>
      </w:r>
    </w:p>
    <w:p w14:paraId="33557F6E"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Scholtes, V. A., </w:t>
      </w:r>
      <w:proofErr w:type="spellStart"/>
      <w:r w:rsidRPr="00227F9D">
        <w:rPr>
          <w:rFonts w:ascii="Times New Roman" w:hAnsi="Times New Roman" w:cs="Times New Roman"/>
          <w:szCs w:val="21"/>
        </w:rPr>
        <w:t>Terwee</w:t>
      </w:r>
      <w:proofErr w:type="spellEnd"/>
      <w:r w:rsidRPr="00227F9D">
        <w:rPr>
          <w:rFonts w:ascii="Times New Roman" w:hAnsi="Times New Roman" w:cs="Times New Roman"/>
          <w:szCs w:val="21"/>
        </w:rPr>
        <w:t xml:space="preserve">, C. B., &amp; Poolman, R. W. (2011). What makes a measurement instrument valid and </w:t>
      </w:r>
      <w:proofErr w:type="gramStart"/>
      <w:r w:rsidRPr="00227F9D">
        <w:rPr>
          <w:rFonts w:ascii="Times New Roman" w:hAnsi="Times New Roman" w:cs="Times New Roman"/>
          <w:szCs w:val="21"/>
        </w:rPr>
        <w:t>reliable?.</w:t>
      </w:r>
      <w:proofErr w:type="gramEnd"/>
      <w:r w:rsidRPr="00227F9D">
        <w:rPr>
          <w:rFonts w:ascii="Times New Roman" w:hAnsi="Times New Roman" w:cs="Times New Roman"/>
          <w:szCs w:val="21"/>
        </w:rPr>
        <w:t> </w:t>
      </w:r>
      <w:r w:rsidRPr="00227F9D">
        <w:rPr>
          <w:rFonts w:ascii="Times New Roman" w:hAnsi="Times New Roman" w:cs="Times New Roman"/>
          <w:i/>
          <w:iCs/>
          <w:szCs w:val="21"/>
        </w:rPr>
        <w:t>Injury</w:t>
      </w:r>
      <w:r w:rsidRPr="00227F9D">
        <w:rPr>
          <w:rFonts w:ascii="Times New Roman" w:hAnsi="Times New Roman" w:cs="Times New Roman"/>
          <w:szCs w:val="21"/>
        </w:rPr>
        <w:t>, </w:t>
      </w:r>
      <w:r w:rsidRPr="00227F9D">
        <w:rPr>
          <w:rFonts w:ascii="Times New Roman" w:hAnsi="Times New Roman" w:cs="Times New Roman"/>
          <w:i/>
          <w:iCs/>
          <w:szCs w:val="21"/>
        </w:rPr>
        <w:t>42</w:t>
      </w:r>
      <w:r w:rsidRPr="00227F9D">
        <w:rPr>
          <w:rFonts w:ascii="Times New Roman" w:hAnsi="Times New Roman" w:cs="Times New Roman"/>
          <w:szCs w:val="21"/>
        </w:rPr>
        <w:t>(3), 236-240.</w:t>
      </w:r>
    </w:p>
    <w:p w14:paraId="72067AE5"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Serafeim, G., &amp; Yoon, A. (2022). Which corporate ESG news does the market react </w:t>
      </w:r>
      <w:proofErr w:type="gramStart"/>
      <w:r w:rsidRPr="00227F9D">
        <w:rPr>
          <w:rFonts w:ascii="Times New Roman" w:hAnsi="Times New Roman" w:cs="Times New Roman"/>
          <w:szCs w:val="21"/>
        </w:rPr>
        <w:t>to?.</w:t>
      </w:r>
      <w:proofErr w:type="gramEnd"/>
      <w:r w:rsidRPr="00227F9D">
        <w:rPr>
          <w:rFonts w:ascii="Times New Roman" w:hAnsi="Times New Roman" w:cs="Times New Roman"/>
          <w:szCs w:val="21"/>
        </w:rPr>
        <w:t xml:space="preserve"> Financial Analysts Journal, 78(1), 59-78.</w:t>
      </w:r>
    </w:p>
    <w:p w14:paraId="7DA59E85"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hint="eastAsia"/>
          <w:szCs w:val="21"/>
        </w:rPr>
        <w:t>Serafeim, G., &amp; Yoon, A. (2023). Stock price reactions to ESG news: The role of ESG ratings and disagreement. Review of Accounting Studies, 28(3), 1500-1530.</w:t>
      </w:r>
    </w:p>
    <w:p w14:paraId="55BF53EB"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Singhania, M., &amp; Gupta, D. (2024). Impact of Environmental, Social and Governance (ESG) disclosure on firm risk: A meta‐analytical review. Corporate Social Responsibility and Environmental Management, 31(4), 3573-3613.</w:t>
      </w:r>
    </w:p>
    <w:p w14:paraId="28034519"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Sloan, R. G. (2024). Retail investors and ESG news: A discussion. Journal of Accounting and Economics, 78(2-3), 101730.</w:t>
      </w:r>
    </w:p>
    <w:p w14:paraId="207EAB0C"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Son, T. H., Weedon, Z., </w:t>
      </w:r>
      <w:proofErr w:type="spellStart"/>
      <w:r w:rsidRPr="00227F9D">
        <w:rPr>
          <w:rFonts w:ascii="Times New Roman" w:hAnsi="Times New Roman" w:cs="Times New Roman"/>
          <w:szCs w:val="21"/>
        </w:rPr>
        <w:t>Yigitcanlar</w:t>
      </w:r>
      <w:proofErr w:type="spellEnd"/>
      <w:r w:rsidRPr="00227F9D">
        <w:rPr>
          <w:rFonts w:ascii="Times New Roman" w:hAnsi="Times New Roman" w:cs="Times New Roman"/>
          <w:szCs w:val="21"/>
        </w:rPr>
        <w:t>, T., Sanchez, T., Corchado, J. M., &amp; Mehmood, R. (2023). Algorithmic urban planning for smart and sustainable development: Systematic review of the literature. Sustainable Cities and Society, 94, 104562.</w:t>
      </w:r>
    </w:p>
    <w:p w14:paraId="3674B278" w14:textId="77777777" w:rsidR="00D81DBF" w:rsidRPr="00227F9D" w:rsidRDefault="00D81DBF" w:rsidP="00264F32">
      <w:pPr>
        <w:ind w:left="420" w:hangingChars="200" w:hanging="420"/>
        <w:rPr>
          <w:rFonts w:ascii="Times New Roman" w:hAnsi="Times New Roman" w:cs="Times New Roman"/>
          <w:szCs w:val="21"/>
        </w:rPr>
      </w:pPr>
      <w:proofErr w:type="spellStart"/>
      <w:r w:rsidRPr="00227F9D">
        <w:rPr>
          <w:rFonts w:ascii="Times New Roman" w:hAnsi="Times New Roman" w:cs="Times New Roman"/>
          <w:szCs w:val="21"/>
        </w:rPr>
        <w:t>Tabrizian</w:t>
      </w:r>
      <w:proofErr w:type="spellEnd"/>
      <w:r w:rsidRPr="00227F9D">
        <w:rPr>
          <w:rFonts w:ascii="Times New Roman" w:hAnsi="Times New Roman" w:cs="Times New Roman"/>
          <w:szCs w:val="21"/>
        </w:rPr>
        <w:t>, S. (2019). Technological innovation to achieve sustainable development—Renewable energy technologies diffusion in developing countries. Sustainable Development, 27(3), 537-544.</w:t>
      </w:r>
    </w:p>
    <w:p w14:paraId="35EF6788"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Tan, W., Huang, Y., Chen, X. H., &amp; Gatto, A. (2025). Green credit policy and energy consumption intensity in China: Firm-level evidence and insights. Journal of Environmental Management, 373, 123664.</w:t>
      </w:r>
    </w:p>
    <w:p w14:paraId="3C63A040"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Tan, W., Shen, M., Pang, Y., &amp; Liu, Y. (2024). Bank agglomeration and corporate environmental responsibility performance: Evidence from Chinese bank branch data. International Review of </w:t>
      </w:r>
      <w:r w:rsidRPr="00227F9D">
        <w:rPr>
          <w:rFonts w:ascii="Times New Roman" w:hAnsi="Times New Roman" w:cs="Times New Roman"/>
          <w:szCs w:val="21"/>
        </w:rPr>
        <w:lastRenderedPageBreak/>
        <w:t>Financial Analysis, 91, 103021.</w:t>
      </w:r>
    </w:p>
    <w:p w14:paraId="55079AE7"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Tao, R., Wu, J., &amp; Zhao, H. (2023). Do corporate customers prefer socially responsible suppliers? An instrumental stakeholder theory perspective. Journal of Business Ethics, 185(3), 689-712.</w:t>
      </w:r>
    </w:p>
    <w:p w14:paraId="7F13ACAF" w14:textId="77777777" w:rsidR="00F761B6" w:rsidRPr="00227F9D" w:rsidRDefault="00F761B6"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Tee, K., Chen, X.H. and Hooy, C.W., 2024. The evolution of corporate social responsibility in China: Do political connection and ownership </w:t>
      </w:r>
      <w:proofErr w:type="gramStart"/>
      <w:r w:rsidRPr="00227F9D">
        <w:rPr>
          <w:rFonts w:ascii="Times New Roman" w:hAnsi="Times New Roman" w:cs="Times New Roman"/>
          <w:szCs w:val="21"/>
        </w:rPr>
        <w:t>matter?.</w:t>
      </w:r>
      <w:proofErr w:type="gramEnd"/>
      <w:r w:rsidRPr="00227F9D">
        <w:rPr>
          <w:rFonts w:ascii="Times New Roman" w:hAnsi="Times New Roman" w:cs="Times New Roman"/>
          <w:szCs w:val="21"/>
        </w:rPr>
        <w:t> </w:t>
      </w:r>
      <w:r w:rsidRPr="00227F9D">
        <w:rPr>
          <w:rFonts w:ascii="Times New Roman" w:hAnsi="Times New Roman" w:cs="Times New Roman"/>
          <w:i/>
          <w:iCs/>
          <w:szCs w:val="21"/>
        </w:rPr>
        <w:t>Global Finance Journal</w:t>
      </w:r>
      <w:r w:rsidRPr="00227F9D">
        <w:rPr>
          <w:rFonts w:ascii="Times New Roman" w:hAnsi="Times New Roman" w:cs="Times New Roman"/>
          <w:szCs w:val="21"/>
        </w:rPr>
        <w:t>, </w:t>
      </w:r>
      <w:r w:rsidRPr="00227F9D">
        <w:rPr>
          <w:rFonts w:ascii="Times New Roman" w:hAnsi="Times New Roman" w:cs="Times New Roman"/>
          <w:i/>
          <w:iCs/>
          <w:szCs w:val="21"/>
        </w:rPr>
        <w:t>60</w:t>
      </w:r>
      <w:r w:rsidRPr="00227F9D">
        <w:rPr>
          <w:rFonts w:ascii="Times New Roman" w:hAnsi="Times New Roman" w:cs="Times New Roman"/>
          <w:szCs w:val="21"/>
        </w:rPr>
        <w:t>, p.100941.</w:t>
      </w:r>
    </w:p>
    <w:p w14:paraId="1FCE8017" w14:textId="1BB80E92"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Teixeira Dias, F., de Aguiar Dutra, A. R., Vieira Cubas, A. L., Ferreira </w:t>
      </w:r>
      <w:proofErr w:type="spellStart"/>
      <w:r w:rsidRPr="00227F9D">
        <w:rPr>
          <w:rFonts w:ascii="Times New Roman" w:hAnsi="Times New Roman" w:cs="Times New Roman"/>
          <w:szCs w:val="21"/>
        </w:rPr>
        <w:t>Henckmaier</w:t>
      </w:r>
      <w:proofErr w:type="spellEnd"/>
      <w:r w:rsidRPr="00227F9D">
        <w:rPr>
          <w:rFonts w:ascii="Times New Roman" w:hAnsi="Times New Roman" w:cs="Times New Roman"/>
          <w:szCs w:val="21"/>
        </w:rPr>
        <w:t xml:space="preserve">, M. F., </w:t>
      </w:r>
      <w:proofErr w:type="spellStart"/>
      <w:r w:rsidRPr="00227F9D">
        <w:rPr>
          <w:rFonts w:ascii="Times New Roman" w:hAnsi="Times New Roman" w:cs="Times New Roman"/>
          <w:szCs w:val="21"/>
        </w:rPr>
        <w:t>Courval</w:t>
      </w:r>
      <w:proofErr w:type="spellEnd"/>
      <w:r w:rsidRPr="00227F9D">
        <w:rPr>
          <w:rFonts w:ascii="Times New Roman" w:hAnsi="Times New Roman" w:cs="Times New Roman"/>
          <w:szCs w:val="21"/>
        </w:rPr>
        <w:t>, M., &amp; de Andrade Guerra, J. B. S. O. (2023). Sustainable development with environmental, social and governance: Strategies for urban sustainability. Sustainable Development, 31(1), 528-539.</w:t>
      </w:r>
    </w:p>
    <w:p w14:paraId="5014A29C"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Tsang, A., Frost, T., &amp; Cao, H. (2023). Environmental, social, and governance (ESG) disclosure: A literature review. The British Accounting Review, 55(1), 101149.</w:t>
      </w:r>
    </w:p>
    <w:p w14:paraId="42AF139D"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von </w:t>
      </w:r>
      <w:proofErr w:type="spellStart"/>
      <w:r w:rsidRPr="00227F9D">
        <w:rPr>
          <w:rFonts w:ascii="Times New Roman" w:hAnsi="Times New Roman" w:cs="Times New Roman"/>
          <w:szCs w:val="21"/>
        </w:rPr>
        <w:t>Berlepsch</w:t>
      </w:r>
      <w:proofErr w:type="spellEnd"/>
      <w:r w:rsidRPr="00227F9D">
        <w:rPr>
          <w:rFonts w:ascii="Times New Roman" w:hAnsi="Times New Roman" w:cs="Times New Roman"/>
          <w:szCs w:val="21"/>
        </w:rPr>
        <w:t>, D., Lemke, F., &amp; Gorton, M. (2024). The importance of corporate reputation for sustainable supply chains: A systematic literature review, bibliometric mapping, and research agenda. Journal of Business Ethics, 189(1), 9-34.</w:t>
      </w:r>
    </w:p>
    <w:p w14:paraId="519038D0"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Wang, H., Qi, J., Li, Z., </w:t>
      </w:r>
      <w:proofErr w:type="spellStart"/>
      <w:r w:rsidRPr="00227F9D">
        <w:rPr>
          <w:rFonts w:ascii="Times New Roman" w:hAnsi="Times New Roman" w:cs="Times New Roman"/>
          <w:szCs w:val="21"/>
        </w:rPr>
        <w:t>Sensoy</w:t>
      </w:r>
      <w:proofErr w:type="spellEnd"/>
      <w:r w:rsidRPr="00227F9D">
        <w:rPr>
          <w:rFonts w:ascii="Times New Roman" w:hAnsi="Times New Roman" w:cs="Times New Roman"/>
          <w:szCs w:val="21"/>
        </w:rPr>
        <w:t>, A., &amp; Xing, H. (2024). Excessive financialization and “Original Sin Theory”: Redemption from corporate reputation. Research in International Business and Finance, 70, 102295.</w:t>
      </w:r>
    </w:p>
    <w:p w14:paraId="24E0680B"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lang w:val="fi-FI"/>
        </w:rPr>
        <w:t xml:space="preserve">Wen, J., Okolo, C. V., Ugwuoke, I. C., &amp; Kolani, K. (2022). </w:t>
      </w:r>
      <w:r w:rsidRPr="00227F9D">
        <w:rPr>
          <w:rFonts w:ascii="Times New Roman" w:hAnsi="Times New Roman" w:cs="Times New Roman"/>
          <w:szCs w:val="21"/>
        </w:rPr>
        <w:t xml:space="preserve">Research on influencing factors of renewable energy, energy efficiency, on technological innovation. Does trade, investment and human capital development </w:t>
      </w:r>
      <w:proofErr w:type="gramStart"/>
      <w:r w:rsidRPr="00227F9D">
        <w:rPr>
          <w:rFonts w:ascii="Times New Roman" w:hAnsi="Times New Roman" w:cs="Times New Roman"/>
          <w:szCs w:val="21"/>
        </w:rPr>
        <w:t>matter?.</w:t>
      </w:r>
      <w:proofErr w:type="gramEnd"/>
      <w:r w:rsidRPr="00227F9D">
        <w:rPr>
          <w:rFonts w:ascii="Times New Roman" w:hAnsi="Times New Roman" w:cs="Times New Roman"/>
          <w:szCs w:val="21"/>
        </w:rPr>
        <w:t xml:space="preserve"> Energy Policy, 160, 112718.</w:t>
      </w:r>
    </w:p>
    <w:p w14:paraId="500437BA"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Weng, P. S., &amp; Chen, W. Y. (2017). Doing good or choosing well? Corporate reputation, CEO reputation, and corporate financial performance. The North American Journal of Economics and Finance, 39, 223-240.</w:t>
      </w:r>
    </w:p>
    <w:p w14:paraId="4CDAAA38"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Wong, J. B., &amp; Zhang, Q. (2022). Stock market reactions to adverse ESG disclosure via media channels. The British Accounting Review, 54(1), 101045.</w:t>
      </w:r>
    </w:p>
    <w:p w14:paraId="7BC10367"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Xu, J., Zeng, S., Qi, S., &amp; Cui, J. (2023). Do institutional investors facilitate corporate environmental </w:t>
      </w:r>
      <w:proofErr w:type="gramStart"/>
      <w:r w:rsidRPr="00227F9D">
        <w:rPr>
          <w:rFonts w:ascii="Times New Roman" w:hAnsi="Times New Roman" w:cs="Times New Roman"/>
          <w:szCs w:val="21"/>
        </w:rPr>
        <w:t>innovation?.</w:t>
      </w:r>
      <w:proofErr w:type="gramEnd"/>
      <w:r w:rsidRPr="00227F9D">
        <w:rPr>
          <w:rFonts w:ascii="Times New Roman" w:hAnsi="Times New Roman" w:cs="Times New Roman"/>
          <w:szCs w:val="21"/>
        </w:rPr>
        <w:t xml:space="preserve"> Energy Economics, 117, 106472.</w:t>
      </w:r>
    </w:p>
    <w:p w14:paraId="36AC7730"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Yu, H., Liang, C., Liu, Z., &amp; Wang, H. (2023). News-based ESG sentiment and stock price crash risk. International Review of Financial Analysis, 88, 102646.</w:t>
      </w:r>
    </w:p>
    <w:p w14:paraId="11652E27"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Zhang, D. (2023). Does green finance really inhibit extreme hypocritical ESG risk? A greenwashing perspective exploration. Energy Economics, 121, 106688.</w:t>
      </w:r>
    </w:p>
    <w:p w14:paraId="71A84D1B"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 xml:space="preserve">Zhang, W., Li, G., &amp; Guo, F. (2022). Does carbon emissions trading promote green technology innovation in </w:t>
      </w:r>
      <w:proofErr w:type="gramStart"/>
      <w:r w:rsidRPr="00227F9D">
        <w:rPr>
          <w:rFonts w:ascii="Times New Roman" w:hAnsi="Times New Roman" w:cs="Times New Roman"/>
          <w:szCs w:val="21"/>
        </w:rPr>
        <w:t>China?.</w:t>
      </w:r>
      <w:proofErr w:type="gramEnd"/>
      <w:r w:rsidRPr="00227F9D">
        <w:rPr>
          <w:rFonts w:ascii="Times New Roman" w:hAnsi="Times New Roman" w:cs="Times New Roman"/>
          <w:szCs w:val="21"/>
        </w:rPr>
        <w:t xml:space="preserve"> Applied Energy, 315, 119012.</w:t>
      </w:r>
    </w:p>
    <w:p w14:paraId="60A2F4D3" w14:textId="77777777" w:rsidR="00D81DBF" w:rsidRPr="00227F9D" w:rsidRDefault="00D81DBF" w:rsidP="00264F32">
      <w:pPr>
        <w:ind w:left="420" w:hangingChars="200" w:hanging="420"/>
        <w:rPr>
          <w:rFonts w:ascii="Times New Roman" w:hAnsi="Times New Roman" w:cs="Times New Roman"/>
          <w:szCs w:val="21"/>
        </w:rPr>
      </w:pPr>
      <w:r w:rsidRPr="00227F9D">
        <w:rPr>
          <w:rFonts w:ascii="Times New Roman" w:hAnsi="Times New Roman" w:cs="Times New Roman"/>
          <w:szCs w:val="21"/>
        </w:rPr>
        <w:t>Zhou, Q., Li, T., &amp; Gong, L. (2022). The effect of tax incentives on energy intensity: Evidence from China’s VAT reform. Energy Economics, 108, 105887.</w:t>
      </w:r>
    </w:p>
    <w:p w14:paraId="798BA41A" w14:textId="7B01A8EA" w:rsidR="00A02EA3" w:rsidRPr="00227F9D" w:rsidRDefault="00A02EA3" w:rsidP="00264F32">
      <w:pPr>
        <w:ind w:left="420" w:hangingChars="200" w:hanging="420"/>
        <w:rPr>
          <w:rFonts w:ascii="Times New Roman" w:hAnsi="Times New Roman" w:cs="Times New Roman"/>
          <w:szCs w:val="21"/>
        </w:rPr>
      </w:pPr>
      <w:r w:rsidRPr="00227F9D">
        <w:rPr>
          <w:rFonts w:ascii="Times New Roman" w:hAnsi="Times New Roman" w:cs="Times New Roman" w:hint="eastAsia"/>
          <w:szCs w:val="21"/>
        </w:rPr>
        <w:t>Carroll, A. B. (1999). Corporate Social Responsibility: Evolution of a Definitional Construct. Business &amp; Society, 38(3), 268-295.</w:t>
      </w:r>
    </w:p>
    <w:p w14:paraId="2B61CBC4" w14:textId="3CC08FD8" w:rsidR="00DB57F4" w:rsidRDefault="00A02EA3" w:rsidP="00264F32">
      <w:pPr>
        <w:ind w:left="420" w:hangingChars="200" w:hanging="420"/>
        <w:rPr>
          <w:rFonts w:ascii="Times New Roman" w:hAnsi="Times New Roman" w:cs="Times New Roman"/>
          <w:szCs w:val="21"/>
        </w:rPr>
      </w:pPr>
      <w:r w:rsidRPr="00227F9D">
        <w:rPr>
          <w:rFonts w:ascii="Times New Roman" w:hAnsi="Times New Roman" w:cs="Times New Roman" w:hint="eastAsia"/>
          <w:szCs w:val="21"/>
        </w:rPr>
        <w:t>Wernerfelt, B. (1984). A resource-based view of the firm. Strategic Management Journal, 5(2), 171-180.</w:t>
      </w:r>
    </w:p>
    <w:p w14:paraId="425B3280" w14:textId="77777777" w:rsidR="00DB57F4" w:rsidRDefault="00DB57F4">
      <w:pPr>
        <w:widowControl/>
        <w:jc w:val="left"/>
        <w:rPr>
          <w:rFonts w:ascii="Times New Roman" w:hAnsi="Times New Roman" w:cs="Times New Roman"/>
          <w:szCs w:val="21"/>
        </w:rPr>
      </w:pPr>
      <w:r>
        <w:rPr>
          <w:rFonts w:ascii="Times New Roman" w:hAnsi="Times New Roman" w:cs="Times New Roman"/>
          <w:szCs w:val="21"/>
        </w:rPr>
        <w:br w:type="page"/>
      </w:r>
    </w:p>
    <w:p w14:paraId="3FAD3AF5" w14:textId="77777777" w:rsidR="00DB57F4" w:rsidRPr="00D42FC1" w:rsidRDefault="00DB57F4" w:rsidP="00DB57F4">
      <w:pPr>
        <w:jc w:val="center"/>
        <w:rPr>
          <w:rFonts w:ascii="Times New Roman" w:hAnsi="Times New Roman" w:cs="Times New Roman"/>
          <w:b/>
          <w:bCs/>
          <w:sz w:val="32"/>
          <w:szCs w:val="32"/>
        </w:rPr>
      </w:pPr>
      <w:r w:rsidRPr="00D42FC1">
        <w:rPr>
          <w:rFonts w:ascii="Times New Roman" w:hAnsi="Times New Roman" w:cs="Times New Roman"/>
          <w:b/>
          <w:bCs/>
          <w:sz w:val="32"/>
          <w:szCs w:val="32"/>
        </w:rPr>
        <w:lastRenderedPageBreak/>
        <w:t>Table</w:t>
      </w:r>
    </w:p>
    <w:p w14:paraId="73BB9667" w14:textId="77777777" w:rsidR="00DB57F4" w:rsidRPr="006557B0" w:rsidRDefault="00DB57F4" w:rsidP="00DB57F4">
      <w:pPr>
        <w:rPr>
          <w:rFonts w:ascii="Times New Roman" w:hAnsi="Times New Roman" w:cs="Times New Roman"/>
          <w:b/>
          <w:bCs/>
        </w:rPr>
      </w:pPr>
      <w:r w:rsidRPr="006557B0">
        <w:rPr>
          <w:rFonts w:ascii="Times New Roman" w:hAnsi="Times New Roman" w:cs="Times New Roman"/>
          <w:b/>
          <w:bCs/>
        </w:rPr>
        <w:t xml:space="preserve">Table 1 </w:t>
      </w:r>
      <w:r w:rsidRPr="006557B0">
        <w:rPr>
          <w:rFonts w:ascii="Times New Roman" w:hAnsi="Times New Roman" w:cs="Times New Roman" w:hint="eastAsia"/>
          <w:b/>
          <w:bCs/>
        </w:rPr>
        <w:t>Definition of main v</w:t>
      </w:r>
      <w:r w:rsidRPr="006557B0">
        <w:rPr>
          <w:rFonts w:ascii="Times New Roman" w:hAnsi="Times New Roman" w:cs="Times New Roman"/>
          <w:b/>
          <w:bCs/>
        </w:rPr>
        <w:t>ariables</w:t>
      </w:r>
      <w:r w:rsidRPr="006557B0">
        <w:rPr>
          <w:rFonts w:ascii="Times New Roman" w:hAnsi="Times New Roman" w:cs="Times New Roman" w:hint="eastAsia"/>
          <w:b/>
          <w:bCs/>
        </w:rPr>
        <w:t>.</w:t>
      </w:r>
    </w:p>
    <w:tbl>
      <w:tblPr>
        <w:tblStyle w:val="TableGrid"/>
        <w:tblW w:w="0" w:type="auto"/>
        <w:jc w:val="center"/>
        <w:tblBorders>
          <w:left w:val="none" w:sz="0" w:space="0" w:color="auto"/>
          <w:right w:val="none" w:sz="0" w:space="0" w:color="auto"/>
        </w:tblBorders>
        <w:tblLook w:val="04A0" w:firstRow="1" w:lastRow="0" w:firstColumn="1" w:lastColumn="0" w:noHBand="0" w:noVBand="1"/>
      </w:tblPr>
      <w:tblGrid>
        <w:gridCol w:w="1255"/>
        <w:gridCol w:w="1684"/>
        <w:gridCol w:w="1023"/>
        <w:gridCol w:w="4344"/>
      </w:tblGrid>
      <w:tr w:rsidR="00DB57F4" w:rsidRPr="00A7211C" w14:paraId="50723E44" w14:textId="77777777" w:rsidTr="00233168">
        <w:trPr>
          <w:trHeight w:val="494"/>
          <w:jc w:val="center"/>
        </w:trPr>
        <w:tc>
          <w:tcPr>
            <w:tcW w:w="1254" w:type="dxa"/>
            <w:tcBorders>
              <w:top w:val="single" w:sz="12" w:space="0" w:color="auto"/>
              <w:bottom w:val="single" w:sz="6" w:space="0" w:color="auto"/>
              <w:right w:val="nil"/>
            </w:tcBorders>
            <w:vAlign w:val="center"/>
          </w:tcPr>
          <w:p w14:paraId="7E85DF9B" w14:textId="77777777" w:rsidR="00DB57F4" w:rsidRPr="00A7211C" w:rsidRDefault="00DB57F4" w:rsidP="00233168">
            <w:pPr>
              <w:jc w:val="center"/>
            </w:pPr>
            <w:r w:rsidRPr="00A7211C">
              <w:t>Types</w:t>
            </w:r>
          </w:p>
        </w:tc>
        <w:tc>
          <w:tcPr>
            <w:tcW w:w="1831" w:type="dxa"/>
            <w:tcBorders>
              <w:top w:val="single" w:sz="12" w:space="0" w:color="auto"/>
              <w:left w:val="nil"/>
              <w:bottom w:val="single" w:sz="6" w:space="0" w:color="auto"/>
              <w:right w:val="nil"/>
            </w:tcBorders>
            <w:vAlign w:val="center"/>
          </w:tcPr>
          <w:p w14:paraId="70E0369D" w14:textId="77777777" w:rsidR="00DB57F4" w:rsidRPr="00A7211C" w:rsidRDefault="00DB57F4" w:rsidP="00233168">
            <w:pPr>
              <w:jc w:val="center"/>
            </w:pPr>
            <w:r w:rsidRPr="00A7211C">
              <w:t>Variables</w:t>
            </w:r>
          </w:p>
        </w:tc>
        <w:tc>
          <w:tcPr>
            <w:tcW w:w="1024" w:type="dxa"/>
            <w:tcBorders>
              <w:top w:val="single" w:sz="12" w:space="0" w:color="auto"/>
              <w:left w:val="nil"/>
              <w:bottom w:val="single" w:sz="6" w:space="0" w:color="auto"/>
              <w:right w:val="nil"/>
            </w:tcBorders>
            <w:vAlign w:val="center"/>
          </w:tcPr>
          <w:p w14:paraId="649C283C" w14:textId="77777777" w:rsidR="00DB57F4" w:rsidRPr="00A7211C" w:rsidRDefault="00DB57F4" w:rsidP="00233168">
            <w:pPr>
              <w:jc w:val="center"/>
            </w:pPr>
            <w:r w:rsidRPr="00A7211C">
              <w:t>Symbols</w:t>
            </w:r>
          </w:p>
        </w:tc>
        <w:tc>
          <w:tcPr>
            <w:tcW w:w="4413" w:type="dxa"/>
            <w:tcBorders>
              <w:top w:val="single" w:sz="12" w:space="0" w:color="auto"/>
              <w:left w:val="nil"/>
              <w:bottom w:val="single" w:sz="6" w:space="0" w:color="auto"/>
              <w:right w:val="nil"/>
            </w:tcBorders>
            <w:vAlign w:val="center"/>
          </w:tcPr>
          <w:p w14:paraId="55C061BC" w14:textId="77777777" w:rsidR="00DB57F4" w:rsidRPr="00A7211C" w:rsidRDefault="00DB57F4" w:rsidP="00233168">
            <w:pPr>
              <w:jc w:val="center"/>
            </w:pPr>
            <w:r w:rsidRPr="00A7211C">
              <w:t>Definitions</w:t>
            </w:r>
          </w:p>
        </w:tc>
      </w:tr>
      <w:tr w:rsidR="00DB57F4" w:rsidRPr="00A7211C" w14:paraId="6344D37D" w14:textId="77777777" w:rsidTr="00233168">
        <w:trPr>
          <w:trHeight w:val="851"/>
          <w:jc w:val="center"/>
        </w:trPr>
        <w:tc>
          <w:tcPr>
            <w:tcW w:w="1254" w:type="dxa"/>
            <w:tcBorders>
              <w:top w:val="single" w:sz="6" w:space="0" w:color="auto"/>
              <w:bottom w:val="single" w:sz="4" w:space="0" w:color="auto"/>
              <w:right w:val="nil"/>
            </w:tcBorders>
            <w:vAlign w:val="center"/>
          </w:tcPr>
          <w:p w14:paraId="49CB8FCB" w14:textId="77777777" w:rsidR="00DB57F4" w:rsidRPr="00A7211C" w:rsidRDefault="00DB57F4" w:rsidP="00233168">
            <w:pPr>
              <w:jc w:val="center"/>
            </w:pPr>
            <w:r w:rsidRPr="00A7211C">
              <w:t>Dependent variable</w:t>
            </w:r>
          </w:p>
        </w:tc>
        <w:tc>
          <w:tcPr>
            <w:tcW w:w="1831" w:type="dxa"/>
            <w:tcBorders>
              <w:top w:val="single" w:sz="6" w:space="0" w:color="auto"/>
              <w:left w:val="nil"/>
              <w:bottom w:val="single" w:sz="4" w:space="0" w:color="auto"/>
              <w:right w:val="nil"/>
            </w:tcBorders>
            <w:vAlign w:val="center"/>
          </w:tcPr>
          <w:p w14:paraId="21583777" w14:textId="77777777" w:rsidR="00DB57F4" w:rsidRPr="00A7211C" w:rsidRDefault="00DB57F4" w:rsidP="00233168">
            <w:pPr>
              <w:jc w:val="center"/>
            </w:pPr>
            <w:r w:rsidRPr="00A7211C">
              <w:t>Corporate energy innovation</w:t>
            </w:r>
          </w:p>
        </w:tc>
        <w:tc>
          <w:tcPr>
            <w:tcW w:w="1024" w:type="dxa"/>
            <w:tcBorders>
              <w:top w:val="single" w:sz="6" w:space="0" w:color="auto"/>
              <w:left w:val="nil"/>
              <w:bottom w:val="single" w:sz="4" w:space="0" w:color="auto"/>
              <w:right w:val="nil"/>
            </w:tcBorders>
            <w:vAlign w:val="center"/>
          </w:tcPr>
          <w:p w14:paraId="5054861A" w14:textId="77777777" w:rsidR="00DB57F4" w:rsidRPr="00A7211C" w:rsidRDefault="00DB57F4" w:rsidP="00233168">
            <w:pPr>
              <w:jc w:val="center"/>
              <w:rPr>
                <w:i/>
                <w:iCs/>
              </w:rPr>
            </w:pPr>
            <w:r w:rsidRPr="00A7211C">
              <w:rPr>
                <w:i/>
                <w:iCs/>
              </w:rPr>
              <w:t>CEI</w:t>
            </w:r>
          </w:p>
        </w:tc>
        <w:tc>
          <w:tcPr>
            <w:tcW w:w="4413" w:type="dxa"/>
            <w:tcBorders>
              <w:top w:val="single" w:sz="6" w:space="0" w:color="auto"/>
              <w:left w:val="nil"/>
              <w:bottom w:val="single" w:sz="4" w:space="0" w:color="auto"/>
              <w:right w:val="nil"/>
            </w:tcBorders>
            <w:vAlign w:val="center"/>
          </w:tcPr>
          <w:p w14:paraId="55A98449" w14:textId="77777777" w:rsidR="00DB57F4" w:rsidRPr="00A7211C" w:rsidRDefault="00DB57F4" w:rsidP="00233168">
            <w:pPr>
              <w:jc w:val="center"/>
            </w:pPr>
            <w:r w:rsidRPr="00A7211C">
              <w:t>The logarithm of the corporate energy-related patent applications by adding 1</w:t>
            </w:r>
          </w:p>
        </w:tc>
      </w:tr>
      <w:tr w:rsidR="00DB57F4" w:rsidRPr="00A7211C" w14:paraId="3EF973CB" w14:textId="77777777" w:rsidTr="00233168">
        <w:trPr>
          <w:trHeight w:val="902"/>
          <w:jc w:val="center"/>
        </w:trPr>
        <w:tc>
          <w:tcPr>
            <w:tcW w:w="1254" w:type="dxa"/>
            <w:tcBorders>
              <w:top w:val="single" w:sz="4" w:space="0" w:color="auto"/>
              <w:bottom w:val="single" w:sz="4" w:space="0" w:color="auto"/>
              <w:right w:val="nil"/>
            </w:tcBorders>
            <w:vAlign w:val="center"/>
          </w:tcPr>
          <w:p w14:paraId="62723C9F" w14:textId="77777777" w:rsidR="00DB57F4" w:rsidRPr="00A7211C" w:rsidRDefault="00DB57F4" w:rsidP="00233168">
            <w:pPr>
              <w:jc w:val="center"/>
            </w:pPr>
            <w:r w:rsidRPr="00A7211C">
              <w:t>Independent variable</w:t>
            </w:r>
          </w:p>
        </w:tc>
        <w:tc>
          <w:tcPr>
            <w:tcW w:w="1831" w:type="dxa"/>
            <w:tcBorders>
              <w:top w:val="single" w:sz="4" w:space="0" w:color="auto"/>
              <w:left w:val="nil"/>
              <w:bottom w:val="single" w:sz="4" w:space="0" w:color="auto"/>
              <w:right w:val="nil"/>
            </w:tcBorders>
            <w:vAlign w:val="center"/>
          </w:tcPr>
          <w:p w14:paraId="538C9446" w14:textId="77777777" w:rsidR="00DB57F4" w:rsidRPr="00A7211C" w:rsidRDefault="00DB57F4" w:rsidP="00233168">
            <w:pPr>
              <w:jc w:val="center"/>
            </w:pPr>
            <w:r w:rsidRPr="00A7211C">
              <w:t>ESG media reputation</w:t>
            </w:r>
          </w:p>
        </w:tc>
        <w:tc>
          <w:tcPr>
            <w:tcW w:w="1024" w:type="dxa"/>
            <w:tcBorders>
              <w:top w:val="single" w:sz="4" w:space="0" w:color="auto"/>
              <w:left w:val="nil"/>
              <w:bottom w:val="single" w:sz="4" w:space="0" w:color="auto"/>
              <w:right w:val="nil"/>
            </w:tcBorders>
            <w:vAlign w:val="center"/>
          </w:tcPr>
          <w:p w14:paraId="53212C94" w14:textId="77777777" w:rsidR="00DB57F4" w:rsidRPr="00A7211C" w:rsidRDefault="00DB57F4" w:rsidP="00233168">
            <w:pPr>
              <w:jc w:val="center"/>
              <w:rPr>
                <w:i/>
                <w:iCs/>
              </w:rPr>
            </w:pPr>
            <w:proofErr w:type="spellStart"/>
            <w:r w:rsidRPr="00A7211C">
              <w:rPr>
                <w:i/>
                <w:iCs/>
              </w:rPr>
              <w:t>esg_news</w:t>
            </w:r>
            <w:proofErr w:type="spellEnd"/>
          </w:p>
        </w:tc>
        <w:tc>
          <w:tcPr>
            <w:tcW w:w="4413" w:type="dxa"/>
            <w:tcBorders>
              <w:top w:val="single" w:sz="4" w:space="0" w:color="auto"/>
              <w:left w:val="nil"/>
              <w:bottom w:val="single" w:sz="4" w:space="0" w:color="auto"/>
              <w:right w:val="nil"/>
            </w:tcBorders>
            <w:vAlign w:val="center"/>
          </w:tcPr>
          <w:p w14:paraId="3AB7F9DD" w14:textId="77777777" w:rsidR="00DB57F4" w:rsidRPr="00A7211C" w:rsidRDefault="00DB57F4" w:rsidP="00233168">
            <w:pPr>
              <w:jc w:val="center"/>
            </w:pPr>
            <w:r w:rsidRPr="00A7211C">
              <w:t>The mean value of ESG news text sentiment</w:t>
            </w:r>
          </w:p>
        </w:tc>
      </w:tr>
      <w:tr w:rsidR="00DB57F4" w:rsidRPr="00A7211C" w14:paraId="51293699" w14:textId="77777777" w:rsidTr="00233168">
        <w:trPr>
          <w:trHeight w:val="851"/>
          <w:jc w:val="center"/>
        </w:trPr>
        <w:tc>
          <w:tcPr>
            <w:tcW w:w="1254" w:type="dxa"/>
            <w:vMerge w:val="restart"/>
            <w:tcBorders>
              <w:top w:val="single" w:sz="4" w:space="0" w:color="auto"/>
              <w:bottom w:val="single" w:sz="12" w:space="0" w:color="auto"/>
              <w:right w:val="nil"/>
            </w:tcBorders>
            <w:vAlign w:val="center"/>
          </w:tcPr>
          <w:p w14:paraId="02DC0ACA" w14:textId="77777777" w:rsidR="00DB57F4" w:rsidRPr="00A7211C" w:rsidRDefault="00DB57F4" w:rsidP="00233168">
            <w:pPr>
              <w:jc w:val="center"/>
            </w:pPr>
            <w:r w:rsidRPr="00A7211C">
              <w:t>Control Variables</w:t>
            </w:r>
          </w:p>
        </w:tc>
        <w:tc>
          <w:tcPr>
            <w:tcW w:w="1831" w:type="dxa"/>
            <w:tcBorders>
              <w:top w:val="single" w:sz="4" w:space="0" w:color="auto"/>
              <w:left w:val="nil"/>
              <w:bottom w:val="nil"/>
              <w:right w:val="nil"/>
            </w:tcBorders>
            <w:vAlign w:val="center"/>
          </w:tcPr>
          <w:p w14:paraId="4E96AB44" w14:textId="77777777" w:rsidR="00DB57F4" w:rsidRPr="00A7211C" w:rsidRDefault="00DB57F4" w:rsidP="00233168">
            <w:pPr>
              <w:jc w:val="center"/>
            </w:pPr>
            <w:r>
              <w:rPr>
                <w:rFonts w:hint="eastAsia"/>
              </w:rPr>
              <w:t>Firm size</w:t>
            </w:r>
          </w:p>
        </w:tc>
        <w:tc>
          <w:tcPr>
            <w:tcW w:w="1024" w:type="dxa"/>
            <w:tcBorders>
              <w:top w:val="single" w:sz="4" w:space="0" w:color="auto"/>
              <w:left w:val="nil"/>
              <w:bottom w:val="nil"/>
              <w:right w:val="nil"/>
            </w:tcBorders>
            <w:vAlign w:val="center"/>
          </w:tcPr>
          <w:p w14:paraId="05353F47" w14:textId="77777777" w:rsidR="00DB57F4" w:rsidRPr="00A7211C" w:rsidRDefault="00DB57F4" w:rsidP="00233168">
            <w:pPr>
              <w:jc w:val="center"/>
              <w:rPr>
                <w:i/>
                <w:iCs/>
              </w:rPr>
            </w:pPr>
            <w:r w:rsidRPr="00A7211C">
              <w:rPr>
                <w:i/>
                <w:iCs/>
              </w:rPr>
              <w:t>size</w:t>
            </w:r>
          </w:p>
        </w:tc>
        <w:tc>
          <w:tcPr>
            <w:tcW w:w="4413" w:type="dxa"/>
            <w:tcBorders>
              <w:top w:val="single" w:sz="4" w:space="0" w:color="auto"/>
              <w:left w:val="nil"/>
              <w:bottom w:val="nil"/>
              <w:right w:val="nil"/>
            </w:tcBorders>
            <w:vAlign w:val="center"/>
          </w:tcPr>
          <w:p w14:paraId="66C93CAA" w14:textId="77777777" w:rsidR="00DB57F4" w:rsidRPr="00A7211C" w:rsidRDefault="00DB57F4" w:rsidP="00233168">
            <w:pPr>
              <w:jc w:val="center"/>
            </w:pPr>
            <w:r w:rsidRPr="00A7211C">
              <w:t>The natural logarithm of firm total asset</w:t>
            </w:r>
          </w:p>
        </w:tc>
      </w:tr>
      <w:tr w:rsidR="00DB57F4" w:rsidRPr="00A7211C" w14:paraId="5942CDED" w14:textId="77777777" w:rsidTr="00233168">
        <w:trPr>
          <w:trHeight w:val="340"/>
          <w:jc w:val="center"/>
        </w:trPr>
        <w:tc>
          <w:tcPr>
            <w:tcW w:w="1254" w:type="dxa"/>
            <w:vMerge/>
            <w:tcBorders>
              <w:bottom w:val="single" w:sz="12" w:space="0" w:color="auto"/>
              <w:right w:val="nil"/>
            </w:tcBorders>
            <w:vAlign w:val="center"/>
          </w:tcPr>
          <w:p w14:paraId="35207A8D" w14:textId="77777777" w:rsidR="00DB57F4" w:rsidRPr="00A7211C" w:rsidRDefault="00DB57F4" w:rsidP="00233168">
            <w:pPr>
              <w:jc w:val="center"/>
            </w:pPr>
          </w:p>
        </w:tc>
        <w:tc>
          <w:tcPr>
            <w:tcW w:w="1831" w:type="dxa"/>
            <w:tcBorders>
              <w:top w:val="nil"/>
              <w:left w:val="nil"/>
              <w:bottom w:val="nil"/>
              <w:right w:val="nil"/>
            </w:tcBorders>
            <w:vAlign w:val="center"/>
          </w:tcPr>
          <w:p w14:paraId="3A0A4D70" w14:textId="77777777" w:rsidR="00DB57F4" w:rsidRPr="00A7211C" w:rsidRDefault="00DB57F4" w:rsidP="00233168">
            <w:pPr>
              <w:jc w:val="center"/>
            </w:pPr>
            <w:r w:rsidRPr="00A7211C">
              <w:t>Return on assets</w:t>
            </w:r>
          </w:p>
        </w:tc>
        <w:tc>
          <w:tcPr>
            <w:tcW w:w="1024" w:type="dxa"/>
            <w:tcBorders>
              <w:top w:val="nil"/>
              <w:left w:val="nil"/>
              <w:bottom w:val="nil"/>
              <w:right w:val="nil"/>
            </w:tcBorders>
            <w:vAlign w:val="center"/>
          </w:tcPr>
          <w:p w14:paraId="38498FD7" w14:textId="77777777" w:rsidR="00DB57F4" w:rsidRPr="00A7211C" w:rsidRDefault="00DB57F4" w:rsidP="00233168">
            <w:pPr>
              <w:jc w:val="center"/>
              <w:rPr>
                <w:i/>
                <w:iCs/>
              </w:rPr>
            </w:pPr>
            <w:proofErr w:type="spellStart"/>
            <w:r w:rsidRPr="00A7211C">
              <w:rPr>
                <w:i/>
                <w:iCs/>
              </w:rPr>
              <w:t>roa</w:t>
            </w:r>
            <w:proofErr w:type="spellEnd"/>
          </w:p>
        </w:tc>
        <w:tc>
          <w:tcPr>
            <w:tcW w:w="4413" w:type="dxa"/>
            <w:tcBorders>
              <w:top w:val="nil"/>
              <w:left w:val="nil"/>
              <w:bottom w:val="nil"/>
              <w:right w:val="nil"/>
            </w:tcBorders>
            <w:vAlign w:val="center"/>
          </w:tcPr>
          <w:p w14:paraId="791FEFE3" w14:textId="77777777" w:rsidR="00DB57F4" w:rsidRPr="00A7211C" w:rsidRDefault="00DB57F4" w:rsidP="00233168">
            <w:pPr>
              <w:jc w:val="center"/>
              <w:rPr>
                <w:iCs/>
              </w:rPr>
            </w:pPr>
            <w:r w:rsidRPr="00A7211C">
              <w:rPr>
                <w:iCs/>
              </w:rPr>
              <w:t xml:space="preserve"> </w:t>
            </w:r>
            <m:oMath>
              <m:r>
                <w:rPr>
                  <w:rFonts w:ascii="Cambria Math" w:hAnsi="Cambria Math"/>
                </w:rPr>
                <m:t>roa=</m:t>
              </m:r>
              <m:f>
                <m:fPr>
                  <m:ctrlPr>
                    <w:rPr>
                      <w:rFonts w:ascii="Cambria Math" w:hAnsi="Cambria Math"/>
                      <w:iCs/>
                    </w:rPr>
                  </m:ctrlPr>
                </m:fPr>
                <m:num>
                  <m:r>
                    <w:rPr>
                      <w:rFonts w:ascii="Cambria Math" w:hAnsi="Cambria Math"/>
                    </w:rPr>
                    <m:t>net</m:t>
                  </m:r>
                  <m:r>
                    <m:rPr>
                      <m:sty m:val="p"/>
                    </m:rPr>
                    <w:rPr>
                      <w:rFonts w:ascii="Cambria Math" w:hAnsi="Cambria Math"/>
                    </w:rPr>
                    <m:t xml:space="preserve"> </m:t>
                  </m:r>
                  <m:r>
                    <w:rPr>
                      <w:rFonts w:ascii="Cambria Math" w:hAnsi="Cambria Math"/>
                    </w:rPr>
                    <m:t>profit</m:t>
                  </m:r>
                  <m:r>
                    <m:rPr>
                      <m:sty m:val="p"/>
                    </m:rPr>
                    <w:rPr>
                      <w:rFonts w:ascii="Cambria Math" w:hAnsi="Cambria Math"/>
                    </w:rPr>
                    <m:t xml:space="preserve"> </m:t>
                  </m:r>
                </m:num>
                <m:den>
                  <m:r>
                    <w:rPr>
                      <w:rFonts w:ascii="Cambria Math" w:hAnsi="Cambria Math"/>
                    </w:rPr>
                    <m:t>average</m:t>
                  </m:r>
                  <m:r>
                    <m:rPr>
                      <m:sty m:val="p"/>
                    </m:rPr>
                    <w:rPr>
                      <w:rFonts w:ascii="Cambria Math" w:hAnsi="Cambria Math"/>
                    </w:rPr>
                    <m:t xml:space="preserve"> </m:t>
                  </m:r>
                  <m:r>
                    <w:rPr>
                      <w:rFonts w:ascii="Cambria Math" w:hAnsi="Cambria Math"/>
                    </w:rPr>
                    <m:t>total</m:t>
                  </m:r>
                  <m:r>
                    <m:rPr>
                      <m:sty m:val="p"/>
                    </m:rPr>
                    <w:rPr>
                      <w:rFonts w:ascii="Cambria Math" w:hAnsi="Cambria Math"/>
                    </w:rPr>
                    <m:t xml:space="preserve"> </m:t>
                  </m:r>
                  <m:r>
                    <w:rPr>
                      <w:rFonts w:ascii="Cambria Math" w:hAnsi="Cambria Math"/>
                    </w:rPr>
                    <m:t>assets</m:t>
                  </m:r>
                </m:den>
              </m:f>
            </m:oMath>
          </w:p>
        </w:tc>
      </w:tr>
      <w:tr w:rsidR="00DB57F4" w:rsidRPr="00A7211C" w14:paraId="5A8C0FD8" w14:textId="77777777" w:rsidTr="00233168">
        <w:trPr>
          <w:trHeight w:val="340"/>
          <w:jc w:val="center"/>
        </w:trPr>
        <w:tc>
          <w:tcPr>
            <w:tcW w:w="1254" w:type="dxa"/>
            <w:vMerge/>
            <w:tcBorders>
              <w:bottom w:val="single" w:sz="12" w:space="0" w:color="auto"/>
              <w:right w:val="nil"/>
            </w:tcBorders>
            <w:vAlign w:val="center"/>
          </w:tcPr>
          <w:p w14:paraId="72E2DDAD" w14:textId="77777777" w:rsidR="00DB57F4" w:rsidRPr="00A7211C" w:rsidRDefault="00DB57F4" w:rsidP="00233168">
            <w:pPr>
              <w:jc w:val="center"/>
            </w:pPr>
          </w:p>
        </w:tc>
        <w:tc>
          <w:tcPr>
            <w:tcW w:w="1831" w:type="dxa"/>
            <w:tcBorders>
              <w:top w:val="nil"/>
              <w:left w:val="nil"/>
              <w:bottom w:val="nil"/>
              <w:right w:val="nil"/>
            </w:tcBorders>
            <w:vAlign w:val="center"/>
          </w:tcPr>
          <w:p w14:paraId="045F3B39" w14:textId="77777777" w:rsidR="00DB57F4" w:rsidRPr="00A7211C" w:rsidRDefault="00DB57F4" w:rsidP="00233168">
            <w:pPr>
              <w:jc w:val="center"/>
            </w:pPr>
            <w:r w:rsidRPr="00A7211C">
              <w:t>Gearing ratio</w:t>
            </w:r>
          </w:p>
        </w:tc>
        <w:tc>
          <w:tcPr>
            <w:tcW w:w="1024" w:type="dxa"/>
            <w:tcBorders>
              <w:top w:val="nil"/>
              <w:left w:val="nil"/>
              <w:bottom w:val="nil"/>
              <w:right w:val="nil"/>
            </w:tcBorders>
            <w:vAlign w:val="center"/>
          </w:tcPr>
          <w:p w14:paraId="546FB978" w14:textId="77777777" w:rsidR="00DB57F4" w:rsidRPr="00A7211C" w:rsidRDefault="00DB57F4" w:rsidP="00233168">
            <w:pPr>
              <w:jc w:val="center"/>
              <w:rPr>
                <w:i/>
                <w:iCs/>
              </w:rPr>
            </w:pPr>
            <w:r w:rsidRPr="00A7211C">
              <w:rPr>
                <w:i/>
                <w:iCs/>
              </w:rPr>
              <w:t>lev</w:t>
            </w:r>
          </w:p>
        </w:tc>
        <w:tc>
          <w:tcPr>
            <w:tcW w:w="4413" w:type="dxa"/>
            <w:tcBorders>
              <w:top w:val="nil"/>
              <w:left w:val="nil"/>
              <w:bottom w:val="nil"/>
              <w:right w:val="nil"/>
            </w:tcBorders>
            <w:vAlign w:val="center"/>
          </w:tcPr>
          <w:p w14:paraId="5D2B2089" w14:textId="77777777" w:rsidR="00DB57F4" w:rsidRPr="00A7211C" w:rsidRDefault="00DB57F4" w:rsidP="00233168">
            <w:pPr>
              <w:jc w:val="center"/>
              <w:rPr>
                <w:i/>
                <w:iCs/>
              </w:rPr>
            </w:pPr>
            <w:r w:rsidRPr="00A7211C">
              <w:t>The ratio of total liabilities to total assets at the end of the year</w:t>
            </w:r>
          </w:p>
        </w:tc>
      </w:tr>
      <w:tr w:rsidR="00DB57F4" w:rsidRPr="00A7211C" w14:paraId="7215AAA6" w14:textId="77777777" w:rsidTr="00233168">
        <w:trPr>
          <w:trHeight w:val="340"/>
          <w:jc w:val="center"/>
        </w:trPr>
        <w:tc>
          <w:tcPr>
            <w:tcW w:w="1254" w:type="dxa"/>
            <w:vMerge/>
            <w:tcBorders>
              <w:bottom w:val="single" w:sz="12" w:space="0" w:color="auto"/>
              <w:right w:val="nil"/>
            </w:tcBorders>
            <w:vAlign w:val="center"/>
          </w:tcPr>
          <w:p w14:paraId="4A48B6C6" w14:textId="77777777" w:rsidR="00DB57F4" w:rsidRPr="00A7211C" w:rsidRDefault="00DB57F4" w:rsidP="00233168">
            <w:pPr>
              <w:jc w:val="center"/>
            </w:pPr>
          </w:p>
        </w:tc>
        <w:tc>
          <w:tcPr>
            <w:tcW w:w="1831" w:type="dxa"/>
            <w:tcBorders>
              <w:top w:val="nil"/>
              <w:left w:val="nil"/>
              <w:bottom w:val="nil"/>
              <w:right w:val="nil"/>
            </w:tcBorders>
            <w:vAlign w:val="center"/>
          </w:tcPr>
          <w:p w14:paraId="62989395" w14:textId="77777777" w:rsidR="00DB57F4" w:rsidRPr="00A7211C" w:rsidRDefault="00DB57F4" w:rsidP="00233168">
            <w:pPr>
              <w:jc w:val="center"/>
            </w:pPr>
            <w:r w:rsidRPr="00A7211C">
              <w:t>Firm age</w:t>
            </w:r>
          </w:p>
        </w:tc>
        <w:tc>
          <w:tcPr>
            <w:tcW w:w="1024" w:type="dxa"/>
            <w:tcBorders>
              <w:top w:val="nil"/>
              <w:left w:val="nil"/>
              <w:bottom w:val="nil"/>
              <w:right w:val="nil"/>
            </w:tcBorders>
            <w:vAlign w:val="center"/>
          </w:tcPr>
          <w:p w14:paraId="1262AA2D" w14:textId="77777777" w:rsidR="00DB57F4" w:rsidRPr="00A7211C" w:rsidRDefault="00DB57F4" w:rsidP="00233168">
            <w:pPr>
              <w:jc w:val="center"/>
              <w:rPr>
                <w:i/>
                <w:iCs/>
              </w:rPr>
            </w:pPr>
            <w:r w:rsidRPr="00A7211C">
              <w:rPr>
                <w:i/>
                <w:iCs/>
              </w:rPr>
              <w:t>age</w:t>
            </w:r>
          </w:p>
        </w:tc>
        <w:tc>
          <w:tcPr>
            <w:tcW w:w="4413" w:type="dxa"/>
            <w:tcBorders>
              <w:top w:val="nil"/>
              <w:left w:val="nil"/>
              <w:bottom w:val="nil"/>
              <w:right w:val="nil"/>
            </w:tcBorders>
            <w:vAlign w:val="center"/>
          </w:tcPr>
          <w:p w14:paraId="6E273B2A" w14:textId="77777777" w:rsidR="00DB57F4" w:rsidRPr="00A7211C" w:rsidRDefault="00DB57F4" w:rsidP="00233168">
            <w:pPr>
              <w:jc w:val="center"/>
            </w:pPr>
            <w:r w:rsidRPr="00A7211C">
              <w:t>The logarithm of the corporate of the company</w:t>
            </w:r>
            <w:r>
              <w:t>’</w:t>
            </w:r>
            <w:r w:rsidRPr="00A7211C">
              <w:t>s listing time by adding 1</w:t>
            </w:r>
          </w:p>
        </w:tc>
      </w:tr>
      <w:tr w:rsidR="00DB57F4" w:rsidRPr="00A7211C" w14:paraId="79A526EE" w14:textId="77777777" w:rsidTr="00233168">
        <w:trPr>
          <w:trHeight w:val="400"/>
          <w:jc w:val="center"/>
        </w:trPr>
        <w:tc>
          <w:tcPr>
            <w:tcW w:w="1254" w:type="dxa"/>
            <w:vMerge/>
            <w:tcBorders>
              <w:bottom w:val="single" w:sz="12" w:space="0" w:color="auto"/>
              <w:right w:val="nil"/>
            </w:tcBorders>
            <w:vAlign w:val="center"/>
          </w:tcPr>
          <w:p w14:paraId="44408DD4" w14:textId="77777777" w:rsidR="00DB57F4" w:rsidRPr="00A7211C" w:rsidRDefault="00DB57F4" w:rsidP="00233168">
            <w:pPr>
              <w:jc w:val="center"/>
            </w:pPr>
          </w:p>
        </w:tc>
        <w:tc>
          <w:tcPr>
            <w:tcW w:w="1831" w:type="dxa"/>
            <w:tcBorders>
              <w:top w:val="nil"/>
              <w:left w:val="nil"/>
              <w:bottom w:val="nil"/>
              <w:right w:val="nil"/>
            </w:tcBorders>
            <w:vAlign w:val="center"/>
          </w:tcPr>
          <w:p w14:paraId="7B8DCAAA" w14:textId="77777777" w:rsidR="00DB57F4" w:rsidRPr="00A7211C" w:rsidRDefault="00DB57F4" w:rsidP="00233168">
            <w:pPr>
              <w:jc w:val="center"/>
            </w:pPr>
            <w:r w:rsidRPr="00A7211C">
              <w:t>Ownership structure</w:t>
            </w:r>
          </w:p>
        </w:tc>
        <w:tc>
          <w:tcPr>
            <w:tcW w:w="1024" w:type="dxa"/>
            <w:tcBorders>
              <w:top w:val="nil"/>
              <w:left w:val="nil"/>
              <w:bottom w:val="nil"/>
              <w:right w:val="nil"/>
            </w:tcBorders>
            <w:vAlign w:val="center"/>
          </w:tcPr>
          <w:p w14:paraId="09A4D4FF" w14:textId="77777777" w:rsidR="00DB57F4" w:rsidRPr="00A7211C" w:rsidRDefault="00DB57F4" w:rsidP="00233168">
            <w:pPr>
              <w:jc w:val="center"/>
              <w:rPr>
                <w:i/>
                <w:iCs/>
              </w:rPr>
            </w:pPr>
            <w:r w:rsidRPr="00A7211C">
              <w:rPr>
                <w:i/>
                <w:iCs/>
              </w:rPr>
              <w:t>top1</w:t>
            </w:r>
          </w:p>
        </w:tc>
        <w:tc>
          <w:tcPr>
            <w:tcW w:w="4413" w:type="dxa"/>
            <w:tcBorders>
              <w:top w:val="nil"/>
              <w:left w:val="nil"/>
              <w:bottom w:val="nil"/>
              <w:right w:val="nil"/>
            </w:tcBorders>
            <w:vAlign w:val="center"/>
          </w:tcPr>
          <w:p w14:paraId="138BEA38" w14:textId="77777777" w:rsidR="00DB57F4" w:rsidRPr="00A7211C" w:rsidRDefault="00DB57F4" w:rsidP="00233168">
            <w:pPr>
              <w:jc w:val="center"/>
            </w:pPr>
            <w:r w:rsidRPr="00A7211C">
              <w:t>Shareholding ratio of the largest shareholder</w:t>
            </w:r>
          </w:p>
        </w:tc>
      </w:tr>
      <w:tr w:rsidR="00DB57F4" w:rsidRPr="00A7211C" w14:paraId="1A1B2140" w14:textId="77777777" w:rsidTr="00233168">
        <w:trPr>
          <w:trHeight w:val="400"/>
          <w:jc w:val="center"/>
        </w:trPr>
        <w:tc>
          <w:tcPr>
            <w:tcW w:w="1254" w:type="dxa"/>
            <w:vMerge/>
            <w:tcBorders>
              <w:bottom w:val="single" w:sz="12" w:space="0" w:color="auto"/>
              <w:right w:val="nil"/>
            </w:tcBorders>
            <w:vAlign w:val="center"/>
          </w:tcPr>
          <w:p w14:paraId="4FD36854" w14:textId="77777777" w:rsidR="00DB57F4" w:rsidRPr="00A7211C" w:rsidRDefault="00DB57F4" w:rsidP="00233168">
            <w:pPr>
              <w:jc w:val="center"/>
            </w:pPr>
          </w:p>
        </w:tc>
        <w:tc>
          <w:tcPr>
            <w:tcW w:w="1831" w:type="dxa"/>
            <w:tcBorders>
              <w:top w:val="nil"/>
              <w:left w:val="nil"/>
              <w:bottom w:val="nil"/>
              <w:right w:val="nil"/>
            </w:tcBorders>
            <w:vAlign w:val="center"/>
          </w:tcPr>
          <w:p w14:paraId="7C563FB2" w14:textId="77777777" w:rsidR="00DB57F4" w:rsidRPr="00A7211C" w:rsidRDefault="00DB57F4" w:rsidP="00233168">
            <w:pPr>
              <w:jc w:val="center"/>
            </w:pPr>
            <w:r w:rsidRPr="00A7211C">
              <w:t>Fixed assets</w:t>
            </w:r>
          </w:p>
        </w:tc>
        <w:tc>
          <w:tcPr>
            <w:tcW w:w="1024" w:type="dxa"/>
            <w:tcBorders>
              <w:top w:val="nil"/>
              <w:left w:val="nil"/>
              <w:bottom w:val="nil"/>
              <w:right w:val="nil"/>
            </w:tcBorders>
            <w:vAlign w:val="center"/>
          </w:tcPr>
          <w:p w14:paraId="13D6800F" w14:textId="77777777" w:rsidR="00DB57F4" w:rsidRPr="00A7211C" w:rsidRDefault="00DB57F4" w:rsidP="00233168">
            <w:pPr>
              <w:jc w:val="center"/>
              <w:rPr>
                <w:i/>
                <w:iCs/>
              </w:rPr>
            </w:pPr>
            <w:r w:rsidRPr="00A7211C">
              <w:rPr>
                <w:i/>
                <w:iCs/>
              </w:rPr>
              <w:t>fix</w:t>
            </w:r>
          </w:p>
        </w:tc>
        <w:tc>
          <w:tcPr>
            <w:tcW w:w="4413" w:type="dxa"/>
            <w:tcBorders>
              <w:top w:val="nil"/>
              <w:left w:val="nil"/>
              <w:bottom w:val="nil"/>
              <w:right w:val="nil"/>
            </w:tcBorders>
            <w:vAlign w:val="center"/>
          </w:tcPr>
          <w:p w14:paraId="26FB849C" w14:textId="77777777" w:rsidR="00DB57F4" w:rsidRPr="00A7211C" w:rsidRDefault="00DB57F4" w:rsidP="00233168">
            <w:pPr>
              <w:jc w:val="center"/>
            </w:pPr>
            <w:r w:rsidRPr="00A7211C">
              <w:t xml:space="preserve">The average of corporate fixed </w:t>
            </w:r>
            <w:proofErr w:type="gramStart"/>
            <w:r w:rsidRPr="00A7211C">
              <w:t>asset</w:t>
            </w:r>
            <w:proofErr w:type="gramEnd"/>
            <w:r w:rsidRPr="00A7211C">
              <w:t xml:space="preserve"> per person</w:t>
            </w:r>
          </w:p>
        </w:tc>
      </w:tr>
      <w:tr w:rsidR="00DB57F4" w:rsidRPr="00A7211C" w14:paraId="5003F5D7" w14:textId="77777777" w:rsidTr="00233168">
        <w:trPr>
          <w:trHeight w:val="400"/>
          <w:jc w:val="center"/>
        </w:trPr>
        <w:tc>
          <w:tcPr>
            <w:tcW w:w="1254" w:type="dxa"/>
            <w:vMerge/>
            <w:tcBorders>
              <w:bottom w:val="single" w:sz="12" w:space="0" w:color="auto"/>
              <w:right w:val="nil"/>
            </w:tcBorders>
            <w:vAlign w:val="center"/>
          </w:tcPr>
          <w:p w14:paraId="1DD76028" w14:textId="77777777" w:rsidR="00DB57F4" w:rsidRPr="00A7211C" w:rsidRDefault="00DB57F4" w:rsidP="00233168">
            <w:pPr>
              <w:jc w:val="center"/>
            </w:pPr>
          </w:p>
        </w:tc>
        <w:tc>
          <w:tcPr>
            <w:tcW w:w="1831" w:type="dxa"/>
            <w:tcBorders>
              <w:top w:val="nil"/>
              <w:left w:val="nil"/>
              <w:bottom w:val="nil"/>
              <w:right w:val="nil"/>
            </w:tcBorders>
            <w:vAlign w:val="center"/>
          </w:tcPr>
          <w:p w14:paraId="6A909214" w14:textId="77777777" w:rsidR="00DB57F4" w:rsidRPr="00A7211C" w:rsidRDefault="00DB57F4" w:rsidP="00233168">
            <w:pPr>
              <w:jc w:val="center"/>
            </w:pPr>
            <w:r w:rsidRPr="00A7211C">
              <w:t>Board size</w:t>
            </w:r>
          </w:p>
        </w:tc>
        <w:tc>
          <w:tcPr>
            <w:tcW w:w="1024" w:type="dxa"/>
            <w:tcBorders>
              <w:top w:val="nil"/>
              <w:left w:val="nil"/>
              <w:bottom w:val="nil"/>
              <w:right w:val="nil"/>
            </w:tcBorders>
            <w:vAlign w:val="center"/>
          </w:tcPr>
          <w:p w14:paraId="47410845" w14:textId="77777777" w:rsidR="00DB57F4" w:rsidRPr="00A7211C" w:rsidRDefault="00DB57F4" w:rsidP="00233168">
            <w:pPr>
              <w:jc w:val="center"/>
              <w:rPr>
                <w:i/>
                <w:iCs/>
              </w:rPr>
            </w:pPr>
            <w:r w:rsidRPr="00A7211C">
              <w:rPr>
                <w:i/>
                <w:iCs/>
              </w:rPr>
              <w:t>board</w:t>
            </w:r>
          </w:p>
        </w:tc>
        <w:tc>
          <w:tcPr>
            <w:tcW w:w="4413" w:type="dxa"/>
            <w:tcBorders>
              <w:top w:val="nil"/>
              <w:left w:val="nil"/>
              <w:bottom w:val="nil"/>
              <w:right w:val="nil"/>
            </w:tcBorders>
            <w:vAlign w:val="center"/>
          </w:tcPr>
          <w:p w14:paraId="24E71456" w14:textId="77777777" w:rsidR="00DB57F4" w:rsidRPr="00A7211C" w:rsidRDefault="00DB57F4" w:rsidP="00233168">
            <w:pPr>
              <w:jc w:val="center"/>
            </w:pPr>
            <w:r w:rsidRPr="00A7211C">
              <w:t>The logarithm of the number of board members by adding 1</w:t>
            </w:r>
          </w:p>
        </w:tc>
      </w:tr>
      <w:tr w:rsidR="00DB57F4" w:rsidRPr="00A7211C" w14:paraId="07372D8F" w14:textId="77777777" w:rsidTr="00233168">
        <w:trPr>
          <w:trHeight w:val="680"/>
          <w:jc w:val="center"/>
        </w:trPr>
        <w:tc>
          <w:tcPr>
            <w:tcW w:w="1254" w:type="dxa"/>
            <w:vMerge/>
            <w:tcBorders>
              <w:bottom w:val="single" w:sz="12" w:space="0" w:color="auto"/>
              <w:right w:val="nil"/>
            </w:tcBorders>
            <w:vAlign w:val="center"/>
          </w:tcPr>
          <w:p w14:paraId="42FB27B3" w14:textId="77777777" w:rsidR="00DB57F4" w:rsidRPr="00A7211C" w:rsidRDefault="00DB57F4" w:rsidP="00233168">
            <w:pPr>
              <w:jc w:val="center"/>
            </w:pPr>
          </w:p>
        </w:tc>
        <w:tc>
          <w:tcPr>
            <w:tcW w:w="1831" w:type="dxa"/>
            <w:tcBorders>
              <w:top w:val="nil"/>
              <w:left w:val="nil"/>
              <w:bottom w:val="nil"/>
              <w:right w:val="nil"/>
            </w:tcBorders>
            <w:vAlign w:val="center"/>
          </w:tcPr>
          <w:p w14:paraId="382EDBC3" w14:textId="77777777" w:rsidR="00DB57F4" w:rsidRPr="00A7211C" w:rsidRDefault="00DB57F4" w:rsidP="00233168">
            <w:pPr>
              <w:jc w:val="center"/>
            </w:pPr>
            <w:r w:rsidRPr="00A7211C">
              <w:t>Board structure</w:t>
            </w:r>
          </w:p>
        </w:tc>
        <w:tc>
          <w:tcPr>
            <w:tcW w:w="1024" w:type="dxa"/>
            <w:tcBorders>
              <w:top w:val="nil"/>
              <w:left w:val="nil"/>
              <w:bottom w:val="nil"/>
              <w:right w:val="nil"/>
            </w:tcBorders>
            <w:vAlign w:val="center"/>
          </w:tcPr>
          <w:p w14:paraId="78B1AA98" w14:textId="77777777" w:rsidR="00DB57F4" w:rsidRPr="00A7211C" w:rsidRDefault="00DB57F4" w:rsidP="00233168">
            <w:pPr>
              <w:jc w:val="center"/>
              <w:rPr>
                <w:i/>
                <w:iCs/>
              </w:rPr>
            </w:pPr>
            <w:proofErr w:type="spellStart"/>
            <w:r w:rsidRPr="00A7211C">
              <w:rPr>
                <w:i/>
                <w:iCs/>
              </w:rPr>
              <w:t>indep</w:t>
            </w:r>
            <w:proofErr w:type="spellEnd"/>
          </w:p>
        </w:tc>
        <w:tc>
          <w:tcPr>
            <w:tcW w:w="4413" w:type="dxa"/>
            <w:tcBorders>
              <w:top w:val="nil"/>
              <w:left w:val="nil"/>
              <w:bottom w:val="nil"/>
              <w:right w:val="nil"/>
            </w:tcBorders>
            <w:vAlign w:val="center"/>
          </w:tcPr>
          <w:p w14:paraId="52EA727E" w14:textId="77777777" w:rsidR="00DB57F4" w:rsidRPr="00A7211C" w:rsidRDefault="00DB57F4" w:rsidP="00233168">
            <w:pPr>
              <w:jc w:val="center"/>
              <w:rPr>
                <w:i/>
                <w:iCs/>
              </w:rPr>
            </w:pPr>
            <w:r w:rsidRPr="00A7211C">
              <w:t>The ratio of independent directors to the total number of board member</w:t>
            </w:r>
          </w:p>
        </w:tc>
      </w:tr>
      <w:tr w:rsidR="00DB57F4" w:rsidRPr="00A7211C" w14:paraId="615D3CCA" w14:textId="77777777" w:rsidTr="00233168">
        <w:trPr>
          <w:trHeight w:val="680"/>
          <w:jc w:val="center"/>
        </w:trPr>
        <w:tc>
          <w:tcPr>
            <w:tcW w:w="1254" w:type="dxa"/>
            <w:vMerge/>
            <w:tcBorders>
              <w:bottom w:val="single" w:sz="12" w:space="0" w:color="auto"/>
              <w:right w:val="nil"/>
            </w:tcBorders>
            <w:vAlign w:val="center"/>
          </w:tcPr>
          <w:p w14:paraId="6ADB7BFF" w14:textId="77777777" w:rsidR="00DB57F4" w:rsidRPr="00A7211C" w:rsidRDefault="00DB57F4" w:rsidP="00233168">
            <w:pPr>
              <w:jc w:val="center"/>
            </w:pPr>
          </w:p>
        </w:tc>
        <w:tc>
          <w:tcPr>
            <w:tcW w:w="1831" w:type="dxa"/>
            <w:tcBorders>
              <w:top w:val="nil"/>
              <w:left w:val="nil"/>
              <w:bottom w:val="nil"/>
              <w:right w:val="nil"/>
            </w:tcBorders>
            <w:vAlign w:val="center"/>
          </w:tcPr>
          <w:p w14:paraId="0130D68F" w14:textId="77777777" w:rsidR="00DB57F4" w:rsidRPr="00A7211C" w:rsidRDefault="00DB57F4" w:rsidP="00233168">
            <w:pPr>
              <w:jc w:val="center"/>
            </w:pPr>
            <w:r w:rsidRPr="00A7211C">
              <w:t>Leadership structure</w:t>
            </w:r>
          </w:p>
        </w:tc>
        <w:tc>
          <w:tcPr>
            <w:tcW w:w="1024" w:type="dxa"/>
            <w:tcBorders>
              <w:top w:val="nil"/>
              <w:left w:val="nil"/>
              <w:bottom w:val="nil"/>
              <w:right w:val="nil"/>
            </w:tcBorders>
            <w:vAlign w:val="center"/>
          </w:tcPr>
          <w:p w14:paraId="49A3D53C" w14:textId="77777777" w:rsidR="00DB57F4" w:rsidRPr="00A7211C" w:rsidRDefault="00DB57F4" w:rsidP="00233168">
            <w:pPr>
              <w:jc w:val="center"/>
              <w:rPr>
                <w:i/>
                <w:iCs/>
              </w:rPr>
            </w:pPr>
            <w:r w:rsidRPr="00A7211C">
              <w:rPr>
                <w:i/>
                <w:iCs/>
              </w:rPr>
              <w:t>dual</w:t>
            </w:r>
          </w:p>
        </w:tc>
        <w:tc>
          <w:tcPr>
            <w:tcW w:w="4413" w:type="dxa"/>
            <w:tcBorders>
              <w:top w:val="nil"/>
              <w:left w:val="nil"/>
              <w:bottom w:val="nil"/>
              <w:right w:val="nil"/>
            </w:tcBorders>
            <w:vAlign w:val="center"/>
          </w:tcPr>
          <w:p w14:paraId="2D383BDC" w14:textId="77777777" w:rsidR="00DB57F4" w:rsidRPr="00A7211C" w:rsidRDefault="00DB57F4" w:rsidP="00233168">
            <w:pPr>
              <w:jc w:val="center"/>
            </w:pPr>
            <w:r w:rsidRPr="00A7211C">
              <w:t>If the chairman and the general manager are the same person, the value is 1; otherwise, it is 0</w:t>
            </w:r>
          </w:p>
        </w:tc>
      </w:tr>
      <w:tr w:rsidR="00DB57F4" w:rsidRPr="00A7211C" w14:paraId="06A12371" w14:textId="77777777" w:rsidTr="00233168">
        <w:trPr>
          <w:trHeight w:val="680"/>
          <w:jc w:val="center"/>
        </w:trPr>
        <w:tc>
          <w:tcPr>
            <w:tcW w:w="1254" w:type="dxa"/>
            <w:vMerge/>
            <w:tcBorders>
              <w:bottom w:val="single" w:sz="12" w:space="0" w:color="auto"/>
              <w:right w:val="nil"/>
            </w:tcBorders>
            <w:vAlign w:val="center"/>
          </w:tcPr>
          <w:p w14:paraId="50F1F15E" w14:textId="77777777" w:rsidR="00DB57F4" w:rsidRPr="00A7211C" w:rsidRDefault="00DB57F4" w:rsidP="00233168">
            <w:pPr>
              <w:jc w:val="center"/>
            </w:pPr>
          </w:p>
        </w:tc>
        <w:tc>
          <w:tcPr>
            <w:tcW w:w="1831" w:type="dxa"/>
            <w:tcBorders>
              <w:top w:val="nil"/>
              <w:left w:val="nil"/>
              <w:bottom w:val="single" w:sz="12" w:space="0" w:color="auto"/>
              <w:right w:val="nil"/>
            </w:tcBorders>
            <w:vAlign w:val="center"/>
          </w:tcPr>
          <w:p w14:paraId="6CC570C6" w14:textId="77777777" w:rsidR="00DB57F4" w:rsidRPr="00A7211C" w:rsidRDefault="00DB57F4" w:rsidP="00233168">
            <w:pPr>
              <w:jc w:val="center"/>
            </w:pPr>
            <w:r w:rsidRPr="00A7211C">
              <w:t>Corporate value</w:t>
            </w:r>
          </w:p>
        </w:tc>
        <w:tc>
          <w:tcPr>
            <w:tcW w:w="1024" w:type="dxa"/>
            <w:tcBorders>
              <w:top w:val="nil"/>
              <w:left w:val="nil"/>
              <w:bottom w:val="single" w:sz="12" w:space="0" w:color="auto"/>
              <w:right w:val="nil"/>
            </w:tcBorders>
            <w:vAlign w:val="center"/>
          </w:tcPr>
          <w:p w14:paraId="6D843CA9" w14:textId="77777777" w:rsidR="00DB57F4" w:rsidRPr="00A7211C" w:rsidRDefault="00DB57F4" w:rsidP="00233168">
            <w:pPr>
              <w:jc w:val="center"/>
              <w:rPr>
                <w:i/>
                <w:iCs/>
              </w:rPr>
            </w:pPr>
            <w:proofErr w:type="spellStart"/>
            <w:r w:rsidRPr="00A7211C">
              <w:rPr>
                <w:i/>
                <w:iCs/>
              </w:rPr>
              <w:t>tq</w:t>
            </w:r>
            <w:proofErr w:type="spellEnd"/>
          </w:p>
        </w:tc>
        <w:tc>
          <w:tcPr>
            <w:tcW w:w="4413" w:type="dxa"/>
            <w:tcBorders>
              <w:top w:val="nil"/>
              <w:left w:val="nil"/>
              <w:bottom w:val="single" w:sz="12" w:space="0" w:color="auto"/>
              <w:right w:val="nil"/>
            </w:tcBorders>
            <w:vAlign w:val="center"/>
          </w:tcPr>
          <w:p w14:paraId="05180C6B" w14:textId="77777777" w:rsidR="00DB57F4" w:rsidRPr="00FC16BB" w:rsidRDefault="00DB57F4" w:rsidP="00233168">
            <w:pPr>
              <w:jc w:val="center"/>
              <w:rPr>
                <w:szCs w:val="21"/>
              </w:rPr>
            </w:pPr>
            <m:oMathPara>
              <m:oMath>
                <m:r>
                  <w:rPr>
                    <w:rFonts w:ascii="Cambria Math" w:hAnsi="Cambria Math" w:hint="eastAsia"/>
                    <w:szCs w:val="21"/>
                  </w:rPr>
                  <m:t>tq</m:t>
                </m:r>
                <m:r>
                  <w:rPr>
                    <w:rFonts w:ascii="Cambria Math" w:hAnsi="Cambria Math"/>
                    <w:szCs w:val="21"/>
                  </w:rPr>
                  <m:t>=</m:t>
                </m:r>
                <m:f>
                  <m:fPr>
                    <m:ctrlPr>
                      <w:rPr>
                        <w:rFonts w:ascii="Cambria Math" w:hAnsi="Cambria Math"/>
                        <w:i/>
                        <w:szCs w:val="21"/>
                      </w:rPr>
                    </m:ctrlPr>
                  </m:fPr>
                  <m:num>
                    <m:r>
                      <m:rPr>
                        <m:sty m:val="p"/>
                      </m:rPr>
                      <w:rPr>
                        <w:rFonts w:ascii="Cambria Math" w:hAnsi="Cambria Math"/>
                        <w:szCs w:val="21"/>
                      </w:rPr>
                      <m:t>Market Value of Equity+Total Liabilities</m:t>
                    </m:r>
                  </m:num>
                  <m:den>
                    <m:r>
                      <m:rPr>
                        <m:sty m:val="p"/>
                      </m:rPr>
                      <w:rPr>
                        <w:rFonts w:ascii="Cambria Math" w:hAnsi="Cambria Math"/>
                        <w:szCs w:val="21"/>
                      </w:rPr>
                      <m:t>Total Assets</m:t>
                    </m:r>
                  </m:den>
                </m:f>
              </m:oMath>
            </m:oMathPara>
          </w:p>
        </w:tc>
      </w:tr>
    </w:tbl>
    <w:p w14:paraId="6ED94CDC" w14:textId="77777777" w:rsidR="00DB57F4" w:rsidRDefault="00DB57F4" w:rsidP="00DB57F4"/>
    <w:p w14:paraId="21669793" w14:textId="77777777" w:rsidR="00DB57F4" w:rsidRDefault="00DB57F4" w:rsidP="00DB57F4"/>
    <w:p w14:paraId="77D19B6B" w14:textId="77777777" w:rsidR="00DB57F4" w:rsidRPr="006557B0" w:rsidRDefault="00DB57F4" w:rsidP="00DB57F4">
      <w:pPr>
        <w:rPr>
          <w:rFonts w:ascii="Times New Roman" w:hAnsi="Times New Roman" w:cs="Times New Roman"/>
          <w:b/>
          <w:bCs/>
        </w:rPr>
      </w:pPr>
      <w:r w:rsidRPr="006557B0">
        <w:rPr>
          <w:rFonts w:ascii="Times New Roman" w:hAnsi="Times New Roman" w:cs="Times New Roman"/>
          <w:b/>
          <w:bCs/>
        </w:rPr>
        <w:t>Table 2 Descriptive statistic</w:t>
      </w:r>
      <w:r w:rsidRPr="006557B0">
        <w:rPr>
          <w:rFonts w:ascii="Times New Roman" w:hAnsi="Times New Roman" w:cs="Times New Roman" w:hint="eastAsia"/>
          <w:b/>
          <w:bCs/>
        </w:rPr>
        <w:t>s</w:t>
      </w:r>
      <w:r w:rsidRPr="006557B0">
        <w:rPr>
          <w:rFonts w:ascii="Times New Roman" w:hAnsi="Times New Roman" w:cs="Times New Roman"/>
          <w:b/>
          <w:bCs/>
        </w:rPr>
        <w:t xml:space="preserve"> of main variables</w:t>
      </w:r>
      <w:r w:rsidRPr="006557B0">
        <w:rPr>
          <w:rFonts w:ascii="Times New Roman" w:hAnsi="Times New Roman" w:cs="Times New Roman" w:hint="eastAsia"/>
          <w:b/>
          <w:bCs/>
        </w:rPr>
        <w:t>.</w:t>
      </w:r>
    </w:p>
    <w:tbl>
      <w:tblPr>
        <w:tblW w:w="5000" w:type="pct"/>
        <w:tblLook w:val="04A0" w:firstRow="1" w:lastRow="0" w:firstColumn="1" w:lastColumn="0" w:noHBand="0" w:noVBand="1"/>
      </w:tblPr>
      <w:tblGrid>
        <w:gridCol w:w="1334"/>
        <w:gridCol w:w="952"/>
        <w:gridCol w:w="1151"/>
        <w:gridCol w:w="1417"/>
        <w:gridCol w:w="1151"/>
        <w:gridCol w:w="1151"/>
        <w:gridCol w:w="1150"/>
      </w:tblGrid>
      <w:tr w:rsidR="00DB57F4" w:rsidRPr="00A7211C" w14:paraId="75F6060F" w14:textId="77777777" w:rsidTr="00233168">
        <w:tc>
          <w:tcPr>
            <w:tcW w:w="803" w:type="pct"/>
            <w:tcBorders>
              <w:top w:val="single" w:sz="12" w:space="0" w:color="auto"/>
              <w:left w:val="nil"/>
              <w:bottom w:val="single" w:sz="6" w:space="0" w:color="auto"/>
              <w:right w:val="nil"/>
            </w:tcBorders>
          </w:tcPr>
          <w:p w14:paraId="3F4460D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Variable</w:t>
            </w:r>
          </w:p>
        </w:tc>
        <w:tc>
          <w:tcPr>
            <w:tcW w:w="573" w:type="pct"/>
            <w:tcBorders>
              <w:top w:val="single" w:sz="12" w:space="0" w:color="auto"/>
              <w:left w:val="nil"/>
              <w:bottom w:val="single" w:sz="6" w:space="0" w:color="auto"/>
              <w:right w:val="nil"/>
            </w:tcBorders>
          </w:tcPr>
          <w:p w14:paraId="3D43F372" w14:textId="77777777" w:rsidR="00DB57F4" w:rsidRPr="00A7211C" w:rsidRDefault="00DB57F4" w:rsidP="00233168">
            <w:pPr>
              <w:jc w:val="center"/>
              <w:rPr>
                <w:rFonts w:ascii="Times New Roman" w:hAnsi="Times New Roman" w:cs="Times New Roman"/>
              </w:rPr>
            </w:pPr>
            <w:proofErr w:type="spellStart"/>
            <w:r w:rsidRPr="00A7211C">
              <w:rPr>
                <w:rFonts w:ascii="Times New Roman" w:hAnsi="Times New Roman" w:cs="Times New Roman"/>
              </w:rPr>
              <w:t>Obs</w:t>
            </w:r>
            <w:proofErr w:type="spellEnd"/>
          </w:p>
        </w:tc>
        <w:tc>
          <w:tcPr>
            <w:tcW w:w="693" w:type="pct"/>
            <w:tcBorders>
              <w:top w:val="single" w:sz="12" w:space="0" w:color="auto"/>
              <w:left w:val="nil"/>
              <w:bottom w:val="single" w:sz="6" w:space="0" w:color="auto"/>
              <w:right w:val="nil"/>
            </w:tcBorders>
          </w:tcPr>
          <w:p w14:paraId="72DF1FF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Mean</w:t>
            </w:r>
          </w:p>
        </w:tc>
        <w:tc>
          <w:tcPr>
            <w:tcW w:w="853" w:type="pct"/>
            <w:tcBorders>
              <w:top w:val="single" w:sz="12" w:space="0" w:color="auto"/>
              <w:left w:val="nil"/>
              <w:bottom w:val="single" w:sz="6" w:space="0" w:color="auto"/>
              <w:right w:val="nil"/>
            </w:tcBorders>
          </w:tcPr>
          <w:p w14:paraId="74DB73B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Std. Dev.</w:t>
            </w:r>
          </w:p>
        </w:tc>
        <w:tc>
          <w:tcPr>
            <w:tcW w:w="693" w:type="pct"/>
            <w:tcBorders>
              <w:top w:val="single" w:sz="12" w:space="0" w:color="auto"/>
              <w:left w:val="nil"/>
              <w:bottom w:val="single" w:sz="6" w:space="0" w:color="auto"/>
              <w:right w:val="nil"/>
            </w:tcBorders>
          </w:tcPr>
          <w:p w14:paraId="21F2497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Min</w:t>
            </w:r>
          </w:p>
        </w:tc>
        <w:tc>
          <w:tcPr>
            <w:tcW w:w="693" w:type="pct"/>
            <w:tcBorders>
              <w:top w:val="single" w:sz="12" w:space="0" w:color="auto"/>
              <w:left w:val="nil"/>
              <w:bottom w:val="single" w:sz="6" w:space="0" w:color="auto"/>
              <w:right w:val="nil"/>
            </w:tcBorders>
          </w:tcPr>
          <w:p w14:paraId="66F8E69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Max</w:t>
            </w:r>
          </w:p>
        </w:tc>
        <w:tc>
          <w:tcPr>
            <w:tcW w:w="692" w:type="pct"/>
            <w:tcBorders>
              <w:top w:val="single" w:sz="12" w:space="0" w:color="auto"/>
              <w:left w:val="nil"/>
              <w:bottom w:val="single" w:sz="6" w:space="0" w:color="auto"/>
              <w:right w:val="nil"/>
            </w:tcBorders>
          </w:tcPr>
          <w:p w14:paraId="75B32DE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VIF</w:t>
            </w:r>
          </w:p>
        </w:tc>
      </w:tr>
      <w:tr w:rsidR="00DB57F4" w:rsidRPr="00A7211C" w14:paraId="2DBCC339" w14:textId="77777777" w:rsidTr="00233168">
        <w:tc>
          <w:tcPr>
            <w:tcW w:w="803" w:type="pct"/>
            <w:tcBorders>
              <w:top w:val="single" w:sz="6" w:space="0" w:color="auto"/>
              <w:left w:val="nil"/>
              <w:bottom w:val="nil"/>
              <w:right w:val="nil"/>
            </w:tcBorders>
          </w:tcPr>
          <w:p w14:paraId="7A535E5D"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CEI</w:t>
            </w:r>
          </w:p>
        </w:tc>
        <w:tc>
          <w:tcPr>
            <w:tcW w:w="573" w:type="pct"/>
            <w:tcBorders>
              <w:top w:val="single" w:sz="6" w:space="0" w:color="auto"/>
              <w:left w:val="nil"/>
              <w:bottom w:val="nil"/>
              <w:right w:val="nil"/>
            </w:tcBorders>
          </w:tcPr>
          <w:p w14:paraId="6B580BC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single" w:sz="6" w:space="0" w:color="auto"/>
              <w:left w:val="nil"/>
              <w:bottom w:val="nil"/>
              <w:right w:val="nil"/>
            </w:tcBorders>
          </w:tcPr>
          <w:p w14:paraId="2BC96E3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0.9130</w:t>
            </w:r>
          </w:p>
        </w:tc>
        <w:tc>
          <w:tcPr>
            <w:tcW w:w="853" w:type="pct"/>
            <w:tcBorders>
              <w:top w:val="single" w:sz="6" w:space="0" w:color="auto"/>
              <w:left w:val="nil"/>
              <w:bottom w:val="nil"/>
              <w:right w:val="nil"/>
            </w:tcBorders>
          </w:tcPr>
          <w:p w14:paraId="6997385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1.2222</w:t>
            </w:r>
          </w:p>
        </w:tc>
        <w:tc>
          <w:tcPr>
            <w:tcW w:w="693" w:type="pct"/>
            <w:tcBorders>
              <w:top w:val="single" w:sz="6" w:space="0" w:color="auto"/>
              <w:left w:val="nil"/>
              <w:bottom w:val="nil"/>
              <w:right w:val="nil"/>
            </w:tcBorders>
          </w:tcPr>
          <w:p w14:paraId="6958FFB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w:t>
            </w:r>
          </w:p>
        </w:tc>
        <w:tc>
          <w:tcPr>
            <w:tcW w:w="693" w:type="pct"/>
            <w:tcBorders>
              <w:top w:val="single" w:sz="6" w:space="0" w:color="auto"/>
              <w:left w:val="nil"/>
              <w:bottom w:val="nil"/>
              <w:right w:val="nil"/>
            </w:tcBorders>
          </w:tcPr>
          <w:p w14:paraId="16575D2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4.7362</w:t>
            </w:r>
          </w:p>
        </w:tc>
        <w:tc>
          <w:tcPr>
            <w:tcW w:w="692" w:type="pct"/>
            <w:tcBorders>
              <w:top w:val="single" w:sz="6" w:space="0" w:color="auto"/>
              <w:left w:val="nil"/>
              <w:bottom w:val="nil"/>
              <w:right w:val="nil"/>
            </w:tcBorders>
          </w:tcPr>
          <w:p w14:paraId="309DB88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w:t>
            </w:r>
          </w:p>
        </w:tc>
      </w:tr>
      <w:tr w:rsidR="00DB57F4" w:rsidRPr="00A7211C" w14:paraId="509EA04F" w14:textId="77777777" w:rsidTr="00233168">
        <w:tc>
          <w:tcPr>
            <w:tcW w:w="803" w:type="pct"/>
            <w:tcBorders>
              <w:top w:val="nil"/>
              <w:left w:val="nil"/>
              <w:bottom w:val="nil"/>
              <w:right w:val="nil"/>
            </w:tcBorders>
          </w:tcPr>
          <w:p w14:paraId="3D9A33AE" w14:textId="77777777" w:rsidR="00DB57F4" w:rsidRPr="00A7211C" w:rsidRDefault="00DB57F4" w:rsidP="00233168">
            <w:pPr>
              <w:jc w:val="center"/>
              <w:rPr>
                <w:rFonts w:ascii="Times New Roman" w:hAnsi="Times New Roman" w:cs="Times New Roman"/>
                <w:i/>
              </w:rPr>
            </w:pPr>
            <w:proofErr w:type="spellStart"/>
            <w:r w:rsidRPr="00A7211C">
              <w:rPr>
                <w:rFonts w:ascii="Times New Roman" w:hAnsi="Times New Roman" w:cs="Times New Roman"/>
                <w:i/>
              </w:rPr>
              <w:t>esg_news</w:t>
            </w:r>
            <w:proofErr w:type="spellEnd"/>
          </w:p>
        </w:tc>
        <w:tc>
          <w:tcPr>
            <w:tcW w:w="573" w:type="pct"/>
            <w:tcBorders>
              <w:top w:val="nil"/>
              <w:left w:val="nil"/>
              <w:bottom w:val="nil"/>
              <w:right w:val="nil"/>
            </w:tcBorders>
          </w:tcPr>
          <w:p w14:paraId="5FBD691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00763B4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0.3629</w:t>
            </w:r>
          </w:p>
        </w:tc>
        <w:tc>
          <w:tcPr>
            <w:tcW w:w="853" w:type="pct"/>
            <w:tcBorders>
              <w:top w:val="nil"/>
              <w:left w:val="nil"/>
              <w:bottom w:val="nil"/>
              <w:right w:val="nil"/>
            </w:tcBorders>
          </w:tcPr>
          <w:p w14:paraId="52CCE00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0.3300</w:t>
            </w:r>
          </w:p>
        </w:tc>
        <w:tc>
          <w:tcPr>
            <w:tcW w:w="693" w:type="pct"/>
            <w:tcBorders>
              <w:top w:val="nil"/>
              <w:left w:val="nil"/>
              <w:bottom w:val="nil"/>
              <w:right w:val="nil"/>
            </w:tcBorders>
          </w:tcPr>
          <w:p w14:paraId="18BBEA4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-0.5950</w:t>
            </w:r>
          </w:p>
        </w:tc>
        <w:tc>
          <w:tcPr>
            <w:tcW w:w="693" w:type="pct"/>
            <w:tcBorders>
              <w:top w:val="nil"/>
              <w:left w:val="nil"/>
              <w:bottom w:val="nil"/>
              <w:right w:val="nil"/>
            </w:tcBorders>
          </w:tcPr>
          <w:p w14:paraId="7C167FE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0.9214</w:t>
            </w:r>
          </w:p>
        </w:tc>
        <w:tc>
          <w:tcPr>
            <w:tcW w:w="692" w:type="pct"/>
            <w:tcBorders>
              <w:top w:val="nil"/>
              <w:left w:val="nil"/>
              <w:bottom w:val="nil"/>
              <w:right w:val="nil"/>
            </w:tcBorders>
          </w:tcPr>
          <w:p w14:paraId="063594E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1.11</w:t>
            </w:r>
          </w:p>
        </w:tc>
      </w:tr>
      <w:tr w:rsidR="00DB57F4" w:rsidRPr="00A7211C" w14:paraId="67CEF119" w14:textId="77777777" w:rsidTr="00233168">
        <w:tc>
          <w:tcPr>
            <w:tcW w:w="803" w:type="pct"/>
            <w:tcBorders>
              <w:top w:val="nil"/>
              <w:left w:val="nil"/>
              <w:bottom w:val="nil"/>
              <w:right w:val="nil"/>
            </w:tcBorders>
          </w:tcPr>
          <w:p w14:paraId="7078E597"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size</w:t>
            </w:r>
          </w:p>
        </w:tc>
        <w:tc>
          <w:tcPr>
            <w:tcW w:w="573" w:type="pct"/>
            <w:tcBorders>
              <w:top w:val="nil"/>
              <w:left w:val="nil"/>
              <w:bottom w:val="nil"/>
              <w:right w:val="nil"/>
            </w:tcBorders>
          </w:tcPr>
          <w:p w14:paraId="690CCB7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2AE6669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22.2489</w:t>
            </w:r>
          </w:p>
        </w:tc>
        <w:tc>
          <w:tcPr>
            <w:tcW w:w="853" w:type="pct"/>
            <w:tcBorders>
              <w:top w:val="nil"/>
              <w:left w:val="nil"/>
              <w:bottom w:val="nil"/>
              <w:right w:val="nil"/>
            </w:tcBorders>
          </w:tcPr>
          <w:p w14:paraId="63FA072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1.2823</w:t>
            </w:r>
          </w:p>
        </w:tc>
        <w:tc>
          <w:tcPr>
            <w:tcW w:w="693" w:type="pct"/>
            <w:tcBorders>
              <w:top w:val="nil"/>
              <w:left w:val="nil"/>
              <w:bottom w:val="nil"/>
              <w:right w:val="nil"/>
            </w:tcBorders>
          </w:tcPr>
          <w:p w14:paraId="09F0E5F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19.5050</w:t>
            </w:r>
          </w:p>
        </w:tc>
        <w:tc>
          <w:tcPr>
            <w:tcW w:w="693" w:type="pct"/>
            <w:tcBorders>
              <w:top w:val="nil"/>
              <w:left w:val="nil"/>
              <w:bottom w:val="nil"/>
              <w:right w:val="nil"/>
            </w:tcBorders>
          </w:tcPr>
          <w:p w14:paraId="79B21DA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26.3951</w:t>
            </w:r>
          </w:p>
        </w:tc>
        <w:tc>
          <w:tcPr>
            <w:tcW w:w="692" w:type="pct"/>
            <w:tcBorders>
              <w:top w:val="nil"/>
              <w:left w:val="nil"/>
              <w:bottom w:val="nil"/>
              <w:right w:val="nil"/>
            </w:tcBorders>
          </w:tcPr>
          <w:p w14:paraId="4129487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2.05</w:t>
            </w:r>
          </w:p>
        </w:tc>
      </w:tr>
      <w:tr w:rsidR="00DB57F4" w:rsidRPr="00A7211C" w14:paraId="019F2406" w14:textId="77777777" w:rsidTr="00233168">
        <w:tc>
          <w:tcPr>
            <w:tcW w:w="803" w:type="pct"/>
            <w:tcBorders>
              <w:top w:val="nil"/>
              <w:left w:val="nil"/>
              <w:bottom w:val="nil"/>
              <w:right w:val="nil"/>
            </w:tcBorders>
            <w:vAlign w:val="center"/>
          </w:tcPr>
          <w:p w14:paraId="0904386F" w14:textId="77777777" w:rsidR="00DB57F4" w:rsidRPr="00A7211C" w:rsidRDefault="00DB57F4" w:rsidP="00233168">
            <w:pPr>
              <w:jc w:val="center"/>
              <w:rPr>
                <w:rFonts w:ascii="Times New Roman" w:hAnsi="Times New Roman" w:cs="Times New Roman"/>
                <w:i/>
              </w:rPr>
            </w:pPr>
            <w:proofErr w:type="spellStart"/>
            <w:r w:rsidRPr="00A7211C">
              <w:rPr>
                <w:rFonts w:ascii="Times New Roman" w:hAnsi="Times New Roman" w:cs="Times New Roman"/>
                <w:i/>
              </w:rPr>
              <w:t>roa</w:t>
            </w:r>
            <w:proofErr w:type="spellEnd"/>
          </w:p>
        </w:tc>
        <w:tc>
          <w:tcPr>
            <w:tcW w:w="573" w:type="pct"/>
            <w:tcBorders>
              <w:top w:val="nil"/>
              <w:left w:val="nil"/>
              <w:bottom w:val="nil"/>
              <w:right w:val="nil"/>
            </w:tcBorders>
          </w:tcPr>
          <w:p w14:paraId="01F5A07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4719BA2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0.03796</w:t>
            </w:r>
          </w:p>
        </w:tc>
        <w:tc>
          <w:tcPr>
            <w:tcW w:w="853" w:type="pct"/>
            <w:tcBorders>
              <w:top w:val="nil"/>
              <w:left w:val="nil"/>
              <w:bottom w:val="nil"/>
              <w:right w:val="nil"/>
            </w:tcBorders>
          </w:tcPr>
          <w:p w14:paraId="4107BB4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0.0656</w:t>
            </w:r>
          </w:p>
        </w:tc>
        <w:tc>
          <w:tcPr>
            <w:tcW w:w="693" w:type="pct"/>
            <w:tcBorders>
              <w:top w:val="nil"/>
              <w:left w:val="nil"/>
              <w:bottom w:val="nil"/>
              <w:right w:val="nil"/>
            </w:tcBorders>
          </w:tcPr>
          <w:p w14:paraId="60A91B8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-0.4147</w:t>
            </w:r>
          </w:p>
        </w:tc>
        <w:tc>
          <w:tcPr>
            <w:tcW w:w="693" w:type="pct"/>
            <w:tcBorders>
              <w:top w:val="nil"/>
              <w:left w:val="nil"/>
              <w:bottom w:val="nil"/>
              <w:right w:val="nil"/>
            </w:tcBorders>
          </w:tcPr>
          <w:p w14:paraId="529166A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0.2442</w:t>
            </w:r>
          </w:p>
        </w:tc>
        <w:tc>
          <w:tcPr>
            <w:tcW w:w="692" w:type="pct"/>
            <w:tcBorders>
              <w:top w:val="nil"/>
              <w:left w:val="nil"/>
              <w:bottom w:val="nil"/>
              <w:right w:val="nil"/>
            </w:tcBorders>
          </w:tcPr>
          <w:p w14:paraId="2F1CDEE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1.30</w:t>
            </w:r>
          </w:p>
        </w:tc>
      </w:tr>
      <w:tr w:rsidR="00DB57F4" w:rsidRPr="00A7211C" w14:paraId="76ED4BF4" w14:textId="77777777" w:rsidTr="00233168">
        <w:tc>
          <w:tcPr>
            <w:tcW w:w="803" w:type="pct"/>
            <w:tcBorders>
              <w:top w:val="nil"/>
              <w:left w:val="nil"/>
              <w:bottom w:val="nil"/>
              <w:right w:val="nil"/>
            </w:tcBorders>
            <w:vAlign w:val="center"/>
          </w:tcPr>
          <w:p w14:paraId="5135BC31"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lev</w:t>
            </w:r>
          </w:p>
        </w:tc>
        <w:tc>
          <w:tcPr>
            <w:tcW w:w="573" w:type="pct"/>
            <w:tcBorders>
              <w:top w:val="nil"/>
              <w:left w:val="nil"/>
              <w:bottom w:val="nil"/>
              <w:right w:val="nil"/>
            </w:tcBorders>
          </w:tcPr>
          <w:p w14:paraId="15817E9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23E3380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0.4413</w:t>
            </w:r>
          </w:p>
        </w:tc>
        <w:tc>
          <w:tcPr>
            <w:tcW w:w="853" w:type="pct"/>
            <w:tcBorders>
              <w:top w:val="nil"/>
              <w:left w:val="nil"/>
              <w:bottom w:val="nil"/>
              <w:right w:val="nil"/>
            </w:tcBorders>
          </w:tcPr>
          <w:p w14:paraId="5EE9736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0.2044</w:t>
            </w:r>
          </w:p>
        </w:tc>
        <w:tc>
          <w:tcPr>
            <w:tcW w:w="693" w:type="pct"/>
            <w:tcBorders>
              <w:top w:val="nil"/>
              <w:left w:val="nil"/>
              <w:bottom w:val="nil"/>
              <w:right w:val="nil"/>
            </w:tcBorders>
          </w:tcPr>
          <w:p w14:paraId="3CFE2BB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0.0274</w:t>
            </w:r>
          </w:p>
        </w:tc>
        <w:tc>
          <w:tcPr>
            <w:tcW w:w="693" w:type="pct"/>
            <w:tcBorders>
              <w:top w:val="nil"/>
              <w:left w:val="nil"/>
              <w:bottom w:val="nil"/>
              <w:right w:val="nil"/>
            </w:tcBorders>
          </w:tcPr>
          <w:p w14:paraId="7DDFBC6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0.9901</w:t>
            </w:r>
          </w:p>
        </w:tc>
        <w:tc>
          <w:tcPr>
            <w:tcW w:w="692" w:type="pct"/>
            <w:tcBorders>
              <w:top w:val="nil"/>
              <w:left w:val="nil"/>
              <w:bottom w:val="nil"/>
              <w:right w:val="nil"/>
            </w:tcBorders>
          </w:tcPr>
          <w:p w14:paraId="0B4BD31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1.61</w:t>
            </w:r>
          </w:p>
        </w:tc>
      </w:tr>
      <w:tr w:rsidR="00DB57F4" w:rsidRPr="00A7211C" w14:paraId="257DBA4C" w14:textId="77777777" w:rsidTr="00233168">
        <w:tc>
          <w:tcPr>
            <w:tcW w:w="803" w:type="pct"/>
            <w:tcBorders>
              <w:top w:val="nil"/>
              <w:left w:val="nil"/>
              <w:bottom w:val="nil"/>
              <w:right w:val="nil"/>
            </w:tcBorders>
            <w:vAlign w:val="center"/>
          </w:tcPr>
          <w:p w14:paraId="0887B77F"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age</w:t>
            </w:r>
          </w:p>
        </w:tc>
        <w:tc>
          <w:tcPr>
            <w:tcW w:w="573" w:type="pct"/>
            <w:tcBorders>
              <w:top w:val="nil"/>
              <w:left w:val="nil"/>
              <w:bottom w:val="nil"/>
              <w:right w:val="nil"/>
            </w:tcBorders>
          </w:tcPr>
          <w:p w14:paraId="59972D5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17B286B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2.1988</w:t>
            </w:r>
          </w:p>
        </w:tc>
        <w:tc>
          <w:tcPr>
            <w:tcW w:w="853" w:type="pct"/>
            <w:tcBorders>
              <w:top w:val="nil"/>
              <w:left w:val="nil"/>
              <w:bottom w:val="nil"/>
              <w:right w:val="nil"/>
            </w:tcBorders>
          </w:tcPr>
          <w:p w14:paraId="36E80CB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0.7511</w:t>
            </w:r>
          </w:p>
        </w:tc>
        <w:tc>
          <w:tcPr>
            <w:tcW w:w="693" w:type="pct"/>
            <w:tcBorders>
              <w:top w:val="nil"/>
              <w:left w:val="nil"/>
              <w:bottom w:val="nil"/>
              <w:right w:val="nil"/>
            </w:tcBorders>
          </w:tcPr>
          <w:p w14:paraId="7F3C1B8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0.6931</w:t>
            </w:r>
          </w:p>
        </w:tc>
        <w:tc>
          <w:tcPr>
            <w:tcW w:w="693" w:type="pct"/>
            <w:tcBorders>
              <w:top w:val="nil"/>
              <w:left w:val="nil"/>
              <w:bottom w:val="nil"/>
              <w:right w:val="nil"/>
            </w:tcBorders>
          </w:tcPr>
          <w:p w14:paraId="3FF8BE1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3.4340</w:t>
            </w:r>
          </w:p>
        </w:tc>
        <w:tc>
          <w:tcPr>
            <w:tcW w:w="692" w:type="pct"/>
            <w:tcBorders>
              <w:top w:val="nil"/>
              <w:left w:val="nil"/>
              <w:bottom w:val="nil"/>
              <w:right w:val="nil"/>
            </w:tcBorders>
          </w:tcPr>
          <w:p w14:paraId="44A2680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1.37</w:t>
            </w:r>
          </w:p>
        </w:tc>
      </w:tr>
      <w:tr w:rsidR="00DB57F4" w:rsidRPr="00A7211C" w14:paraId="2CFCD9EA" w14:textId="77777777" w:rsidTr="00233168">
        <w:tc>
          <w:tcPr>
            <w:tcW w:w="803" w:type="pct"/>
            <w:tcBorders>
              <w:top w:val="nil"/>
              <w:left w:val="nil"/>
              <w:bottom w:val="nil"/>
              <w:right w:val="nil"/>
            </w:tcBorders>
            <w:vAlign w:val="center"/>
          </w:tcPr>
          <w:p w14:paraId="6360C2B5"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top1</w:t>
            </w:r>
          </w:p>
        </w:tc>
        <w:tc>
          <w:tcPr>
            <w:tcW w:w="573" w:type="pct"/>
            <w:tcBorders>
              <w:top w:val="nil"/>
              <w:left w:val="nil"/>
              <w:bottom w:val="nil"/>
              <w:right w:val="nil"/>
            </w:tcBorders>
          </w:tcPr>
          <w:p w14:paraId="121A967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210A03C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0.3438</w:t>
            </w:r>
          </w:p>
        </w:tc>
        <w:tc>
          <w:tcPr>
            <w:tcW w:w="853" w:type="pct"/>
            <w:tcBorders>
              <w:top w:val="nil"/>
              <w:left w:val="nil"/>
              <w:bottom w:val="nil"/>
              <w:right w:val="nil"/>
            </w:tcBorders>
          </w:tcPr>
          <w:p w14:paraId="183EDE6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0.1485</w:t>
            </w:r>
          </w:p>
        </w:tc>
        <w:tc>
          <w:tcPr>
            <w:tcW w:w="693" w:type="pct"/>
            <w:tcBorders>
              <w:top w:val="nil"/>
              <w:left w:val="nil"/>
              <w:bottom w:val="nil"/>
              <w:right w:val="nil"/>
            </w:tcBorders>
          </w:tcPr>
          <w:p w14:paraId="3EE5EBD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0.0838</w:t>
            </w:r>
          </w:p>
        </w:tc>
        <w:tc>
          <w:tcPr>
            <w:tcW w:w="693" w:type="pct"/>
            <w:tcBorders>
              <w:top w:val="nil"/>
              <w:left w:val="nil"/>
              <w:bottom w:val="nil"/>
              <w:right w:val="nil"/>
            </w:tcBorders>
          </w:tcPr>
          <w:p w14:paraId="1596086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0.7584</w:t>
            </w:r>
          </w:p>
        </w:tc>
        <w:tc>
          <w:tcPr>
            <w:tcW w:w="692" w:type="pct"/>
            <w:tcBorders>
              <w:top w:val="nil"/>
              <w:left w:val="nil"/>
              <w:bottom w:val="nil"/>
              <w:right w:val="nil"/>
            </w:tcBorders>
          </w:tcPr>
          <w:p w14:paraId="37CC203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1.09</w:t>
            </w:r>
          </w:p>
        </w:tc>
      </w:tr>
      <w:tr w:rsidR="00DB57F4" w:rsidRPr="00A7211C" w14:paraId="1DD2D4E1" w14:textId="77777777" w:rsidTr="00233168">
        <w:tc>
          <w:tcPr>
            <w:tcW w:w="803" w:type="pct"/>
            <w:tcBorders>
              <w:top w:val="nil"/>
              <w:left w:val="nil"/>
              <w:bottom w:val="nil"/>
              <w:right w:val="nil"/>
            </w:tcBorders>
            <w:vAlign w:val="center"/>
          </w:tcPr>
          <w:p w14:paraId="7B40AA1D"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fix</w:t>
            </w:r>
          </w:p>
        </w:tc>
        <w:tc>
          <w:tcPr>
            <w:tcW w:w="573" w:type="pct"/>
            <w:tcBorders>
              <w:top w:val="nil"/>
              <w:left w:val="nil"/>
              <w:bottom w:val="nil"/>
              <w:right w:val="nil"/>
            </w:tcBorders>
          </w:tcPr>
          <w:p w14:paraId="7ACB1F0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5D716EF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12.5554</w:t>
            </w:r>
          </w:p>
        </w:tc>
        <w:tc>
          <w:tcPr>
            <w:tcW w:w="853" w:type="pct"/>
            <w:tcBorders>
              <w:top w:val="nil"/>
              <w:left w:val="nil"/>
              <w:bottom w:val="nil"/>
              <w:right w:val="nil"/>
            </w:tcBorders>
          </w:tcPr>
          <w:p w14:paraId="63BAA81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1.1562</w:t>
            </w:r>
          </w:p>
        </w:tc>
        <w:tc>
          <w:tcPr>
            <w:tcW w:w="693" w:type="pct"/>
            <w:tcBorders>
              <w:top w:val="nil"/>
              <w:left w:val="nil"/>
              <w:bottom w:val="nil"/>
              <w:right w:val="nil"/>
            </w:tcBorders>
          </w:tcPr>
          <w:p w14:paraId="0AD024B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4.1274</w:t>
            </w:r>
          </w:p>
        </w:tc>
        <w:tc>
          <w:tcPr>
            <w:tcW w:w="693" w:type="pct"/>
            <w:tcBorders>
              <w:top w:val="nil"/>
              <w:left w:val="nil"/>
              <w:bottom w:val="nil"/>
              <w:right w:val="nil"/>
            </w:tcBorders>
          </w:tcPr>
          <w:p w14:paraId="6E1D8BE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19.5426</w:t>
            </w:r>
          </w:p>
        </w:tc>
        <w:tc>
          <w:tcPr>
            <w:tcW w:w="692" w:type="pct"/>
            <w:tcBorders>
              <w:top w:val="nil"/>
              <w:left w:val="nil"/>
              <w:bottom w:val="nil"/>
              <w:right w:val="nil"/>
            </w:tcBorders>
          </w:tcPr>
          <w:p w14:paraId="7E8DB7D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1.12</w:t>
            </w:r>
          </w:p>
        </w:tc>
      </w:tr>
      <w:tr w:rsidR="00DB57F4" w:rsidRPr="00A7211C" w14:paraId="4BF10375" w14:textId="77777777" w:rsidTr="00233168">
        <w:tc>
          <w:tcPr>
            <w:tcW w:w="803" w:type="pct"/>
            <w:tcBorders>
              <w:top w:val="nil"/>
              <w:left w:val="nil"/>
              <w:right w:val="nil"/>
            </w:tcBorders>
            <w:vAlign w:val="center"/>
          </w:tcPr>
          <w:p w14:paraId="3C3D7582"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board</w:t>
            </w:r>
          </w:p>
        </w:tc>
        <w:tc>
          <w:tcPr>
            <w:tcW w:w="573" w:type="pct"/>
            <w:tcBorders>
              <w:top w:val="nil"/>
              <w:left w:val="nil"/>
              <w:right w:val="nil"/>
            </w:tcBorders>
          </w:tcPr>
          <w:p w14:paraId="1CD1D7C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right w:val="nil"/>
            </w:tcBorders>
          </w:tcPr>
          <w:p w14:paraId="395038E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2.1346</w:t>
            </w:r>
          </w:p>
        </w:tc>
        <w:tc>
          <w:tcPr>
            <w:tcW w:w="853" w:type="pct"/>
            <w:tcBorders>
              <w:top w:val="nil"/>
              <w:left w:val="nil"/>
              <w:right w:val="nil"/>
            </w:tcBorders>
          </w:tcPr>
          <w:p w14:paraId="55A2B0B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0.1992</w:t>
            </w:r>
          </w:p>
        </w:tc>
        <w:tc>
          <w:tcPr>
            <w:tcW w:w="693" w:type="pct"/>
            <w:tcBorders>
              <w:top w:val="nil"/>
              <w:left w:val="nil"/>
              <w:right w:val="nil"/>
            </w:tcBorders>
          </w:tcPr>
          <w:p w14:paraId="5D61E69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1.6094</w:t>
            </w:r>
          </w:p>
        </w:tc>
        <w:tc>
          <w:tcPr>
            <w:tcW w:w="693" w:type="pct"/>
            <w:tcBorders>
              <w:top w:val="nil"/>
              <w:left w:val="nil"/>
              <w:right w:val="nil"/>
            </w:tcBorders>
          </w:tcPr>
          <w:p w14:paraId="0FD8431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2.7081</w:t>
            </w:r>
          </w:p>
        </w:tc>
        <w:tc>
          <w:tcPr>
            <w:tcW w:w="692" w:type="pct"/>
            <w:tcBorders>
              <w:top w:val="nil"/>
              <w:left w:val="nil"/>
              <w:right w:val="nil"/>
            </w:tcBorders>
          </w:tcPr>
          <w:p w14:paraId="7691A19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1.56</w:t>
            </w:r>
          </w:p>
        </w:tc>
      </w:tr>
      <w:tr w:rsidR="00DB57F4" w:rsidRPr="00A7211C" w14:paraId="2E3C2F71" w14:textId="77777777" w:rsidTr="00233168">
        <w:tc>
          <w:tcPr>
            <w:tcW w:w="803" w:type="pct"/>
            <w:tcBorders>
              <w:top w:val="nil"/>
              <w:left w:val="nil"/>
              <w:bottom w:val="nil"/>
              <w:right w:val="nil"/>
            </w:tcBorders>
            <w:vAlign w:val="center"/>
          </w:tcPr>
          <w:p w14:paraId="781E8507" w14:textId="77777777" w:rsidR="00DB57F4" w:rsidRPr="00A7211C" w:rsidRDefault="00DB57F4" w:rsidP="00233168">
            <w:pPr>
              <w:jc w:val="center"/>
              <w:rPr>
                <w:rFonts w:ascii="Times New Roman" w:hAnsi="Times New Roman" w:cs="Times New Roman"/>
                <w:i/>
              </w:rPr>
            </w:pPr>
            <w:proofErr w:type="spellStart"/>
            <w:r w:rsidRPr="00A7211C">
              <w:rPr>
                <w:rFonts w:ascii="Times New Roman" w:hAnsi="Times New Roman" w:cs="Times New Roman"/>
                <w:i/>
              </w:rPr>
              <w:t>indep</w:t>
            </w:r>
            <w:proofErr w:type="spellEnd"/>
          </w:p>
        </w:tc>
        <w:tc>
          <w:tcPr>
            <w:tcW w:w="573" w:type="pct"/>
            <w:tcBorders>
              <w:top w:val="nil"/>
              <w:left w:val="nil"/>
              <w:bottom w:val="nil"/>
              <w:right w:val="nil"/>
            </w:tcBorders>
          </w:tcPr>
          <w:p w14:paraId="45E2627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nil"/>
              <w:right w:val="nil"/>
            </w:tcBorders>
          </w:tcPr>
          <w:p w14:paraId="18E8521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0.3750</w:t>
            </w:r>
          </w:p>
        </w:tc>
        <w:tc>
          <w:tcPr>
            <w:tcW w:w="853" w:type="pct"/>
            <w:tcBorders>
              <w:top w:val="nil"/>
              <w:left w:val="nil"/>
              <w:bottom w:val="nil"/>
              <w:right w:val="nil"/>
            </w:tcBorders>
          </w:tcPr>
          <w:p w14:paraId="23A0F9B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0.0536</w:t>
            </w:r>
          </w:p>
        </w:tc>
        <w:tc>
          <w:tcPr>
            <w:tcW w:w="693" w:type="pct"/>
            <w:tcBorders>
              <w:top w:val="nil"/>
              <w:left w:val="nil"/>
              <w:bottom w:val="nil"/>
              <w:right w:val="nil"/>
            </w:tcBorders>
          </w:tcPr>
          <w:p w14:paraId="7197D8E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0.3000</w:t>
            </w:r>
          </w:p>
        </w:tc>
        <w:tc>
          <w:tcPr>
            <w:tcW w:w="693" w:type="pct"/>
            <w:tcBorders>
              <w:top w:val="nil"/>
              <w:left w:val="nil"/>
              <w:bottom w:val="nil"/>
              <w:right w:val="nil"/>
            </w:tcBorders>
          </w:tcPr>
          <w:p w14:paraId="6968514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0.6000</w:t>
            </w:r>
          </w:p>
        </w:tc>
        <w:tc>
          <w:tcPr>
            <w:tcW w:w="692" w:type="pct"/>
            <w:tcBorders>
              <w:top w:val="nil"/>
              <w:left w:val="nil"/>
              <w:bottom w:val="nil"/>
              <w:right w:val="nil"/>
            </w:tcBorders>
          </w:tcPr>
          <w:p w14:paraId="620328A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1.44</w:t>
            </w:r>
          </w:p>
        </w:tc>
      </w:tr>
      <w:tr w:rsidR="00DB57F4" w:rsidRPr="00A7211C" w14:paraId="603A6F6A" w14:textId="77777777" w:rsidTr="00233168">
        <w:tc>
          <w:tcPr>
            <w:tcW w:w="803" w:type="pct"/>
            <w:tcBorders>
              <w:top w:val="nil"/>
              <w:left w:val="nil"/>
              <w:right w:val="nil"/>
            </w:tcBorders>
            <w:vAlign w:val="center"/>
          </w:tcPr>
          <w:p w14:paraId="55F4DD8A"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dual</w:t>
            </w:r>
          </w:p>
        </w:tc>
        <w:tc>
          <w:tcPr>
            <w:tcW w:w="573" w:type="pct"/>
            <w:tcBorders>
              <w:top w:val="nil"/>
              <w:left w:val="nil"/>
              <w:right w:val="nil"/>
            </w:tcBorders>
          </w:tcPr>
          <w:p w14:paraId="2DE3C8A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right w:val="nil"/>
            </w:tcBorders>
          </w:tcPr>
          <w:p w14:paraId="1695A07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0.2629</w:t>
            </w:r>
          </w:p>
        </w:tc>
        <w:tc>
          <w:tcPr>
            <w:tcW w:w="853" w:type="pct"/>
            <w:tcBorders>
              <w:top w:val="nil"/>
              <w:left w:val="nil"/>
              <w:right w:val="nil"/>
            </w:tcBorders>
          </w:tcPr>
          <w:p w14:paraId="053A8B8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0.4402</w:t>
            </w:r>
          </w:p>
        </w:tc>
        <w:tc>
          <w:tcPr>
            <w:tcW w:w="693" w:type="pct"/>
            <w:tcBorders>
              <w:top w:val="nil"/>
              <w:left w:val="nil"/>
              <w:right w:val="nil"/>
            </w:tcBorders>
          </w:tcPr>
          <w:p w14:paraId="320711F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w:t>
            </w:r>
          </w:p>
        </w:tc>
        <w:tc>
          <w:tcPr>
            <w:tcW w:w="693" w:type="pct"/>
            <w:tcBorders>
              <w:top w:val="nil"/>
              <w:left w:val="nil"/>
              <w:right w:val="nil"/>
            </w:tcBorders>
          </w:tcPr>
          <w:p w14:paraId="5448B70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w:t>
            </w:r>
          </w:p>
        </w:tc>
        <w:tc>
          <w:tcPr>
            <w:tcW w:w="692" w:type="pct"/>
            <w:tcBorders>
              <w:top w:val="nil"/>
              <w:left w:val="nil"/>
              <w:right w:val="nil"/>
            </w:tcBorders>
          </w:tcPr>
          <w:p w14:paraId="04A244E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1.10</w:t>
            </w:r>
          </w:p>
        </w:tc>
      </w:tr>
      <w:tr w:rsidR="00DB57F4" w:rsidRPr="00A7211C" w14:paraId="35B74990" w14:textId="77777777" w:rsidTr="00233168">
        <w:tc>
          <w:tcPr>
            <w:tcW w:w="803" w:type="pct"/>
            <w:tcBorders>
              <w:top w:val="nil"/>
              <w:left w:val="nil"/>
              <w:bottom w:val="single" w:sz="12" w:space="0" w:color="auto"/>
              <w:right w:val="nil"/>
            </w:tcBorders>
            <w:vAlign w:val="center"/>
          </w:tcPr>
          <w:p w14:paraId="3CD12E5E" w14:textId="77777777" w:rsidR="00DB57F4" w:rsidRPr="00A7211C" w:rsidRDefault="00DB57F4" w:rsidP="00233168">
            <w:pPr>
              <w:jc w:val="center"/>
              <w:rPr>
                <w:rFonts w:ascii="Times New Roman" w:hAnsi="Times New Roman" w:cs="Times New Roman"/>
                <w:i/>
              </w:rPr>
            </w:pPr>
            <w:proofErr w:type="spellStart"/>
            <w:r w:rsidRPr="00A7211C">
              <w:rPr>
                <w:rFonts w:ascii="Times New Roman" w:hAnsi="Times New Roman" w:cs="Times New Roman"/>
                <w:i/>
              </w:rPr>
              <w:t>tq</w:t>
            </w:r>
            <w:proofErr w:type="spellEnd"/>
          </w:p>
        </w:tc>
        <w:tc>
          <w:tcPr>
            <w:tcW w:w="573" w:type="pct"/>
            <w:tcBorders>
              <w:top w:val="nil"/>
              <w:left w:val="nil"/>
              <w:bottom w:val="single" w:sz="12" w:space="0" w:color="auto"/>
              <w:right w:val="nil"/>
            </w:tcBorders>
          </w:tcPr>
          <w:p w14:paraId="3FECA57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693" w:type="pct"/>
            <w:tcBorders>
              <w:top w:val="nil"/>
              <w:left w:val="nil"/>
              <w:bottom w:val="single" w:sz="12" w:space="0" w:color="auto"/>
              <w:right w:val="nil"/>
            </w:tcBorders>
          </w:tcPr>
          <w:p w14:paraId="74948D7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2.0564</w:t>
            </w:r>
          </w:p>
        </w:tc>
        <w:tc>
          <w:tcPr>
            <w:tcW w:w="853" w:type="pct"/>
            <w:tcBorders>
              <w:top w:val="nil"/>
              <w:left w:val="nil"/>
              <w:bottom w:val="single" w:sz="12" w:space="0" w:color="auto"/>
              <w:right w:val="nil"/>
            </w:tcBorders>
          </w:tcPr>
          <w:p w14:paraId="0204C44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1.4245</w:t>
            </w:r>
          </w:p>
        </w:tc>
        <w:tc>
          <w:tcPr>
            <w:tcW w:w="693" w:type="pct"/>
            <w:tcBorders>
              <w:top w:val="nil"/>
              <w:left w:val="nil"/>
              <w:bottom w:val="single" w:sz="12" w:space="0" w:color="auto"/>
              <w:right w:val="nil"/>
            </w:tcBorders>
          </w:tcPr>
          <w:p w14:paraId="0BEAF04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0.7992</w:t>
            </w:r>
          </w:p>
        </w:tc>
        <w:tc>
          <w:tcPr>
            <w:tcW w:w="693" w:type="pct"/>
            <w:tcBorders>
              <w:top w:val="nil"/>
              <w:left w:val="nil"/>
              <w:bottom w:val="single" w:sz="12" w:space="0" w:color="auto"/>
              <w:right w:val="nil"/>
            </w:tcBorders>
          </w:tcPr>
          <w:p w14:paraId="4F10796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17.6759</w:t>
            </w:r>
          </w:p>
        </w:tc>
        <w:tc>
          <w:tcPr>
            <w:tcW w:w="692" w:type="pct"/>
            <w:tcBorders>
              <w:top w:val="nil"/>
              <w:left w:val="nil"/>
              <w:bottom w:val="single" w:sz="12" w:space="0" w:color="auto"/>
              <w:right w:val="nil"/>
            </w:tcBorders>
          </w:tcPr>
          <w:p w14:paraId="460E82A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1.28</w:t>
            </w:r>
          </w:p>
        </w:tc>
      </w:tr>
    </w:tbl>
    <w:p w14:paraId="538DEDAE" w14:textId="77777777" w:rsidR="00DB57F4" w:rsidRDefault="00DB57F4" w:rsidP="00DB57F4"/>
    <w:p w14:paraId="06E41A49" w14:textId="77777777" w:rsidR="00DB57F4" w:rsidRDefault="00DB57F4" w:rsidP="00DB57F4"/>
    <w:p w14:paraId="77D10F79" w14:textId="77777777" w:rsidR="00DB57F4" w:rsidRPr="006557B0" w:rsidRDefault="00DB57F4" w:rsidP="00DB57F4">
      <w:pPr>
        <w:rPr>
          <w:rFonts w:ascii="Times New Roman" w:hAnsi="Times New Roman" w:cs="Times New Roman"/>
          <w:b/>
          <w:bCs/>
        </w:rPr>
      </w:pPr>
      <w:r w:rsidRPr="006557B0">
        <w:rPr>
          <w:rFonts w:ascii="Times New Roman" w:hAnsi="Times New Roman" w:cs="Times New Roman"/>
          <w:b/>
          <w:bCs/>
        </w:rPr>
        <w:t xml:space="preserve">Table 3 </w:t>
      </w:r>
      <w:r w:rsidRPr="006557B0">
        <w:rPr>
          <w:rFonts w:ascii="Times New Roman" w:hAnsi="Times New Roman" w:cs="Times New Roman" w:hint="eastAsia"/>
          <w:b/>
          <w:bCs/>
        </w:rPr>
        <w:t>B</w:t>
      </w:r>
      <w:r w:rsidRPr="006557B0">
        <w:rPr>
          <w:rFonts w:ascii="Times New Roman" w:hAnsi="Times New Roman" w:cs="Times New Roman"/>
          <w:b/>
          <w:bCs/>
        </w:rPr>
        <w:t>enchmark regression</w:t>
      </w:r>
      <w:r w:rsidRPr="006557B0">
        <w:rPr>
          <w:rFonts w:ascii="Times New Roman" w:hAnsi="Times New Roman" w:cs="Times New Roman" w:hint="eastAsia"/>
          <w:b/>
          <w:bCs/>
        </w:rPr>
        <w:t>: media ESG reputation and corporate energy innovation.</w:t>
      </w:r>
    </w:p>
    <w:tbl>
      <w:tblPr>
        <w:tblW w:w="5000" w:type="pct"/>
        <w:jc w:val="center"/>
        <w:tblCellMar>
          <w:left w:w="75" w:type="dxa"/>
          <w:right w:w="75" w:type="dxa"/>
        </w:tblCellMar>
        <w:tblLook w:val="04A0" w:firstRow="1" w:lastRow="0" w:firstColumn="1" w:lastColumn="0" w:noHBand="0" w:noVBand="1"/>
      </w:tblPr>
      <w:tblGrid>
        <w:gridCol w:w="1956"/>
        <w:gridCol w:w="1535"/>
        <w:gridCol w:w="1640"/>
        <w:gridCol w:w="1535"/>
        <w:gridCol w:w="1640"/>
      </w:tblGrid>
      <w:tr w:rsidR="00DB57F4" w:rsidRPr="00A7211C" w14:paraId="152EC7F4" w14:textId="77777777" w:rsidTr="00233168">
        <w:trPr>
          <w:jc w:val="center"/>
        </w:trPr>
        <w:tc>
          <w:tcPr>
            <w:tcW w:w="1178" w:type="pct"/>
            <w:vMerge w:val="restart"/>
            <w:tcBorders>
              <w:top w:val="single" w:sz="12" w:space="0" w:color="auto"/>
              <w:left w:val="nil"/>
              <w:right w:val="nil"/>
            </w:tcBorders>
            <w:vAlign w:val="center"/>
          </w:tcPr>
          <w:p w14:paraId="2A4B949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VARIABLES</w:t>
            </w:r>
          </w:p>
        </w:tc>
        <w:tc>
          <w:tcPr>
            <w:tcW w:w="924" w:type="pct"/>
            <w:tcBorders>
              <w:top w:val="single" w:sz="12" w:space="0" w:color="auto"/>
              <w:left w:val="nil"/>
              <w:bottom w:val="nil"/>
              <w:right w:val="nil"/>
            </w:tcBorders>
          </w:tcPr>
          <w:p w14:paraId="308F18A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w:t>
            </w:r>
          </w:p>
        </w:tc>
        <w:tc>
          <w:tcPr>
            <w:tcW w:w="987" w:type="pct"/>
            <w:tcBorders>
              <w:top w:val="single" w:sz="12" w:space="0" w:color="auto"/>
              <w:left w:val="nil"/>
              <w:bottom w:val="nil"/>
              <w:right w:val="nil"/>
            </w:tcBorders>
          </w:tcPr>
          <w:p w14:paraId="7CB27FC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w:t>
            </w:r>
          </w:p>
        </w:tc>
        <w:tc>
          <w:tcPr>
            <w:tcW w:w="924" w:type="pct"/>
            <w:tcBorders>
              <w:top w:val="single" w:sz="12" w:space="0" w:color="auto"/>
              <w:left w:val="nil"/>
              <w:bottom w:val="nil"/>
              <w:right w:val="nil"/>
            </w:tcBorders>
          </w:tcPr>
          <w:p w14:paraId="66DE15A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(3)</w:t>
            </w:r>
          </w:p>
        </w:tc>
        <w:tc>
          <w:tcPr>
            <w:tcW w:w="987" w:type="pct"/>
            <w:tcBorders>
              <w:top w:val="single" w:sz="12" w:space="0" w:color="auto"/>
              <w:left w:val="nil"/>
              <w:bottom w:val="nil"/>
              <w:right w:val="nil"/>
            </w:tcBorders>
          </w:tcPr>
          <w:p w14:paraId="70F2297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w:t>
            </w:r>
          </w:p>
        </w:tc>
      </w:tr>
      <w:tr w:rsidR="00DB57F4" w:rsidRPr="00A7211C" w14:paraId="0545C290" w14:textId="77777777" w:rsidTr="00233168">
        <w:trPr>
          <w:jc w:val="center"/>
        </w:trPr>
        <w:tc>
          <w:tcPr>
            <w:tcW w:w="1178" w:type="pct"/>
            <w:vMerge/>
            <w:tcBorders>
              <w:left w:val="nil"/>
              <w:bottom w:val="single" w:sz="6" w:space="0" w:color="auto"/>
              <w:right w:val="nil"/>
            </w:tcBorders>
          </w:tcPr>
          <w:p w14:paraId="3EB994D0" w14:textId="77777777" w:rsidR="00DB57F4" w:rsidRPr="00A7211C" w:rsidRDefault="00DB57F4" w:rsidP="00233168">
            <w:pPr>
              <w:rPr>
                <w:rFonts w:ascii="Times New Roman" w:hAnsi="Times New Roman" w:cs="Times New Roman"/>
              </w:rPr>
            </w:pPr>
          </w:p>
        </w:tc>
        <w:tc>
          <w:tcPr>
            <w:tcW w:w="924" w:type="pct"/>
            <w:tcBorders>
              <w:top w:val="nil"/>
              <w:left w:val="nil"/>
              <w:bottom w:val="single" w:sz="6" w:space="0" w:color="auto"/>
              <w:right w:val="nil"/>
            </w:tcBorders>
          </w:tcPr>
          <w:p w14:paraId="708EB9BD" w14:textId="77777777" w:rsidR="00DB57F4" w:rsidRPr="00914C5E" w:rsidRDefault="00DB57F4" w:rsidP="00233168">
            <w:pPr>
              <w:jc w:val="center"/>
              <w:rPr>
                <w:rFonts w:ascii="Times New Roman" w:hAnsi="Times New Roman" w:cs="Times New Roman"/>
                <w:i/>
              </w:rPr>
            </w:pPr>
            <w:r w:rsidRPr="00914C5E">
              <w:rPr>
                <w:rFonts w:ascii="Times New Roman" w:hAnsi="Times New Roman" w:cs="Times New Roman" w:hint="eastAsia"/>
                <w:i/>
              </w:rPr>
              <w:t>CEI</w:t>
            </w:r>
          </w:p>
        </w:tc>
        <w:tc>
          <w:tcPr>
            <w:tcW w:w="987" w:type="pct"/>
            <w:tcBorders>
              <w:top w:val="nil"/>
              <w:left w:val="nil"/>
              <w:bottom w:val="single" w:sz="6" w:space="0" w:color="auto"/>
              <w:right w:val="nil"/>
            </w:tcBorders>
          </w:tcPr>
          <w:p w14:paraId="2E78811F" w14:textId="77777777" w:rsidR="00DB57F4" w:rsidRPr="00A7211C" w:rsidRDefault="00DB57F4" w:rsidP="00233168">
            <w:pPr>
              <w:jc w:val="center"/>
              <w:rPr>
                <w:rFonts w:ascii="Times New Roman" w:hAnsi="Times New Roman" w:cs="Times New Roman"/>
              </w:rPr>
            </w:pPr>
            <w:r w:rsidRPr="00914C5E">
              <w:rPr>
                <w:rFonts w:ascii="Times New Roman" w:hAnsi="Times New Roman" w:cs="Times New Roman" w:hint="eastAsia"/>
                <w:i/>
              </w:rPr>
              <w:t>CEI</w:t>
            </w:r>
          </w:p>
        </w:tc>
        <w:tc>
          <w:tcPr>
            <w:tcW w:w="924" w:type="pct"/>
            <w:tcBorders>
              <w:top w:val="nil"/>
              <w:left w:val="nil"/>
              <w:bottom w:val="single" w:sz="6" w:space="0" w:color="auto"/>
              <w:right w:val="nil"/>
            </w:tcBorders>
          </w:tcPr>
          <w:p w14:paraId="5FFE46AB" w14:textId="77777777" w:rsidR="00DB57F4" w:rsidRPr="00A7211C" w:rsidRDefault="00DB57F4" w:rsidP="00233168">
            <w:pPr>
              <w:jc w:val="center"/>
              <w:rPr>
                <w:rFonts w:ascii="Times New Roman" w:hAnsi="Times New Roman" w:cs="Times New Roman"/>
              </w:rPr>
            </w:pPr>
            <w:r w:rsidRPr="00914C5E">
              <w:rPr>
                <w:rFonts w:ascii="Times New Roman" w:hAnsi="Times New Roman" w:cs="Times New Roman" w:hint="eastAsia"/>
                <w:i/>
              </w:rPr>
              <w:t>CEI</w:t>
            </w:r>
          </w:p>
        </w:tc>
        <w:tc>
          <w:tcPr>
            <w:tcW w:w="987" w:type="pct"/>
            <w:tcBorders>
              <w:top w:val="nil"/>
              <w:left w:val="nil"/>
              <w:bottom w:val="single" w:sz="6" w:space="0" w:color="auto"/>
              <w:right w:val="nil"/>
            </w:tcBorders>
          </w:tcPr>
          <w:p w14:paraId="38EA081B" w14:textId="77777777" w:rsidR="00DB57F4" w:rsidRPr="00A7211C" w:rsidRDefault="00DB57F4" w:rsidP="00233168">
            <w:pPr>
              <w:jc w:val="center"/>
              <w:rPr>
                <w:rFonts w:ascii="Times New Roman" w:hAnsi="Times New Roman" w:cs="Times New Roman"/>
              </w:rPr>
            </w:pPr>
            <w:r w:rsidRPr="00914C5E">
              <w:rPr>
                <w:rFonts w:ascii="Times New Roman" w:hAnsi="Times New Roman" w:cs="Times New Roman" w:hint="eastAsia"/>
                <w:i/>
              </w:rPr>
              <w:t>CEI</w:t>
            </w:r>
          </w:p>
        </w:tc>
      </w:tr>
      <w:tr w:rsidR="00DB57F4" w:rsidRPr="00A7211C" w14:paraId="5DF9E698" w14:textId="77777777" w:rsidTr="00233168">
        <w:trPr>
          <w:jc w:val="center"/>
        </w:trPr>
        <w:tc>
          <w:tcPr>
            <w:tcW w:w="1178" w:type="pct"/>
            <w:vMerge w:val="restart"/>
            <w:tcBorders>
              <w:top w:val="nil"/>
              <w:left w:val="nil"/>
              <w:right w:val="nil"/>
            </w:tcBorders>
            <w:vAlign w:val="center"/>
          </w:tcPr>
          <w:p w14:paraId="6045BE1D" w14:textId="77777777" w:rsidR="00DB57F4" w:rsidRPr="00A7211C" w:rsidRDefault="00DB57F4" w:rsidP="00233168">
            <w:pPr>
              <w:jc w:val="center"/>
              <w:rPr>
                <w:rFonts w:ascii="Times New Roman" w:hAnsi="Times New Roman" w:cs="Times New Roman"/>
                <w:i/>
                <w:iCs/>
                <w:szCs w:val="21"/>
              </w:rPr>
            </w:pPr>
            <w:proofErr w:type="spellStart"/>
            <w:r w:rsidRPr="00A7211C">
              <w:rPr>
                <w:rFonts w:ascii="Times New Roman" w:hAnsi="Times New Roman" w:cs="Times New Roman"/>
                <w:i/>
                <w:iCs/>
                <w:szCs w:val="21"/>
              </w:rPr>
              <w:t>esg_news</w:t>
            </w:r>
            <w:proofErr w:type="spellEnd"/>
          </w:p>
        </w:tc>
        <w:tc>
          <w:tcPr>
            <w:tcW w:w="924" w:type="pct"/>
            <w:tcBorders>
              <w:top w:val="nil"/>
              <w:left w:val="nil"/>
              <w:bottom w:val="nil"/>
              <w:right w:val="nil"/>
            </w:tcBorders>
          </w:tcPr>
          <w:p w14:paraId="6E9B5A6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0.6177***</w:t>
            </w:r>
          </w:p>
        </w:tc>
        <w:tc>
          <w:tcPr>
            <w:tcW w:w="987" w:type="pct"/>
            <w:tcBorders>
              <w:top w:val="nil"/>
              <w:left w:val="nil"/>
              <w:bottom w:val="nil"/>
              <w:right w:val="nil"/>
            </w:tcBorders>
          </w:tcPr>
          <w:p w14:paraId="58E791D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0.4294***</w:t>
            </w:r>
          </w:p>
        </w:tc>
        <w:tc>
          <w:tcPr>
            <w:tcW w:w="924" w:type="pct"/>
            <w:tcBorders>
              <w:top w:val="nil"/>
              <w:left w:val="nil"/>
              <w:bottom w:val="nil"/>
              <w:right w:val="nil"/>
            </w:tcBorders>
          </w:tcPr>
          <w:p w14:paraId="46D27A9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0.0861***</w:t>
            </w:r>
          </w:p>
        </w:tc>
        <w:tc>
          <w:tcPr>
            <w:tcW w:w="987" w:type="pct"/>
            <w:tcBorders>
              <w:top w:val="nil"/>
              <w:left w:val="nil"/>
              <w:bottom w:val="nil"/>
              <w:right w:val="nil"/>
            </w:tcBorders>
          </w:tcPr>
          <w:p w14:paraId="13B6918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0.0437***</w:t>
            </w:r>
          </w:p>
        </w:tc>
      </w:tr>
      <w:tr w:rsidR="00DB57F4" w:rsidRPr="00A7211C" w14:paraId="2EE06E77" w14:textId="77777777" w:rsidTr="00233168">
        <w:trPr>
          <w:jc w:val="center"/>
        </w:trPr>
        <w:tc>
          <w:tcPr>
            <w:tcW w:w="1178" w:type="pct"/>
            <w:vMerge/>
            <w:tcBorders>
              <w:left w:val="nil"/>
              <w:bottom w:val="nil"/>
              <w:right w:val="nil"/>
            </w:tcBorders>
          </w:tcPr>
          <w:p w14:paraId="57104D67"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27764FB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(0.0224)</w:t>
            </w:r>
          </w:p>
        </w:tc>
        <w:tc>
          <w:tcPr>
            <w:tcW w:w="987" w:type="pct"/>
            <w:tcBorders>
              <w:top w:val="nil"/>
              <w:left w:val="nil"/>
              <w:bottom w:val="nil"/>
              <w:right w:val="nil"/>
            </w:tcBorders>
          </w:tcPr>
          <w:p w14:paraId="00DE186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(0.0223)</w:t>
            </w:r>
          </w:p>
        </w:tc>
        <w:tc>
          <w:tcPr>
            <w:tcW w:w="924" w:type="pct"/>
            <w:tcBorders>
              <w:top w:val="nil"/>
              <w:left w:val="nil"/>
              <w:bottom w:val="nil"/>
              <w:right w:val="nil"/>
            </w:tcBorders>
          </w:tcPr>
          <w:p w14:paraId="6359C10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(0.0157)</w:t>
            </w:r>
          </w:p>
        </w:tc>
        <w:tc>
          <w:tcPr>
            <w:tcW w:w="987" w:type="pct"/>
            <w:tcBorders>
              <w:top w:val="nil"/>
              <w:left w:val="nil"/>
              <w:bottom w:val="nil"/>
              <w:right w:val="nil"/>
            </w:tcBorders>
          </w:tcPr>
          <w:p w14:paraId="054E7B6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(0.0155)</w:t>
            </w:r>
          </w:p>
        </w:tc>
      </w:tr>
      <w:tr w:rsidR="00DB57F4" w:rsidRPr="00A7211C" w14:paraId="78532B0C" w14:textId="77777777" w:rsidTr="00233168">
        <w:trPr>
          <w:jc w:val="center"/>
        </w:trPr>
        <w:tc>
          <w:tcPr>
            <w:tcW w:w="1178" w:type="pct"/>
            <w:vMerge w:val="restart"/>
            <w:tcBorders>
              <w:top w:val="nil"/>
              <w:left w:val="nil"/>
              <w:right w:val="nil"/>
            </w:tcBorders>
            <w:vAlign w:val="center"/>
          </w:tcPr>
          <w:p w14:paraId="72FA9B7A"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size</w:t>
            </w:r>
          </w:p>
        </w:tc>
        <w:tc>
          <w:tcPr>
            <w:tcW w:w="924" w:type="pct"/>
            <w:tcBorders>
              <w:top w:val="nil"/>
              <w:left w:val="nil"/>
              <w:bottom w:val="nil"/>
              <w:right w:val="nil"/>
            </w:tcBorders>
          </w:tcPr>
          <w:p w14:paraId="132B85C5"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07B7802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0.3525***</w:t>
            </w:r>
          </w:p>
        </w:tc>
        <w:tc>
          <w:tcPr>
            <w:tcW w:w="924" w:type="pct"/>
            <w:tcBorders>
              <w:top w:val="nil"/>
              <w:left w:val="nil"/>
              <w:bottom w:val="nil"/>
              <w:right w:val="nil"/>
            </w:tcBorders>
          </w:tcPr>
          <w:p w14:paraId="25BC2ABE"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3EC074F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0.2897***</w:t>
            </w:r>
          </w:p>
        </w:tc>
      </w:tr>
      <w:tr w:rsidR="00DB57F4" w:rsidRPr="00A7211C" w14:paraId="5FB7ACA9" w14:textId="77777777" w:rsidTr="00233168">
        <w:trPr>
          <w:jc w:val="center"/>
        </w:trPr>
        <w:tc>
          <w:tcPr>
            <w:tcW w:w="1178" w:type="pct"/>
            <w:vMerge/>
            <w:tcBorders>
              <w:left w:val="nil"/>
              <w:bottom w:val="nil"/>
              <w:right w:val="nil"/>
            </w:tcBorders>
          </w:tcPr>
          <w:p w14:paraId="29A761F9"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1566559E"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11EF3EC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(0.0091)</w:t>
            </w:r>
          </w:p>
        </w:tc>
        <w:tc>
          <w:tcPr>
            <w:tcW w:w="924" w:type="pct"/>
            <w:tcBorders>
              <w:top w:val="nil"/>
              <w:left w:val="nil"/>
              <w:bottom w:val="nil"/>
              <w:right w:val="nil"/>
            </w:tcBorders>
          </w:tcPr>
          <w:p w14:paraId="2249255A"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6B2AB03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(0.0147)</w:t>
            </w:r>
          </w:p>
        </w:tc>
      </w:tr>
      <w:tr w:rsidR="00DB57F4" w:rsidRPr="00A7211C" w14:paraId="25E1028B" w14:textId="77777777" w:rsidTr="00233168">
        <w:trPr>
          <w:jc w:val="center"/>
        </w:trPr>
        <w:tc>
          <w:tcPr>
            <w:tcW w:w="1178" w:type="pct"/>
            <w:vMerge w:val="restart"/>
            <w:tcBorders>
              <w:top w:val="nil"/>
              <w:left w:val="nil"/>
              <w:right w:val="nil"/>
            </w:tcBorders>
            <w:vAlign w:val="center"/>
          </w:tcPr>
          <w:p w14:paraId="2467B885" w14:textId="77777777" w:rsidR="00DB57F4" w:rsidRPr="00A7211C" w:rsidRDefault="00DB57F4" w:rsidP="00233168">
            <w:pPr>
              <w:jc w:val="center"/>
              <w:rPr>
                <w:rFonts w:ascii="Times New Roman" w:hAnsi="Times New Roman" w:cs="Times New Roman"/>
                <w:i/>
                <w:iCs/>
              </w:rPr>
            </w:pPr>
            <w:proofErr w:type="spellStart"/>
            <w:r w:rsidRPr="00A7211C">
              <w:rPr>
                <w:rFonts w:ascii="Times New Roman" w:hAnsi="Times New Roman" w:cs="Times New Roman"/>
                <w:i/>
                <w:iCs/>
              </w:rPr>
              <w:t>roa</w:t>
            </w:r>
            <w:proofErr w:type="spellEnd"/>
          </w:p>
        </w:tc>
        <w:tc>
          <w:tcPr>
            <w:tcW w:w="924" w:type="pct"/>
            <w:tcBorders>
              <w:top w:val="nil"/>
              <w:left w:val="nil"/>
              <w:bottom w:val="nil"/>
              <w:right w:val="nil"/>
            </w:tcBorders>
          </w:tcPr>
          <w:p w14:paraId="3A1E9A16"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430A1AA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-1.2566***</w:t>
            </w:r>
          </w:p>
        </w:tc>
        <w:tc>
          <w:tcPr>
            <w:tcW w:w="924" w:type="pct"/>
            <w:tcBorders>
              <w:top w:val="nil"/>
              <w:left w:val="nil"/>
              <w:bottom w:val="nil"/>
              <w:right w:val="nil"/>
            </w:tcBorders>
          </w:tcPr>
          <w:p w14:paraId="75AE5322"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3BB83BF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-0.1600*</w:t>
            </w:r>
          </w:p>
        </w:tc>
      </w:tr>
      <w:tr w:rsidR="00DB57F4" w:rsidRPr="00A7211C" w14:paraId="08CE89E7" w14:textId="77777777" w:rsidTr="00233168">
        <w:trPr>
          <w:jc w:val="center"/>
        </w:trPr>
        <w:tc>
          <w:tcPr>
            <w:tcW w:w="1178" w:type="pct"/>
            <w:vMerge/>
            <w:tcBorders>
              <w:left w:val="nil"/>
              <w:bottom w:val="nil"/>
              <w:right w:val="nil"/>
            </w:tcBorders>
          </w:tcPr>
          <w:p w14:paraId="442B4E7C"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4C6EC988"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5136421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(0.1271)</w:t>
            </w:r>
          </w:p>
        </w:tc>
        <w:tc>
          <w:tcPr>
            <w:tcW w:w="924" w:type="pct"/>
            <w:tcBorders>
              <w:top w:val="nil"/>
              <w:left w:val="nil"/>
              <w:bottom w:val="nil"/>
              <w:right w:val="nil"/>
            </w:tcBorders>
          </w:tcPr>
          <w:p w14:paraId="29935F54"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15BCD89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(0.0933)</w:t>
            </w:r>
          </w:p>
        </w:tc>
      </w:tr>
      <w:tr w:rsidR="00DB57F4" w:rsidRPr="00A7211C" w14:paraId="08796387" w14:textId="77777777" w:rsidTr="00233168">
        <w:trPr>
          <w:jc w:val="center"/>
        </w:trPr>
        <w:tc>
          <w:tcPr>
            <w:tcW w:w="1178" w:type="pct"/>
            <w:vMerge w:val="restart"/>
            <w:tcBorders>
              <w:top w:val="nil"/>
              <w:left w:val="nil"/>
              <w:right w:val="nil"/>
            </w:tcBorders>
            <w:vAlign w:val="center"/>
          </w:tcPr>
          <w:p w14:paraId="768D235A"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lev</w:t>
            </w:r>
          </w:p>
        </w:tc>
        <w:tc>
          <w:tcPr>
            <w:tcW w:w="924" w:type="pct"/>
            <w:tcBorders>
              <w:top w:val="nil"/>
              <w:left w:val="nil"/>
              <w:bottom w:val="nil"/>
              <w:right w:val="nil"/>
            </w:tcBorders>
          </w:tcPr>
          <w:p w14:paraId="1F923BFE"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4814425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-0.2843***</w:t>
            </w:r>
          </w:p>
        </w:tc>
        <w:tc>
          <w:tcPr>
            <w:tcW w:w="924" w:type="pct"/>
            <w:tcBorders>
              <w:top w:val="nil"/>
              <w:left w:val="nil"/>
              <w:bottom w:val="nil"/>
              <w:right w:val="nil"/>
            </w:tcBorders>
          </w:tcPr>
          <w:p w14:paraId="4C41A686"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0D9E2EE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0.0522</w:t>
            </w:r>
          </w:p>
        </w:tc>
      </w:tr>
      <w:tr w:rsidR="00DB57F4" w:rsidRPr="00A7211C" w14:paraId="6D3C8912" w14:textId="77777777" w:rsidTr="00233168">
        <w:trPr>
          <w:jc w:val="center"/>
        </w:trPr>
        <w:tc>
          <w:tcPr>
            <w:tcW w:w="1178" w:type="pct"/>
            <w:vMerge/>
            <w:tcBorders>
              <w:left w:val="nil"/>
              <w:bottom w:val="nil"/>
              <w:right w:val="nil"/>
            </w:tcBorders>
          </w:tcPr>
          <w:p w14:paraId="33EBFA33"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7EEA4D4A"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DA41D1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(0.0425)</w:t>
            </w:r>
          </w:p>
        </w:tc>
        <w:tc>
          <w:tcPr>
            <w:tcW w:w="924" w:type="pct"/>
            <w:tcBorders>
              <w:top w:val="nil"/>
              <w:left w:val="nil"/>
              <w:bottom w:val="nil"/>
              <w:right w:val="nil"/>
            </w:tcBorders>
          </w:tcPr>
          <w:p w14:paraId="1BFE173D"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DCE451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(0.0499)</w:t>
            </w:r>
          </w:p>
        </w:tc>
      </w:tr>
      <w:tr w:rsidR="00DB57F4" w:rsidRPr="00A7211C" w14:paraId="3E387803" w14:textId="77777777" w:rsidTr="00233168">
        <w:trPr>
          <w:jc w:val="center"/>
        </w:trPr>
        <w:tc>
          <w:tcPr>
            <w:tcW w:w="1178" w:type="pct"/>
            <w:vMerge w:val="restart"/>
            <w:tcBorders>
              <w:top w:val="nil"/>
              <w:left w:val="nil"/>
              <w:right w:val="nil"/>
            </w:tcBorders>
            <w:vAlign w:val="center"/>
          </w:tcPr>
          <w:p w14:paraId="466366F5"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age</w:t>
            </w:r>
          </w:p>
        </w:tc>
        <w:tc>
          <w:tcPr>
            <w:tcW w:w="924" w:type="pct"/>
            <w:tcBorders>
              <w:top w:val="nil"/>
              <w:left w:val="nil"/>
              <w:bottom w:val="nil"/>
              <w:right w:val="nil"/>
            </w:tcBorders>
          </w:tcPr>
          <w:p w14:paraId="6E71A2BD"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187D0F6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-0.1831***</w:t>
            </w:r>
          </w:p>
        </w:tc>
        <w:tc>
          <w:tcPr>
            <w:tcW w:w="924" w:type="pct"/>
            <w:tcBorders>
              <w:top w:val="nil"/>
              <w:left w:val="nil"/>
              <w:bottom w:val="nil"/>
              <w:right w:val="nil"/>
            </w:tcBorders>
          </w:tcPr>
          <w:p w14:paraId="10C53EEF"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A0C201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0.0615**</w:t>
            </w:r>
          </w:p>
        </w:tc>
      </w:tr>
      <w:tr w:rsidR="00DB57F4" w:rsidRPr="00A7211C" w14:paraId="19190625" w14:textId="77777777" w:rsidTr="00233168">
        <w:trPr>
          <w:jc w:val="center"/>
        </w:trPr>
        <w:tc>
          <w:tcPr>
            <w:tcW w:w="1178" w:type="pct"/>
            <w:vMerge/>
            <w:tcBorders>
              <w:left w:val="nil"/>
              <w:bottom w:val="nil"/>
              <w:right w:val="nil"/>
            </w:tcBorders>
          </w:tcPr>
          <w:p w14:paraId="1760DA97"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79AEA1FA"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3B88ECD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(0.0110)</w:t>
            </w:r>
          </w:p>
        </w:tc>
        <w:tc>
          <w:tcPr>
            <w:tcW w:w="924" w:type="pct"/>
            <w:tcBorders>
              <w:top w:val="nil"/>
              <w:left w:val="nil"/>
              <w:bottom w:val="nil"/>
              <w:right w:val="nil"/>
            </w:tcBorders>
          </w:tcPr>
          <w:p w14:paraId="0EF26858"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0499BDF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(0.0249)</w:t>
            </w:r>
          </w:p>
        </w:tc>
      </w:tr>
      <w:tr w:rsidR="00DB57F4" w:rsidRPr="00A7211C" w14:paraId="10E553B6" w14:textId="77777777" w:rsidTr="00233168">
        <w:trPr>
          <w:jc w:val="center"/>
        </w:trPr>
        <w:tc>
          <w:tcPr>
            <w:tcW w:w="1178" w:type="pct"/>
            <w:vMerge w:val="restart"/>
            <w:tcBorders>
              <w:top w:val="nil"/>
              <w:left w:val="nil"/>
              <w:right w:val="nil"/>
            </w:tcBorders>
            <w:vAlign w:val="center"/>
          </w:tcPr>
          <w:p w14:paraId="700D7E5F"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top1</w:t>
            </w:r>
          </w:p>
        </w:tc>
        <w:tc>
          <w:tcPr>
            <w:tcW w:w="924" w:type="pct"/>
            <w:tcBorders>
              <w:top w:val="nil"/>
              <w:left w:val="nil"/>
              <w:bottom w:val="nil"/>
              <w:right w:val="nil"/>
            </w:tcBorders>
          </w:tcPr>
          <w:p w14:paraId="50B606E9"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233F0F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-0.6887***</w:t>
            </w:r>
          </w:p>
        </w:tc>
        <w:tc>
          <w:tcPr>
            <w:tcW w:w="924" w:type="pct"/>
            <w:tcBorders>
              <w:top w:val="nil"/>
              <w:left w:val="nil"/>
              <w:bottom w:val="nil"/>
              <w:right w:val="nil"/>
            </w:tcBorders>
          </w:tcPr>
          <w:p w14:paraId="4DB0D34E"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13A7369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-0.1603*</w:t>
            </w:r>
          </w:p>
        </w:tc>
      </w:tr>
      <w:tr w:rsidR="00DB57F4" w:rsidRPr="00A7211C" w14:paraId="76BCBB8F" w14:textId="77777777" w:rsidTr="00233168">
        <w:trPr>
          <w:jc w:val="center"/>
        </w:trPr>
        <w:tc>
          <w:tcPr>
            <w:tcW w:w="1178" w:type="pct"/>
            <w:vMerge/>
            <w:tcBorders>
              <w:left w:val="nil"/>
              <w:bottom w:val="nil"/>
              <w:right w:val="nil"/>
            </w:tcBorders>
          </w:tcPr>
          <w:p w14:paraId="48C92A55"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6869E813"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41F9220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(0.0533)</w:t>
            </w:r>
          </w:p>
        </w:tc>
        <w:tc>
          <w:tcPr>
            <w:tcW w:w="924" w:type="pct"/>
            <w:tcBorders>
              <w:top w:val="nil"/>
              <w:left w:val="nil"/>
              <w:bottom w:val="nil"/>
              <w:right w:val="nil"/>
            </w:tcBorders>
          </w:tcPr>
          <w:p w14:paraId="0D9A58EF"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55270C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(0.0858)</w:t>
            </w:r>
          </w:p>
        </w:tc>
      </w:tr>
      <w:tr w:rsidR="00DB57F4" w:rsidRPr="00A7211C" w14:paraId="48C2F3EF" w14:textId="77777777" w:rsidTr="00233168">
        <w:trPr>
          <w:jc w:val="center"/>
        </w:trPr>
        <w:tc>
          <w:tcPr>
            <w:tcW w:w="1178" w:type="pct"/>
            <w:vMerge w:val="restart"/>
            <w:tcBorders>
              <w:top w:val="nil"/>
              <w:left w:val="nil"/>
              <w:right w:val="nil"/>
            </w:tcBorders>
            <w:vAlign w:val="center"/>
          </w:tcPr>
          <w:p w14:paraId="41744B2B"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fix</w:t>
            </w:r>
          </w:p>
        </w:tc>
        <w:tc>
          <w:tcPr>
            <w:tcW w:w="924" w:type="pct"/>
            <w:tcBorders>
              <w:top w:val="nil"/>
              <w:left w:val="nil"/>
              <w:bottom w:val="nil"/>
              <w:right w:val="nil"/>
            </w:tcBorders>
          </w:tcPr>
          <w:p w14:paraId="257491F4"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0410159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w:t>
            </w:r>
            <w:proofErr w:type="gramStart"/>
            <w:r w:rsidRPr="00A7211C">
              <w:rPr>
                <w:rFonts w:ascii="Times New Roman" w:hAnsi="Times New Roman" w:cs="Times New Roman"/>
              </w:rPr>
              <w:t>0.0942**</w:t>
            </w:r>
            <w:proofErr w:type="gramEnd"/>
            <w:r w:rsidRPr="00A7211C">
              <w:rPr>
                <w:rFonts w:ascii="Times New Roman" w:hAnsi="Times New Roman" w:cs="Times New Roman"/>
              </w:rPr>
              <w:t>*</w:t>
            </w:r>
          </w:p>
        </w:tc>
        <w:tc>
          <w:tcPr>
            <w:tcW w:w="924" w:type="pct"/>
            <w:tcBorders>
              <w:top w:val="nil"/>
              <w:left w:val="nil"/>
              <w:bottom w:val="nil"/>
              <w:right w:val="nil"/>
            </w:tcBorders>
          </w:tcPr>
          <w:p w14:paraId="7819BE96"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0EB1742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0.0042</w:t>
            </w:r>
          </w:p>
        </w:tc>
      </w:tr>
      <w:tr w:rsidR="00DB57F4" w:rsidRPr="00A7211C" w14:paraId="3C492C0D" w14:textId="77777777" w:rsidTr="00233168">
        <w:trPr>
          <w:jc w:val="center"/>
        </w:trPr>
        <w:tc>
          <w:tcPr>
            <w:tcW w:w="1178" w:type="pct"/>
            <w:vMerge/>
            <w:tcBorders>
              <w:left w:val="nil"/>
              <w:bottom w:val="nil"/>
              <w:right w:val="nil"/>
            </w:tcBorders>
          </w:tcPr>
          <w:p w14:paraId="7A14EEE3"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101D7D38"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56597F7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(0.0065)</w:t>
            </w:r>
          </w:p>
        </w:tc>
        <w:tc>
          <w:tcPr>
            <w:tcW w:w="924" w:type="pct"/>
            <w:tcBorders>
              <w:top w:val="nil"/>
              <w:left w:val="nil"/>
              <w:bottom w:val="nil"/>
              <w:right w:val="nil"/>
            </w:tcBorders>
          </w:tcPr>
          <w:p w14:paraId="427C0C4A"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2BF049B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(0.0081)</w:t>
            </w:r>
          </w:p>
        </w:tc>
      </w:tr>
      <w:tr w:rsidR="00DB57F4" w:rsidRPr="00A7211C" w14:paraId="5F664A66" w14:textId="77777777" w:rsidTr="00233168">
        <w:trPr>
          <w:jc w:val="center"/>
        </w:trPr>
        <w:tc>
          <w:tcPr>
            <w:tcW w:w="1178" w:type="pct"/>
            <w:vMerge w:val="restart"/>
            <w:tcBorders>
              <w:top w:val="nil"/>
              <w:left w:val="nil"/>
              <w:right w:val="nil"/>
            </w:tcBorders>
            <w:vAlign w:val="center"/>
          </w:tcPr>
          <w:p w14:paraId="5E2BD380"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board</w:t>
            </w:r>
          </w:p>
        </w:tc>
        <w:tc>
          <w:tcPr>
            <w:tcW w:w="924" w:type="pct"/>
            <w:tcBorders>
              <w:top w:val="nil"/>
              <w:left w:val="nil"/>
              <w:bottom w:val="nil"/>
              <w:right w:val="nil"/>
            </w:tcBorders>
          </w:tcPr>
          <w:p w14:paraId="525DBB1A"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0DFB9F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-0.3449***</w:t>
            </w:r>
          </w:p>
        </w:tc>
        <w:tc>
          <w:tcPr>
            <w:tcW w:w="924" w:type="pct"/>
            <w:tcBorders>
              <w:top w:val="nil"/>
              <w:left w:val="nil"/>
              <w:bottom w:val="nil"/>
              <w:right w:val="nil"/>
            </w:tcBorders>
          </w:tcPr>
          <w:p w14:paraId="51EE6404"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417FD04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-0.1041**</w:t>
            </w:r>
          </w:p>
        </w:tc>
      </w:tr>
      <w:tr w:rsidR="00DB57F4" w:rsidRPr="00A7211C" w14:paraId="7FC4BA54" w14:textId="77777777" w:rsidTr="00233168">
        <w:trPr>
          <w:jc w:val="center"/>
        </w:trPr>
        <w:tc>
          <w:tcPr>
            <w:tcW w:w="1178" w:type="pct"/>
            <w:vMerge/>
            <w:tcBorders>
              <w:left w:val="nil"/>
              <w:bottom w:val="nil"/>
              <w:right w:val="nil"/>
            </w:tcBorders>
          </w:tcPr>
          <w:p w14:paraId="724108A3"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43F55066"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351A243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(0.0469)</w:t>
            </w:r>
          </w:p>
        </w:tc>
        <w:tc>
          <w:tcPr>
            <w:tcW w:w="924" w:type="pct"/>
            <w:tcBorders>
              <w:top w:val="nil"/>
              <w:left w:val="nil"/>
              <w:bottom w:val="nil"/>
              <w:right w:val="nil"/>
            </w:tcBorders>
          </w:tcPr>
          <w:p w14:paraId="46EBE636"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62EB811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(0.0507)</w:t>
            </w:r>
          </w:p>
        </w:tc>
      </w:tr>
      <w:tr w:rsidR="00DB57F4" w:rsidRPr="00A7211C" w14:paraId="151070AF" w14:textId="77777777" w:rsidTr="00233168">
        <w:trPr>
          <w:jc w:val="center"/>
        </w:trPr>
        <w:tc>
          <w:tcPr>
            <w:tcW w:w="1178" w:type="pct"/>
            <w:vMerge w:val="restart"/>
            <w:tcBorders>
              <w:top w:val="nil"/>
              <w:left w:val="nil"/>
              <w:right w:val="nil"/>
            </w:tcBorders>
            <w:vAlign w:val="center"/>
          </w:tcPr>
          <w:p w14:paraId="392D1A55" w14:textId="77777777" w:rsidR="00DB57F4" w:rsidRPr="00A7211C" w:rsidRDefault="00DB57F4" w:rsidP="00233168">
            <w:pPr>
              <w:jc w:val="center"/>
              <w:rPr>
                <w:rFonts w:ascii="Times New Roman" w:hAnsi="Times New Roman" w:cs="Times New Roman"/>
                <w:i/>
                <w:iCs/>
              </w:rPr>
            </w:pPr>
            <w:proofErr w:type="spellStart"/>
            <w:r w:rsidRPr="00A7211C">
              <w:rPr>
                <w:rFonts w:ascii="Times New Roman" w:hAnsi="Times New Roman" w:cs="Times New Roman"/>
                <w:i/>
                <w:iCs/>
              </w:rPr>
              <w:t>indep</w:t>
            </w:r>
            <w:proofErr w:type="spellEnd"/>
          </w:p>
        </w:tc>
        <w:tc>
          <w:tcPr>
            <w:tcW w:w="924" w:type="pct"/>
            <w:tcBorders>
              <w:top w:val="nil"/>
              <w:left w:val="nil"/>
              <w:bottom w:val="nil"/>
              <w:right w:val="nil"/>
            </w:tcBorders>
          </w:tcPr>
          <w:p w14:paraId="1258056D"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55D4D23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-0.2562</w:t>
            </w:r>
          </w:p>
        </w:tc>
        <w:tc>
          <w:tcPr>
            <w:tcW w:w="924" w:type="pct"/>
            <w:tcBorders>
              <w:top w:val="nil"/>
              <w:left w:val="nil"/>
              <w:bottom w:val="nil"/>
              <w:right w:val="nil"/>
            </w:tcBorders>
          </w:tcPr>
          <w:p w14:paraId="60910A27"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373F5E4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-0.4527***</w:t>
            </w:r>
          </w:p>
        </w:tc>
      </w:tr>
      <w:tr w:rsidR="00DB57F4" w:rsidRPr="00A7211C" w14:paraId="6B7519E7" w14:textId="77777777" w:rsidTr="00233168">
        <w:trPr>
          <w:jc w:val="center"/>
        </w:trPr>
        <w:tc>
          <w:tcPr>
            <w:tcW w:w="1178" w:type="pct"/>
            <w:vMerge/>
            <w:tcBorders>
              <w:left w:val="nil"/>
              <w:bottom w:val="nil"/>
              <w:right w:val="nil"/>
            </w:tcBorders>
          </w:tcPr>
          <w:p w14:paraId="32BFA777"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7D885B6A"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327F3E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(0.1745)</w:t>
            </w:r>
          </w:p>
        </w:tc>
        <w:tc>
          <w:tcPr>
            <w:tcW w:w="924" w:type="pct"/>
            <w:tcBorders>
              <w:top w:val="nil"/>
              <w:left w:val="nil"/>
              <w:bottom w:val="nil"/>
              <w:right w:val="nil"/>
            </w:tcBorders>
          </w:tcPr>
          <w:p w14:paraId="5EC40109"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2068B1A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(0.1538)</w:t>
            </w:r>
          </w:p>
        </w:tc>
      </w:tr>
      <w:tr w:rsidR="00DB57F4" w:rsidRPr="00A7211C" w14:paraId="330EF87E" w14:textId="77777777" w:rsidTr="00233168">
        <w:trPr>
          <w:jc w:val="center"/>
        </w:trPr>
        <w:tc>
          <w:tcPr>
            <w:tcW w:w="1178" w:type="pct"/>
            <w:vMerge w:val="restart"/>
            <w:tcBorders>
              <w:top w:val="nil"/>
              <w:left w:val="nil"/>
              <w:right w:val="nil"/>
            </w:tcBorders>
            <w:vAlign w:val="center"/>
          </w:tcPr>
          <w:p w14:paraId="066FADE1"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dual</w:t>
            </w:r>
          </w:p>
        </w:tc>
        <w:tc>
          <w:tcPr>
            <w:tcW w:w="924" w:type="pct"/>
            <w:tcBorders>
              <w:top w:val="nil"/>
              <w:left w:val="nil"/>
              <w:bottom w:val="nil"/>
              <w:right w:val="nil"/>
            </w:tcBorders>
          </w:tcPr>
          <w:p w14:paraId="056E4711"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2A8FEB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0.0839***</w:t>
            </w:r>
          </w:p>
        </w:tc>
        <w:tc>
          <w:tcPr>
            <w:tcW w:w="924" w:type="pct"/>
            <w:tcBorders>
              <w:top w:val="nil"/>
              <w:left w:val="nil"/>
              <w:bottom w:val="nil"/>
              <w:right w:val="nil"/>
            </w:tcBorders>
          </w:tcPr>
          <w:p w14:paraId="58416EE7"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6148707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0.0244</w:t>
            </w:r>
          </w:p>
        </w:tc>
      </w:tr>
      <w:tr w:rsidR="00DB57F4" w:rsidRPr="00A7211C" w14:paraId="2FF45D8E" w14:textId="77777777" w:rsidTr="00233168">
        <w:trPr>
          <w:jc w:val="center"/>
        </w:trPr>
        <w:tc>
          <w:tcPr>
            <w:tcW w:w="1178" w:type="pct"/>
            <w:vMerge/>
            <w:tcBorders>
              <w:left w:val="nil"/>
              <w:bottom w:val="nil"/>
              <w:right w:val="nil"/>
            </w:tcBorders>
          </w:tcPr>
          <w:p w14:paraId="605FD842"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57F837B0"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687D415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(0.0177)</w:t>
            </w:r>
          </w:p>
        </w:tc>
        <w:tc>
          <w:tcPr>
            <w:tcW w:w="924" w:type="pct"/>
            <w:tcBorders>
              <w:top w:val="nil"/>
              <w:left w:val="nil"/>
              <w:bottom w:val="nil"/>
              <w:right w:val="nil"/>
            </w:tcBorders>
          </w:tcPr>
          <w:p w14:paraId="2841723D"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71C865C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(0.0151)</w:t>
            </w:r>
          </w:p>
        </w:tc>
      </w:tr>
      <w:tr w:rsidR="00DB57F4" w:rsidRPr="00A7211C" w14:paraId="29E8DB9B" w14:textId="77777777" w:rsidTr="00233168">
        <w:trPr>
          <w:trHeight w:val="53"/>
          <w:jc w:val="center"/>
        </w:trPr>
        <w:tc>
          <w:tcPr>
            <w:tcW w:w="1178" w:type="pct"/>
            <w:vMerge w:val="restart"/>
            <w:tcBorders>
              <w:top w:val="nil"/>
              <w:left w:val="nil"/>
              <w:right w:val="nil"/>
            </w:tcBorders>
            <w:vAlign w:val="center"/>
          </w:tcPr>
          <w:p w14:paraId="4CB5CC27" w14:textId="77777777" w:rsidR="00DB57F4" w:rsidRPr="00A7211C" w:rsidRDefault="00DB57F4" w:rsidP="00233168">
            <w:pPr>
              <w:jc w:val="center"/>
              <w:rPr>
                <w:rFonts w:ascii="Times New Roman" w:hAnsi="Times New Roman" w:cs="Times New Roman"/>
                <w:i/>
                <w:iCs/>
              </w:rPr>
            </w:pPr>
            <w:proofErr w:type="spellStart"/>
            <w:r w:rsidRPr="00A7211C">
              <w:rPr>
                <w:rFonts w:ascii="Times New Roman" w:hAnsi="Times New Roman" w:cs="Times New Roman"/>
                <w:i/>
                <w:iCs/>
              </w:rPr>
              <w:t>tq</w:t>
            </w:r>
            <w:proofErr w:type="spellEnd"/>
          </w:p>
        </w:tc>
        <w:tc>
          <w:tcPr>
            <w:tcW w:w="924" w:type="pct"/>
            <w:tcBorders>
              <w:top w:val="nil"/>
              <w:left w:val="nil"/>
              <w:bottom w:val="nil"/>
              <w:right w:val="nil"/>
            </w:tcBorders>
          </w:tcPr>
          <w:p w14:paraId="7565DD84"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5FEFF9A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0.0376***</w:t>
            </w:r>
          </w:p>
        </w:tc>
        <w:tc>
          <w:tcPr>
            <w:tcW w:w="924" w:type="pct"/>
            <w:tcBorders>
              <w:top w:val="nil"/>
              <w:left w:val="nil"/>
              <w:bottom w:val="nil"/>
              <w:right w:val="nil"/>
            </w:tcBorders>
          </w:tcPr>
          <w:p w14:paraId="144865E4"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38798B7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0.0146***</w:t>
            </w:r>
          </w:p>
        </w:tc>
      </w:tr>
      <w:tr w:rsidR="00DB57F4" w:rsidRPr="00A7211C" w14:paraId="30028DBA" w14:textId="77777777" w:rsidTr="00233168">
        <w:trPr>
          <w:jc w:val="center"/>
        </w:trPr>
        <w:tc>
          <w:tcPr>
            <w:tcW w:w="1178" w:type="pct"/>
            <w:vMerge/>
            <w:tcBorders>
              <w:left w:val="nil"/>
              <w:bottom w:val="nil"/>
              <w:right w:val="nil"/>
            </w:tcBorders>
          </w:tcPr>
          <w:p w14:paraId="653D8EB1" w14:textId="77777777" w:rsidR="00DB57F4" w:rsidRPr="00A7211C" w:rsidRDefault="00DB57F4" w:rsidP="00233168">
            <w:pPr>
              <w:jc w:val="center"/>
              <w:rPr>
                <w:rFonts w:ascii="Times New Roman" w:hAnsi="Times New Roman" w:cs="Times New Roman"/>
                <w:i/>
                <w:iCs/>
              </w:rPr>
            </w:pPr>
          </w:p>
        </w:tc>
        <w:tc>
          <w:tcPr>
            <w:tcW w:w="924" w:type="pct"/>
            <w:tcBorders>
              <w:top w:val="nil"/>
              <w:left w:val="nil"/>
              <w:bottom w:val="nil"/>
              <w:right w:val="nil"/>
            </w:tcBorders>
          </w:tcPr>
          <w:p w14:paraId="0597FDC9"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32EFC78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(0.0053)</w:t>
            </w:r>
          </w:p>
        </w:tc>
        <w:tc>
          <w:tcPr>
            <w:tcW w:w="924" w:type="pct"/>
            <w:tcBorders>
              <w:top w:val="nil"/>
              <w:left w:val="nil"/>
              <w:bottom w:val="nil"/>
              <w:right w:val="nil"/>
            </w:tcBorders>
          </w:tcPr>
          <w:p w14:paraId="33C793FD" w14:textId="77777777" w:rsidR="00DB57F4" w:rsidRPr="00A7211C" w:rsidRDefault="00DB57F4" w:rsidP="00233168">
            <w:pPr>
              <w:jc w:val="center"/>
              <w:rPr>
                <w:rFonts w:ascii="Times New Roman" w:hAnsi="Times New Roman" w:cs="Times New Roman"/>
              </w:rPr>
            </w:pPr>
          </w:p>
        </w:tc>
        <w:tc>
          <w:tcPr>
            <w:tcW w:w="987" w:type="pct"/>
            <w:tcBorders>
              <w:top w:val="nil"/>
              <w:left w:val="nil"/>
              <w:bottom w:val="nil"/>
              <w:right w:val="nil"/>
            </w:tcBorders>
          </w:tcPr>
          <w:p w14:paraId="0A851EF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(0.0045)</w:t>
            </w:r>
          </w:p>
        </w:tc>
      </w:tr>
      <w:tr w:rsidR="00DB57F4" w:rsidRPr="00A7211C" w14:paraId="69C2F22C" w14:textId="77777777" w:rsidTr="00233168">
        <w:trPr>
          <w:jc w:val="center"/>
        </w:trPr>
        <w:tc>
          <w:tcPr>
            <w:tcW w:w="1178" w:type="pct"/>
            <w:vMerge w:val="restart"/>
            <w:tcBorders>
              <w:top w:val="nil"/>
              <w:left w:val="nil"/>
              <w:right w:val="nil"/>
            </w:tcBorders>
            <w:vAlign w:val="center"/>
          </w:tcPr>
          <w:p w14:paraId="6D03ECC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Constant</w:t>
            </w:r>
          </w:p>
        </w:tc>
        <w:tc>
          <w:tcPr>
            <w:tcW w:w="924" w:type="pct"/>
            <w:tcBorders>
              <w:top w:val="nil"/>
              <w:left w:val="nil"/>
              <w:bottom w:val="nil"/>
              <w:right w:val="nil"/>
            </w:tcBorders>
          </w:tcPr>
          <w:p w14:paraId="4A9FE18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0.6888***</w:t>
            </w:r>
          </w:p>
        </w:tc>
        <w:tc>
          <w:tcPr>
            <w:tcW w:w="987" w:type="pct"/>
            <w:tcBorders>
              <w:top w:val="nil"/>
              <w:left w:val="nil"/>
              <w:bottom w:val="nil"/>
              <w:right w:val="nil"/>
            </w:tcBorders>
          </w:tcPr>
          <w:p w14:paraId="729B609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-4.3576***</w:t>
            </w:r>
          </w:p>
        </w:tc>
        <w:tc>
          <w:tcPr>
            <w:tcW w:w="924" w:type="pct"/>
            <w:tcBorders>
              <w:top w:val="nil"/>
              <w:left w:val="nil"/>
              <w:bottom w:val="nil"/>
              <w:right w:val="nil"/>
            </w:tcBorders>
          </w:tcPr>
          <w:p w14:paraId="4DD5605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0.8817***</w:t>
            </w:r>
          </w:p>
        </w:tc>
        <w:tc>
          <w:tcPr>
            <w:tcW w:w="987" w:type="pct"/>
            <w:tcBorders>
              <w:top w:val="nil"/>
              <w:left w:val="nil"/>
              <w:bottom w:val="nil"/>
              <w:right w:val="nil"/>
            </w:tcBorders>
          </w:tcPr>
          <w:p w14:paraId="0DDCC6C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-5.3437***</w:t>
            </w:r>
          </w:p>
        </w:tc>
      </w:tr>
      <w:tr w:rsidR="00DB57F4" w:rsidRPr="00A7211C" w14:paraId="34F7AB0E" w14:textId="77777777" w:rsidTr="00233168">
        <w:trPr>
          <w:jc w:val="center"/>
        </w:trPr>
        <w:tc>
          <w:tcPr>
            <w:tcW w:w="1178" w:type="pct"/>
            <w:vMerge/>
            <w:tcBorders>
              <w:left w:val="nil"/>
              <w:bottom w:val="nil"/>
              <w:right w:val="nil"/>
            </w:tcBorders>
          </w:tcPr>
          <w:p w14:paraId="76D16410" w14:textId="77777777" w:rsidR="00DB57F4" w:rsidRPr="00A7211C" w:rsidRDefault="00DB57F4" w:rsidP="00233168">
            <w:pPr>
              <w:rPr>
                <w:rFonts w:ascii="Times New Roman" w:hAnsi="Times New Roman" w:cs="Times New Roman"/>
              </w:rPr>
            </w:pPr>
          </w:p>
        </w:tc>
        <w:tc>
          <w:tcPr>
            <w:tcW w:w="924" w:type="pct"/>
            <w:tcBorders>
              <w:top w:val="nil"/>
              <w:left w:val="nil"/>
              <w:bottom w:val="nil"/>
              <w:right w:val="nil"/>
            </w:tcBorders>
          </w:tcPr>
          <w:p w14:paraId="59F8B11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(0.0098)</w:t>
            </w:r>
          </w:p>
        </w:tc>
        <w:tc>
          <w:tcPr>
            <w:tcW w:w="987" w:type="pct"/>
            <w:tcBorders>
              <w:top w:val="nil"/>
              <w:left w:val="nil"/>
              <w:bottom w:val="nil"/>
              <w:right w:val="nil"/>
            </w:tcBorders>
          </w:tcPr>
          <w:p w14:paraId="34AEEC8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(0.2166)</w:t>
            </w:r>
          </w:p>
        </w:tc>
        <w:tc>
          <w:tcPr>
            <w:tcW w:w="924" w:type="pct"/>
            <w:tcBorders>
              <w:top w:val="nil"/>
              <w:left w:val="nil"/>
              <w:bottom w:val="nil"/>
              <w:right w:val="nil"/>
            </w:tcBorders>
          </w:tcPr>
          <w:p w14:paraId="35B4550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(0.0069)</w:t>
            </w:r>
          </w:p>
        </w:tc>
        <w:tc>
          <w:tcPr>
            <w:tcW w:w="987" w:type="pct"/>
            <w:tcBorders>
              <w:top w:val="nil"/>
              <w:left w:val="nil"/>
              <w:bottom w:val="nil"/>
              <w:right w:val="nil"/>
            </w:tcBorders>
          </w:tcPr>
          <w:p w14:paraId="622EB58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(0.3490)</w:t>
            </w:r>
          </w:p>
        </w:tc>
      </w:tr>
      <w:tr w:rsidR="00DB57F4" w:rsidRPr="00A7211C" w14:paraId="71BB02BE" w14:textId="77777777" w:rsidTr="00233168">
        <w:trPr>
          <w:jc w:val="center"/>
        </w:trPr>
        <w:tc>
          <w:tcPr>
            <w:tcW w:w="1178" w:type="pct"/>
            <w:tcBorders>
              <w:top w:val="nil"/>
              <w:left w:val="nil"/>
              <w:bottom w:val="nil"/>
              <w:right w:val="nil"/>
            </w:tcBorders>
          </w:tcPr>
          <w:p w14:paraId="1C6A00D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Observations</w:t>
            </w:r>
          </w:p>
        </w:tc>
        <w:tc>
          <w:tcPr>
            <w:tcW w:w="924" w:type="pct"/>
            <w:tcBorders>
              <w:top w:val="nil"/>
              <w:left w:val="nil"/>
              <w:bottom w:val="nil"/>
              <w:right w:val="nil"/>
            </w:tcBorders>
          </w:tcPr>
          <w:p w14:paraId="29AF204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987" w:type="pct"/>
            <w:tcBorders>
              <w:top w:val="nil"/>
              <w:left w:val="nil"/>
              <w:bottom w:val="nil"/>
              <w:right w:val="nil"/>
            </w:tcBorders>
          </w:tcPr>
          <w:p w14:paraId="3E7549E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924" w:type="pct"/>
            <w:tcBorders>
              <w:top w:val="nil"/>
              <w:left w:val="nil"/>
              <w:bottom w:val="nil"/>
              <w:right w:val="nil"/>
            </w:tcBorders>
          </w:tcPr>
          <w:p w14:paraId="34A04F0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987" w:type="pct"/>
            <w:tcBorders>
              <w:top w:val="nil"/>
              <w:left w:val="nil"/>
              <w:bottom w:val="nil"/>
              <w:right w:val="nil"/>
            </w:tcBorders>
          </w:tcPr>
          <w:p w14:paraId="05037C0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r>
      <w:tr w:rsidR="00DB57F4" w:rsidRPr="00A7211C" w14:paraId="0F1A9CA4" w14:textId="77777777" w:rsidTr="00233168">
        <w:trPr>
          <w:jc w:val="center"/>
        </w:trPr>
        <w:tc>
          <w:tcPr>
            <w:tcW w:w="1178" w:type="pct"/>
            <w:tcBorders>
              <w:top w:val="nil"/>
              <w:left w:val="nil"/>
              <w:bottom w:val="nil"/>
              <w:right w:val="nil"/>
            </w:tcBorders>
          </w:tcPr>
          <w:p w14:paraId="2E65352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Adjusted R</w:t>
            </w:r>
            <w:r w:rsidRPr="00A7211C">
              <w:rPr>
                <w:rFonts w:ascii="Times New Roman" w:hAnsi="Times New Roman" w:cs="Times New Roman"/>
                <w:vertAlign w:val="superscript"/>
              </w:rPr>
              <w:t>2</w:t>
            </w:r>
          </w:p>
        </w:tc>
        <w:tc>
          <w:tcPr>
            <w:tcW w:w="924" w:type="pct"/>
            <w:tcBorders>
              <w:top w:val="nil"/>
              <w:left w:val="nil"/>
              <w:bottom w:val="nil"/>
              <w:right w:val="nil"/>
            </w:tcBorders>
          </w:tcPr>
          <w:p w14:paraId="7BB5C67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0.0278</w:t>
            </w:r>
          </w:p>
        </w:tc>
        <w:tc>
          <w:tcPr>
            <w:tcW w:w="987" w:type="pct"/>
            <w:tcBorders>
              <w:top w:val="nil"/>
              <w:left w:val="nil"/>
              <w:bottom w:val="nil"/>
              <w:right w:val="nil"/>
            </w:tcBorders>
          </w:tcPr>
          <w:p w14:paraId="078B387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0.1077</w:t>
            </w:r>
          </w:p>
        </w:tc>
        <w:tc>
          <w:tcPr>
            <w:tcW w:w="924" w:type="pct"/>
            <w:tcBorders>
              <w:top w:val="nil"/>
              <w:left w:val="nil"/>
              <w:bottom w:val="nil"/>
              <w:right w:val="nil"/>
            </w:tcBorders>
          </w:tcPr>
          <w:p w14:paraId="03011AE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0.7497</w:t>
            </w:r>
          </w:p>
        </w:tc>
        <w:tc>
          <w:tcPr>
            <w:tcW w:w="987" w:type="pct"/>
            <w:tcBorders>
              <w:top w:val="nil"/>
              <w:left w:val="nil"/>
              <w:bottom w:val="nil"/>
              <w:right w:val="nil"/>
            </w:tcBorders>
          </w:tcPr>
          <w:p w14:paraId="5C71A6D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0.7586</w:t>
            </w:r>
          </w:p>
        </w:tc>
      </w:tr>
      <w:tr w:rsidR="00DB57F4" w:rsidRPr="00A7211C" w14:paraId="065F4045" w14:textId="77777777" w:rsidTr="00233168">
        <w:trPr>
          <w:jc w:val="center"/>
        </w:trPr>
        <w:tc>
          <w:tcPr>
            <w:tcW w:w="1178" w:type="pct"/>
            <w:tcBorders>
              <w:top w:val="nil"/>
              <w:left w:val="nil"/>
              <w:right w:val="nil"/>
            </w:tcBorders>
          </w:tcPr>
          <w:p w14:paraId="0AF806D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Year FE</w:t>
            </w:r>
          </w:p>
        </w:tc>
        <w:tc>
          <w:tcPr>
            <w:tcW w:w="924" w:type="pct"/>
            <w:tcBorders>
              <w:top w:val="nil"/>
              <w:left w:val="nil"/>
              <w:right w:val="nil"/>
            </w:tcBorders>
          </w:tcPr>
          <w:p w14:paraId="682B0F9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NO</w:t>
            </w:r>
          </w:p>
        </w:tc>
        <w:tc>
          <w:tcPr>
            <w:tcW w:w="987" w:type="pct"/>
            <w:tcBorders>
              <w:top w:val="nil"/>
              <w:left w:val="nil"/>
              <w:right w:val="nil"/>
            </w:tcBorders>
          </w:tcPr>
          <w:p w14:paraId="5702EC0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NO</w:t>
            </w:r>
          </w:p>
        </w:tc>
        <w:tc>
          <w:tcPr>
            <w:tcW w:w="924" w:type="pct"/>
            <w:tcBorders>
              <w:top w:val="nil"/>
              <w:left w:val="nil"/>
              <w:right w:val="nil"/>
            </w:tcBorders>
          </w:tcPr>
          <w:p w14:paraId="2624A06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87" w:type="pct"/>
            <w:tcBorders>
              <w:top w:val="nil"/>
              <w:left w:val="nil"/>
              <w:right w:val="nil"/>
            </w:tcBorders>
          </w:tcPr>
          <w:p w14:paraId="662A788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r>
      <w:tr w:rsidR="00DB57F4" w:rsidRPr="00A7211C" w14:paraId="43AA6406" w14:textId="77777777" w:rsidTr="00233168">
        <w:tblPrEx>
          <w:tblBorders>
            <w:bottom w:val="single" w:sz="6" w:space="0" w:color="auto"/>
          </w:tblBorders>
        </w:tblPrEx>
        <w:trPr>
          <w:jc w:val="center"/>
        </w:trPr>
        <w:tc>
          <w:tcPr>
            <w:tcW w:w="1178" w:type="pct"/>
            <w:tcBorders>
              <w:top w:val="nil"/>
              <w:left w:val="nil"/>
              <w:bottom w:val="single" w:sz="12" w:space="0" w:color="auto"/>
              <w:right w:val="nil"/>
            </w:tcBorders>
          </w:tcPr>
          <w:p w14:paraId="0F314D6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Firm FE</w:t>
            </w:r>
          </w:p>
        </w:tc>
        <w:tc>
          <w:tcPr>
            <w:tcW w:w="924" w:type="pct"/>
            <w:tcBorders>
              <w:top w:val="nil"/>
              <w:left w:val="nil"/>
              <w:bottom w:val="single" w:sz="12" w:space="0" w:color="auto"/>
              <w:right w:val="nil"/>
            </w:tcBorders>
          </w:tcPr>
          <w:p w14:paraId="7172C34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NO</w:t>
            </w:r>
          </w:p>
        </w:tc>
        <w:tc>
          <w:tcPr>
            <w:tcW w:w="987" w:type="pct"/>
            <w:tcBorders>
              <w:top w:val="nil"/>
              <w:left w:val="nil"/>
              <w:bottom w:val="single" w:sz="12" w:space="0" w:color="auto"/>
              <w:right w:val="nil"/>
            </w:tcBorders>
          </w:tcPr>
          <w:p w14:paraId="5AB96AD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NO</w:t>
            </w:r>
          </w:p>
        </w:tc>
        <w:tc>
          <w:tcPr>
            <w:tcW w:w="924" w:type="pct"/>
            <w:tcBorders>
              <w:top w:val="nil"/>
              <w:left w:val="nil"/>
              <w:bottom w:val="single" w:sz="12" w:space="0" w:color="auto"/>
              <w:right w:val="nil"/>
            </w:tcBorders>
          </w:tcPr>
          <w:p w14:paraId="1645301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87" w:type="pct"/>
            <w:tcBorders>
              <w:top w:val="nil"/>
              <w:left w:val="nil"/>
              <w:bottom w:val="single" w:sz="12" w:space="0" w:color="auto"/>
              <w:right w:val="nil"/>
            </w:tcBorders>
          </w:tcPr>
          <w:p w14:paraId="7752EF1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r>
    </w:tbl>
    <w:p w14:paraId="7ACC15F7"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02739221" w14:textId="77777777" w:rsidR="00DB57F4" w:rsidRDefault="00DB57F4" w:rsidP="00DB57F4"/>
    <w:p w14:paraId="26B9B6F5" w14:textId="77777777" w:rsidR="00DB57F4" w:rsidRDefault="00DB57F4" w:rsidP="00DB57F4"/>
    <w:p w14:paraId="3DACACF9" w14:textId="77777777" w:rsidR="00DB57F4" w:rsidRPr="00914C5E" w:rsidRDefault="00DB57F4" w:rsidP="00DB57F4">
      <w:pPr>
        <w:rPr>
          <w:rFonts w:ascii="Times New Roman" w:hAnsi="Times New Roman" w:cs="Times New Roman"/>
          <w:b/>
          <w:bCs/>
        </w:rPr>
      </w:pPr>
      <w:r w:rsidRPr="00914C5E">
        <w:rPr>
          <w:rFonts w:ascii="Times New Roman" w:hAnsi="Times New Roman" w:cs="Times New Roman"/>
          <w:b/>
          <w:bCs/>
        </w:rPr>
        <w:t>Table 4 Validity test of media ESG sentiment indicators</w:t>
      </w:r>
      <w:r>
        <w:rPr>
          <w:rFonts w:ascii="Times New Roman" w:hAnsi="Times New Roman" w:cs="Times New Roman" w:hint="eastAsia"/>
          <w:b/>
          <w:bCs/>
        </w:rPr>
        <w:t>.</w:t>
      </w:r>
    </w:p>
    <w:tbl>
      <w:tblPr>
        <w:tblW w:w="5000" w:type="pct"/>
        <w:jc w:val="center"/>
        <w:tblCellMar>
          <w:left w:w="75" w:type="dxa"/>
          <w:right w:w="75" w:type="dxa"/>
        </w:tblCellMar>
        <w:tblLook w:val="04A0" w:firstRow="1" w:lastRow="0" w:firstColumn="1" w:lastColumn="0" w:noHBand="0" w:noVBand="1"/>
      </w:tblPr>
      <w:tblGrid>
        <w:gridCol w:w="1659"/>
        <w:gridCol w:w="1405"/>
        <w:gridCol w:w="1322"/>
        <w:gridCol w:w="1322"/>
        <w:gridCol w:w="1322"/>
        <w:gridCol w:w="1276"/>
      </w:tblGrid>
      <w:tr w:rsidR="00DB57F4" w:rsidRPr="00A7211C" w14:paraId="7C69B976" w14:textId="77777777" w:rsidTr="00233168">
        <w:trPr>
          <w:trHeight w:val="198"/>
          <w:jc w:val="center"/>
        </w:trPr>
        <w:tc>
          <w:tcPr>
            <w:tcW w:w="998" w:type="pct"/>
            <w:vMerge w:val="restart"/>
            <w:tcBorders>
              <w:top w:val="single" w:sz="12" w:space="0" w:color="auto"/>
              <w:left w:val="nil"/>
              <w:right w:val="nil"/>
            </w:tcBorders>
            <w:vAlign w:val="center"/>
          </w:tcPr>
          <w:p w14:paraId="2474A06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VARIABLES</w:t>
            </w:r>
          </w:p>
        </w:tc>
        <w:tc>
          <w:tcPr>
            <w:tcW w:w="846" w:type="pct"/>
            <w:tcBorders>
              <w:top w:val="single" w:sz="12" w:space="0" w:color="auto"/>
              <w:left w:val="nil"/>
              <w:bottom w:val="nil"/>
              <w:right w:val="nil"/>
            </w:tcBorders>
            <w:hideMark/>
          </w:tcPr>
          <w:p w14:paraId="29396D8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(1)</w:t>
            </w:r>
          </w:p>
        </w:tc>
        <w:tc>
          <w:tcPr>
            <w:tcW w:w="796" w:type="pct"/>
            <w:tcBorders>
              <w:top w:val="single" w:sz="12" w:space="0" w:color="auto"/>
              <w:left w:val="nil"/>
              <w:bottom w:val="nil"/>
              <w:right w:val="nil"/>
            </w:tcBorders>
            <w:hideMark/>
          </w:tcPr>
          <w:p w14:paraId="1B2A8D3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w:t>
            </w:r>
          </w:p>
        </w:tc>
        <w:tc>
          <w:tcPr>
            <w:tcW w:w="796" w:type="pct"/>
            <w:tcBorders>
              <w:top w:val="single" w:sz="12" w:space="0" w:color="auto"/>
              <w:left w:val="nil"/>
              <w:bottom w:val="nil"/>
              <w:right w:val="nil"/>
            </w:tcBorders>
            <w:hideMark/>
          </w:tcPr>
          <w:p w14:paraId="4A771B1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(3)</w:t>
            </w:r>
          </w:p>
        </w:tc>
        <w:tc>
          <w:tcPr>
            <w:tcW w:w="796" w:type="pct"/>
            <w:tcBorders>
              <w:top w:val="single" w:sz="12" w:space="0" w:color="auto"/>
              <w:left w:val="nil"/>
              <w:bottom w:val="nil"/>
              <w:right w:val="nil"/>
            </w:tcBorders>
            <w:hideMark/>
          </w:tcPr>
          <w:p w14:paraId="5656309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(4)</w:t>
            </w:r>
          </w:p>
        </w:tc>
        <w:tc>
          <w:tcPr>
            <w:tcW w:w="769" w:type="pct"/>
            <w:tcBorders>
              <w:top w:val="single" w:sz="12" w:space="0" w:color="auto"/>
              <w:left w:val="nil"/>
              <w:bottom w:val="nil"/>
              <w:right w:val="nil"/>
            </w:tcBorders>
            <w:hideMark/>
          </w:tcPr>
          <w:p w14:paraId="439313C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(5)</w:t>
            </w:r>
          </w:p>
        </w:tc>
      </w:tr>
      <w:tr w:rsidR="00DB57F4" w:rsidRPr="00A7211C" w14:paraId="7F3E71B9" w14:textId="77777777" w:rsidTr="00233168">
        <w:trPr>
          <w:jc w:val="center"/>
        </w:trPr>
        <w:tc>
          <w:tcPr>
            <w:tcW w:w="998" w:type="pct"/>
            <w:vMerge/>
            <w:tcBorders>
              <w:left w:val="nil"/>
              <w:bottom w:val="single" w:sz="6" w:space="0" w:color="auto"/>
              <w:right w:val="nil"/>
            </w:tcBorders>
            <w:hideMark/>
          </w:tcPr>
          <w:p w14:paraId="7EFCE8B6" w14:textId="77777777" w:rsidR="00DB57F4" w:rsidRPr="00A7211C" w:rsidRDefault="00DB57F4" w:rsidP="00233168">
            <w:pPr>
              <w:rPr>
                <w:rFonts w:ascii="Times New Roman" w:hAnsi="Times New Roman" w:cs="Times New Roman"/>
                <w:szCs w:val="21"/>
              </w:rPr>
            </w:pPr>
          </w:p>
        </w:tc>
        <w:tc>
          <w:tcPr>
            <w:tcW w:w="846" w:type="pct"/>
            <w:tcBorders>
              <w:top w:val="nil"/>
              <w:left w:val="nil"/>
              <w:bottom w:val="single" w:sz="6" w:space="0" w:color="auto"/>
              <w:right w:val="nil"/>
            </w:tcBorders>
            <w:hideMark/>
          </w:tcPr>
          <w:p w14:paraId="47789044" w14:textId="77777777" w:rsidR="00DB57F4" w:rsidRPr="00A7211C" w:rsidRDefault="00DB57F4" w:rsidP="00233168">
            <w:pPr>
              <w:pStyle w:val="formulation"/>
              <w:spacing w:line="240" w:lineRule="auto"/>
              <w:jc w:val="center"/>
              <w:rPr>
                <w:rFonts w:ascii="Times New Roman" w:hAnsi="Times New Roman"/>
                <w:color w:val="auto"/>
                <w:sz w:val="21"/>
                <w:szCs w:val="21"/>
              </w:rPr>
            </w:pPr>
            <w:proofErr w:type="spellStart"/>
            <w:r w:rsidRPr="00A7211C">
              <w:rPr>
                <w:rFonts w:ascii="Times New Roman" w:hAnsi="Times New Roman"/>
                <w:color w:val="auto"/>
                <w:sz w:val="21"/>
                <w:szCs w:val="21"/>
              </w:rPr>
              <w:t>bb_esg</w:t>
            </w:r>
            <w:proofErr w:type="spellEnd"/>
          </w:p>
        </w:tc>
        <w:tc>
          <w:tcPr>
            <w:tcW w:w="796" w:type="pct"/>
            <w:tcBorders>
              <w:top w:val="nil"/>
              <w:left w:val="nil"/>
              <w:bottom w:val="single" w:sz="6" w:space="0" w:color="auto"/>
              <w:right w:val="nil"/>
            </w:tcBorders>
            <w:hideMark/>
          </w:tcPr>
          <w:p w14:paraId="77436E2C" w14:textId="77777777" w:rsidR="00DB57F4" w:rsidRPr="00A7211C" w:rsidRDefault="00DB57F4" w:rsidP="00233168">
            <w:pPr>
              <w:pStyle w:val="formulation"/>
              <w:spacing w:line="240" w:lineRule="auto"/>
              <w:jc w:val="center"/>
              <w:rPr>
                <w:rFonts w:ascii="Times New Roman" w:hAnsi="Times New Roman"/>
                <w:color w:val="auto"/>
                <w:sz w:val="21"/>
                <w:szCs w:val="21"/>
              </w:rPr>
            </w:pPr>
            <w:proofErr w:type="spellStart"/>
            <w:r w:rsidRPr="00A7211C">
              <w:rPr>
                <w:rFonts w:ascii="Times New Roman" w:hAnsi="Times New Roman"/>
                <w:color w:val="auto"/>
                <w:sz w:val="21"/>
                <w:szCs w:val="21"/>
              </w:rPr>
              <w:t>wind_esg</w:t>
            </w:r>
            <w:proofErr w:type="spellEnd"/>
          </w:p>
        </w:tc>
        <w:tc>
          <w:tcPr>
            <w:tcW w:w="796" w:type="pct"/>
            <w:tcBorders>
              <w:top w:val="nil"/>
              <w:left w:val="nil"/>
              <w:bottom w:val="single" w:sz="6" w:space="0" w:color="auto"/>
              <w:right w:val="nil"/>
            </w:tcBorders>
            <w:hideMark/>
          </w:tcPr>
          <w:p w14:paraId="70E67648" w14:textId="77777777" w:rsidR="00DB57F4" w:rsidRPr="00A7211C" w:rsidRDefault="00DB57F4" w:rsidP="00233168">
            <w:pPr>
              <w:pStyle w:val="formulation"/>
              <w:spacing w:line="240" w:lineRule="auto"/>
              <w:jc w:val="center"/>
              <w:rPr>
                <w:rFonts w:ascii="Times New Roman" w:hAnsi="Times New Roman"/>
                <w:color w:val="auto"/>
                <w:sz w:val="21"/>
                <w:szCs w:val="21"/>
              </w:rPr>
            </w:pPr>
            <w:proofErr w:type="spellStart"/>
            <w:r w:rsidRPr="00A7211C">
              <w:rPr>
                <w:rFonts w:ascii="Times New Roman" w:hAnsi="Times New Roman"/>
                <w:color w:val="auto"/>
                <w:sz w:val="21"/>
                <w:szCs w:val="21"/>
              </w:rPr>
              <w:t>sd_esg</w:t>
            </w:r>
            <w:proofErr w:type="spellEnd"/>
          </w:p>
        </w:tc>
        <w:tc>
          <w:tcPr>
            <w:tcW w:w="796" w:type="pct"/>
            <w:tcBorders>
              <w:top w:val="nil"/>
              <w:left w:val="nil"/>
              <w:bottom w:val="single" w:sz="6" w:space="0" w:color="auto"/>
              <w:right w:val="nil"/>
            </w:tcBorders>
            <w:hideMark/>
          </w:tcPr>
          <w:p w14:paraId="5454A25D" w14:textId="77777777" w:rsidR="00DB57F4" w:rsidRPr="00A7211C" w:rsidRDefault="00DB57F4" w:rsidP="00233168">
            <w:pPr>
              <w:pStyle w:val="formulation"/>
              <w:spacing w:line="240" w:lineRule="auto"/>
              <w:jc w:val="center"/>
              <w:rPr>
                <w:rFonts w:ascii="Times New Roman" w:hAnsi="Times New Roman"/>
                <w:color w:val="auto"/>
                <w:sz w:val="21"/>
                <w:szCs w:val="21"/>
              </w:rPr>
            </w:pPr>
            <w:proofErr w:type="spellStart"/>
            <w:r w:rsidRPr="00A7211C">
              <w:rPr>
                <w:rFonts w:ascii="Times New Roman" w:hAnsi="Times New Roman"/>
                <w:color w:val="auto"/>
                <w:sz w:val="21"/>
                <w:szCs w:val="21"/>
              </w:rPr>
              <w:t>hz_esg</w:t>
            </w:r>
            <w:proofErr w:type="spellEnd"/>
          </w:p>
        </w:tc>
        <w:tc>
          <w:tcPr>
            <w:tcW w:w="769" w:type="pct"/>
            <w:tcBorders>
              <w:top w:val="nil"/>
              <w:left w:val="nil"/>
              <w:bottom w:val="single" w:sz="6" w:space="0" w:color="auto"/>
              <w:right w:val="nil"/>
            </w:tcBorders>
            <w:hideMark/>
          </w:tcPr>
          <w:p w14:paraId="4DE5AD84" w14:textId="77777777" w:rsidR="00DB57F4" w:rsidRPr="00A7211C" w:rsidRDefault="00DB57F4" w:rsidP="00233168">
            <w:pPr>
              <w:pStyle w:val="formulation"/>
              <w:spacing w:line="240" w:lineRule="auto"/>
              <w:jc w:val="center"/>
              <w:rPr>
                <w:rFonts w:ascii="Times New Roman" w:hAnsi="Times New Roman"/>
                <w:color w:val="auto"/>
                <w:sz w:val="21"/>
                <w:szCs w:val="21"/>
              </w:rPr>
            </w:pPr>
            <w:proofErr w:type="spellStart"/>
            <w:r w:rsidRPr="00A7211C">
              <w:rPr>
                <w:rFonts w:ascii="Times New Roman" w:hAnsi="Times New Roman"/>
                <w:color w:val="auto"/>
                <w:sz w:val="21"/>
                <w:szCs w:val="21"/>
              </w:rPr>
              <w:t>esg_uncer</w:t>
            </w:r>
            <w:proofErr w:type="spellEnd"/>
          </w:p>
        </w:tc>
      </w:tr>
      <w:tr w:rsidR="00DB57F4" w:rsidRPr="00A7211C" w14:paraId="48726C45" w14:textId="77777777" w:rsidTr="00233168">
        <w:trPr>
          <w:jc w:val="center"/>
        </w:trPr>
        <w:tc>
          <w:tcPr>
            <w:tcW w:w="998" w:type="pct"/>
            <w:vMerge w:val="restart"/>
            <w:vAlign w:val="center"/>
            <w:hideMark/>
          </w:tcPr>
          <w:p w14:paraId="199DBF12" w14:textId="77777777" w:rsidR="00DB57F4" w:rsidRPr="00A7211C" w:rsidRDefault="00DB57F4" w:rsidP="00233168">
            <w:pPr>
              <w:pStyle w:val="formulation"/>
              <w:spacing w:line="240" w:lineRule="auto"/>
              <w:jc w:val="center"/>
              <w:rPr>
                <w:rFonts w:ascii="Times New Roman" w:hAnsi="Times New Roman"/>
                <w:color w:val="auto"/>
                <w:sz w:val="21"/>
                <w:szCs w:val="21"/>
              </w:rPr>
            </w:pPr>
            <w:proofErr w:type="spellStart"/>
            <w:r w:rsidRPr="00A7211C">
              <w:rPr>
                <w:rFonts w:ascii="Times New Roman" w:hAnsi="Times New Roman"/>
                <w:color w:val="auto"/>
                <w:sz w:val="21"/>
                <w:szCs w:val="21"/>
              </w:rPr>
              <w:t>esg_news</w:t>
            </w:r>
            <w:proofErr w:type="spellEnd"/>
          </w:p>
        </w:tc>
        <w:tc>
          <w:tcPr>
            <w:tcW w:w="846" w:type="pct"/>
            <w:hideMark/>
          </w:tcPr>
          <w:p w14:paraId="53B7C89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0.0073***</w:t>
            </w:r>
          </w:p>
        </w:tc>
        <w:tc>
          <w:tcPr>
            <w:tcW w:w="796" w:type="pct"/>
            <w:hideMark/>
          </w:tcPr>
          <w:p w14:paraId="4C9630E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0.0035**</w:t>
            </w:r>
          </w:p>
        </w:tc>
        <w:tc>
          <w:tcPr>
            <w:tcW w:w="796" w:type="pct"/>
            <w:hideMark/>
          </w:tcPr>
          <w:p w14:paraId="38DED9AC"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0.0028***</w:t>
            </w:r>
          </w:p>
        </w:tc>
        <w:tc>
          <w:tcPr>
            <w:tcW w:w="796" w:type="pct"/>
            <w:hideMark/>
          </w:tcPr>
          <w:p w14:paraId="5851677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0.0187***</w:t>
            </w:r>
          </w:p>
        </w:tc>
        <w:tc>
          <w:tcPr>
            <w:tcW w:w="769" w:type="pct"/>
            <w:hideMark/>
          </w:tcPr>
          <w:p w14:paraId="45FAFAC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-0.0094**</w:t>
            </w:r>
          </w:p>
        </w:tc>
      </w:tr>
      <w:tr w:rsidR="00DB57F4" w:rsidRPr="00A7211C" w14:paraId="45882267" w14:textId="77777777" w:rsidTr="00233168">
        <w:trPr>
          <w:jc w:val="center"/>
        </w:trPr>
        <w:tc>
          <w:tcPr>
            <w:tcW w:w="998" w:type="pct"/>
            <w:vMerge/>
            <w:vAlign w:val="center"/>
          </w:tcPr>
          <w:p w14:paraId="68B068B5" w14:textId="77777777" w:rsidR="00DB57F4" w:rsidRPr="00A7211C" w:rsidRDefault="00DB57F4" w:rsidP="00233168">
            <w:pPr>
              <w:jc w:val="center"/>
              <w:rPr>
                <w:rFonts w:ascii="Times New Roman" w:hAnsi="Times New Roman" w:cs="Times New Roman"/>
                <w:szCs w:val="21"/>
              </w:rPr>
            </w:pPr>
          </w:p>
        </w:tc>
        <w:tc>
          <w:tcPr>
            <w:tcW w:w="846" w:type="pct"/>
            <w:hideMark/>
          </w:tcPr>
          <w:p w14:paraId="52ADD93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(0.0015)</w:t>
            </w:r>
          </w:p>
        </w:tc>
        <w:tc>
          <w:tcPr>
            <w:tcW w:w="796" w:type="pct"/>
            <w:hideMark/>
          </w:tcPr>
          <w:p w14:paraId="72722D2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(0.0015)</w:t>
            </w:r>
          </w:p>
        </w:tc>
        <w:tc>
          <w:tcPr>
            <w:tcW w:w="796" w:type="pct"/>
            <w:hideMark/>
          </w:tcPr>
          <w:p w14:paraId="213B10C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(0.0009)</w:t>
            </w:r>
          </w:p>
        </w:tc>
        <w:tc>
          <w:tcPr>
            <w:tcW w:w="796" w:type="pct"/>
            <w:hideMark/>
          </w:tcPr>
          <w:p w14:paraId="71FF737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(0.0010)</w:t>
            </w:r>
          </w:p>
        </w:tc>
        <w:tc>
          <w:tcPr>
            <w:tcW w:w="769" w:type="pct"/>
            <w:hideMark/>
          </w:tcPr>
          <w:p w14:paraId="6FFC850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(0.0039)</w:t>
            </w:r>
          </w:p>
        </w:tc>
      </w:tr>
      <w:tr w:rsidR="00DB57F4" w:rsidRPr="00A7211C" w14:paraId="5C239421" w14:textId="77777777" w:rsidTr="00233168">
        <w:trPr>
          <w:jc w:val="center"/>
        </w:trPr>
        <w:tc>
          <w:tcPr>
            <w:tcW w:w="998" w:type="pct"/>
            <w:vMerge w:val="restart"/>
            <w:vAlign w:val="center"/>
            <w:hideMark/>
          </w:tcPr>
          <w:p w14:paraId="129CA090" w14:textId="77777777" w:rsidR="00DB57F4" w:rsidRPr="00A7211C" w:rsidRDefault="00DB57F4" w:rsidP="00233168">
            <w:pPr>
              <w:pStyle w:val="formulation"/>
              <w:spacing w:line="240" w:lineRule="auto"/>
              <w:jc w:val="center"/>
              <w:rPr>
                <w:rFonts w:ascii="Times New Roman" w:hAnsi="Times New Roman"/>
                <w:i w:val="0"/>
                <w:iCs/>
                <w:color w:val="auto"/>
                <w:sz w:val="21"/>
                <w:szCs w:val="21"/>
              </w:rPr>
            </w:pPr>
            <w:r w:rsidRPr="00A7211C">
              <w:rPr>
                <w:rFonts w:ascii="Times New Roman" w:hAnsi="Times New Roman"/>
                <w:i w:val="0"/>
                <w:iCs/>
                <w:color w:val="auto"/>
                <w:sz w:val="21"/>
                <w:szCs w:val="21"/>
              </w:rPr>
              <w:t>Constant</w:t>
            </w:r>
          </w:p>
        </w:tc>
        <w:tc>
          <w:tcPr>
            <w:tcW w:w="846" w:type="pct"/>
            <w:hideMark/>
          </w:tcPr>
          <w:p w14:paraId="1DC8714E"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-0.1175***</w:t>
            </w:r>
          </w:p>
        </w:tc>
        <w:tc>
          <w:tcPr>
            <w:tcW w:w="796" w:type="pct"/>
            <w:hideMark/>
          </w:tcPr>
          <w:p w14:paraId="2DAF91A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0.2489***</w:t>
            </w:r>
          </w:p>
        </w:tc>
        <w:tc>
          <w:tcPr>
            <w:tcW w:w="796" w:type="pct"/>
            <w:hideMark/>
          </w:tcPr>
          <w:p w14:paraId="4372B49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-0.0082</w:t>
            </w:r>
          </w:p>
        </w:tc>
        <w:tc>
          <w:tcPr>
            <w:tcW w:w="796" w:type="pct"/>
            <w:hideMark/>
          </w:tcPr>
          <w:p w14:paraId="2286DC4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0.4861***</w:t>
            </w:r>
          </w:p>
        </w:tc>
        <w:tc>
          <w:tcPr>
            <w:tcW w:w="769" w:type="pct"/>
            <w:hideMark/>
          </w:tcPr>
          <w:p w14:paraId="2ABE287A"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-0.0114</w:t>
            </w:r>
          </w:p>
        </w:tc>
      </w:tr>
      <w:tr w:rsidR="00DB57F4" w:rsidRPr="00A7211C" w14:paraId="5BDF3260" w14:textId="77777777" w:rsidTr="00233168">
        <w:trPr>
          <w:jc w:val="center"/>
        </w:trPr>
        <w:tc>
          <w:tcPr>
            <w:tcW w:w="998" w:type="pct"/>
            <w:vMerge/>
          </w:tcPr>
          <w:p w14:paraId="5BF69E96" w14:textId="77777777" w:rsidR="00DB57F4" w:rsidRPr="00A7211C" w:rsidRDefault="00DB57F4" w:rsidP="00233168">
            <w:pPr>
              <w:jc w:val="center"/>
              <w:rPr>
                <w:rFonts w:ascii="Times New Roman" w:hAnsi="Times New Roman" w:cs="Times New Roman"/>
                <w:szCs w:val="21"/>
              </w:rPr>
            </w:pPr>
          </w:p>
        </w:tc>
        <w:tc>
          <w:tcPr>
            <w:tcW w:w="846" w:type="pct"/>
            <w:hideMark/>
          </w:tcPr>
          <w:p w14:paraId="1F2ED03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(0.0354)</w:t>
            </w:r>
          </w:p>
        </w:tc>
        <w:tc>
          <w:tcPr>
            <w:tcW w:w="796" w:type="pct"/>
            <w:hideMark/>
          </w:tcPr>
          <w:p w14:paraId="61F67AC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(0.0678)</w:t>
            </w:r>
          </w:p>
        </w:tc>
        <w:tc>
          <w:tcPr>
            <w:tcW w:w="796" w:type="pct"/>
            <w:hideMark/>
          </w:tcPr>
          <w:p w14:paraId="47D162B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(0.0433)</w:t>
            </w:r>
          </w:p>
        </w:tc>
        <w:tc>
          <w:tcPr>
            <w:tcW w:w="796" w:type="pct"/>
            <w:hideMark/>
          </w:tcPr>
          <w:p w14:paraId="46C3C27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(0.0199)</w:t>
            </w:r>
          </w:p>
        </w:tc>
        <w:tc>
          <w:tcPr>
            <w:tcW w:w="769" w:type="pct"/>
            <w:hideMark/>
          </w:tcPr>
          <w:p w14:paraId="5F0848D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(0.0889)</w:t>
            </w:r>
          </w:p>
        </w:tc>
      </w:tr>
      <w:tr w:rsidR="00DB57F4" w:rsidRPr="00A7211C" w14:paraId="63F26306" w14:textId="77777777" w:rsidTr="00233168">
        <w:trPr>
          <w:jc w:val="center"/>
        </w:trPr>
        <w:tc>
          <w:tcPr>
            <w:tcW w:w="998" w:type="pct"/>
            <w:hideMark/>
          </w:tcPr>
          <w:p w14:paraId="1C9C77A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Observations</w:t>
            </w:r>
          </w:p>
        </w:tc>
        <w:tc>
          <w:tcPr>
            <w:tcW w:w="846" w:type="pct"/>
            <w:hideMark/>
          </w:tcPr>
          <w:p w14:paraId="39A6EEE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9,088</w:t>
            </w:r>
          </w:p>
        </w:tc>
        <w:tc>
          <w:tcPr>
            <w:tcW w:w="796" w:type="pct"/>
            <w:hideMark/>
          </w:tcPr>
          <w:p w14:paraId="5428C8D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8,930</w:t>
            </w:r>
          </w:p>
        </w:tc>
        <w:tc>
          <w:tcPr>
            <w:tcW w:w="796" w:type="pct"/>
            <w:hideMark/>
          </w:tcPr>
          <w:p w14:paraId="3BAE030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11,555</w:t>
            </w:r>
          </w:p>
        </w:tc>
        <w:tc>
          <w:tcPr>
            <w:tcW w:w="796" w:type="pct"/>
            <w:hideMark/>
          </w:tcPr>
          <w:p w14:paraId="1DB5EC7F"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24,891</w:t>
            </w:r>
          </w:p>
        </w:tc>
        <w:tc>
          <w:tcPr>
            <w:tcW w:w="769" w:type="pct"/>
            <w:hideMark/>
          </w:tcPr>
          <w:p w14:paraId="673E814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8,930</w:t>
            </w:r>
          </w:p>
        </w:tc>
      </w:tr>
      <w:tr w:rsidR="00DB57F4" w:rsidRPr="00A7211C" w14:paraId="70AB01D2" w14:textId="77777777" w:rsidTr="00233168">
        <w:trPr>
          <w:jc w:val="center"/>
        </w:trPr>
        <w:tc>
          <w:tcPr>
            <w:tcW w:w="998" w:type="pct"/>
            <w:hideMark/>
          </w:tcPr>
          <w:p w14:paraId="64CDBC0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Adjusted R</w:t>
            </w:r>
            <w:r w:rsidRPr="00A7211C">
              <w:rPr>
                <w:rFonts w:ascii="Times New Roman" w:hAnsi="Times New Roman" w:cs="Times New Roman"/>
                <w:szCs w:val="21"/>
                <w:vertAlign w:val="superscript"/>
              </w:rPr>
              <w:t>2</w:t>
            </w:r>
          </w:p>
        </w:tc>
        <w:tc>
          <w:tcPr>
            <w:tcW w:w="846" w:type="pct"/>
            <w:hideMark/>
          </w:tcPr>
          <w:p w14:paraId="43B3A3D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0.7647</w:t>
            </w:r>
          </w:p>
        </w:tc>
        <w:tc>
          <w:tcPr>
            <w:tcW w:w="796" w:type="pct"/>
            <w:hideMark/>
          </w:tcPr>
          <w:p w14:paraId="5DA0A77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0.7941</w:t>
            </w:r>
          </w:p>
        </w:tc>
        <w:tc>
          <w:tcPr>
            <w:tcW w:w="796" w:type="pct"/>
            <w:hideMark/>
          </w:tcPr>
          <w:p w14:paraId="7745B44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0.8186</w:t>
            </w:r>
          </w:p>
        </w:tc>
        <w:tc>
          <w:tcPr>
            <w:tcW w:w="796" w:type="pct"/>
            <w:hideMark/>
          </w:tcPr>
          <w:p w14:paraId="48221A8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0.5562</w:t>
            </w:r>
          </w:p>
        </w:tc>
        <w:tc>
          <w:tcPr>
            <w:tcW w:w="769" w:type="pct"/>
            <w:hideMark/>
          </w:tcPr>
          <w:p w14:paraId="5F5F938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0.3194</w:t>
            </w:r>
          </w:p>
        </w:tc>
      </w:tr>
      <w:tr w:rsidR="00DB57F4" w:rsidRPr="00A7211C" w14:paraId="5286B36E" w14:textId="77777777" w:rsidTr="00233168">
        <w:trPr>
          <w:jc w:val="center"/>
        </w:trPr>
        <w:tc>
          <w:tcPr>
            <w:tcW w:w="998" w:type="pct"/>
          </w:tcPr>
          <w:p w14:paraId="6B71D17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Controls</w:t>
            </w:r>
          </w:p>
        </w:tc>
        <w:tc>
          <w:tcPr>
            <w:tcW w:w="846" w:type="pct"/>
          </w:tcPr>
          <w:p w14:paraId="087CDB8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tcPr>
          <w:p w14:paraId="38FDBCA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tcPr>
          <w:p w14:paraId="793B35DF"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tcPr>
          <w:p w14:paraId="6F8E98B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69" w:type="pct"/>
          </w:tcPr>
          <w:p w14:paraId="4C862D5A"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r>
      <w:tr w:rsidR="00DB57F4" w:rsidRPr="00A7211C" w14:paraId="121D64B0" w14:textId="77777777" w:rsidTr="00233168">
        <w:trPr>
          <w:jc w:val="center"/>
        </w:trPr>
        <w:tc>
          <w:tcPr>
            <w:tcW w:w="998" w:type="pct"/>
            <w:hideMark/>
          </w:tcPr>
          <w:p w14:paraId="149E65B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Year FE</w:t>
            </w:r>
          </w:p>
        </w:tc>
        <w:tc>
          <w:tcPr>
            <w:tcW w:w="846" w:type="pct"/>
            <w:hideMark/>
          </w:tcPr>
          <w:p w14:paraId="1BB106C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hideMark/>
          </w:tcPr>
          <w:p w14:paraId="715CFBD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hideMark/>
          </w:tcPr>
          <w:p w14:paraId="17357BBC"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hideMark/>
          </w:tcPr>
          <w:p w14:paraId="79D8AA0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69" w:type="pct"/>
            <w:hideMark/>
          </w:tcPr>
          <w:p w14:paraId="0800648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r>
      <w:tr w:rsidR="00DB57F4" w:rsidRPr="00A7211C" w14:paraId="0F901C25" w14:textId="77777777" w:rsidTr="00233168">
        <w:trPr>
          <w:jc w:val="center"/>
        </w:trPr>
        <w:tc>
          <w:tcPr>
            <w:tcW w:w="998" w:type="pct"/>
            <w:tcBorders>
              <w:top w:val="nil"/>
              <w:left w:val="nil"/>
              <w:bottom w:val="single" w:sz="12" w:space="0" w:color="auto"/>
              <w:right w:val="nil"/>
            </w:tcBorders>
            <w:hideMark/>
          </w:tcPr>
          <w:p w14:paraId="0CAC7F05"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Firm FE</w:t>
            </w:r>
          </w:p>
        </w:tc>
        <w:tc>
          <w:tcPr>
            <w:tcW w:w="846" w:type="pct"/>
            <w:tcBorders>
              <w:top w:val="nil"/>
              <w:left w:val="nil"/>
              <w:bottom w:val="single" w:sz="12" w:space="0" w:color="auto"/>
              <w:right w:val="nil"/>
            </w:tcBorders>
            <w:hideMark/>
          </w:tcPr>
          <w:p w14:paraId="5091967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tcBorders>
              <w:top w:val="nil"/>
              <w:left w:val="nil"/>
              <w:bottom w:val="single" w:sz="12" w:space="0" w:color="auto"/>
              <w:right w:val="nil"/>
            </w:tcBorders>
            <w:hideMark/>
          </w:tcPr>
          <w:p w14:paraId="7C454CA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tcBorders>
              <w:top w:val="nil"/>
              <w:left w:val="nil"/>
              <w:bottom w:val="single" w:sz="12" w:space="0" w:color="auto"/>
              <w:right w:val="nil"/>
            </w:tcBorders>
            <w:hideMark/>
          </w:tcPr>
          <w:p w14:paraId="099AC08C"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6" w:type="pct"/>
            <w:tcBorders>
              <w:top w:val="nil"/>
              <w:left w:val="nil"/>
              <w:bottom w:val="single" w:sz="12" w:space="0" w:color="auto"/>
              <w:right w:val="nil"/>
            </w:tcBorders>
            <w:hideMark/>
          </w:tcPr>
          <w:p w14:paraId="10D9638C"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69" w:type="pct"/>
            <w:tcBorders>
              <w:top w:val="nil"/>
              <w:left w:val="nil"/>
              <w:bottom w:val="single" w:sz="12" w:space="0" w:color="auto"/>
              <w:right w:val="nil"/>
            </w:tcBorders>
            <w:hideMark/>
          </w:tcPr>
          <w:p w14:paraId="7ECCBD8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r>
    </w:tbl>
    <w:p w14:paraId="26947629"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2885B7A5" w14:textId="77777777" w:rsidR="00DB57F4" w:rsidRDefault="00DB57F4" w:rsidP="00DB57F4">
      <w:r>
        <w:rPr>
          <w:rFonts w:hint="eastAsia"/>
        </w:rPr>
        <w:br w:type="page"/>
      </w:r>
    </w:p>
    <w:p w14:paraId="2CE309FD" w14:textId="77777777" w:rsidR="00DB57F4" w:rsidRDefault="00DB57F4" w:rsidP="00DB57F4"/>
    <w:p w14:paraId="1D02E89B" w14:textId="77777777" w:rsidR="00DB57F4" w:rsidRPr="00BD11E7" w:rsidRDefault="00DB57F4" w:rsidP="00DB57F4">
      <w:pPr>
        <w:rPr>
          <w:rFonts w:ascii="Times New Roman" w:hAnsi="Times New Roman" w:cs="Times New Roman"/>
          <w:b/>
          <w:bCs/>
          <w:color w:val="FF0000"/>
        </w:rPr>
      </w:pPr>
      <w:r w:rsidRPr="00BD11E7">
        <w:rPr>
          <w:rFonts w:ascii="Times New Roman" w:hAnsi="Times New Roman" w:cs="Times New Roman"/>
          <w:b/>
          <w:bCs/>
          <w:color w:val="FF0000"/>
        </w:rPr>
        <w:t xml:space="preserve">Table </w:t>
      </w:r>
      <w:r w:rsidRPr="00BD11E7">
        <w:rPr>
          <w:rFonts w:ascii="Times New Roman" w:hAnsi="Times New Roman" w:cs="Times New Roman" w:hint="eastAsia"/>
          <w:b/>
          <w:bCs/>
          <w:color w:val="FF0000"/>
        </w:rPr>
        <w:t>5</w:t>
      </w:r>
      <w:r w:rsidRPr="00BD11E7">
        <w:rPr>
          <w:rFonts w:ascii="Times New Roman" w:hAnsi="Times New Roman" w:cs="Times New Roman"/>
          <w:b/>
          <w:bCs/>
          <w:color w:val="FF0000"/>
        </w:rPr>
        <w:t xml:space="preserve"> Validity test of </w:t>
      </w:r>
      <w:r w:rsidRPr="00BD11E7">
        <w:rPr>
          <w:rFonts w:ascii="Times New Roman" w:hAnsi="Times New Roman" w:cs="Times New Roman" w:hint="eastAsia"/>
          <w:b/>
          <w:bCs/>
          <w:color w:val="FF0000"/>
        </w:rPr>
        <w:t>CEI</w:t>
      </w:r>
      <w:r w:rsidRPr="00BD11E7">
        <w:rPr>
          <w:rFonts w:ascii="Times New Roman" w:hAnsi="Times New Roman" w:cs="Times New Roman"/>
          <w:b/>
          <w:bCs/>
          <w:color w:val="FF0000"/>
        </w:rPr>
        <w:t xml:space="preserve"> indicators</w:t>
      </w:r>
    </w:p>
    <w:tbl>
      <w:tblPr>
        <w:tblW w:w="5000" w:type="pct"/>
        <w:jc w:val="center"/>
        <w:tblCellMar>
          <w:left w:w="75" w:type="dxa"/>
          <w:right w:w="75" w:type="dxa"/>
        </w:tblCellMar>
        <w:tblLook w:val="04A0" w:firstRow="1" w:lastRow="0" w:firstColumn="1" w:lastColumn="0" w:noHBand="0" w:noVBand="1"/>
      </w:tblPr>
      <w:tblGrid>
        <w:gridCol w:w="2407"/>
        <w:gridCol w:w="2043"/>
        <w:gridCol w:w="1929"/>
        <w:gridCol w:w="1927"/>
      </w:tblGrid>
      <w:tr w:rsidR="00DB57F4" w:rsidRPr="00BD11E7" w14:paraId="52B9F00A" w14:textId="77777777" w:rsidTr="00233168">
        <w:trPr>
          <w:trHeight w:val="198"/>
          <w:jc w:val="center"/>
        </w:trPr>
        <w:tc>
          <w:tcPr>
            <w:tcW w:w="1449" w:type="pct"/>
            <w:vMerge w:val="restart"/>
            <w:tcBorders>
              <w:top w:val="single" w:sz="12" w:space="0" w:color="auto"/>
              <w:left w:val="nil"/>
              <w:right w:val="nil"/>
            </w:tcBorders>
            <w:vAlign w:val="center"/>
          </w:tcPr>
          <w:p w14:paraId="13A256E8"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VARIABLES</w:t>
            </w:r>
          </w:p>
        </w:tc>
        <w:tc>
          <w:tcPr>
            <w:tcW w:w="1230" w:type="pct"/>
            <w:tcBorders>
              <w:top w:val="single" w:sz="12" w:space="0" w:color="auto"/>
              <w:left w:val="nil"/>
              <w:bottom w:val="nil"/>
              <w:right w:val="nil"/>
            </w:tcBorders>
            <w:hideMark/>
          </w:tcPr>
          <w:p w14:paraId="55ECB887"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(1)</w:t>
            </w:r>
          </w:p>
        </w:tc>
        <w:tc>
          <w:tcPr>
            <w:tcW w:w="1161" w:type="pct"/>
            <w:tcBorders>
              <w:top w:val="single" w:sz="12" w:space="0" w:color="auto"/>
              <w:left w:val="nil"/>
              <w:bottom w:val="nil"/>
              <w:right w:val="nil"/>
            </w:tcBorders>
            <w:hideMark/>
          </w:tcPr>
          <w:p w14:paraId="7570005C"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(2)</w:t>
            </w:r>
          </w:p>
        </w:tc>
        <w:tc>
          <w:tcPr>
            <w:tcW w:w="1160" w:type="pct"/>
            <w:tcBorders>
              <w:top w:val="single" w:sz="12" w:space="0" w:color="auto"/>
              <w:left w:val="nil"/>
              <w:bottom w:val="nil"/>
              <w:right w:val="nil"/>
            </w:tcBorders>
            <w:hideMark/>
          </w:tcPr>
          <w:p w14:paraId="64CACA26"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(3)</w:t>
            </w:r>
          </w:p>
        </w:tc>
      </w:tr>
      <w:tr w:rsidR="00DB57F4" w:rsidRPr="00BD11E7" w14:paraId="75F07FC3" w14:textId="77777777" w:rsidTr="00233168">
        <w:trPr>
          <w:jc w:val="center"/>
        </w:trPr>
        <w:tc>
          <w:tcPr>
            <w:tcW w:w="1449" w:type="pct"/>
            <w:vMerge/>
            <w:tcBorders>
              <w:left w:val="nil"/>
              <w:bottom w:val="single" w:sz="6" w:space="0" w:color="auto"/>
              <w:right w:val="nil"/>
            </w:tcBorders>
            <w:hideMark/>
          </w:tcPr>
          <w:p w14:paraId="423AA07A" w14:textId="77777777" w:rsidR="00DB57F4" w:rsidRPr="00BD11E7" w:rsidRDefault="00DB57F4" w:rsidP="00233168">
            <w:pPr>
              <w:rPr>
                <w:rFonts w:ascii="Times New Roman" w:hAnsi="Times New Roman" w:cs="Times New Roman"/>
                <w:color w:val="FF0000"/>
                <w:szCs w:val="21"/>
              </w:rPr>
            </w:pPr>
          </w:p>
        </w:tc>
        <w:tc>
          <w:tcPr>
            <w:tcW w:w="1230" w:type="pct"/>
            <w:tcBorders>
              <w:top w:val="nil"/>
              <w:left w:val="nil"/>
              <w:bottom w:val="single" w:sz="6" w:space="0" w:color="auto"/>
              <w:right w:val="nil"/>
            </w:tcBorders>
            <w:hideMark/>
          </w:tcPr>
          <w:p w14:paraId="5E2B30ED" w14:textId="77777777" w:rsidR="00DB57F4" w:rsidRPr="00BD11E7" w:rsidRDefault="00DB57F4" w:rsidP="00233168">
            <w:pPr>
              <w:pStyle w:val="formulation"/>
              <w:spacing w:line="240" w:lineRule="auto"/>
              <w:jc w:val="center"/>
              <w:rPr>
                <w:rFonts w:ascii="Times New Roman" w:hAnsi="Times New Roman"/>
                <w:sz w:val="21"/>
                <w:szCs w:val="21"/>
              </w:rPr>
            </w:pPr>
            <w:r w:rsidRPr="00BD11E7">
              <w:rPr>
                <w:rFonts w:ascii="Times New Roman" w:hAnsi="Times New Roman" w:hint="eastAsia"/>
                <w:sz w:val="21"/>
                <w:szCs w:val="21"/>
              </w:rPr>
              <w:t>CET</w:t>
            </w:r>
          </w:p>
        </w:tc>
        <w:tc>
          <w:tcPr>
            <w:tcW w:w="1161" w:type="pct"/>
            <w:tcBorders>
              <w:top w:val="nil"/>
              <w:left w:val="nil"/>
              <w:bottom w:val="single" w:sz="6" w:space="0" w:color="auto"/>
              <w:right w:val="nil"/>
            </w:tcBorders>
            <w:hideMark/>
          </w:tcPr>
          <w:p w14:paraId="3A00CE50" w14:textId="77777777" w:rsidR="00DB57F4" w:rsidRPr="00BD11E7" w:rsidRDefault="00DB57F4" w:rsidP="00233168">
            <w:pPr>
              <w:pStyle w:val="formulation"/>
              <w:spacing w:line="240" w:lineRule="auto"/>
              <w:jc w:val="center"/>
              <w:rPr>
                <w:rFonts w:ascii="Times New Roman" w:hAnsi="Times New Roman"/>
                <w:sz w:val="21"/>
                <w:szCs w:val="21"/>
              </w:rPr>
            </w:pPr>
            <w:r w:rsidRPr="00BD11E7">
              <w:rPr>
                <w:rFonts w:ascii="Times New Roman" w:hAnsi="Times New Roman" w:hint="eastAsia"/>
                <w:sz w:val="21"/>
                <w:szCs w:val="21"/>
              </w:rPr>
              <w:t>ECI</w:t>
            </w:r>
          </w:p>
        </w:tc>
        <w:tc>
          <w:tcPr>
            <w:tcW w:w="1160" w:type="pct"/>
            <w:tcBorders>
              <w:top w:val="nil"/>
              <w:left w:val="nil"/>
              <w:bottom w:val="single" w:sz="6" w:space="0" w:color="auto"/>
              <w:right w:val="nil"/>
            </w:tcBorders>
            <w:hideMark/>
          </w:tcPr>
          <w:p w14:paraId="4BF7A136" w14:textId="77777777" w:rsidR="00DB57F4" w:rsidRPr="00BD11E7" w:rsidRDefault="00DB57F4" w:rsidP="00233168">
            <w:pPr>
              <w:pStyle w:val="formulation"/>
              <w:spacing w:line="240" w:lineRule="auto"/>
              <w:jc w:val="center"/>
              <w:rPr>
                <w:rFonts w:ascii="Times New Roman" w:hAnsi="Times New Roman"/>
                <w:sz w:val="21"/>
                <w:szCs w:val="21"/>
              </w:rPr>
            </w:pPr>
            <w:r w:rsidRPr="00BD11E7">
              <w:rPr>
                <w:rFonts w:ascii="Times New Roman" w:hAnsi="Times New Roman" w:hint="eastAsia"/>
                <w:sz w:val="21"/>
                <w:szCs w:val="21"/>
              </w:rPr>
              <w:t>CO2</w:t>
            </w:r>
          </w:p>
        </w:tc>
      </w:tr>
      <w:tr w:rsidR="00DB57F4" w:rsidRPr="00BD11E7" w14:paraId="3E28D2FD" w14:textId="77777777" w:rsidTr="00233168">
        <w:trPr>
          <w:jc w:val="center"/>
        </w:trPr>
        <w:tc>
          <w:tcPr>
            <w:tcW w:w="1449" w:type="pct"/>
            <w:vMerge w:val="restart"/>
            <w:vAlign w:val="center"/>
            <w:hideMark/>
          </w:tcPr>
          <w:p w14:paraId="2662524E" w14:textId="77777777" w:rsidR="00DB57F4" w:rsidRPr="00BD11E7" w:rsidRDefault="00DB57F4" w:rsidP="00233168">
            <w:pPr>
              <w:pStyle w:val="formulation"/>
              <w:spacing w:line="240" w:lineRule="auto"/>
              <w:jc w:val="center"/>
              <w:rPr>
                <w:rFonts w:ascii="Times New Roman" w:hAnsi="Times New Roman"/>
                <w:sz w:val="21"/>
                <w:szCs w:val="21"/>
              </w:rPr>
            </w:pPr>
            <w:r w:rsidRPr="00BD11E7">
              <w:rPr>
                <w:rFonts w:ascii="Times New Roman" w:hAnsi="Times New Roman" w:hint="eastAsia"/>
                <w:sz w:val="21"/>
                <w:szCs w:val="21"/>
              </w:rPr>
              <w:t>CEI</w:t>
            </w:r>
          </w:p>
        </w:tc>
        <w:tc>
          <w:tcPr>
            <w:tcW w:w="1230" w:type="pct"/>
            <w:hideMark/>
          </w:tcPr>
          <w:p w14:paraId="24FC348F"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0.0</w:t>
            </w:r>
            <w:r w:rsidRPr="00BD11E7">
              <w:rPr>
                <w:rFonts w:ascii="Times New Roman" w:hAnsi="Times New Roman" w:cs="Times New Roman" w:hint="eastAsia"/>
                <w:color w:val="FF0000"/>
                <w:szCs w:val="21"/>
              </w:rPr>
              <w:t>191</w:t>
            </w:r>
            <w:r w:rsidRPr="00BD11E7">
              <w:rPr>
                <w:rFonts w:ascii="Times New Roman" w:hAnsi="Times New Roman" w:cs="Times New Roman"/>
                <w:color w:val="FF0000"/>
                <w:szCs w:val="21"/>
              </w:rPr>
              <w:t>***</w:t>
            </w:r>
          </w:p>
        </w:tc>
        <w:tc>
          <w:tcPr>
            <w:tcW w:w="1161" w:type="pct"/>
            <w:hideMark/>
          </w:tcPr>
          <w:p w14:paraId="7A790A97"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hint="eastAsia"/>
                <w:color w:val="FF0000"/>
                <w:szCs w:val="21"/>
              </w:rPr>
              <w:t>-</w:t>
            </w:r>
            <w:r w:rsidRPr="00BD11E7">
              <w:rPr>
                <w:rFonts w:ascii="Times New Roman" w:hAnsi="Times New Roman" w:cs="Times New Roman"/>
                <w:color w:val="FF0000"/>
                <w:szCs w:val="21"/>
              </w:rPr>
              <w:t>0.0</w:t>
            </w:r>
            <w:r w:rsidRPr="00BD11E7">
              <w:rPr>
                <w:rFonts w:ascii="Times New Roman" w:hAnsi="Times New Roman" w:cs="Times New Roman" w:hint="eastAsia"/>
                <w:color w:val="FF0000"/>
                <w:szCs w:val="21"/>
              </w:rPr>
              <w:t>046</w:t>
            </w:r>
            <w:r w:rsidRPr="00BD11E7">
              <w:rPr>
                <w:rFonts w:ascii="Times New Roman" w:hAnsi="Times New Roman" w:cs="Times New Roman"/>
                <w:color w:val="FF0000"/>
                <w:szCs w:val="21"/>
              </w:rPr>
              <w:t>**</w:t>
            </w:r>
          </w:p>
        </w:tc>
        <w:tc>
          <w:tcPr>
            <w:tcW w:w="1160" w:type="pct"/>
            <w:hideMark/>
          </w:tcPr>
          <w:p w14:paraId="10984F59"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hint="eastAsia"/>
                <w:color w:val="FF0000"/>
                <w:szCs w:val="21"/>
              </w:rPr>
              <w:t>-</w:t>
            </w:r>
            <w:r w:rsidRPr="00BD11E7">
              <w:rPr>
                <w:rFonts w:ascii="Times New Roman" w:hAnsi="Times New Roman" w:cs="Times New Roman"/>
                <w:color w:val="FF0000"/>
                <w:szCs w:val="21"/>
              </w:rPr>
              <w:t>0.0</w:t>
            </w:r>
            <w:r w:rsidRPr="00BD11E7">
              <w:rPr>
                <w:rFonts w:ascii="Times New Roman" w:hAnsi="Times New Roman" w:cs="Times New Roman" w:hint="eastAsia"/>
                <w:color w:val="FF0000"/>
                <w:szCs w:val="21"/>
              </w:rPr>
              <w:t>144</w:t>
            </w:r>
            <w:r w:rsidRPr="00BD11E7">
              <w:rPr>
                <w:rFonts w:ascii="Times New Roman" w:hAnsi="Times New Roman" w:cs="Times New Roman"/>
                <w:color w:val="FF0000"/>
                <w:szCs w:val="21"/>
              </w:rPr>
              <w:t>***</w:t>
            </w:r>
          </w:p>
        </w:tc>
      </w:tr>
      <w:tr w:rsidR="00DB57F4" w:rsidRPr="00BD11E7" w14:paraId="6DAA20F3" w14:textId="77777777" w:rsidTr="00233168">
        <w:trPr>
          <w:jc w:val="center"/>
        </w:trPr>
        <w:tc>
          <w:tcPr>
            <w:tcW w:w="1449" w:type="pct"/>
            <w:vMerge/>
            <w:vAlign w:val="center"/>
          </w:tcPr>
          <w:p w14:paraId="3F32FC97" w14:textId="77777777" w:rsidR="00DB57F4" w:rsidRPr="00BD11E7" w:rsidRDefault="00DB57F4" w:rsidP="00233168">
            <w:pPr>
              <w:jc w:val="center"/>
              <w:rPr>
                <w:rFonts w:ascii="Times New Roman" w:hAnsi="Times New Roman" w:cs="Times New Roman"/>
                <w:color w:val="FF0000"/>
                <w:szCs w:val="21"/>
              </w:rPr>
            </w:pPr>
          </w:p>
        </w:tc>
        <w:tc>
          <w:tcPr>
            <w:tcW w:w="1230" w:type="pct"/>
            <w:hideMark/>
          </w:tcPr>
          <w:p w14:paraId="22110E0A"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(0.00</w:t>
            </w:r>
            <w:r w:rsidRPr="00BD11E7">
              <w:rPr>
                <w:rFonts w:ascii="Times New Roman" w:hAnsi="Times New Roman" w:cs="Times New Roman" w:hint="eastAsia"/>
                <w:color w:val="FF0000"/>
                <w:szCs w:val="21"/>
              </w:rPr>
              <w:t>30</w:t>
            </w:r>
            <w:r w:rsidRPr="00BD11E7">
              <w:rPr>
                <w:rFonts w:ascii="Times New Roman" w:hAnsi="Times New Roman" w:cs="Times New Roman"/>
                <w:color w:val="FF0000"/>
                <w:szCs w:val="21"/>
              </w:rPr>
              <w:t>)</w:t>
            </w:r>
          </w:p>
        </w:tc>
        <w:tc>
          <w:tcPr>
            <w:tcW w:w="1161" w:type="pct"/>
            <w:hideMark/>
          </w:tcPr>
          <w:p w14:paraId="03545FAA"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(0.00</w:t>
            </w:r>
            <w:r w:rsidRPr="00BD11E7">
              <w:rPr>
                <w:rFonts w:ascii="Times New Roman" w:hAnsi="Times New Roman" w:cs="Times New Roman" w:hint="eastAsia"/>
                <w:color w:val="FF0000"/>
                <w:szCs w:val="21"/>
              </w:rPr>
              <w:t>23</w:t>
            </w:r>
            <w:r w:rsidRPr="00BD11E7">
              <w:rPr>
                <w:rFonts w:ascii="Times New Roman" w:hAnsi="Times New Roman" w:cs="Times New Roman"/>
                <w:color w:val="FF0000"/>
                <w:szCs w:val="21"/>
              </w:rPr>
              <w:t>)</w:t>
            </w:r>
          </w:p>
        </w:tc>
        <w:tc>
          <w:tcPr>
            <w:tcW w:w="1160" w:type="pct"/>
            <w:hideMark/>
          </w:tcPr>
          <w:p w14:paraId="56E6C1EA"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(0.0</w:t>
            </w:r>
            <w:r w:rsidRPr="00BD11E7">
              <w:rPr>
                <w:rFonts w:ascii="Times New Roman" w:hAnsi="Times New Roman" w:cs="Times New Roman" w:hint="eastAsia"/>
                <w:color w:val="FF0000"/>
                <w:szCs w:val="21"/>
              </w:rPr>
              <w:t>037</w:t>
            </w:r>
            <w:r w:rsidRPr="00BD11E7">
              <w:rPr>
                <w:rFonts w:ascii="Times New Roman" w:hAnsi="Times New Roman" w:cs="Times New Roman"/>
                <w:color w:val="FF0000"/>
                <w:szCs w:val="21"/>
              </w:rPr>
              <w:t>)</w:t>
            </w:r>
          </w:p>
        </w:tc>
      </w:tr>
      <w:tr w:rsidR="00DB57F4" w:rsidRPr="00BD11E7" w14:paraId="60BA68D6" w14:textId="77777777" w:rsidTr="00233168">
        <w:trPr>
          <w:jc w:val="center"/>
        </w:trPr>
        <w:tc>
          <w:tcPr>
            <w:tcW w:w="1449" w:type="pct"/>
            <w:vMerge w:val="restart"/>
            <w:vAlign w:val="center"/>
            <w:hideMark/>
          </w:tcPr>
          <w:p w14:paraId="32BEED2F" w14:textId="77777777" w:rsidR="00DB57F4" w:rsidRPr="00BD11E7" w:rsidRDefault="00DB57F4" w:rsidP="00233168">
            <w:pPr>
              <w:pStyle w:val="formulation"/>
              <w:spacing w:line="240" w:lineRule="auto"/>
              <w:jc w:val="center"/>
              <w:rPr>
                <w:rFonts w:ascii="Times New Roman" w:hAnsi="Times New Roman"/>
                <w:i w:val="0"/>
                <w:iCs/>
                <w:sz w:val="21"/>
                <w:szCs w:val="21"/>
              </w:rPr>
            </w:pPr>
            <w:r w:rsidRPr="00BD11E7">
              <w:rPr>
                <w:rFonts w:ascii="Times New Roman" w:hAnsi="Times New Roman"/>
                <w:i w:val="0"/>
                <w:iCs/>
                <w:sz w:val="21"/>
                <w:szCs w:val="21"/>
              </w:rPr>
              <w:t>Constant</w:t>
            </w:r>
          </w:p>
        </w:tc>
        <w:tc>
          <w:tcPr>
            <w:tcW w:w="1230" w:type="pct"/>
            <w:hideMark/>
          </w:tcPr>
          <w:p w14:paraId="619DF4EC"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w:t>
            </w:r>
            <w:r w:rsidRPr="00BD11E7">
              <w:rPr>
                <w:rFonts w:ascii="Times New Roman" w:hAnsi="Times New Roman" w:cs="Times New Roman" w:hint="eastAsia"/>
                <w:color w:val="FF0000"/>
                <w:szCs w:val="21"/>
              </w:rPr>
              <w:t>2.2655</w:t>
            </w:r>
            <w:r w:rsidRPr="00BD11E7">
              <w:rPr>
                <w:rFonts w:ascii="Times New Roman" w:hAnsi="Times New Roman" w:cs="Times New Roman"/>
                <w:color w:val="FF0000"/>
                <w:szCs w:val="21"/>
              </w:rPr>
              <w:t>***</w:t>
            </w:r>
          </w:p>
        </w:tc>
        <w:tc>
          <w:tcPr>
            <w:tcW w:w="1161" w:type="pct"/>
            <w:hideMark/>
          </w:tcPr>
          <w:p w14:paraId="03C9DB34"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hint="eastAsia"/>
                <w:color w:val="FF0000"/>
                <w:szCs w:val="21"/>
              </w:rPr>
              <w:t>-3.2546</w:t>
            </w:r>
            <w:r w:rsidRPr="00BD11E7">
              <w:rPr>
                <w:rFonts w:ascii="Times New Roman" w:hAnsi="Times New Roman" w:cs="Times New Roman"/>
                <w:color w:val="FF0000"/>
                <w:szCs w:val="21"/>
              </w:rPr>
              <w:t>***</w:t>
            </w:r>
          </w:p>
        </w:tc>
        <w:tc>
          <w:tcPr>
            <w:tcW w:w="1160" w:type="pct"/>
            <w:hideMark/>
          </w:tcPr>
          <w:p w14:paraId="71EB08B8"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w:t>
            </w:r>
            <w:r w:rsidRPr="00BD11E7">
              <w:rPr>
                <w:rFonts w:ascii="Times New Roman" w:hAnsi="Times New Roman" w:cs="Times New Roman" w:hint="eastAsia"/>
                <w:color w:val="FF0000"/>
                <w:szCs w:val="21"/>
              </w:rPr>
              <w:t>3.8502***</w:t>
            </w:r>
          </w:p>
        </w:tc>
      </w:tr>
      <w:tr w:rsidR="00DB57F4" w:rsidRPr="00BD11E7" w14:paraId="51732CD9" w14:textId="77777777" w:rsidTr="00233168">
        <w:trPr>
          <w:jc w:val="center"/>
        </w:trPr>
        <w:tc>
          <w:tcPr>
            <w:tcW w:w="1449" w:type="pct"/>
            <w:vMerge/>
          </w:tcPr>
          <w:p w14:paraId="6A54CC75" w14:textId="77777777" w:rsidR="00DB57F4" w:rsidRPr="00BD11E7" w:rsidRDefault="00DB57F4" w:rsidP="00233168">
            <w:pPr>
              <w:jc w:val="center"/>
              <w:rPr>
                <w:rFonts w:ascii="Times New Roman" w:hAnsi="Times New Roman" w:cs="Times New Roman"/>
                <w:color w:val="FF0000"/>
                <w:szCs w:val="21"/>
              </w:rPr>
            </w:pPr>
          </w:p>
        </w:tc>
        <w:tc>
          <w:tcPr>
            <w:tcW w:w="1230" w:type="pct"/>
            <w:hideMark/>
          </w:tcPr>
          <w:p w14:paraId="523481DD"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w:t>
            </w:r>
            <w:r w:rsidRPr="00BD11E7">
              <w:rPr>
                <w:rFonts w:ascii="Times New Roman" w:hAnsi="Times New Roman" w:cs="Times New Roman" w:hint="eastAsia"/>
                <w:color w:val="FF0000"/>
                <w:szCs w:val="21"/>
              </w:rPr>
              <w:t>1279</w:t>
            </w:r>
            <w:r w:rsidRPr="00BD11E7">
              <w:rPr>
                <w:rFonts w:ascii="Times New Roman" w:hAnsi="Times New Roman" w:cs="Times New Roman"/>
                <w:color w:val="FF0000"/>
                <w:szCs w:val="21"/>
              </w:rPr>
              <w:t>)</w:t>
            </w:r>
          </w:p>
        </w:tc>
        <w:tc>
          <w:tcPr>
            <w:tcW w:w="1161" w:type="pct"/>
            <w:hideMark/>
          </w:tcPr>
          <w:p w14:paraId="4366E190"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w:t>
            </w:r>
            <w:r w:rsidRPr="00BD11E7">
              <w:rPr>
                <w:rFonts w:ascii="Times New Roman" w:hAnsi="Times New Roman" w:cs="Times New Roman" w:hint="eastAsia"/>
                <w:color w:val="FF0000"/>
                <w:szCs w:val="21"/>
              </w:rPr>
              <w:t>2192</w:t>
            </w:r>
            <w:r w:rsidRPr="00BD11E7">
              <w:rPr>
                <w:rFonts w:ascii="Times New Roman" w:hAnsi="Times New Roman" w:cs="Times New Roman"/>
                <w:color w:val="FF0000"/>
                <w:szCs w:val="21"/>
              </w:rPr>
              <w:t>)</w:t>
            </w:r>
          </w:p>
        </w:tc>
        <w:tc>
          <w:tcPr>
            <w:tcW w:w="1160" w:type="pct"/>
            <w:hideMark/>
          </w:tcPr>
          <w:p w14:paraId="5CE828D4"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w:t>
            </w:r>
            <w:r w:rsidRPr="00BD11E7">
              <w:rPr>
                <w:rFonts w:ascii="Times New Roman" w:hAnsi="Times New Roman" w:cs="Times New Roman" w:hint="eastAsia"/>
                <w:color w:val="FF0000"/>
                <w:szCs w:val="21"/>
              </w:rPr>
              <w:t>2186</w:t>
            </w:r>
            <w:r w:rsidRPr="00BD11E7">
              <w:rPr>
                <w:rFonts w:ascii="Times New Roman" w:hAnsi="Times New Roman" w:cs="Times New Roman"/>
                <w:color w:val="FF0000"/>
                <w:szCs w:val="21"/>
              </w:rPr>
              <w:t>)</w:t>
            </w:r>
          </w:p>
        </w:tc>
      </w:tr>
      <w:tr w:rsidR="00DB57F4" w:rsidRPr="00BD11E7" w14:paraId="794EAA43" w14:textId="77777777" w:rsidTr="00233168">
        <w:trPr>
          <w:jc w:val="center"/>
        </w:trPr>
        <w:tc>
          <w:tcPr>
            <w:tcW w:w="1449" w:type="pct"/>
            <w:hideMark/>
          </w:tcPr>
          <w:p w14:paraId="4A8C66E2"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Observations</w:t>
            </w:r>
          </w:p>
        </w:tc>
        <w:tc>
          <w:tcPr>
            <w:tcW w:w="1230" w:type="pct"/>
            <w:hideMark/>
          </w:tcPr>
          <w:p w14:paraId="0753D514"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hint="eastAsia"/>
                <w:color w:val="FF0000"/>
                <w:szCs w:val="21"/>
              </w:rPr>
              <w:t>24</w:t>
            </w:r>
            <w:r w:rsidRPr="00BD11E7">
              <w:rPr>
                <w:rFonts w:ascii="Times New Roman" w:hAnsi="Times New Roman" w:cs="Times New Roman"/>
                <w:color w:val="FF0000"/>
                <w:szCs w:val="21"/>
              </w:rPr>
              <w:t>,</w:t>
            </w:r>
            <w:r w:rsidRPr="00BD11E7">
              <w:rPr>
                <w:rFonts w:ascii="Times New Roman" w:hAnsi="Times New Roman" w:cs="Times New Roman" w:hint="eastAsia"/>
                <w:color w:val="FF0000"/>
                <w:szCs w:val="21"/>
              </w:rPr>
              <w:t>906</w:t>
            </w:r>
          </w:p>
        </w:tc>
        <w:tc>
          <w:tcPr>
            <w:tcW w:w="1161" w:type="pct"/>
            <w:hideMark/>
          </w:tcPr>
          <w:p w14:paraId="3622261A"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hint="eastAsia"/>
                <w:color w:val="FF0000"/>
                <w:szCs w:val="21"/>
              </w:rPr>
              <w:t>24</w:t>
            </w:r>
            <w:r w:rsidRPr="00BD11E7">
              <w:rPr>
                <w:rFonts w:ascii="Times New Roman" w:hAnsi="Times New Roman" w:cs="Times New Roman"/>
                <w:color w:val="FF0000"/>
                <w:szCs w:val="21"/>
              </w:rPr>
              <w:t>,</w:t>
            </w:r>
            <w:r w:rsidRPr="00BD11E7">
              <w:rPr>
                <w:rFonts w:ascii="Times New Roman" w:hAnsi="Times New Roman" w:cs="Times New Roman" w:hint="eastAsia"/>
                <w:color w:val="FF0000"/>
                <w:szCs w:val="21"/>
              </w:rPr>
              <w:t>906</w:t>
            </w:r>
          </w:p>
        </w:tc>
        <w:tc>
          <w:tcPr>
            <w:tcW w:w="1160" w:type="pct"/>
            <w:hideMark/>
          </w:tcPr>
          <w:p w14:paraId="571C7202"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hint="eastAsia"/>
                <w:color w:val="FF0000"/>
                <w:szCs w:val="21"/>
              </w:rPr>
              <w:t>24</w:t>
            </w:r>
            <w:r w:rsidRPr="00BD11E7">
              <w:rPr>
                <w:rFonts w:ascii="Times New Roman" w:hAnsi="Times New Roman" w:cs="Times New Roman"/>
                <w:color w:val="FF0000"/>
                <w:szCs w:val="21"/>
              </w:rPr>
              <w:t>,</w:t>
            </w:r>
            <w:r w:rsidRPr="00BD11E7">
              <w:rPr>
                <w:rFonts w:ascii="Times New Roman" w:hAnsi="Times New Roman" w:cs="Times New Roman" w:hint="eastAsia"/>
                <w:color w:val="FF0000"/>
                <w:szCs w:val="21"/>
              </w:rPr>
              <w:t>906</w:t>
            </w:r>
          </w:p>
        </w:tc>
      </w:tr>
      <w:tr w:rsidR="00DB57F4" w:rsidRPr="00BD11E7" w14:paraId="75203C6D" w14:textId="77777777" w:rsidTr="00233168">
        <w:trPr>
          <w:jc w:val="center"/>
        </w:trPr>
        <w:tc>
          <w:tcPr>
            <w:tcW w:w="1449" w:type="pct"/>
            <w:hideMark/>
          </w:tcPr>
          <w:p w14:paraId="59E6CFFD"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Adjusted R</w:t>
            </w:r>
            <w:r w:rsidRPr="00BD11E7">
              <w:rPr>
                <w:rFonts w:ascii="Times New Roman" w:hAnsi="Times New Roman" w:cs="Times New Roman"/>
                <w:color w:val="FF0000"/>
                <w:szCs w:val="21"/>
                <w:vertAlign w:val="superscript"/>
              </w:rPr>
              <w:t>2</w:t>
            </w:r>
          </w:p>
        </w:tc>
        <w:tc>
          <w:tcPr>
            <w:tcW w:w="1230" w:type="pct"/>
            <w:hideMark/>
          </w:tcPr>
          <w:p w14:paraId="06C5FC4C"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w:t>
            </w:r>
            <w:r w:rsidRPr="00BD11E7">
              <w:rPr>
                <w:rFonts w:ascii="Times New Roman" w:hAnsi="Times New Roman" w:cs="Times New Roman" w:hint="eastAsia"/>
                <w:color w:val="FF0000"/>
                <w:szCs w:val="21"/>
              </w:rPr>
              <w:t>5170</w:t>
            </w:r>
          </w:p>
        </w:tc>
        <w:tc>
          <w:tcPr>
            <w:tcW w:w="1161" w:type="pct"/>
            <w:hideMark/>
          </w:tcPr>
          <w:p w14:paraId="746CABD9"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w:t>
            </w:r>
            <w:r w:rsidRPr="00BD11E7">
              <w:rPr>
                <w:rFonts w:ascii="Times New Roman" w:hAnsi="Times New Roman" w:cs="Times New Roman" w:hint="eastAsia"/>
                <w:color w:val="FF0000"/>
                <w:szCs w:val="21"/>
              </w:rPr>
              <w:t>7295</w:t>
            </w:r>
          </w:p>
        </w:tc>
        <w:tc>
          <w:tcPr>
            <w:tcW w:w="1160" w:type="pct"/>
            <w:hideMark/>
          </w:tcPr>
          <w:p w14:paraId="0809A589"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0.</w:t>
            </w:r>
            <w:r w:rsidRPr="00BD11E7">
              <w:rPr>
                <w:rFonts w:ascii="Times New Roman" w:hAnsi="Times New Roman" w:cs="Times New Roman" w:hint="eastAsia"/>
                <w:color w:val="FF0000"/>
                <w:szCs w:val="21"/>
              </w:rPr>
              <w:t>8047</w:t>
            </w:r>
          </w:p>
        </w:tc>
      </w:tr>
      <w:tr w:rsidR="00DB57F4" w:rsidRPr="00BD11E7" w14:paraId="099CAD92" w14:textId="77777777" w:rsidTr="00233168">
        <w:trPr>
          <w:jc w:val="center"/>
        </w:trPr>
        <w:tc>
          <w:tcPr>
            <w:tcW w:w="1449" w:type="pct"/>
          </w:tcPr>
          <w:p w14:paraId="70BB229F"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Controls</w:t>
            </w:r>
          </w:p>
        </w:tc>
        <w:tc>
          <w:tcPr>
            <w:tcW w:w="1230" w:type="pct"/>
          </w:tcPr>
          <w:p w14:paraId="562C25DF"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c>
          <w:tcPr>
            <w:tcW w:w="1161" w:type="pct"/>
          </w:tcPr>
          <w:p w14:paraId="76B5BC71"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c>
          <w:tcPr>
            <w:tcW w:w="1160" w:type="pct"/>
          </w:tcPr>
          <w:p w14:paraId="350B327D"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r>
      <w:tr w:rsidR="00DB57F4" w:rsidRPr="00BD11E7" w14:paraId="5F265555" w14:textId="77777777" w:rsidTr="00233168">
        <w:trPr>
          <w:jc w:val="center"/>
        </w:trPr>
        <w:tc>
          <w:tcPr>
            <w:tcW w:w="1449" w:type="pct"/>
            <w:hideMark/>
          </w:tcPr>
          <w:p w14:paraId="5ABB6A71"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Year FE</w:t>
            </w:r>
          </w:p>
        </w:tc>
        <w:tc>
          <w:tcPr>
            <w:tcW w:w="1230" w:type="pct"/>
            <w:hideMark/>
          </w:tcPr>
          <w:p w14:paraId="62EF57ED"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c>
          <w:tcPr>
            <w:tcW w:w="1161" w:type="pct"/>
            <w:hideMark/>
          </w:tcPr>
          <w:p w14:paraId="130D0800"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c>
          <w:tcPr>
            <w:tcW w:w="1160" w:type="pct"/>
            <w:hideMark/>
          </w:tcPr>
          <w:p w14:paraId="75F8A6DD"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r>
      <w:tr w:rsidR="00DB57F4" w:rsidRPr="00BD11E7" w14:paraId="4F631D60" w14:textId="77777777" w:rsidTr="00233168">
        <w:trPr>
          <w:jc w:val="center"/>
        </w:trPr>
        <w:tc>
          <w:tcPr>
            <w:tcW w:w="1449" w:type="pct"/>
            <w:tcBorders>
              <w:top w:val="nil"/>
              <w:left w:val="nil"/>
              <w:bottom w:val="single" w:sz="12" w:space="0" w:color="auto"/>
              <w:right w:val="nil"/>
            </w:tcBorders>
            <w:hideMark/>
          </w:tcPr>
          <w:p w14:paraId="5CA49131"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Firm FE</w:t>
            </w:r>
          </w:p>
        </w:tc>
        <w:tc>
          <w:tcPr>
            <w:tcW w:w="1230" w:type="pct"/>
            <w:tcBorders>
              <w:top w:val="nil"/>
              <w:left w:val="nil"/>
              <w:bottom w:val="single" w:sz="12" w:space="0" w:color="auto"/>
              <w:right w:val="nil"/>
            </w:tcBorders>
            <w:hideMark/>
          </w:tcPr>
          <w:p w14:paraId="3062F38C"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c>
          <w:tcPr>
            <w:tcW w:w="1161" w:type="pct"/>
            <w:tcBorders>
              <w:top w:val="nil"/>
              <w:left w:val="nil"/>
              <w:bottom w:val="single" w:sz="12" w:space="0" w:color="auto"/>
              <w:right w:val="nil"/>
            </w:tcBorders>
            <w:hideMark/>
          </w:tcPr>
          <w:p w14:paraId="5F26072B"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c>
          <w:tcPr>
            <w:tcW w:w="1160" w:type="pct"/>
            <w:tcBorders>
              <w:top w:val="nil"/>
              <w:left w:val="nil"/>
              <w:bottom w:val="single" w:sz="12" w:space="0" w:color="auto"/>
              <w:right w:val="nil"/>
            </w:tcBorders>
            <w:hideMark/>
          </w:tcPr>
          <w:p w14:paraId="50EDD722" w14:textId="77777777" w:rsidR="00DB57F4" w:rsidRPr="00BD11E7" w:rsidRDefault="00DB57F4" w:rsidP="00233168">
            <w:pPr>
              <w:jc w:val="center"/>
              <w:rPr>
                <w:rFonts w:ascii="Times New Roman" w:hAnsi="Times New Roman" w:cs="Times New Roman"/>
                <w:color w:val="FF0000"/>
                <w:szCs w:val="21"/>
              </w:rPr>
            </w:pPr>
            <w:r w:rsidRPr="00BD11E7">
              <w:rPr>
                <w:rFonts w:ascii="Times New Roman" w:hAnsi="Times New Roman" w:cs="Times New Roman"/>
                <w:color w:val="FF0000"/>
                <w:szCs w:val="21"/>
              </w:rPr>
              <w:t>YES</w:t>
            </w:r>
          </w:p>
        </w:tc>
      </w:tr>
    </w:tbl>
    <w:p w14:paraId="286AC68A"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234F6DBB" w14:textId="77777777" w:rsidR="00DB57F4" w:rsidRDefault="00DB57F4" w:rsidP="00DB57F4"/>
    <w:p w14:paraId="3931715B" w14:textId="77777777" w:rsidR="00DB57F4" w:rsidRDefault="00DB57F4" w:rsidP="00DB57F4"/>
    <w:p w14:paraId="38D68268" w14:textId="77777777" w:rsidR="00DB57F4" w:rsidRPr="006557B0" w:rsidRDefault="00DB57F4" w:rsidP="00DB57F4">
      <w:pPr>
        <w:rPr>
          <w:rFonts w:ascii="Times New Roman" w:hAnsi="Times New Roman" w:cs="Times New Roman"/>
          <w:b/>
          <w:bCs/>
        </w:rPr>
      </w:pPr>
      <w:r w:rsidRPr="006557B0">
        <w:rPr>
          <w:rFonts w:ascii="Times New Roman" w:hAnsi="Times New Roman" w:cs="Times New Roman"/>
          <w:b/>
          <w:bCs/>
        </w:rPr>
        <w:t xml:space="preserve">Table </w:t>
      </w:r>
      <w:r w:rsidRPr="006557B0">
        <w:rPr>
          <w:rFonts w:ascii="Times New Roman" w:hAnsi="Times New Roman" w:cs="Times New Roman" w:hint="eastAsia"/>
          <w:b/>
          <w:bCs/>
        </w:rPr>
        <w:t>6</w:t>
      </w:r>
      <w:r w:rsidRPr="006557B0">
        <w:rPr>
          <w:rFonts w:ascii="Times New Roman" w:hAnsi="Times New Roman" w:cs="Times New Roman"/>
          <w:b/>
          <w:bCs/>
        </w:rPr>
        <w:t xml:space="preserve"> Results of DID estimation and instrumental variable (IV) regression</w:t>
      </w:r>
      <w:r>
        <w:rPr>
          <w:rFonts w:ascii="Times New Roman" w:hAnsi="Times New Roman" w:cs="Times New Roman" w:hint="eastAsia"/>
          <w:b/>
          <w:bCs/>
        </w:rPr>
        <w:t>.</w:t>
      </w:r>
    </w:p>
    <w:tbl>
      <w:tblPr>
        <w:tblW w:w="5000" w:type="pct"/>
        <w:jc w:val="center"/>
        <w:tblCellMar>
          <w:left w:w="75" w:type="dxa"/>
          <w:right w:w="75" w:type="dxa"/>
        </w:tblCellMar>
        <w:tblLook w:val="04A0" w:firstRow="1" w:lastRow="0" w:firstColumn="1" w:lastColumn="0" w:noHBand="0" w:noVBand="1"/>
      </w:tblPr>
      <w:tblGrid>
        <w:gridCol w:w="1910"/>
        <w:gridCol w:w="1600"/>
        <w:gridCol w:w="1600"/>
        <w:gridCol w:w="1600"/>
        <w:gridCol w:w="1596"/>
      </w:tblGrid>
      <w:tr w:rsidR="00DB57F4" w:rsidRPr="00A7211C" w14:paraId="61345043" w14:textId="77777777" w:rsidTr="00233168">
        <w:trPr>
          <w:jc w:val="center"/>
        </w:trPr>
        <w:tc>
          <w:tcPr>
            <w:tcW w:w="1149" w:type="pct"/>
            <w:vMerge w:val="restart"/>
            <w:tcBorders>
              <w:top w:val="single" w:sz="12" w:space="0" w:color="auto"/>
              <w:left w:val="nil"/>
              <w:right w:val="nil"/>
            </w:tcBorders>
            <w:vAlign w:val="center"/>
          </w:tcPr>
          <w:p w14:paraId="18559B2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VARIABLES</w:t>
            </w:r>
          </w:p>
        </w:tc>
        <w:tc>
          <w:tcPr>
            <w:tcW w:w="963" w:type="pct"/>
            <w:tcBorders>
              <w:top w:val="single" w:sz="12" w:space="0" w:color="auto"/>
              <w:left w:val="nil"/>
              <w:bottom w:val="nil"/>
              <w:right w:val="nil"/>
            </w:tcBorders>
          </w:tcPr>
          <w:p w14:paraId="272E436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w:t>
            </w:r>
          </w:p>
        </w:tc>
        <w:tc>
          <w:tcPr>
            <w:tcW w:w="963" w:type="pct"/>
            <w:tcBorders>
              <w:top w:val="single" w:sz="12" w:space="0" w:color="auto"/>
              <w:left w:val="nil"/>
              <w:bottom w:val="nil"/>
              <w:right w:val="nil"/>
            </w:tcBorders>
          </w:tcPr>
          <w:p w14:paraId="34DC48D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w:t>
            </w:r>
          </w:p>
        </w:tc>
        <w:tc>
          <w:tcPr>
            <w:tcW w:w="963" w:type="pct"/>
            <w:tcBorders>
              <w:top w:val="single" w:sz="12" w:space="0" w:color="auto"/>
              <w:left w:val="nil"/>
              <w:bottom w:val="nil"/>
              <w:right w:val="nil"/>
            </w:tcBorders>
          </w:tcPr>
          <w:p w14:paraId="01E24C93"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(3)</w:t>
            </w:r>
          </w:p>
        </w:tc>
        <w:tc>
          <w:tcPr>
            <w:tcW w:w="961" w:type="pct"/>
            <w:tcBorders>
              <w:top w:val="single" w:sz="12" w:space="0" w:color="auto"/>
              <w:left w:val="nil"/>
              <w:bottom w:val="nil"/>
              <w:right w:val="nil"/>
            </w:tcBorders>
          </w:tcPr>
          <w:p w14:paraId="61A0644A"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(4)</w:t>
            </w:r>
          </w:p>
        </w:tc>
      </w:tr>
      <w:tr w:rsidR="00DB57F4" w:rsidRPr="00A7211C" w14:paraId="0D454C45" w14:textId="77777777" w:rsidTr="00233168">
        <w:trPr>
          <w:jc w:val="center"/>
        </w:trPr>
        <w:tc>
          <w:tcPr>
            <w:tcW w:w="1149" w:type="pct"/>
            <w:vMerge/>
            <w:tcBorders>
              <w:left w:val="nil"/>
              <w:bottom w:val="single" w:sz="6" w:space="0" w:color="auto"/>
              <w:right w:val="nil"/>
            </w:tcBorders>
            <w:vAlign w:val="center"/>
          </w:tcPr>
          <w:p w14:paraId="2EF801F8"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single" w:sz="6" w:space="0" w:color="auto"/>
              <w:right w:val="nil"/>
            </w:tcBorders>
          </w:tcPr>
          <w:p w14:paraId="7B704295" w14:textId="77777777" w:rsidR="00DB57F4" w:rsidRPr="00A7211C" w:rsidRDefault="00DB57F4" w:rsidP="00233168">
            <w:pPr>
              <w:jc w:val="center"/>
              <w:rPr>
                <w:rFonts w:ascii="Times New Roman" w:hAnsi="Times New Roman" w:cs="Times New Roman"/>
                <w:i/>
              </w:rPr>
            </w:pPr>
            <w:r w:rsidRPr="00A7211C">
              <w:rPr>
                <w:rFonts w:ascii="Times New Roman" w:hAnsi="Times New Roman" w:cs="Times New Roman"/>
                <w:i/>
              </w:rPr>
              <w:t>CEI</w:t>
            </w:r>
          </w:p>
        </w:tc>
        <w:tc>
          <w:tcPr>
            <w:tcW w:w="963" w:type="pct"/>
            <w:tcBorders>
              <w:top w:val="nil"/>
              <w:left w:val="nil"/>
              <w:bottom w:val="single" w:sz="6" w:space="0" w:color="auto"/>
              <w:right w:val="nil"/>
            </w:tcBorders>
          </w:tcPr>
          <w:p w14:paraId="1CB756E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i/>
              </w:rPr>
              <w:t>CEI</w:t>
            </w:r>
          </w:p>
        </w:tc>
        <w:tc>
          <w:tcPr>
            <w:tcW w:w="963" w:type="pct"/>
            <w:tcBorders>
              <w:top w:val="nil"/>
              <w:left w:val="nil"/>
              <w:bottom w:val="single" w:sz="6" w:space="0" w:color="auto"/>
              <w:right w:val="nil"/>
            </w:tcBorders>
          </w:tcPr>
          <w:p w14:paraId="408C95E2" w14:textId="77777777" w:rsidR="00DB57F4" w:rsidRPr="00CC0105" w:rsidRDefault="00DB57F4" w:rsidP="00233168">
            <w:pPr>
              <w:jc w:val="center"/>
              <w:rPr>
                <w:rFonts w:ascii="Times New Roman" w:hAnsi="Times New Roman" w:cs="Times New Roman"/>
                <w:i/>
                <w:iCs/>
                <w:color w:val="FF0000"/>
              </w:rPr>
            </w:pPr>
            <w:proofErr w:type="spellStart"/>
            <w:r w:rsidRPr="00CC0105">
              <w:rPr>
                <w:rFonts w:ascii="Times New Roman" w:hAnsi="Times New Roman" w:cs="Times New Roman"/>
                <w:i/>
                <w:iCs/>
                <w:color w:val="FF0000"/>
              </w:rPr>
              <w:t>esg_news</w:t>
            </w:r>
            <w:proofErr w:type="spellEnd"/>
          </w:p>
        </w:tc>
        <w:tc>
          <w:tcPr>
            <w:tcW w:w="961" w:type="pct"/>
            <w:tcBorders>
              <w:top w:val="nil"/>
              <w:left w:val="nil"/>
              <w:bottom w:val="single" w:sz="6" w:space="0" w:color="auto"/>
              <w:right w:val="nil"/>
            </w:tcBorders>
          </w:tcPr>
          <w:p w14:paraId="6C5ED604"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i/>
                <w:color w:val="FF0000"/>
              </w:rPr>
              <w:t>CEI</w:t>
            </w:r>
          </w:p>
        </w:tc>
      </w:tr>
      <w:tr w:rsidR="00DB57F4" w:rsidRPr="00A7211C" w14:paraId="6D2D4327" w14:textId="77777777" w:rsidTr="00233168">
        <w:trPr>
          <w:jc w:val="center"/>
        </w:trPr>
        <w:tc>
          <w:tcPr>
            <w:tcW w:w="1149" w:type="pct"/>
            <w:vMerge w:val="restart"/>
            <w:tcBorders>
              <w:top w:val="nil"/>
              <w:left w:val="nil"/>
              <w:right w:val="nil"/>
            </w:tcBorders>
            <w:vAlign w:val="center"/>
          </w:tcPr>
          <w:p w14:paraId="368BAD70" w14:textId="77777777" w:rsidR="00DB57F4" w:rsidRPr="00A7211C" w:rsidRDefault="00DB57F4" w:rsidP="00233168">
            <w:pPr>
              <w:jc w:val="center"/>
              <w:rPr>
                <w:rFonts w:ascii="Times New Roman" w:hAnsi="Times New Roman" w:cs="Times New Roman"/>
              </w:rPr>
            </w:pPr>
            <w:proofErr w:type="spellStart"/>
            <w:r w:rsidRPr="00A7211C">
              <w:rPr>
                <w:rFonts w:ascii="Times New Roman" w:hAnsi="Times New Roman" w:cs="Times New Roman"/>
                <w:i/>
                <w:iCs/>
              </w:rPr>
              <w:t>esg_news</w:t>
            </w:r>
            <w:proofErr w:type="spellEnd"/>
          </w:p>
        </w:tc>
        <w:tc>
          <w:tcPr>
            <w:tcW w:w="963" w:type="pct"/>
            <w:tcBorders>
              <w:top w:val="nil"/>
              <w:left w:val="nil"/>
              <w:bottom w:val="nil"/>
              <w:right w:val="nil"/>
            </w:tcBorders>
          </w:tcPr>
          <w:p w14:paraId="27896846"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5D71FCF3"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7901E6F7"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59069920"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0.</w:t>
            </w:r>
            <w:r w:rsidRPr="00CC0105">
              <w:rPr>
                <w:rFonts w:ascii="Times New Roman" w:hAnsi="Times New Roman" w:cs="Times New Roman" w:hint="eastAsia"/>
                <w:color w:val="FF0000"/>
              </w:rPr>
              <w:t>2723</w:t>
            </w:r>
            <w:r w:rsidRPr="00CC0105">
              <w:rPr>
                <w:rFonts w:ascii="Times New Roman" w:hAnsi="Times New Roman" w:cs="Times New Roman"/>
                <w:color w:val="FF0000"/>
              </w:rPr>
              <w:t>***</w:t>
            </w:r>
          </w:p>
        </w:tc>
      </w:tr>
      <w:tr w:rsidR="00DB57F4" w:rsidRPr="00A7211C" w14:paraId="1E867EBA" w14:textId="77777777" w:rsidTr="00233168">
        <w:trPr>
          <w:jc w:val="center"/>
        </w:trPr>
        <w:tc>
          <w:tcPr>
            <w:tcW w:w="1149" w:type="pct"/>
            <w:vMerge/>
            <w:tcBorders>
              <w:left w:val="nil"/>
              <w:bottom w:val="nil"/>
              <w:right w:val="nil"/>
            </w:tcBorders>
            <w:vAlign w:val="center"/>
          </w:tcPr>
          <w:p w14:paraId="7C7629E6"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5C324AC6"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106B6F44"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498354F"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5E41D49D"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(0.1</w:t>
            </w:r>
            <w:r w:rsidRPr="00CC0105">
              <w:rPr>
                <w:rFonts w:ascii="Times New Roman" w:hAnsi="Times New Roman" w:cs="Times New Roman" w:hint="eastAsia"/>
                <w:color w:val="FF0000"/>
              </w:rPr>
              <w:t>022</w:t>
            </w:r>
            <w:r w:rsidRPr="00CC0105">
              <w:rPr>
                <w:rFonts w:ascii="Times New Roman" w:hAnsi="Times New Roman" w:cs="Times New Roman"/>
                <w:color w:val="FF0000"/>
              </w:rPr>
              <w:t>)</w:t>
            </w:r>
          </w:p>
        </w:tc>
      </w:tr>
      <w:tr w:rsidR="00DB57F4" w:rsidRPr="00A7211C" w14:paraId="203FD769" w14:textId="77777777" w:rsidTr="00233168">
        <w:trPr>
          <w:jc w:val="center"/>
        </w:trPr>
        <w:tc>
          <w:tcPr>
            <w:tcW w:w="1149" w:type="pct"/>
            <w:vMerge w:val="restart"/>
            <w:tcBorders>
              <w:top w:val="nil"/>
              <w:left w:val="nil"/>
              <w:right w:val="nil"/>
            </w:tcBorders>
            <w:vAlign w:val="center"/>
          </w:tcPr>
          <w:p w14:paraId="28B86A6E" w14:textId="77777777" w:rsidR="00DB57F4" w:rsidRPr="001D7E3E" w:rsidRDefault="00DB57F4" w:rsidP="00233168">
            <w:pPr>
              <w:jc w:val="center"/>
              <w:rPr>
                <w:rFonts w:ascii="Times New Roman" w:hAnsi="Times New Roman" w:cs="Times New Roman"/>
                <w:i/>
                <w:iCs/>
                <w:szCs w:val="21"/>
              </w:rPr>
            </w:pPr>
            <w:proofErr w:type="spellStart"/>
            <w:r w:rsidRPr="001D7E3E">
              <w:rPr>
                <w:rFonts w:ascii="Times New Roman" w:hAnsi="Times New Roman" w:cs="Times New Roman" w:hint="eastAsia"/>
                <w:i/>
                <w:iCs/>
                <w:szCs w:val="21"/>
              </w:rPr>
              <w:t>ESG_rate</w:t>
            </w:r>
            <w:proofErr w:type="spellEnd"/>
          </w:p>
        </w:tc>
        <w:tc>
          <w:tcPr>
            <w:tcW w:w="963" w:type="pct"/>
            <w:tcBorders>
              <w:top w:val="nil"/>
              <w:left w:val="nil"/>
              <w:bottom w:val="nil"/>
              <w:right w:val="nil"/>
            </w:tcBorders>
          </w:tcPr>
          <w:p w14:paraId="45D7D507"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41449E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0.1277***</w:t>
            </w:r>
          </w:p>
        </w:tc>
        <w:tc>
          <w:tcPr>
            <w:tcW w:w="963" w:type="pct"/>
            <w:tcBorders>
              <w:top w:val="nil"/>
              <w:left w:val="nil"/>
              <w:bottom w:val="nil"/>
              <w:right w:val="nil"/>
            </w:tcBorders>
          </w:tcPr>
          <w:p w14:paraId="196507E1"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53EC031A" w14:textId="77777777" w:rsidR="00DB57F4" w:rsidRPr="00CC0105" w:rsidRDefault="00DB57F4" w:rsidP="00233168">
            <w:pPr>
              <w:jc w:val="center"/>
              <w:rPr>
                <w:rFonts w:ascii="Times New Roman" w:hAnsi="Times New Roman" w:cs="Times New Roman"/>
                <w:color w:val="FF0000"/>
              </w:rPr>
            </w:pPr>
          </w:p>
        </w:tc>
      </w:tr>
      <w:tr w:rsidR="00DB57F4" w:rsidRPr="00A7211C" w14:paraId="664E87B0" w14:textId="77777777" w:rsidTr="00233168">
        <w:trPr>
          <w:jc w:val="center"/>
        </w:trPr>
        <w:tc>
          <w:tcPr>
            <w:tcW w:w="1149" w:type="pct"/>
            <w:vMerge/>
            <w:tcBorders>
              <w:left w:val="nil"/>
              <w:bottom w:val="nil"/>
              <w:right w:val="nil"/>
            </w:tcBorders>
            <w:vAlign w:val="center"/>
          </w:tcPr>
          <w:p w14:paraId="4C379E40"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CBEE58E"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1279261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(0.0199)</w:t>
            </w:r>
          </w:p>
        </w:tc>
        <w:tc>
          <w:tcPr>
            <w:tcW w:w="963" w:type="pct"/>
            <w:tcBorders>
              <w:top w:val="nil"/>
              <w:left w:val="nil"/>
              <w:bottom w:val="nil"/>
              <w:right w:val="nil"/>
            </w:tcBorders>
          </w:tcPr>
          <w:p w14:paraId="4CB63DD4"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066EDE30" w14:textId="77777777" w:rsidR="00DB57F4" w:rsidRPr="00CC0105" w:rsidRDefault="00DB57F4" w:rsidP="00233168">
            <w:pPr>
              <w:jc w:val="center"/>
              <w:rPr>
                <w:rFonts w:ascii="Times New Roman" w:hAnsi="Times New Roman" w:cs="Times New Roman"/>
                <w:color w:val="FF0000"/>
              </w:rPr>
            </w:pPr>
          </w:p>
        </w:tc>
      </w:tr>
      <w:tr w:rsidR="00DB57F4" w:rsidRPr="00A7211C" w14:paraId="780B12DC" w14:textId="77777777" w:rsidTr="00233168">
        <w:trPr>
          <w:jc w:val="center"/>
        </w:trPr>
        <w:tc>
          <w:tcPr>
            <w:tcW w:w="1149" w:type="pct"/>
            <w:vMerge w:val="restart"/>
            <w:tcBorders>
              <w:top w:val="nil"/>
              <w:left w:val="nil"/>
              <w:right w:val="nil"/>
            </w:tcBorders>
            <w:vAlign w:val="center"/>
          </w:tcPr>
          <w:p w14:paraId="6DB86A3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pre4</w:t>
            </w:r>
          </w:p>
        </w:tc>
        <w:tc>
          <w:tcPr>
            <w:tcW w:w="963" w:type="pct"/>
            <w:tcBorders>
              <w:top w:val="nil"/>
              <w:left w:val="nil"/>
              <w:bottom w:val="nil"/>
              <w:right w:val="nil"/>
            </w:tcBorders>
          </w:tcPr>
          <w:p w14:paraId="56D0974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-0.0351</w:t>
            </w:r>
          </w:p>
        </w:tc>
        <w:tc>
          <w:tcPr>
            <w:tcW w:w="963" w:type="pct"/>
            <w:tcBorders>
              <w:top w:val="nil"/>
              <w:left w:val="nil"/>
              <w:bottom w:val="nil"/>
              <w:right w:val="nil"/>
            </w:tcBorders>
          </w:tcPr>
          <w:p w14:paraId="1B49499B"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6599709C"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4A81FE71" w14:textId="77777777" w:rsidR="00DB57F4" w:rsidRPr="00CC0105" w:rsidRDefault="00DB57F4" w:rsidP="00233168">
            <w:pPr>
              <w:jc w:val="center"/>
              <w:rPr>
                <w:rFonts w:ascii="Times New Roman" w:hAnsi="Times New Roman" w:cs="Times New Roman"/>
                <w:color w:val="FF0000"/>
              </w:rPr>
            </w:pPr>
          </w:p>
        </w:tc>
      </w:tr>
      <w:tr w:rsidR="00DB57F4" w:rsidRPr="00A7211C" w14:paraId="4F643BF0" w14:textId="77777777" w:rsidTr="00233168">
        <w:trPr>
          <w:jc w:val="center"/>
        </w:trPr>
        <w:tc>
          <w:tcPr>
            <w:tcW w:w="1149" w:type="pct"/>
            <w:vMerge/>
            <w:tcBorders>
              <w:left w:val="nil"/>
              <w:bottom w:val="nil"/>
              <w:right w:val="nil"/>
            </w:tcBorders>
            <w:vAlign w:val="center"/>
          </w:tcPr>
          <w:p w14:paraId="5BDF6BA5"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25317E2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(0.0295)</w:t>
            </w:r>
          </w:p>
        </w:tc>
        <w:tc>
          <w:tcPr>
            <w:tcW w:w="963" w:type="pct"/>
            <w:tcBorders>
              <w:top w:val="nil"/>
              <w:left w:val="nil"/>
              <w:bottom w:val="nil"/>
              <w:right w:val="nil"/>
            </w:tcBorders>
          </w:tcPr>
          <w:p w14:paraId="76C220AB"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106C334A"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21F85867" w14:textId="77777777" w:rsidR="00DB57F4" w:rsidRPr="00CC0105" w:rsidRDefault="00DB57F4" w:rsidP="00233168">
            <w:pPr>
              <w:jc w:val="center"/>
              <w:rPr>
                <w:rFonts w:ascii="Times New Roman" w:hAnsi="Times New Roman" w:cs="Times New Roman"/>
                <w:color w:val="FF0000"/>
              </w:rPr>
            </w:pPr>
          </w:p>
        </w:tc>
      </w:tr>
      <w:tr w:rsidR="00DB57F4" w:rsidRPr="00A7211C" w14:paraId="3E2BBCBA" w14:textId="77777777" w:rsidTr="00233168">
        <w:trPr>
          <w:jc w:val="center"/>
        </w:trPr>
        <w:tc>
          <w:tcPr>
            <w:tcW w:w="1149" w:type="pct"/>
            <w:vMerge w:val="restart"/>
            <w:tcBorders>
              <w:top w:val="nil"/>
              <w:left w:val="nil"/>
              <w:right w:val="nil"/>
            </w:tcBorders>
            <w:vAlign w:val="center"/>
          </w:tcPr>
          <w:p w14:paraId="535C3BD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pre3</w:t>
            </w:r>
          </w:p>
        </w:tc>
        <w:tc>
          <w:tcPr>
            <w:tcW w:w="963" w:type="pct"/>
            <w:tcBorders>
              <w:top w:val="nil"/>
              <w:left w:val="nil"/>
              <w:bottom w:val="nil"/>
              <w:right w:val="nil"/>
            </w:tcBorders>
          </w:tcPr>
          <w:p w14:paraId="1470257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0.0212</w:t>
            </w:r>
          </w:p>
        </w:tc>
        <w:tc>
          <w:tcPr>
            <w:tcW w:w="963" w:type="pct"/>
            <w:tcBorders>
              <w:top w:val="nil"/>
              <w:left w:val="nil"/>
              <w:bottom w:val="nil"/>
              <w:right w:val="nil"/>
            </w:tcBorders>
          </w:tcPr>
          <w:p w14:paraId="2D59D37F"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6A136861"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059848C1" w14:textId="77777777" w:rsidR="00DB57F4" w:rsidRPr="00CC0105" w:rsidRDefault="00DB57F4" w:rsidP="00233168">
            <w:pPr>
              <w:jc w:val="center"/>
              <w:rPr>
                <w:rFonts w:ascii="Times New Roman" w:hAnsi="Times New Roman" w:cs="Times New Roman"/>
                <w:color w:val="FF0000"/>
              </w:rPr>
            </w:pPr>
          </w:p>
        </w:tc>
      </w:tr>
      <w:tr w:rsidR="00DB57F4" w:rsidRPr="00A7211C" w14:paraId="1EFC1F57" w14:textId="77777777" w:rsidTr="00233168">
        <w:trPr>
          <w:jc w:val="center"/>
        </w:trPr>
        <w:tc>
          <w:tcPr>
            <w:tcW w:w="1149" w:type="pct"/>
            <w:vMerge/>
            <w:tcBorders>
              <w:left w:val="nil"/>
              <w:bottom w:val="nil"/>
              <w:right w:val="nil"/>
            </w:tcBorders>
            <w:vAlign w:val="center"/>
          </w:tcPr>
          <w:p w14:paraId="2EF3F048"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5F55C34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(0.0284)</w:t>
            </w:r>
          </w:p>
        </w:tc>
        <w:tc>
          <w:tcPr>
            <w:tcW w:w="963" w:type="pct"/>
            <w:tcBorders>
              <w:top w:val="nil"/>
              <w:left w:val="nil"/>
              <w:bottom w:val="nil"/>
              <w:right w:val="nil"/>
            </w:tcBorders>
          </w:tcPr>
          <w:p w14:paraId="7831AC25"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24A60579"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102CBA84" w14:textId="77777777" w:rsidR="00DB57F4" w:rsidRPr="00CC0105" w:rsidRDefault="00DB57F4" w:rsidP="00233168">
            <w:pPr>
              <w:jc w:val="center"/>
              <w:rPr>
                <w:rFonts w:ascii="Times New Roman" w:hAnsi="Times New Roman" w:cs="Times New Roman"/>
                <w:color w:val="FF0000"/>
              </w:rPr>
            </w:pPr>
          </w:p>
        </w:tc>
      </w:tr>
      <w:tr w:rsidR="00DB57F4" w:rsidRPr="00A7211C" w14:paraId="07DF1CE8" w14:textId="77777777" w:rsidTr="00233168">
        <w:trPr>
          <w:jc w:val="center"/>
        </w:trPr>
        <w:tc>
          <w:tcPr>
            <w:tcW w:w="1149" w:type="pct"/>
            <w:vMerge w:val="restart"/>
            <w:tcBorders>
              <w:top w:val="nil"/>
              <w:left w:val="nil"/>
              <w:right w:val="nil"/>
            </w:tcBorders>
            <w:vAlign w:val="center"/>
          </w:tcPr>
          <w:p w14:paraId="494B07B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pre2</w:t>
            </w:r>
          </w:p>
        </w:tc>
        <w:tc>
          <w:tcPr>
            <w:tcW w:w="963" w:type="pct"/>
            <w:tcBorders>
              <w:top w:val="nil"/>
              <w:left w:val="nil"/>
              <w:bottom w:val="nil"/>
              <w:right w:val="nil"/>
            </w:tcBorders>
          </w:tcPr>
          <w:p w14:paraId="5E742A1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-0.0024</w:t>
            </w:r>
          </w:p>
        </w:tc>
        <w:tc>
          <w:tcPr>
            <w:tcW w:w="963" w:type="pct"/>
            <w:tcBorders>
              <w:top w:val="nil"/>
              <w:left w:val="nil"/>
              <w:bottom w:val="nil"/>
              <w:right w:val="nil"/>
            </w:tcBorders>
          </w:tcPr>
          <w:p w14:paraId="29804F36"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3A6B98B1"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4CCDA27B" w14:textId="77777777" w:rsidR="00DB57F4" w:rsidRPr="00CC0105" w:rsidRDefault="00DB57F4" w:rsidP="00233168">
            <w:pPr>
              <w:jc w:val="center"/>
              <w:rPr>
                <w:rFonts w:ascii="Times New Roman" w:hAnsi="Times New Roman" w:cs="Times New Roman"/>
                <w:color w:val="FF0000"/>
              </w:rPr>
            </w:pPr>
          </w:p>
        </w:tc>
      </w:tr>
      <w:tr w:rsidR="00DB57F4" w:rsidRPr="00A7211C" w14:paraId="6533FBBF" w14:textId="77777777" w:rsidTr="00233168">
        <w:trPr>
          <w:jc w:val="center"/>
        </w:trPr>
        <w:tc>
          <w:tcPr>
            <w:tcW w:w="1149" w:type="pct"/>
            <w:vMerge/>
            <w:tcBorders>
              <w:left w:val="nil"/>
              <w:bottom w:val="nil"/>
              <w:right w:val="nil"/>
            </w:tcBorders>
            <w:vAlign w:val="center"/>
          </w:tcPr>
          <w:p w14:paraId="1564AA0E"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51DC904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(0.0268)</w:t>
            </w:r>
          </w:p>
        </w:tc>
        <w:tc>
          <w:tcPr>
            <w:tcW w:w="963" w:type="pct"/>
            <w:tcBorders>
              <w:top w:val="nil"/>
              <w:left w:val="nil"/>
              <w:bottom w:val="nil"/>
              <w:right w:val="nil"/>
            </w:tcBorders>
          </w:tcPr>
          <w:p w14:paraId="15981903"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7044F6D"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4B67B913" w14:textId="77777777" w:rsidR="00DB57F4" w:rsidRPr="00CC0105" w:rsidRDefault="00DB57F4" w:rsidP="00233168">
            <w:pPr>
              <w:jc w:val="center"/>
              <w:rPr>
                <w:rFonts w:ascii="Times New Roman" w:hAnsi="Times New Roman" w:cs="Times New Roman"/>
                <w:color w:val="FF0000"/>
              </w:rPr>
            </w:pPr>
          </w:p>
        </w:tc>
      </w:tr>
      <w:tr w:rsidR="00DB57F4" w:rsidRPr="00A7211C" w14:paraId="6689730A" w14:textId="77777777" w:rsidTr="00233168">
        <w:trPr>
          <w:jc w:val="center"/>
        </w:trPr>
        <w:tc>
          <w:tcPr>
            <w:tcW w:w="1149" w:type="pct"/>
            <w:vMerge w:val="restart"/>
            <w:tcBorders>
              <w:top w:val="nil"/>
              <w:left w:val="nil"/>
              <w:right w:val="nil"/>
            </w:tcBorders>
            <w:vAlign w:val="center"/>
          </w:tcPr>
          <w:p w14:paraId="164DB32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current</w:t>
            </w:r>
          </w:p>
        </w:tc>
        <w:tc>
          <w:tcPr>
            <w:tcW w:w="963" w:type="pct"/>
            <w:tcBorders>
              <w:top w:val="nil"/>
              <w:left w:val="nil"/>
              <w:bottom w:val="nil"/>
              <w:right w:val="nil"/>
            </w:tcBorders>
          </w:tcPr>
          <w:p w14:paraId="3DDF37D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0.0551*</w:t>
            </w:r>
          </w:p>
        </w:tc>
        <w:tc>
          <w:tcPr>
            <w:tcW w:w="963" w:type="pct"/>
            <w:tcBorders>
              <w:top w:val="nil"/>
              <w:left w:val="nil"/>
              <w:bottom w:val="nil"/>
              <w:right w:val="nil"/>
            </w:tcBorders>
          </w:tcPr>
          <w:p w14:paraId="376ED873"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32729257"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7064CFEC" w14:textId="77777777" w:rsidR="00DB57F4" w:rsidRPr="00CC0105" w:rsidRDefault="00DB57F4" w:rsidP="00233168">
            <w:pPr>
              <w:jc w:val="center"/>
              <w:rPr>
                <w:rFonts w:ascii="Times New Roman" w:hAnsi="Times New Roman" w:cs="Times New Roman"/>
                <w:color w:val="FF0000"/>
              </w:rPr>
            </w:pPr>
          </w:p>
        </w:tc>
      </w:tr>
      <w:tr w:rsidR="00DB57F4" w:rsidRPr="00A7211C" w14:paraId="2C5DB222" w14:textId="77777777" w:rsidTr="00233168">
        <w:trPr>
          <w:jc w:val="center"/>
        </w:trPr>
        <w:tc>
          <w:tcPr>
            <w:tcW w:w="1149" w:type="pct"/>
            <w:vMerge/>
            <w:tcBorders>
              <w:left w:val="nil"/>
              <w:bottom w:val="nil"/>
              <w:right w:val="nil"/>
            </w:tcBorders>
            <w:vAlign w:val="center"/>
          </w:tcPr>
          <w:p w14:paraId="420F2C76"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5B297EE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(0.0295)</w:t>
            </w:r>
          </w:p>
        </w:tc>
        <w:tc>
          <w:tcPr>
            <w:tcW w:w="963" w:type="pct"/>
            <w:tcBorders>
              <w:top w:val="nil"/>
              <w:left w:val="nil"/>
              <w:bottom w:val="nil"/>
              <w:right w:val="nil"/>
            </w:tcBorders>
          </w:tcPr>
          <w:p w14:paraId="61F78F62"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71448667"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6CE51B85" w14:textId="77777777" w:rsidR="00DB57F4" w:rsidRPr="00CC0105" w:rsidRDefault="00DB57F4" w:rsidP="00233168">
            <w:pPr>
              <w:jc w:val="center"/>
              <w:rPr>
                <w:rFonts w:ascii="Times New Roman" w:hAnsi="Times New Roman" w:cs="Times New Roman"/>
                <w:color w:val="FF0000"/>
              </w:rPr>
            </w:pPr>
          </w:p>
        </w:tc>
      </w:tr>
      <w:tr w:rsidR="00DB57F4" w:rsidRPr="00A7211C" w14:paraId="5123C5A9" w14:textId="77777777" w:rsidTr="00233168">
        <w:trPr>
          <w:jc w:val="center"/>
        </w:trPr>
        <w:tc>
          <w:tcPr>
            <w:tcW w:w="1149" w:type="pct"/>
            <w:vMerge w:val="restart"/>
            <w:tcBorders>
              <w:top w:val="nil"/>
              <w:left w:val="nil"/>
              <w:right w:val="nil"/>
            </w:tcBorders>
            <w:vAlign w:val="center"/>
          </w:tcPr>
          <w:p w14:paraId="21877CB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post1</w:t>
            </w:r>
          </w:p>
        </w:tc>
        <w:tc>
          <w:tcPr>
            <w:tcW w:w="963" w:type="pct"/>
            <w:tcBorders>
              <w:top w:val="nil"/>
              <w:left w:val="nil"/>
              <w:bottom w:val="nil"/>
              <w:right w:val="nil"/>
            </w:tcBorders>
          </w:tcPr>
          <w:p w14:paraId="65C88BC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0.1060***</w:t>
            </w:r>
          </w:p>
        </w:tc>
        <w:tc>
          <w:tcPr>
            <w:tcW w:w="963" w:type="pct"/>
            <w:tcBorders>
              <w:top w:val="nil"/>
              <w:left w:val="nil"/>
              <w:bottom w:val="nil"/>
              <w:right w:val="nil"/>
            </w:tcBorders>
          </w:tcPr>
          <w:p w14:paraId="59A7A244"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F08FB66"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66A132B9" w14:textId="77777777" w:rsidR="00DB57F4" w:rsidRPr="00CC0105" w:rsidRDefault="00DB57F4" w:rsidP="00233168">
            <w:pPr>
              <w:jc w:val="center"/>
              <w:rPr>
                <w:rFonts w:ascii="Times New Roman" w:hAnsi="Times New Roman" w:cs="Times New Roman"/>
                <w:color w:val="FF0000"/>
              </w:rPr>
            </w:pPr>
          </w:p>
        </w:tc>
      </w:tr>
      <w:tr w:rsidR="00DB57F4" w:rsidRPr="00A7211C" w14:paraId="3378902F" w14:textId="77777777" w:rsidTr="00233168">
        <w:trPr>
          <w:jc w:val="center"/>
        </w:trPr>
        <w:tc>
          <w:tcPr>
            <w:tcW w:w="1149" w:type="pct"/>
            <w:vMerge/>
            <w:tcBorders>
              <w:left w:val="nil"/>
              <w:bottom w:val="nil"/>
              <w:right w:val="nil"/>
            </w:tcBorders>
            <w:vAlign w:val="center"/>
          </w:tcPr>
          <w:p w14:paraId="6462D828"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3F0B68B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(0.0315)</w:t>
            </w:r>
          </w:p>
        </w:tc>
        <w:tc>
          <w:tcPr>
            <w:tcW w:w="963" w:type="pct"/>
            <w:tcBorders>
              <w:top w:val="nil"/>
              <w:left w:val="nil"/>
              <w:bottom w:val="nil"/>
              <w:right w:val="nil"/>
            </w:tcBorders>
          </w:tcPr>
          <w:p w14:paraId="33BD5427"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15238EF"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4A5ED75B" w14:textId="77777777" w:rsidR="00DB57F4" w:rsidRPr="00CC0105" w:rsidRDefault="00DB57F4" w:rsidP="00233168">
            <w:pPr>
              <w:jc w:val="center"/>
              <w:rPr>
                <w:rFonts w:ascii="Times New Roman" w:hAnsi="Times New Roman" w:cs="Times New Roman"/>
                <w:color w:val="FF0000"/>
              </w:rPr>
            </w:pPr>
          </w:p>
        </w:tc>
      </w:tr>
      <w:tr w:rsidR="00DB57F4" w:rsidRPr="00A7211C" w14:paraId="20476A7C" w14:textId="77777777" w:rsidTr="00233168">
        <w:trPr>
          <w:jc w:val="center"/>
        </w:trPr>
        <w:tc>
          <w:tcPr>
            <w:tcW w:w="1149" w:type="pct"/>
            <w:vMerge w:val="restart"/>
            <w:tcBorders>
              <w:top w:val="nil"/>
              <w:left w:val="nil"/>
              <w:right w:val="nil"/>
            </w:tcBorders>
            <w:vAlign w:val="center"/>
          </w:tcPr>
          <w:p w14:paraId="33401D0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post2</w:t>
            </w:r>
          </w:p>
        </w:tc>
        <w:tc>
          <w:tcPr>
            <w:tcW w:w="963" w:type="pct"/>
            <w:tcBorders>
              <w:top w:val="nil"/>
              <w:left w:val="nil"/>
              <w:bottom w:val="nil"/>
              <w:right w:val="nil"/>
            </w:tcBorders>
          </w:tcPr>
          <w:p w14:paraId="3DA5CFE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0.1882***</w:t>
            </w:r>
          </w:p>
        </w:tc>
        <w:tc>
          <w:tcPr>
            <w:tcW w:w="963" w:type="pct"/>
            <w:tcBorders>
              <w:top w:val="nil"/>
              <w:left w:val="nil"/>
              <w:bottom w:val="nil"/>
              <w:right w:val="nil"/>
            </w:tcBorders>
          </w:tcPr>
          <w:p w14:paraId="1D26E77B"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788B237C"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0CDD4908" w14:textId="77777777" w:rsidR="00DB57F4" w:rsidRPr="00CC0105" w:rsidRDefault="00DB57F4" w:rsidP="00233168">
            <w:pPr>
              <w:jc w:val="center"/>
              <w:rPr>
                <w:rFonts w:ascii="Times New Roman" w:hAnsi="Times New Roman" w:cs="Times New Roman"/>
                <w:color w:val="FF0000"/>
              </w:rPr>
            </w:pPr>
          </w:p>
        </w:tc>
      </w:tr>
      <w:tr w:rsidR="00DB57F4" w:rsidRPr="00A7211C" w14:paraId="7A497329" w14:textId="77777777" w:rsidTr="00233168">
        <w:trPr>
          <w:jc w:val="center"/>
        </w:trPr>
        <w:tc>
          <w:tcPr>
            <w:tcW w:w="1149" w:type="pct"/>
            <w:vMerge/>
            <w:tcBorders>
              <w:left w:val="nil"/>
              <w:bottom w:val="nil"/>
              <w:right w:val="nil"/>
            </w:tcBorders>
            <w:vAlign w:val="center"/>
          </w:tcPr>
          <w:p w14:paraId="6ECCE1D3"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4500402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(0.0345)</w:t>
            </w:r>
          </w:p>
        </w:tc>
        <w:tc>
          <w:tcPr>
            <w:tcW w:w="963" w:type="pct"/>
            <w:tcBorders>
              <w:top w:val="nil"/>
              <w:left w:val="nil"/>
              <w:bottom w:val="nil"/>
              <w:right w:val="nil"/>
            </w:tcBorders>
          </w:tcPr>
          <w:p w14:paraId="35A92228"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34902F26"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1A6D9DBF" w14:textId="77777777" w:rsidR="00DB57F4" w:rsidRPr="00CC0105" w:rsidRDefault="00DB57F4" w:rsidP="00233168">
            <w:pPr>
              <w:jc w:val="center"/>
              <w:rPr>
                <w:rFonts w:ascii="Times New Roman" w:hAnsi="Times New Roman" w:cs="Times New Roman"/>
                <w:color w:val="FF0000"/>
              </w:rPr>
            </w:pPr>
          </w:p>
        </w:tc>
      </w:tr>
      <w:tr w:rsidR="00DB57F4" w:rsidRPr="00A7211C" w14:paraId="1D942870" w14:textId="77777777" w:rsidTr="00233168">
        <w:trPr>
          <w:jc w:val="center"/>
        </w:trPr>
        <w:tc>
          <w:tcPr>
            <w:tcW w:w="1149" w:type="pct"/>
            <w:vMerge w:val="restart"/>
            <w:tcBorders>
              <w:top w:val="nil"/>
              <w:left w:val="nil"/>
              <w:right w:val="nil"/>
            </w:tcBorders>
            <w:vAlign w:val="center"/>
          </w:tcPr>
          <w:p w14:paraId="6ED3F6B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post3</w:t>
            </w:r>
          </w:p>
        </w:tc>
        <w:tc>
          <w:tcPr>
            <w:tcW w:w="963" w:type="pct"/>
            <w:tcBorders>
              <w:top w:val="nil"/>
              <w:left w:val="nil"/>
              <w:bottom w:val="nil"/>
              <w:right w:val="nil"/>
            </w:tcBorders>
          </w:tcPr>
          <w:p w14:paraId="54AD7A7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0.2343***</w:t>
            </w:r>
          </w:p>
        </w:tc>
        <w:tc>
          <w:tcPr>
            <w:tcW w:w="963" w:type="pct"/>
            <w:tcBorders>
              <w:top w:val="nil"/>
              <w:left w:val="nil"/>
              <w:bottom w:val="nil"/>
              <w:right w:val="nil"/>
            </w:tcBorders>
          </w:tcPr>
          <w:p w14:paraId="1E3FFDED"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17FD26A5"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65C04E99" w14:textId="77777777" w:rsidR="00DB57F4" w:rsidRPr="00CC0105" w:rsidRDefault="00DB57F4" w:rsidP="00233168">
            <w:pPr>
              <w:jc w:val="center"/>
              <w:rPr>
                <w:rFonts w:ascii="Times New Roman" w:hAnsi="Times New Roman" w:cs="Times New Roman"/>
                <w:color w:val="FF0000"/>
              </w:rPr>
            </w:pPr>
          </w:p>
        </w:tc>
      </w:tr>
      <w:tr w:rsidR="00DB57F4" w:rsidRPr="00A7211C" w14:paraId="6D37FE7F" w14:textId="77777777" w:rsidTr="00233168">
        <w:trPr>
          <w:jc w:val="center"/>
        </w:trPr>
        <w:tc>
          <w:tcPr>
            <w:tcW w:w="1149" w:type="pct"/>
            <w:vMerge/>
            <w:tcBorders>
              <w:left w:val="nil"/>
              <w:bottom w:val="nil"/>
              <w:right w:val="nil"/>
            </w:tcBorders>
            <w:vAlign w:val="center"/>
          </w:tcPr>
          <w:p w14:paraId="57E016E5"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4ADB309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(0.0372)</w:t>
            </w:r>
          </w:p>
        </w:tc>
        <w:tc>
          <w:tcPr>
            <w:tcW w:w="963" w:type="pct"/>
            <w:tcBorders>
              <w:top w:val="nil"/>
              <w:left w:val="nil"/>
              <w:bottom w:val="nil"/>
              <w:right w:val="nil"/>
            </w:tcBorders>
          </w:tcPr>
          <w:p w14:paraId="55E43C84"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2FF2731D"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0336ED3D" w14:textId="77777777" w:rsidR="00DB57F4" w:rsidRPr="00CC0105" w:rsidRDefault="00DB57F4" w:rsidP="00233168">
            <w:pPr>
              <w:jc w:val="center"/>
              <w:rPr>
                <w:rFonts w:ascii="Times New Roman" w:hAnsi="Times New Roman" w:cs="Times New Roman"/>
                <w:color w:val="FF0000"/>
              </w:rPr>
            </w:pPr>
          </w:p>
        </w:tc>
      </w:tr>
      <w:tr w:rsidR="00DB57F4" w:rsidRPr="00A7211C" w14:paraId="175E1B06" w14:textId="77777777" w:rsidTr="00233168">
        <w:trPr>
          <w:jc w:val="center"/>
        </w:trPr>
        <w:tc>
          <w:tcPr>
            <w:tcW w:w="1149" w:type="pct"/>
            <w:vMerge w:val="restart"/>
            <w:tcBorders>
              <w:top w:val="nil"/>
              <w:left w:val="nil"/>
              <w:right w:val="nil"/>
            </w:tcBorders>
            <w:vAlign w:val="center"/>
          </w:tcPr>
          <w:p w14:paraId="182B36F7"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IV</w:t>
            </w:r>
          </w:p>
        </w:tc>
        <w:tc>
          <w:tcPr>
            <w:tcW w:w="963" w:type="pct"/>
            <w:tcBorders>
              <w:top w:val="nil"/>
              <w:left w:val="nil"/>
              <w:bottom w:val="nil"/>
              <w:right w:val="nil"/>
            </w:tcBorders>
          </w:tcPr>
          <w:p w14:paraId="4CE870A1"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C35B499"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035DF879"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0.</w:t>
            </w:r>
            <w:r w:rsidRPr="00CC0105">
              <w:rPr>
                <w:rFonts w:ascii="Times New Roman" w:hAnsi="Times New Roman" w:cs="Times New Roman" w:hint="eastAsia"/>
                <w:color w:val="FF0000"/>
              </w:rPr>
              <w:t>0545</w:t>
            </w:r>
            <w:r w:rsidRPr="00CC0105">
              <w:rPr>
                <w:rFonts w:ascii="Times New Roman" w:hAnsi="Times New Roman" w:cs="Times New Roman"/>
                <w:color w:val="FF0000"/>
              </w:rPr>
              <w:t>***</w:t>
            </w:r>
          </w:p>
        </w:tc>
        <w:tc>
          <w:tcPr>
            <w:tcW w:w="961" w:type="pct"/>
            <w:tcBorders>
              <w:top w:val="nil"/>
              <w:left w:val="nil"/>
              <w:bottom w:val="nil"/>
              <w:right w:val="nil"/>
            </w:tcBorders>
          </w:tcPr>
          <w:p w14:paraId="4711F7D9" w14:textId="77777777" w:rsidR="00DB57F4" w:rsidRPr="00CC0105" w:rsidRDefault="00DB57F4" w:rsidP="00233168">
            <w:pPr>
              <w:jc w:val="center"/>
              <w:rPr>
                <w:rFonts w:ascii="Times New Roman" w:hAnsi="Times New Roman" w:cs="Times New Roman"/>
                <w:color w:val="FF0000"/>
              </w:rPr>
            </w:pPr>
          </w:p>
        </w:tc>
      </w:tr>
      <w:tr w:rsidR="00DB57F4" w:rsidRPr="00A7211C" w14:paraId="533DA09A" w14:textId="77777777" w:rsidTr="00233168">
        <w:trPr>
          <w:jc w:val="center"/>
        </w:trPr>
        <w:tc>
          <w:tcPr>
            <w:tcW w:w="1149" w:type="pct"/>
            <w:vMerge/>
            <w:tcBorders>
              <w:left w:val="nil"/>
              <w:bottom w:val="nil"/>
              <w:right w:val="nil"/>
            </w:tcBorders>
            <w:vAlign w:val="center"/>
          </w:tcPr>
          <w:p w14:paraId="103F6AD5"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6BF222F3"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4333BF9C"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334A9CEA"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(0.01</w:t>
            </w:r>
            <w:r w:rsidRPr="00CC0105">
              <w:rPr>
                <w:rFonts w:ascii="Times New Roman" w:hAnsi="Times New Roman" w:cs="Times New Roman" w:hint="eastAsia"/>
                <w:color w:val="FF0000"/>
              </w:rPr>
              <w:t>57</w:t>
            </w:r>
            <w:r w:rsidRPr="00CC0105">
              <w:rPr>
                <w:rFonts w:ascii="Times New Roman" w:hAnsi="Times New Roman" w:cs="Times New Roman"/>
                <w:color w:val="FF0000"/>
              </w:rPr>
              <w:t>)</w:t>
            </w:r>
          </w:p>
        </w:tc>
        <w:tc>
          <w:tcPr>
            <w:tcW w:w="961" w:type="pct"/>
            <w:tcBorders>
              <w:top w:val="nil"/>
              <w:left w:val="nil"/>
              <w:bottom w:val="nil"/>
              <w:right w:val="nil"/>
            </w:tcBorders>
          </w:tcPr>
          <w:p w14:paraId="50727D4C" w14:textId="77777777" w:rsidR="00DB57F4" w:rsidRPr="00CC0105" w:rsidRDefault="00DB57F4" w:rsidP="00233168">
            <w:pPr>
              <w:jc w:val="center"/>
              <w:rPr>
                <w:rFonts w:ascii="Times New Roman" w:hAnsi="Times New Roman" w:cs="Times New Roman"/>
                <w:color w:val="FF0000"/>
              </w:rPr>
            </w:pPr>
          </w:p>
        </w:tc>
      </w:tr>
      <w:tr w:rsidR="00DB57F4" w:rsidRPr="00A7211C" w14:paraId="04CE7DA3" w14:textId="77777777" w:rsidTr="00233168">
        <w:trPr>
          <w:jc w:val="center"/>
        </w:trPr>
        <w:tc>
          <w:tcPr>
            <w:tcW w:w="1149" w:type="pct"/>
            <w:vMerge w:val="restart"/>
            <w:tcBorders>
              <w:top w:val="nil"/>
              <w:left w:val="nil"/>
              <w:right w:val="nil"/>
            </w:tcBorders>
            <w:vAlign w:val="center"/>
          </w:tcPr>
          <w:p w14:paraId="7E47258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szCs w:val="21"/>
              </w:rPr>
              <w:t>Constant</w:t>
            </w:r>
          </w:p>
        </w:tc>
        <w:tc>
          <w:tcPr>
            <w:tcW w:w="963" w:type="pct"/>
            <w:tcBorders>
              <w:top w:val="nil"/>
              <w:left w:val="nil"/>
              <w:bottom w:val="nil"/>
              <w:right w:val="nil"/>
            </w:tcBorders>
          </w:tcPr>
          <w:p w14:paraId="0A77E0B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-5.2596***</w:t>
            </w:r>
          </w:p>
        </w:tc>
        <w:tc>
          <w:tcPr>
            <w:tcW w:w="963" w:type="pct"/>
            <w:tcBorders>
              <w:top w:val="nil"/>
              <w:left w:val="nil"/>
              <w:bottom w:val="nil"/>
              <w:right w:val="nil"/>
            </w:tcBorders>
          </w:tcPr>
          <w:p w14:paraId="33F3E41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-5.1100***</w:t>
            </w:r>
          </w:p>
        </w:tc>
        <w:tc>
          <w:tcPr>
            <w:tcW w:w="963" w:type="pct"/>
            <w:tcBorders>
              <w:top w:val="nil"/>
              <w:left w:val="nil"/>
              <w:bottom w:val="nil"/>
              <w:right w:val="nil"/>
            </w:tcBorders>
          </w:tcPr>
          <w:p w14:paraId="2E82B8AD"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67F388A8" w14:textId="77777777" w:rsidR="00DB57F4" w:rsidRPr="00CC0105" w:rsidRDefault="00DB57F4" w:rsidP="00233168">
            <w:pPr>
              <w:jc w:val="center"/>
              <w:rPr>
                <w:rFonts w:ascii="Times New Roman" w:hAnsi="Times New Roman" w:cs="Times New Roman"/>
                <w:color w:val="FF0000"/>
              </w:rPr>
            </w:pPr>
          </w:p>
        </w:tc>
      </w:tr>
      <w:tr w:rsidR="00DB57F4" w:rsidRPr="00A7211C" w14:paraId="27860781" w14:textId="77777777" w:rsidTr="00233168">
        <w:trPr>
          <w:jc w:val="center"/>
        </w:trPr>
        <w:tc>
          <w:tcPr>
            <w:tcW w:w="1149" w:type="pct"/>
            <w:vMerge/>
            <w:tcBorders>
              <w:left w:val="nil"/>
              <w:bottom w:val="nil"/>
              <w:right w:val="nil"/>
            </w:tcBorders>
            <w:vAlign w:val="center"/>
          </w:tcPr>
          <w:p w14:paraId="00B67936"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7354B96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(0.3516)</w:t>
            </w:r>
          </w:p>
        </w:tc>
        <w:tc>
          <w:tcPr>
            <w:tcW w:w="963" w:type="pct"/>
            <w:tcBorders>
              <w:top w:val="nil"/>
              <w:left w:val="nil"/>
              <w:bottom w:val="nil"/>
              <w:right w:val="nil"/>
            </w:tcBorders>
          </w:tcPr>
          <w:p w14:paraId="145A55E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(0.3529)</w:t>
            </w:r>
          </w:p>
        </w:tc>
        <w:tc>
          <w:tcPr>
            <w:tcW w:w="963" w:type="pct"/>
            <w:tcBorders>
              <w:top w:val="nil"/>
              <w:left w:val="nil"/>
              <w:bottom w:val="nil"/>
              <w:right w:val="nil"/>
            </w:tcBorders>
          </w:tcPr>
          <w:p w14:paraId="689E530F" w14:textId="77777777" w:rsidR="00DB57F4" w:rsidRPr="00CC0105" w:rsidRDefault="00DB57F4" w:rsidP="00233168">
            <w:pPr>
              <w:jc w:val="center"/>
              <w:rPr>
                <w:rFonts w:ascii="Times New Roman" w:hAnsi="Times New Roman" w:cs="Times New Roman"/>
                <w:color w:val="FF0000"/>
              </w:rPr>
            </w:pPr>
          </w:p>
        </w:tc>
        <w:tc>
          <w:tcPr>
            <w:tcW w:w="961" w:type="pct"/>
            <w:tcBorders>
              <w:top w:val="nil"/>
              <w:left w:val="nil"/>
              <w:bottom w:val="nil"/>
              <w:right w:val="nil"/>
            </w:tcBorders>
          </w:tcPr>
          <w:p w14:paraId="1CE565FB" w14:textId="77777777" w:rsidR="00DB57F4" w:rsidRPr="00CC0105" w:rsidRDefault="00DB57F4" w:rsidP="00233168">
            <w:pPr>
              <w:jc w:val="center"/>
              <w:rPr>
                <w:rFonts w:ascii="Times New Roman" w:hAnsi="Times New Roman" w:cs="Times New Roman"/>
                <w:color w:val="FF0000"/>
              </w:rPr>
            </w:pPr>
          </w:p>
        </w:tc>
      </w:tr>
      <w:tr w:rsidR="00DB57F4" w:rsidRPr="00A7211C" w14:paraId="4EEEE194" w14:textId="77777777" w:rsidTr="00233168">
        <w:trPr>
          <w:jc w:val="center"/>
        </w:trPr>
        <w:tc>
          <w:tcPr>
            <w:tcW w:w="1149" w:type="pct"/>
            <w:tcBorders>
              <w:top w:val="nil"/>
              <w:left w:val="nil"/>
              <w:bottom w:val="nil"/>
              <w:right w:val="nil"/>
            </w:tcBorders>
            <w:vAlign w:val="center"/>
          </w:tcPr>
          <w:p w14:paraId="5BDAB7F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 xml:space="preserve">K-P </w:t>
            </w:r>
            <w:proofErr w:type="spellStart"/>
            <w:r w:rsidRPr="00A7211C">
              <w:rPr>
                <w:rFonts w:ascii="Times New Roman" w:hAnsi="Times New Roman" w:cs="Times New Roman"/>
              </w:rPr>
              <w:t>rk</w:t>
            </w:r>
            <w:proofErr w:type="spellEnd"/>
            <w:r w:rsidRPr="00A7211C">
              <w:rPr>
                <w:rFonts w:ascii="Times New Roman" w:hAnsi="Times New Roman" w:cs="Times New Roman"/>
              </w:rPr>
              <w:t xml:space="preserve"> LM statistic</w:t>
            </w:r>
          </w:p>
        </w:tc>
        <w:tc>
          <w:tcPr>
            <w:tcW w:w="963" w:type="pct"/>
            <w:tcBorders>
              <w:top w:val="nil"/>
              <w:left w:val="nil"/>
              <w:bottom w:val="nil"/>
              <w:right w:val="nil"/>
            </w:tcBorders>
          </w:tcPr>
          <w:p w14:paraId="70D0E309"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18A2BBB8"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3608479A"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hint="eastAsia"/>
                <w:color w:val="FF0000"/>
              </w:rPr>
              <w:t>14</w:t>
            </w:r>
            <w:r w:rsidRPr="00CC0105">
              <w:rPr>
                <w:rFonts w:ascii="Times New Roman" w:hAnsi="Times New Roman" w:cs="Times New Roman"/>
                <w:color w:val="FF0000"/>
              </w:rPr>
              <w:t>.</w:t>
            </w:r>
            <w:r w:rsidRPr="00CC0105">
              <w:rPr>
                <w:rFonts w:ascii="Times New Roman" w:hAnsi="Times New Roman" w:cs="Times New Roman" w:hint="eastAsia"/>
                <w:color w:val="FF0000"/>
              </w:rPr>
              <w:t>05</w:t>
            </w:r>
            <w:r w:rsidRPr="00CC0105">
              <w:rPr>
                <w:rFonts w:ascii="Times New Roman" w:hAnsi="Times New Roman" w:cs="Times New Roman"/>
                <w:color w:val="FF0000"/>
              </w:rPr>
              <w:t>***</w:t>
            </w:r>
          </w:p>
        </w:tc>
        <w:tc>
          <w:tcPr>
            <w:tcW w:w="961" w:type="pct"/>
            <w:tcBorders>
              <w:top w:val="nil"/>
              <w:left w:val="nil"/>
              <w:bottom w:val="nil"/>
              <w:right w:val="nil"/>
            </w:tcBorders>
          </w:tcPr>
          <w:p w14:paraId="76AFBCE7" w14:textId="77777777" w:rsidR="00DB57F4" w:rsidRPr="00CC0105" w:rsidRDefault="00DB57F4" w:rsidP="00233168">
            <w:pPr>
              <w:jc w:val="center"/>
              <w:rPr>
                <w:rFonts w:ascii="Times New Roman" w:hAnsi="Times New Roman" w:cs="Times New Roman"/>
                <w:color w:val="FF0000"/>
              </w:rPr>
            </w:pPr>
          </w:p>
        </w:tc>
      </w:tr>
      <w:tr w:rsidR="00DB57F4" w:rsidRPr="00A7211C" w14:paraId="4EA4C6A5" w14:textId="77777777" w:rsidTr="00233168">
        <w:trPr>
          <w:jc w:val="center"/>
        </w:trPr>
        <w:tc>
          <w:tcPr>
            <w:tcW w:w="1149" w:type="pct"/>
            <w:tcBorders>
              <w:top w:val="nil"/>
              <w:left w:val="nil"/>
              <w:bottom w:val="nil"/>
              <w:right w:val="nil"/>
            </w:tcBorders>
            <w:vAlign w:val="center"/>
          </w:tcPr>
          <w:p w14:paraId="3D50C7C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C-D Wald F statistic</w:t>
            </w:r>
          </w:p>
        </w:tc>
        <w:tc>
          <w:tcPr>
            <w:tcW w:w="963" w:type="pct"/>
            <w:tcBorders>
              <w:top w:val="nil"/>
              <w:left w:val="nil"/>
              <w:bottom w:val="nil"/>
              <w:right w:val="nil"/>
            </w:tcBorders>
          </w:tcPr>
          <w:p w14:paraId="5F0BFA8C"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6997B8FB"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7CA05324"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hint="eastAsia"/>
                <w:color w:val="FF0000"/>
              </w:rPr>
              <w:t>10.45</w:t>
            </w:r>
          </w:p>
        </w:tc>
        <w:tc>
          <w:tcPr>
            <w:tcW w:w="961" w:type="pct"/>
            <w:tcBorders>
              <w:top w:val="nil"/>
              <w:left w:val="nil"/>
              <w:bottom w:val="nil"/>
              <w:right w:val="nil"/>
            </w:tcBorders>
          </w:tcPr>
          <w:p w14:paraId="2DA283BD" w14:textId="77777777" w:rsidR="00DB57F4" w:rsidRPr="00CC0105" w:rsidRDefault="00DB57F4" w:rsidP="00233168">
            <w:pPr>
              <w:jc w:val="center"/>
              <w:rPr>
                <w:rFonts w:ascii="Times New Roman" w:hAnsi="Times New Roman" w:cs="Times New Roman"/>
                <w:color w:val="FF0000"/>
              </w:rPr>
            </w:pPr>
          </w:p>
        </w:tc>
      </w:tr>
      <w:tr w:rsidR="00DB57F4" w:rsidRPr="00A7211C" w14:paraId="7BA9A63B" w14:textId="77777777" w:rsidTr="00233168">
        <w:trPr>
          <w:jc w:val="center"/>
        </w:trPr>
        <w:tc>
          <w:tcPr>
            <w:tcW w:w="1149" w:type="pct"/>
            <w:tcBorders>
              <w:top w:val="nil"/>
              <w:left w:val="nil"/>
              <w:bottom w:val="nil"/>
              <w:right w:val="nil"/>
            </w:tcBorders>
            <w:vAlign w:val="center"/>
          </w:tcPr>
          <w:p w14:paraId="226591B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K-P Wald F statistic</w:t>
            </w:r>
          </w:p>
        </w:tc>
        <w:tc>
          <w:tcPr>
            <w:tcW w:w="963" w:type="pct"/>
            <w:tcBorders>
              <w:top w:val="nil"/>
              <w:left w:val="nil"/>
              <w:bottom w:val="nil"/>
              <w:right w:val="nil"/>
            </w:tcBorders>
          </w:tcPr>
          <w:p w14:paraId="2D94EBC8"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4526359E" w14:textId="77777777" w:rsidR="00DB57F4" w:rsidRPr="00A7211C" w:rsidRDefault="00DB57F4" w:rsidP="00233168">
            <w:pPr>
              <w:jc w:val="center"/>
              <w:rPr>
                <w:rFonts w:ascii="Times New Roman" w:hAnsi="Times New Roman" w:cs="Times New Roman"/>
              </w:rPr>
            </w:pPr>
          </w:p>
        </w:tc>
        <w:tc>
          <w:tcPr>
            <w:tcW w:w="963" w:type="pct"/>
            <w:tcBorders>
              <w:top w:val="nil"/>
              <w:left w:val="nil"/>
              <w:bottom w:val="nil"/>
              <w:right w:val="nil"/>
            </w:tcBorders>
          </w:tcPr>
          <w:p w14:paraId="65E3BFB2"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hint="eastAsia"/>
                <w:color w:val="FF0000"/>
              </w:rPr>
              <w:t>12.06</w:t>
            </w:r>
          </w:p>
        </w:tc>
        <w:tc>
          <w:tcPr>
            <w:tcW w:w="961" w:type="pct"/>
            <w:tcBorders>
              <w:top w:val="nil"/>
              <w:left w:val="nil"/>
              <w:bottom w:val="nil"/>
              <w:right w:val="nil"/>
            </w:tcBorders>
          </w:tcPr>
          <w:p w14:paraId="6D3DEC93" w14:textId="77777777" w:rsidR="00DB57F4" w:rsidRPr="00CC0105" w:rsidRDefault="00DB57F4" w:rsidP="00233168">
            <w:pPr>
              <w:jc w:val="center"/>
              <w:rPr>
                <w:rFonts w:ascii="Times New Roman" w:hAnsi="Times New Roman" w:cs="Times New Roman"/>
                <w:color w:val="FF0000"/>
              </w:rPr>
            </w:pPr>
          </w:p>
        </w:tc>
      </w:tr>
      <w:tr w:rsidR="00DB57F4" w:rsidRPr="00A7211C" w14:paraId="291CF01D" w14:textId="77777777" w:rsidTr="00233168">
        <w:trPr>
          <w:jc w:val="center"/>
        </w:trPr>
        <w:tc>
          <w:tcPr>
            <w:tcW w:w="1149" w:type="pct"/>
            <w:tcBorders>
              <w:top w:val="nil"/>
              <w:left w:val="nil"/>
              <w:bottom w:val="nil"/>
              <w:right w:val="nil"/>
            </w:tcBorders>
            <w:vAlign w:val="center"/>
          </w:tcPr>
          <w:p w14:paraId="365B15C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Observations</w:t>
            </w:r>
          </w:p>
        </w:tc>
        <w:tc>
          <w:tcPr>
            <w:tcW w:w="963" w:type="pct"/>
            <w:tcBorders>
              <w:top w:val="nil"/>
              <w:left w:val="nil"/>
              <w:bottom w:val="nil"/>
              <w:right w:val="nil"/>
            </w:tcBorders>
          </w:tcPr>
          <w:p w14:paraId="5F5E4B6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963" w:type="pct"/>
            <w:tcBorders>
              <w:top w:val="nil"/>
              <w:left w:val="nil"/>
              <w:bottom w:val="nil"/>
              <w:right w:val="nil"/>
            </w:tcBorders>
          </w:tcPr>
          <w:p w14:paraId="3F7E9FE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24,906</w:t>
            </w:r>
          </w:p>
        </w:tc>
        <w:tc>
          <w:tcPr>
            <w:tcW w:w="963" w:type="pct"/>
            <w:tcBorders>
              <w:top w:val="nil"/>
              <w:left w:val="nil"/>
              <w:bottom w:val="nil"/>
              <w:right w:val="nil"/>
            </w:tcBorders>
          </w:tcPr>
          <w:p w14:paraId="77C94EAF"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24,906</w:t>
            </w:r>
          </w:p>
        </w:tc>
        <w:tc>
          <w:tcPr>
            <w:tcW w:w="961" w:type="pct"/>
            <w:tcBorders>
              <w:top w:val="nil"/>
              <w:left w:val="nil"/>
              <w:bottom w:val="nil"/>
              <w:right w:val="nil"/>
            </w:tcBorders>
          </w:tcPr>
          <w:p w14:paraId="00DC93C0"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24,906</w:t>
            </w:r>
          </w:p>
        </w:tc>
      </w:tr>
      <w:tr w:rsidR="00DB57F4" w:rsidRPr="00A7211C" w14:paraId="043F59D9" w14:textId="77777777" w:rsidTr="00233168">
        <w:trPr>
          <w:jc w:val="center"/>
        </w:trPr>
        <w:tc>
          <w:tcPr>
            <w:tcW w:w="1149" w:type="pct"/>
            <w:tcBorders>
              <w:top w:val="nil"/>
              <w:left w:val="nil"/>
              <w:bottom w:val="nil"/>
              <w:right w:val="nil"/>
            </w:tcBorders>
            <w:vAlign w:val="center"/>
          </w:tcPr>
          <w:p w14:paraId="5634475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Adjusted R</w:t>
            </w:r>
            <w:r w:rsidRPr="00A7211C">
              <w:rPr>
                <w:rFonts w:ascii="Times New Roman" w:hAnsi="Times New Roman" w:cs="Times New Roman"/>
                <w:vertAlign w:val="superscript"/>
              </w:rPr>
              <w:t>2</w:t>
            </w:r>
          </w:p>
        </w:tc>
        <w:tc>
          <w:tcPr>
            <w:tcW w:w="963" w:type="pct"/>
            <w:tcBorders>
              <w:top w:val="nil"/>
              <w:left w:val="nil"/>
              <w:bottom w:val="nil"/>
              <w:right w:val="nil"/>
            </w:tcBorders>
          </w:tcPr>
          <w:p w14:paraId="2EA128B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0.7594</w:t>
            </w:r>
          </w:p>
        </w:tc>
        <w:tc>
          <w:tcPr>
            <w:tcW w:w="963" w:type="pct"/>
            <w:tcBorders>
              <w:top w:val="nil"/>
              <w:left w:val="nil"/>
              <w:bottom w:val="nil"/>
              <w:right w:val="nil"/>
            </w:tcBorders>
          </w:tcPr>
          <w:p w14:paraId="77A493E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0.7591</w:t>
            </w:r>
          </w:p>
        </w:tc>
        <w:tc>
          <w:tcPr>
            <w:tcW w:w="963" w:type="pct"/>
            <w:tcBorders>
              <w:top w:val="nil"/>
              <w:left w:val="nil"/>
              <w:bottom w:val="nil"/>
              <w:right w:val="nil"/>
            </w:tcBorders>
          </w:tcPr>
          <w:p w14:paraId="7FCAFC6D"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w:t>
            </w:r>
          </w:p>
        </w:tc>
        <w:tc>
          <w:tcPr>
            <w:tcW w:w="961" w:type="pct"/>
            <w:tcBorders>
              <w:top w:val="nil"/>
              <w:left w:val="nil"/>
              <w:bottom w:val="nil"/>
              <w:right w:val="nil"/>
            </w:tcBorders>
          </w:tcPr>
          <w:p w14:paraId="2942D703"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w:t>
            </w:r>
          </w:p>
        </w:tc>
      </w:tr>
      <w:tr w:rsidR="00DB57F4" w:rsidRPr="00A7211C" w14:paraId="5DDE7173" w14:textId="77777777" w:rsidTr="00233168">
        <w:trPr>
          <w:jc w:val="center"/>
        </w:trPr>
        <w:tc>
          <w:tcPr>
            <w:tcW w:w="1149" w:type="pct"/>
            <w:tcBorders>
              <w:top w:val="nil"/>
              <w:left w:val="nil"/>
              <w:bottom w:val="nil"/>
              <w:right w:val="nil"/>
            </w:tcBorders>
            <w:vAlign w:val="center"/>
          </w:tcPr>
          <w:p w14:paraId="0D667F7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Controls</w:t>
            </w:r>
          </w:p>
        </w:tc>
        <w:tc>
          <w:tcPr>
            <w:tcW w:w="963" w:type="pct"/>
            <w:tcBorders>
              <w:top w:val="nil"/>
              <w:left w:val="nil"/>
              <w:bottom w:val="nil"/>
              <w:right w:val="nil"/>
            </w:tcBorders>
          </w:tcPr>
          <w:p w14:paraId="3034194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63" w:type="pct"/>
            <w:tcBorders>
              <w:top w:val="nil"/>
              <w:left w:val="nil"/>
              <w:bottom w:val="nil"/>
              <w:right w:val="nil"/>
            </w:tcBorders>
          </w:tcPr>
          <w:p w14:paraId="59BB4D2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63" w:type="pct"/>
            <w:tcBorders>
              <w:top w:val="nil"/>
              <w:left w:val="nil"/>
              <w:bottom w:val="nil"/>
              <w:right w:val="nil"/>
            </w:tcBorders>
          </w:tcPr>
          <w:p w14:paraId="018AC0A3"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YES</w:t>
            </w:r>
          </w:p>
        </w:tc>
        <w:tc>
          <w:tcPr>
            <w:tcW w:w="961" w:type="pct"/>
            <w:tcBorders>
              <w:top w:val="nil"/>
              <w:left w:val="nil"/>
              <w:bottom w:val="nil"/>
              <w:right w:val="nil"/>
            </w:tcBorders>
          </w:tcPr>
          <w:p w14:paraId="430CD1EE"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YES</w:t>
            </w:r>
          </w:p>
        </w:tc>
      </w:tr>
      <w:tr w:rsidR="00DB57F4" w:rsidRPr="00A7211C" w14:paraId="06E325C3" w14:textId="77777777" w:rsidTr="00233168">
        <w:trPr>
          <w:jc w:val="center"/>
        </w:trPr>
        <w:tc>
          <w:tcPr>
            <w:tcW w:w="1149" w:type="pct"/>
            <w:tcBorders>
              <w:top w:val="nil"/>
              <w:left w:val="nil"/>
              <w:right w:val="nil"/>
            </w:tcBorders>
            <w:vAlign w:val="center"/>
          </w:tcPr>
          <w:p w14:paraId="39B333D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Year FE</w:t>
            </w:r>
          </w:p>
        </w:tc>
        <w:tc>
          <w:tcPr>
            <w:tcW w:w="963" w:type="pct"/>
            <w:tcBorders>
              <w:top w:val="nil"/>
              <w:left w:val="nil"/>
              <w:right w:val="nil"/>
            </w:tcBorders>
          </w:tcPr>
          <w:p w14:paraId="2AD8FB5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63" w:type="pct"/>
            <w:tcBorders>
              <w:top w:val="nil"/>
              <w:left w:val="nil"/>
              <w:right w:val="nil"/>
            </w:tcBorders>
          </w:tcPr>
          <w:p w14:paraId="612E83C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63" w:type="pct"/>
            <w:tcBorders>
              <w:top w:val="nil"/>
              <w:left w:val="nil"/>
              <w:right w:val="nil"/>
            </w:tcBorders>
          </w:tcPr>
          <w:p w14:paraId="50826752"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YES</w:t>
            </w:r>
          </w:p>
        </w:tc>
        <w:tc>
          <w:tcPr>
            <w:tcW w:w="961" w:type="pct"/>
            <w:tcBorders>
              <w:top w:val="nil"/>
              <w:left w:val="nil"/>
              <w:right w:val="nil"/>
            </w:tcBorders>
          </w:tcPr>
          <w:p w14:paraId="35C2A28F"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YES</w:t>
            </w:r>
          </w:p>
        </w:tc>
      </w:tr>
      <w:tr w:rsidR="00DB57F4" w:rsidRPr="00A7211C" w14:paraId="64B33D28" w14:textId="77777777" w:rsidTr="00233168">
        <w:tblPrEx>
          <w:tblBorders>
            <w:bottom w:val="single" w:sz="6" w:space="0" w:color="auto"/>
          </w:tblBorders>
        </w:tblPrEx>
        <w:trPr>
          <w:jc w:val="center"/>
        </w:trPr>
        <w:tc>
          <w:tcPr>
            <w:tcW w:w="1149" w:type="pct"/>
            <w:tcBorders>
              <w:top w:val="nil"/>
              <w:left w:val="nil"/>
              <w:bottom w:val="single" w:sz="12" w:space="0" w:color="auto"/>
              <w:right w:val="nil"/>
            </w:tcBorders>
            <w:vAlign w:val="center"/>
          </w:tcPr>
          <w:p w14:paraId="532C6D3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Firm FE</w:t>
            </w:r>
          </w:p>
        </w:tc>
        <w:tc>
          <w:tcPr>
            <w:tcW w:w="963" w:type="pct"/>
            <w:tcBorders>
              <w:top w:val="nil"/>
              <w:left w:val="nil"/>
              <w:bottom w:val="single" w:sz="12" w:space="0" w:color="auto"/>
              <w:right w:val="nil"/>
            </w:tcBorders>
          </w:tcPr>
          <w:p w14:paraId="6A6622A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63" w:type="pct"/>
            <w:tcBorders>
              <w:top w:val="nil"/>
              <w:left w:val="nil"/>
              <w:bottom w:val="single" w:sz="12" w:space="0" w:color="auto"/>
              <w:right w:val="nil"/>
            </w:tcBorders>
          </w:tcPr>
          <w:p w14:paraId="6B4D4F4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963" w:type="pct"/>
            <w:tcBorders>
              <w:top w:val="nil"/>
              <w:left w:val="nil"/>
              <w:bottom w:val="single" w:sz="12" w:space="0" w:color="auto"/>
              <w:right w:val="nil"/>
            </w:tcBorders>
          </w:tcPr>
          <w:p w14:paraId="0FE7C12C"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YES</w:t>
            </w:r>
          </w:p>
        </w:tc>
        <w:tc>
          <w:tcPr>
            <w:tcW w:w="961" w:type="pct"/>
            <w:tcBorders>
              <w:top w:val="nil"/>
              <w:left w:val="nil"/>
              <w:bottom w:val="single" w:sz="12" w:space="0" w:color="auto"/>
              <w:right w:val="nil"/>
            </w:tcBorders>
          </w:tcPr>
          <w:p w14:paraId="48EA6F0E" w14:textId="77777777" w:rsidR="00DB57F4" w:rsidRPr="00CC0105" w:rsidRDefault="00DB57F4" w:rsidP="00233168">
            <w:pPr>
              <w:jc w:val="center"/>
              <w:rPr>
                <w:rFonts w:ascii="Times New Roman" w:hAnsi="Times New Roman" w:cs="Times New Roman"/>
                <w:color w:val="FF0000"/>
              </w:rPr>
            </w:pPr>
            <w:r w:rsidRPr="00CC0105">
              <w:rPr>
                <w:rFonts w:ascii="Times New Roman" w:hAnsi="Times New Roman" w:cs="Times New Roman"/>
                <w:color w:val="FF0000"/>
              </w:rPr>
              <w:t>YES</w:t>
            </w:r>
          </w:p>
        </w:tc>
      </w:tr>
    </w:tbl>
    <w:p w14:paraId="4B3E15E6"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27DB07C0" w14:textId="77777777" w:rsidR="00DB57F4" w:rsidRDefault="00DB57F4" w:rsidP="00DB57F4"/>
    <w:p w14:paraId="18C51982" w14:textId="77777777" w:rsidR="00DB57F4" w:rsidRDefault="00DB57F4" w:rsidP="00DB57F4"/>
    <w:p w14:paraId="5C705203" w14:textId="77777777" w:rsidR="00DB57F4" w:rsidRPr="00A7211C" w:rsidRDefault="00DB57F4" w:rsidP="00DB57F4">
      <w:pPr>
        <w:rPr>
          <w:rFonts w:ascii="Times New Roman" w:hAnsi="Times New Roman" w:cs="Times New Roman"/>
        </w:rPr>
      </w:pPr>
      <w:bookmarkStart w:id="1" w:name="_Hlk174455933"/>
      <w:r w:rsidRPr="00A7211C">
        <w:rPr>
          <w:rFonts w:ascii="Times New Roman" w:hAnsi="Times New Roman" w:cs="Times New Roman"/>
          <w:b/>
          <w:bCs/>
        </w:rPr>
        <w:lastRenderedPageBreak/>
        <w:t xml:space="preserve">Table </w:t>
      </w:r>
      <w:r>
        <w:rPr>
          <w:rFonts w:ascii="Times New Roman" w:hAnsi="Times New Roman" w:cs="Times New Roman" w:hint="eastAsia"/>
          <w:b/>
          <w:bCs/>
        </w:rPr>
        <w:t>7</w:t>
      </w:r>
      <w:r w:rsidRPr="00A7211C">
        <w:rPr>
          <w:rFonts w:ascii="Times New Roman" w:hAnsi="Times New Roman" w:cs="Times New Roman"/>
        </w:rPr>
        <w:t xml:space="preserve"> </w:t>
      </w:r>
      <w:r w:rsidRPr="003253C5">
        <w:rPr>
          <w:rFonts w:ascii="Times New Roman" w:hAnsi="Times New Roman" w:cs="Times New Roman"/>
          <w:b/>
          <w:bCs/>
        </w:rPr>
        <w:t>Results of robustness test.</w:t>
      </w:r>
    </w:p>
    <w:tbl>
      <w:tblPr>
        <w:tblW w:w="5000" w:type="pct"/>
        <w:jc w:val="center"/>
        <w:tblCellMar>
          <w:left w:w="75" w:type="dxa"/>
          <w:right w:w="75" w:type="dxa"/>
        </w:tblCellMar>
        <w:tblLook w:val="04A0" w:firstRow="1" w:lastRow="0" w:firstColumn="1" w:lastColumn="0" w:noHBand="0" w:noVBand="1"/>
      </w:tblPr>
      <w:tblGrid>
        <w:gridCol w:w="1622"/>
        <w:gridCol w:w="1288"/>
        <w:gridCol w:w="1287"/>
        <w:gridCol w:w="1289"/>
        <w:gridCol w:w="181"/>
        <w:gridCol w:w="1322"/>
        <w:gridCol w:w="1317"/>
      </w:tblGrid>
      <w:tr w:rsidR="00DB57F4" w:rsidRPr="00A7211C" w14:paraId="4CA8AC03" w14:textId="77777777" w:rsidTr="00233168">
        <w:trPr>
          <w:jc w:val="center"/>
        </w:trPr>
        <w:tc>
          <w:tcPr>
            <w:tcW w:w="976" w:type="pct"/>
            <w:vMerge w:val="restart"/>
            <w:tcBorders>
              <w:top w:val="single" w:sz="12" w:space="0" w:color="auto"/>
              <w:left w:val="nil"/>
              <w:right w:val="nil"/>
            </w:tcBorders>
            <w:vAlign w:val="center"/>
          </w:tcPr>
          <w:p w14:paraId="5C07295C"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VARIABLES</w:t>
            </w:r>
          </w:p>
        </w:tc>
        <w:tc>
          <w:tcPr>
            <w:tcW w:w="775" w:type="pct"/>
            <w:tcBorders>
              <w:top w:val="single" w:sz="12" w:space="0" w:color="auto"/>
              <w:left w:val="nil"/>
              <w:right w:val="nil"/>
            </w:tcBorders>
          </w:tcPr>
          <w:p w14:paraId="19CA9A5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(1)</w:t>
            </w:r>
          </w:p>
        </w:tc>
        <w:tc>
          <w:tcPr>
            <w:tcW w:w="775" w:type="pct"/>
            <w:tcBorders>
              <w:top w:val="single" w:sz="12" w:space="0" w:color="auto"/>
              <w:left w:val="nil"/>
              <w:right w:val="nil"/>
            </w:tcBorders>
          </w:tcPr>
          <w:p w14:paraId="0C8F04D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w:t>
            </w:r>
          </w:p>
        </w:tc>
        <w:tc>
          <w:tcPr>
            <w:tcW w:w="776" w:type="pct"/>
            <w:tcBorders>
              <w:top w:val="single" w:sz="12" w:space="0" w:color="auto"/>
              <w:left w:val="nil"/>
              <w:right w:val="nil"/>
            </w:tcBorders>
          </w:tcPr>
          <w:p w14:paraId="65B9B02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(3)</w:t>
            </w:r>
          </w:p>
        </w:tc>
        <w:tc>
          <w:tcPr>
            <w:tcW w:w="109" w:type="pct"/>
            <w:tcBorders>
              <w:top w:val="single" w:sz="12" w:space="0" w:color="auto"/>
              <w:left w:val="nil"/>
              <w:right w:val="nil"/>
            </w:tcBorders>
          </w:tcPr>
          <w:p w14:paraId="1FA6BDC7" w14:textId="77777777" w:rsidR="00DB57F4" w:rsidRPr="00A7211C" w:rsidRDefault="00DB57F4" w:rsidP="00233168">
            <w:pPr>
              <w:jc w:val="center"/>
              <w:rPr>
                <w:rFonts w:ascii="Times New Roman" w:hAnsi="Times New Roman" w:cs="Times New Roman"/>
                <w:szCs w:val="21"/>
              </w:rPr>
            </w:pPr>
          </w:p>
        </w:tc>
        <w:tc>
          <w:tcPr>
            <w:tcW w:w="796" w:type="pct"/>
            <w:tcBorders>
              <w:top w:val="single" w:sz="12" w:space="0" w:color="auto"/>
              <w:left w:val="nil"/>
              <w:right w:val="nil"/>
            </w:tcBorders>
          </w:tcPr>
          <w:p w14:paraId="5ACB425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(4)</w:t>
            </w:r>
          </w:p>
        </w:tc>
        <w:tc>
          <w:tcPr>
            <w:tcW w:w="793" w:type="pct"/>
            <w:tcBorders>
              <w:top w:val="single" w:sz="12" w:space="0" w:color="auto"/>
              <w:left w:val="nil"/>
              <w:right w:val="nil"/>
            </w:tcBorders>
          </w:tcPr>
          <w:p w14:paraId="42BC4B7C"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(5)</w:t>
            </w:r>
          </w:p>
        </w:tc>
      </w:tr>
      <w:tr w:rsidR="00DB57F4" w:rsidRPr="00A7211C" w14:paraId="7687FB5D" w14:textId="77777777" w:rsidTr="00233168">
        <w:trPr>
          <w:trHeight w:val="153"/>
          <w:jc w:val="center"/>
        </w:trPr>
        <w:tc>
          <w:tcPr>
            <w:tcW w:w="976" w:type="pct"/>
            <w:vMerge/>
            <w:tcBorders>
              <w:left w:val="nil"/>
              <w:bottom w:val="single" w:sz="6" w:space="0" w:color="auto"/>
              <w:right w:val="nil"/>
            </w:tcBorders>
            <w:vAlign w:val="center"/>
          </w:tcPr>
          <w:p w14:paraId="7DDBD25E" w14:textId="77777777" w:rsidR="00DB57F4" w:rsidRPr="00A7211C" w:rsidRDefault="00DB57F4" w:rsidP="00233168">
            <w:pPr>
              <w:jc w:val="center"/>
              <w:rPr>
                <w:rFonts w:ascii="Times New Roman" w:hAnsi="Times New Roman" w:cs="Times New Roman"/>
                <w:szCs w:val="21"/>
              </w:rPr>
            </w:pPr>
          </w:p>
        </w:tc>
        <w:tc>
          <w:tcPr>
            <w:tcW w:w="2326" w:type="pct"/>
            <w:gridSpan w:val="3"/>
            <w:tcBorders>
              <w:top w:val="nil"/>
              <w:left w:val="nil"/>
              <w:bottom w:val="single" w:sz="4" w:space="0" w:color="auto"/>
              <w:right w:val="nil"/>
            </w:tcBorders>
            <w:vAlign w:val="center"/>
          </w:tcPr>
          <w:p w14:paraId="752253D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Replacing core variables</w:t>
            </w:r>
          </w:p>
        </w:tc>
        <w:tc>
          <w:tcPr>
            <w:tcW w:w="109" w:type="pct"/>
            <w:tcBorders>
              <w:top w:val="nil"/>
              <w:left w:val="nil"/>
              <w:right w:val="nil"/>
            </w:tcBorders>
          </w:tcPr>
          <w:p w14:paraId="40F723F7" w14:textId="77777777" w:rsidR="00DB57F4" w:rsidRPr="00A7211C" w:rsidRDefault="00DB57F4" w:rsidP="00233168">
            <w:pPr>
              <w:jc w:val="center"/>
              <w:rPr>
                <w:rFonts w:ascii="Times New Roman" w:hAnsi="Times New Roman" w:cs="Times New Roman"/>
                <w:szCs w:val="21"/>
              </w:rPr>
            </w:pPr>
          </w:p>
        </w:tc>
        <w:tc>
          <w:tcPr>
            <w:tcW w:w="1589" w:type="pct"/>
            <w:gridSpan w:val="2"/>
            <w:tcBorders>
              <w:top w:val="nil"/>
              <w:left w:val="nil"/>
              <w:bottom w:val="single" w:sz="4" w:space="0" w:color="auto"/>
              <w:right w:val="nil"/>
            </w:tcBorders>
            <w:vAlign w:val="center"/>
          </w:tcPr>
          <w:p w14:paraId="642B91DF"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hint="eastAsia"/>
                <w:szCs w:val="21"/>
              </w:rPr>
              <w:t>Considering other factors</w:t>
            </w:r>
          </w:p>
        </w:tc>
      </w:tr>
      <w:tr w:rsidR="00DB57F4" w:rsidRPr="00A7211C" w14:paraId="398E8F01" w14:textId="77777777" w:rsidTr="00233168">
        <w:trPr>
          <w:jc w:val="center"/>
        </w:trPr>
        <w:tc>
          <w:tcPr>
            <w:tcW w:w="976" w:type="pct"/>
            <w:vMerge/>
            <w:tcBorders>
              <w:top w:val="single" w:sz="6" w:space="0" w:color="auto"/>
              <w:left w:val="nil"/>
              <w:bottom w:val="single" w:sz="6" w:space="0" w:color="auto"/>
              <w:right w:val="nil"/>
            </w:tcBorders>
            <w:vAlign w:val="center"/>
          </w:tcPr>
          <w:p w14:paraId="59C31971" w14:textId="77777777" w:rsidR="00DB57F4" w:rsidRPr="00A7211C" w:rsidRDefault="00DB57F4" w:rsidP="00233168">
            <w:pPr>
              <w:jc w:val="center"/>
              <w:rPr>
                <w:rFonts w:ascii="Times New Roman" w:hAnsi="Times New Roman" w:cs="Times New Roman"/>
                <w:szCs w:val="21"/>
              </w:rPr>
            </w:pPr>
          </w:p>
        </w:tc>
        <w:tc>
          <w:tcPr>
            <w:tcW w:w="775" w:type="pct"/>
            <w:tcBorders>
              <w:top w:val="single" w:sz="4" w:space="0" w:color="auto"/>
              <w:left w:val="nil"/>
              <w:bottom w:val="single" w:sz="6" w:space="0" w:color="auto"/>
              <w:right w:val="nil"/>
            </w:tcBorders>
          </w:tcPr>
          <w:p w14:paraId="2CB3EB3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i/>
                <w:iCs/>
                <w:szCs w:val="21"/>
              </w:rPr>
              <w:t>CEI</w:t>
            </w:r>
          </w:p>
        </w:tc>
        <w:tc>
          <w:tcPr>
            <w:tcW w:w="775" w:type="pct"/>
            <w:tcBorders>
              <w:top w:val="single" w:sz="4" w:space="0" w:color="auto"/>
              <w:left w:val="nil"/>
              <w:bottom w:val="single" w:sz="6" w:space="0" w:color="auto"/>
              <w:right w:val="nil"/>
            </w:tcBorders>
          </w:tcPr>
          <w:p w14:paraId="0D53EE7C" w14:textId="77777777" w:rsidR="00DB57F4" w:rsidRPr="00A7211C" w:rsidRDefault="00DB57F4" w:rsidP="00233168">
            <w:pPr>
              <w:jc w:val="center"/>
              <w:rPr>
                <w:rFonts w:ascii="Times New Roman" w:eastAsia="DengXian" w:hAnsi="Times New Roman" w:cs="Times New Roman"/>
                <w:szCs w:val="21"/>
              </w:rPr>
            </w:pPr>
            <w:r w:rsidRPr="00A7211C">
              <w:rPr>
                <w:rFonts w:ascii="Times New Roman" w:hAnsi="Times New Roman" w:cs="Times New Roman"/>
                <w:i/>
                <w:iCs/>
                <w:szCs w:val="21"/>
              </w:rPr>
              <w:t>CEI</w:t>
            </w:r>
          </w:p>
        </w:tc>
        <w:tc>
          <w:tcPr>
            <w:tcW w:w="776" w:type="pct"/>
            <w:tcBorders>
              <w:top w:val="single" w:sz="4" w:space="0" w:color="auto"/>
              <w:left w:val="nil"/>
              <w:bottom w:val="single" w:sz="6" w:space="0" w:color="auto"/>
              <w:right w:val="nil"/>
            </w:tcBorders>
          </w:tcPr>
          <w:p w14:paraId="67F0B96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i/>
                <w:iCs/>
                <w:szCs w:val="21"/>
              </w:rPr>
              <w:t>CEI</w:t>
            </w:r>
            <w:r w:rsidRPr="00A7211C">
              <w:rPr>
                <w:rFonts w:ascii="Times New Roman" w:hAnsi="Times New Roman" w:cs="Times New Roman" w:hint="eastAsia"/>
                <w:szCs w:val="21"/>
              </w:rPr>
              <w:t>_2</w:t>
            </w:r>
          </w:p>
        </w:tc>
        <w:tc>
          <w:tcPr>
            <w:tcW w:w="109" w:type="pct"/>
            <w:tcBorders>
              <w:left w:val="nil"/>
              <w:bottom w:val="single" w:sz="6" w:space="0" w:color="auto"/>
              <w:right w:val="nil"/>
            </w:tcBorders>
          </w:tcPr>
          <w:p w14:paraId="19067526" w14:textId="77777777" w:rsidR="00DB57F4" w:rsidRPr="00A7211C" w:rsidRDefault="00DB57F4" w:rsidP="00233168">
            <w:pPr>
              <w:jc w:val="center"/>
              <w:rPr>
                <w:rFonts w:ascii="Times New Roman" w:eastAsia="DengXian" w:hAnsi="Times New Roman" w:cs="Times New Roman"/>
                <w:szCs w:val="21"/>
              </w:rPr>
            </w:pPr>
          </w:p>
        </w:tc>
        <w:tc>
          <w:tcPr>
            <w:tcW w:w="796" w:type="pct"/>
            <w:tcBorders>
              <w:top w:val="single" w:sz="4" w:space="0" w:color="auto"/>
              <w:left w:val="nil"/>
              <w:bottom w:val="single" w:sz="6" w:space="0" w:color="auto"/>
              <w:right w:val="nil"/>
            </w:tcBorders>
          </w:tcPr>
          <w:p w14:paraId="27C8F185"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i/>
                <w:iCs/>
                <w:szCs w:val="21"/>
              </w:rPr>
              <w:t>CEI</w:t>
            </w:r>
          </w:p>
        </w:tc>
        <w:tc>
          <w:tcPr>
            <w:tcW w:w="793" w:type="pct"/>
            <w:tcBorders>
              <w:top w:val="single" w:sz="4" w:space="0" w:color="auto"/>
              <w:left w:val="nil"/>
              <w:bottom w:val="single" w:sz="6" w:space="0" w:color="auto"/>
              <w:right w:val="nil"/>
            </w:tcBorders>
          </w:tcPr>
          <w:p w14:paraId="62E6566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i/>
                <w:iCs/>
                <w:szCs w:val="21"/>
              </w:rPr>
              <w:t>CEI</w:t>
            </w:r>
          </w:p>
        </w:tc>
      </w:tr>
      <w:tr w:rsidR="00DB57F4" w:rsidRPr="00A7211C" w14:paraId="7D08F762" w14:textId="77777777" w:rsidTr="00233168">
        <w:trPr>
          <w:jc w:val="center"/>
        </w:trPr>
        <w:tc>
          <w:tcPr>
            <w:tcW w:w="976" w:type="pct"/>
            <w:vMerge w:val="restart"/>
            <w:tcBorders>
              <w:top w:val="nil"/>
              <w:left w:val="nil"/>
              <w:right w:val="nil"/>
            </w:tcBorders>
            <w:vAlign w:val="center"/>
          </w:tcPr>
          <w:p w14:paraId="2D10F96C" w14:textId="77777777" w:rsidR="00DB57F4" w:rsidRPr="00A7211C" w:rsidRDefault="00DB57F4" w:rsidP="00233168">
            <w:pPr>
              <w:jc w:val="center"/>
              <w:rPr>
                <w:rFonts w:ascii="Times New Roman" w:hAnsi="Times New Roman" w:cs="Times New Roman"/>
                <w:i/>
                <w:iCs/>
                <w:szCs w:val="21"/>
              </w:rPr>
            </w:pPr>
            <w:proofErr w:type="spellStart"/>
            <w:r w:rsidRPr="00A7211C">
              <w:rPr>
                <w:rFonts w:ascii="Times New Roman" w:hAnsi="Times New Roman" w:cs="Times New Roman"/>
                <w:i/>
                <w:iCs/>
                <w:szCs w:val="21"/>
              </w:rPr>
              <w:t>net_ratio</w:t>
            </w:r>
            <w:proofErr w:type="spellEnd"/>
          </w:p>
        </w:tc>
        <w:tc>
          <w:tcPr>
            <w:tcW w:w="775" w:type="pct"/>
            <w:tcBorders>
              <w:top w:val="nil"/>
              <w:left w:val="nil"/>
              <w:bottom w:val="nil"/>
              <w:right w:val="nil"/>
            </w:tcBorders>
          </w:tcPr>
          <w:p w14:paraId="7F3D78D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0.0232**</w:t>
            </w:r>
          </w:p>
        </w:tc>
        <w:tc>
          <w:tcPr>
            <w:tcW w:w="775" w:type="pct"/>
            <w:tcBorders>
              <w:top w:val="nil"/>
              <w:left w:val="nil"/>
              <w:bottom w:val="nil"/>
              <w:right w:val="nil"/>
            </w:tcBorders>
          </w:tcPr>
          <w:p w14:paraId="745139A0" w14:textId="77777777" w:rsidR="00DB57F4" w:rsidRPr="00A7211C" w:rsidRDefault="00DB57F4" w:rsidP="00233168">
            <w:pPr>
              <w:jc w:val="center"/>
              <w:rPr>
                <w:rFonts w:ascii="Times New Roman" w:hAnsi="Times New Roman" w:cs="Times New Roman"/>
                <w:szCs w:val="21"/>
              </w:rPr>
            </w:pPr>
          </w:p>
        </w:tc>
        <w:tc>
          <w:tcPr>
            <w:tcW w:w="776" w:type="pct"/>
            <w:tcBorders>
              <w:top w:val="nil"/>
              <w:left w:val="nil"/>
              <w:bottom w:val="nil"/>
              <w:right w:val="nil"/>
            </w:tcBorders>
          </w:tcPr>
          <w:p w14:paraId="6B1C9C71" w14:textId="77777777" w:rsidR="00DB57F4" w:rsidRPr="00A7211C" w:rsidRDefault="00DB57F4" w:rsidP="00233168">
            <w:pPr>
              <w:jc w:val="center"/>
              <w:rPr>
                <w:rFonts w:ascii="Times New Roman" w:hAnsi="Times New Roman" w:cs="Times New Roman"/>
                <w:szCs w:val="21"/>
              </w:rPr>
            </w:pPr>
          </w:p>
        </w:tc>
        <w:tc>
          <w:tcPr>
            <w:tcW w:w="109" w:type="pct"/>
            <w:tcBorders>
              <w:top w:val="nil"/>
              <w:left w:val="nil"/>
              <w:bottom w:val="nil"/>
              <w:right w:val="nil"/>
            </w:tcBorders>
          </w:tcPr>
          <w:p w14:paraId="43AA9BDA"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0329DD54" w14:textId="77777777" w:rsidR="00DB57F4" w:rsidRPr="00A7211C" w:rsidRDefault="00DB57F4" w:rsidP="00233168">
            <w:pPr>
              <w:jc w:val="center"/>
              <w:rPr>
                <w:rFonts w:ascii="Times New Roman" w:hAnsi="Times New Roman" w:cs="Times New Roman"/>
                <w:szCs w:val="21"/>
              </w:rPr>
            </w:pPr>
          </w:p>
        </w:tc>
        <w:tc>
          <w:tcPr>
            <w:tcW w:w="793" w:type="pct"/>
            <w:tcBorders>
              <w:top w:val="nil"/>
              <w:left w:val="nil"/>
              <w:bottom w:val="nil"/>
              <w:right w:val="nil"/>
            </w:tcBorders>
          </w:tcPr>
          <w:p w14:paraId="781C9EE7" w14:textId="77777777" w:rsidR="00DB57F4" w:rsidRPr="00A7211C" w:rsidRDefault="00DB57F4" w:rsidP="00233168">
            <w:pPr>
              <w:jc w:val="center"/>
              <w:rPr>
                <w:rFonts w:ascii="Times New Roman" w:hAnsi="Times New Roman" w:cs="Times New Roman"/>
                <w:szCs w:val="21"/>
              </w:rPr>
            </w:pPr>
          </w:p>
        </w:tc>
      </w:tr>
      <w:tr w:rsidR="00DB57F4" w:rsidRPr="00A7211C" w14:paraId="2D2809D7" w14:textId="77777777" w:rsidTr="00233168">
        <w:trPr>
          <w:jc w:val="center"/>
        </w:trPr>
        <w:tc>
          <w:tcPr>
            <w:tcW w:w="976" w:type="pct"/>
            <w:vMerge/>
            <w:tcBorders>
              <w:left w:val="nil"/>
              <w:bottom w:val="nil"/>
              <w:right w:val="nil"/>
            </w:tcBorders>
            <w:vAlign w:val="center"/>
          </w:tcPr>
          <w:p w14:paraId="5C0757EC" w14:textId="77777777" w:rsidR="00DB57F4" w:rsidRPr="00A7211C" w:rsidRDefault="00DB57F4" w:rsidP="00233168">
            <w:pPr>
              <w:jc w:val="center"/>
              <w:rPr>
                <w:rFonts w:ascii="Times New Roman" w:hAnsi="Times New Roman" w:cs="Times New Roman"/>
                <w:i/>
                <w:iCs/>
                <w:szCs w:val="21"/>
              </w:rPr>
            </w:pPr>
          </w:p>
        </w:tc>
        <w:tc>
          <w:tcPr>
            <w:tcW w:w="775" w:type="pct"/>
            <w:tcBorders>
              <w:top w:val="nil"/>
              <w:left w:val="nil"/>
              <w:bottom w:val="nil"/>
              <w:right w:val="nil"/>
            </w:tcBorders>
          </w:tcPr>
          <w:p w14:paraId="20C4D32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(0.0109)</w:t>
            </w:r>
          </w:p>
        </w:tc>
        <w:tc>
          <w:tcPr>
            <w:tcW w:w="775" w:type="pct"/>
            <w:tcBorders>
              <w:top w:val="nil"/>
              <w:left w:val="nil"/>
              <w:bottom w:val="nil"/>
              <w:right w:val="nil"/>
            </w:tcBorders>
          </w:tcPr>
          <w:p w14:paraId="39E6220A" w14:textId="77777777" w:rsidR="00DB57F4" w:rsidRPr="00A7211C" w:rsidRDefault="00DB57F4" w:rsidP="00233168">
            <w:pPr>
              <w:jc w:val="center"/>
              <w:rPr>
                <w:rFonts w:ascii="Times New Roman" w:hAnsi="Times New Roman" w:cs="Times New Roman"/>
                <w:szCs w:val="21"/>
              </w:rPr>
            </w:pPr>
          </w:p>
        </w:tc>
        <w:tc>
          <w:tcPr>
            <w:tcW w:w="776" w:type="pct"/>
            <w:tcBorders>
              <w:top w:val="nil"/>
              <w:left w:val="nil"/>
              <w:bottom w:val="nil"/>
              <w:right w:val="nil"/>
            </w:tcBorders>
          </w:tcPr>
          <w:p w14:paraId="4CB4B86B" w14:textId="77777777" w:rsidR="00DB57F4" w:rsidRPr="00A7211C" w:rsidRDefault="00DB57F4" w:rsidP="00233168">
            <w:pPr>
              <w:jc w:val="center"/>
              <w:rPr>
                <w:rFonts w:ascii="Times New Roman" w:hAnsi="Times New Roman" w:cs="Times New Roman"/>
                <w:szCs w:val="21"/>
              </w:rPr>
            </w:pPr>
          </w:p>
        </w:tc>
        <w:tc>
          <w:tcPr>
            <w:tcW w:w="109" w:type="pct"/>
            <w:tcBorders>
              <w:top w:val="nil"/>
              <w:left w:val="nil"/>
              <w:bottom w:val="nil"/>
              <w:right w:val="nil"/>
            </w:tcBorders>
          </w:tcPr>
          <w:p w14:paraId="4C13B218"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2AA418AA" w14:textId="77777777" w:rsidR="00DB57F4" w:rsidRPr="00A7211C" w:rsidRDefault="00DB57F4" w:rsidP="00233168">
            <w:pPr>
              <w:jc w:val="center"/>
              <w:rPr>
                <w:rFonts w:ascii="Times New Roman" w:hAnsi="Times New Roman" w:cs="Times New Roman"/>
                <w:szCs w:val="21"/>
              </w:rPr>
            </w:pPr>
          </w:p>
        </w:tc>
        <w:tc>
          <w:tcPr>
            <w:tcW w:w="793" w:type="pct"/>
            <w:tcBorders>
              <w:top w:val="nil"/>
              <w:left w:val="nil"/>
              <w:bottom w:val="nil"/>
              <w:right w:val="nil"/>
            </w:tcBorders>
          </w:tcPr>
          <w:p w14:paraId="7452F258" w14:textId="77777777" w:rsidR="00DB57F4" w:rsidRPr="00A7211C" w:rsidRDefault="00DB57F4" w:rsidP="00233168">
            <w:pPr>
              <w:jc w:val="center"/>
              <w:rPr>
                <w:rFonts w:ascii="Times New Roman" w:hAnsi="Times New Roman" w:cs="Times New Roman"/>
                <w:szCs w:val="21"/>
              </w:rPr>
            </w:pPr>
          </w:p>
        </w:tc>
      </w:tr>
      <w:tr w:rsidR="00DB57F4" w:rsidRPr="00A7211C" w14:paraId="11E1A0DB" w14:textId="77777777" w:rsidTr="00233168">
        <w:trPr>
          <w:jc w:val="center"/>
        </w:trPr>
        <w:tc>
          <w:tcPr>
            <w:tcW w:w="976" w:type="pct"/>
            <w:vMerge w:val="restart"/>
            <w:tcBorders>
              <w:left w:val="nil"/>
              <w:right w:val="nil"/>
            </w:tcBorders>
            <w:vAlign w:val="center"/>
          </w:tcPr>
          <w:p w14:paraId="740E37EC" w14:textId="77777777" w:rsidR="00DB57F4" w:rsidRPr="00A7211C" w:rsidRDefault="00DB57F4" w:rsidP="00233168">
            <w:pPr>
              <w:jc w:val="center"/>
              <w:rPr>
                <w:rFonts w:ascii="Times New Roman" w:hAnsi="Times New Roman" w:cs="Times New Roman"/>
                <w:i/>
                <w:iCs/>
                <w:szCs w:val="21"/>
              </w:rPr>
            </w:pPr>
            <w:proofErr w:type="spellStart"/>
            <w:r w:rsidRPr="00A7211C">
              <w:rPr>
                <w:rFonts w:ascii="Times New Roman" w:hAnsi="Times New Roman" w:cs="Times New Roman"/>
                <w:i/>
                <w:iCs/>
                <w:szCs w:val="21"/>
              </w:rPr>
              <w:t>esg_major</w:t>
            </w:r>
            <w:proofErr w:type="spellEnd"/>
          </w:p>
        </w:tc>
        <w:tc>
          <w:tcPr>
            <w:tcW w:w="775" w:type="pct"/>
            <w:tcBorders>
              <w:top w:val="nil"/>
              <w:left w:val="nil"/>
              <w:bottom w:val="nil"/>
              <w:right w:val="nil"/>
            </w:tcBorders>
          </w:tcPr>
          <w:p w14:paraId="60844920" w14:textId="77777777" w:rsidR="00DB57F4" w:rsidRPr="00A7211C" w:rsidRDefault="00DB57F4" w:rsidP="00233168">
            <w:pPr>
              <w:jc w:val="center"/>
              <w:rPr>
                <w:rFonts w:ascii="Times New Roman" w:hAnsi="Times New Roman" w:cs="Times New Roman"/>
                <w:szCs w:val="21"/>
              </w:rPr>
            </w:pPr>
          </w:p>
        </w:tc>
        <w:tc>
          <w:tcPr>
            <w:tcW w:w="775" w:type="pct"/>
            <w:tcBorders>
              <w:top w:val="nil"/>
              <w:left w:val="nil"/>
              <w:bottom w:val="nil"/>
              <w:right w:val="nil"/>
            </w:tcBorders>
          </w:tcPr>
          <w:p w14:paraId="4DF63C2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0.0145***</w:t>
            </w:r>
          </w:p>
        </w:tc>
        <w:tc>
          <w:tcPr>
            <w:tcW w:w="776" w:type="pct"/>
            <w:tcBorders>
              <w:top w:val="nil"/>
              <w:left w:val="nil"/>
              <w:bottom w:val="nil"/>
              <w:right w:val="nil"/>
            </w:tcBorders>
          </w:tcPr>
          <w:p w14:paraId="7A6E4A61" w14:textId="77777777" w:rsidR="00DB57F4" w:rsidRPr="00A7211C" w:rsidRDefault="00DB57F4" w:rsidP="00233168">
            <w:pPr>
              <w:jc w:val="center"/>
              <w:rPr>
                <w:rFonts w:ascii="Times New Roman" w:hAnsi="Times New Roman" w:cs="Times New Roman"/>
                <w:szCs w:val="21"/>
              </w:rPr>
            </w:pPr>
          </w:p>
        </w:tc>
        <w:tc>
          <w:tcPr>
            <w:tcW w:w="109" w:type="pct"/>
            <w:tcBorders>
              <w:top w:val="nil"/>
              <w:left w:val="nil"/>
              <w:bottom w:val="nil"/>
              <w:right w:val="nil"/>
            </w:tcBorders>
          </w:tcPr>
          <w:p w14:paraId="74285D80"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4B97F7DA" w14:textId="77777777" w:rsidR="00DB57F4" w:rsidRPr="00A7211C" w:rsidRDefault="00DB57F4" w:rsidP="00233168">
            <w:pPr>
              <w:jc w:val="center"/>
              <w:rPr>
                <w:rFonts w:ascii="Times New Roman" w:hAnsi="Times New Roman" w:cs="Times New Roman"/>
                <w:szCs w:val="21"/>
              </w:rPr>
            </w:pPr>
          </w:p>
        </w:tc>
        <w:tc>
          <w:tcPr>
            <w:tcW w:w="793" w:type="pct"/>
            <w:tcBorders>
              <w:top w:val="nil"/>
              <w:left w:val="nil"/>
              <w:bottom w:val="nil"/>
              <w:right w:val="nil"/>
            </w:tcBorders>
          </w:tcPr>
          <w:p w14:paraId="200C45E2" w14:textId="77777777" w:rsidR="00DB57F4" w:rsidRPr="00A7211C" w:rsidRDefault="00DB57F4" w:rsidP="00233168">
            <w:pPr>
              <w:jc w:val="center"/>
              <w:rPr>
                <w:rFonts w:ascii="Times New Roman" w:hAnsi="Times New Roman" w:cs="Times New Roman"/>
                <w:szCs w:val="21"/>
              </w:rPr>
            </w:pPr>
          </w:p>
        </w:tc>
      </w:tr>
      <w:tr w:rsidR="00DB57F4" w:rsidRPr="00A7211C" w14:paraId="4F3A3E27" w14:textId="77777777" w:rsidTr="00233168">
        <w:trPr>
          <w:jc w:val="center"/>
        </w:trPr>
        <w:tc>
          <w:tcPr>
            <w:tcW w:w="976" w:type="pct"/>
            <w:vMerge/>
            <w:tcBorders>
              <w:left w:val="nil"/>
              <w:bottom w:val="nil"/>
              <w:right w:val="nil"/>
            </w:tcBorders>
            <w:vAlign w:val="center"/>
          </w:tcPr>
          <w:p w14:paraId="17E4BC6A" w14:textId="77777777" w:rsidR="00DB57F4" w:rsidRPr="00A7211C" w:rsidRDefault="00DB57F4" w:rsidP="00233168">
            <w:pPr>
              <w:jc w:val="center"/>
              <w:rPr>
                <w:rFonts w:ascii="Times New Roman" w:hAnsi="Times New Roman" w:cs="Times New Roman"/>
                <w:i/>
                <w:iCs/>
                <w:szCs w:val="21"/>
              </w:rPr>
            </w:pPr>
          </w:p>
        </w:tc>
        <w:tc>
          <w:tcPr>
            <w:tcW w:w="775" w:type="pct"/>
            <w:tcBorders>
              <w:top w:val="nil"/>
              <w:left w:val="nil"/>
              <w:bottom w:val="nil"/>
              <w:right w:val="nil"/>
            </w:tcBorders>
          </w:tcPr>
          <w:p w14:paraId="3D1CF398" w14:textId="77777777" w:rsidR="00DB57F4" w:rsidRPr="00A7211C" w:rsidRDefault="00DB57F4" w:rsidP="00233168">
            <w:pPr>
              <w:jc w:val="center"/>
              <w:rPr>
                <w:rFonts w:ascii="Times New Roman" w:hAnsi="Times New Roman" w:cs="Times New Roman"/>
                <w:szCs w:val="21"/>
              </w:rPr>
            </w:pPr>
          </w:p>
        </w:tc>
        <w:tc>
          <w:tcPr>
            <w:tcW w:w="775" w:type="pct"/>
            <w:tcBorders>
              <w:top w:val="nil"/>
              <w:left w:val="nil"/>
              <w:bottom w:val="nil"/>
              <w:right w:val="nil"/>
            </w:tcBorders>
          </w:tcPr>
          <w:p w14:paraId="1AB9D3D4"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(0.0052)</w:t>
            </w:r>
          </w:p>
        </w:tc>
        <w:tc>
          <w:tcPr>
            <w:tcW w:w="776" w:type="pct"/>
            <w:tcBorders>
              <w:top w:val="nil"/>
              <w:left w:val="nil"/>
              <w:bottom w:val="nil"/>
              <w:right w:val="nil"/>
            </w:tcBorders>
          </w:tcPr>
          <w:p w14:paraId="66003C09" w14:textId="77777777" w:rsidR="00DB57F4" w:rsidRPr="00A7211C" w:rsidRDefault="00DB57F4" w:rsidP="00233168">
            <w:pPr>
              <w:jc w:val="center"/>
              <w:rPr>
                <w:rFonts w:ascii="Times New Roman" w:hAnsi="Times New Roman" w:cs="Times New Roman"/>
                <w:szCs w:val="21"/>
              </w:rPr>
            </w:pPr>
          </w:p>
        </w:tc>
        <w:tc>
          <w:tcPr>
            <w:tcW w:w="109" w:type="pct"/>
            <w:tcBorders>
              <w:top w:val="nil"/>
              <w:left w:val="nil"/>
              <w:bottom w:val="nil"/>
              <w:right w:val="nil"/>
            </w:tcBorders>
          </w:tcPr>
          <w:p w14:paraId="320C252C"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16FAE526" w14:textId="77777777" w:rsidR="00DB57F4" w:rsidRPr="00A7211C" w:rsidRDefault="00DB57F4" w:rsidP="00233168">
            <w:pPr>
              <w:jc w:val="center"/>
              <w:rPr>
                <w:rFonts w:ascii="Times New Roman" w:hAnsi="Times New Roman" w:cs="Times New Roman"/>
                <w:szCs w:val="21"/>
              </w:rPr>
            </w:pPr>
          </w:p>
        </w:tc>
        <w:tc>
          <w:tcPr>
            <w:tcW w:w="793" w:type="pct"/>
            <w:tcBorders>
              <w:top w:val="nil"/>
              <w:left w:val="nil"/>
              <w:bottom w:val="nil"/>
              <w:right w:val="nil"/>
            </w:tcBorders>
          </w:tcPr>
          <w:p w14:paraId="3235A651" w14:textId="77777777" w:rsidR="00DB57F4" w:rsidRPr="00A7211C" w:rsidRDefault="00DB57F4" w:rsidP="00233168">
            <w:pPr>
              <w:jc w:val="center"/>
              <w:rPr>
                <w:rFonts w:ascii="Times New Roman" w:hAnsi="Times New Roman" w:cs="Times New Roman"/>
                <w:szCs w:val="21"/>
              </w:rPr>
            </w:pPr>
          </w:p>
        </w:tc>
      </w:tr>
      <w:tr w:rsidR="00DB57F4" w:rsidRPr="00A7211C" w14:paraId="305E2363" w14:textId="77777777" w:rsidTr="00233168">
        <w:trPr>
          <w:jc w:val="center"/>
        </w:trPr>
        <w:tc>
          <w:tcPr>
            <w:tcW w:w="976" w:type="pct"/>
            <w:vMerge w:val="restart"/>
            <w:tcBorders>
              <w:top w:val="nil"/>
              <w:left w:val="nil"/>
              <w:right w:val="nil"/>
            </w:tcBorders>
            <w:vAlign w:val="center"/>
          </w:tcPr>
          <w:p w14:paraId="086F3803" w14:textId="77777777" w:rsidR="00DB57F4" w:rsidRPr="00A7211C" w:rsidRDefault="00DB57F4" w:rsidP="00233168">
            <w:pPr>
              <w:jc w:val="center"/>
              <w:rPr>
                <w:rFonts w:ascii="Times New Roman" w:hAnsi="Times New Roman" w:cs="Times New Roman"/>
                <w:i/>
                <w:iCs/>
                <w:szCs w:val="21"/>
              </w:rPr>
            </w:pPr>
            <w:proofErr w:type="spellStart"/>
            <w:r w:rsidRPr="00A7211C">
              <w:rPr>
                <w:rFonts w:ascii="Times New Roman" w:hAnsi="Times New Roman" w:cs="Times New Roman"/>
                <w:i/>
                <w:iCs/>
                <w:szCs w:val="21"/>
              </w:rPr>
              <w:t>esg_news</w:t>
            </w:r>
            <w:proofErr w:type="spellEnd"/>
          </w:p>
        </w:tc>
        <w:tc>
          <w:tcPr>
            <w:tcW w:w="775" w:type="pct"/>
            <w:tcBorders>
              <w:top w:val="nil"/>
              <w:left w:val="nil"/>
              <w:bottom w:val="nil"/>
              <w:right w:val="nil"/>
            </w:tcBorders>
          </w:tcPr>
          <w:p w14:paraId="2DC47666" w14:textId="77777777" w:rsidR="00DB57F4" w:rsidRPr="00A7211C" w:rsidRDefault="00DB57F4" w:rsidP="00233168">
            <w:pPr>
              <w:jc w:val="center"/>
              <w:rPr>
                <w:rFonts w:ascii="Times New Roman" w:hAnsi="Times New Roman" w:cs="Times New Roman"/>
                <w:szCs w:val="21"/>
              </w:rPr>
            </w:pPr>
          </w:p>
        </w:tc>
        <w:tc>
          <w:tcPr>
            <w:tcW w:w="775" w:type="pct"/>
            <w:tcBorders>
              <w:top w:val="nil"/>
              <w:left w:val="nil"/>
              <w:bottom w:val="nil"/>
              <w:right w:val="nil"/>
            </w:tcBorders>
          </w:tcPr>
          <w:p w14:paraId="64FF0071" w14:textId="77777777" w:rsidR="00DB57F4" w:rsidRPr="00A7211C" w:rsidRDefault="00DB57F4" w:rsidP="00233168">
            <w:pPr>
              <w:jc w:val="center"/>
              <w:rPr>
                <w:rFonts w:ascii="Times New Roman" w:hAnsi="Times New Roman" w:cs="Times New Roman"/>
                <w:szCs w:val="21"/>
              </w:rPr>
            </w:pPr>
          </w:p>
        </w:tc>
        <w:tc>
          <w:tcPr>
            <w:tcW w:w="776" w:type="pct"/>
            <w:tcBorders>
              <w:top w:val="nil"/>
              <w:left w:val="nil"/>
              <w:bottom w:val="nil"/>
              <w:right w:val="nil"/>
            </w:tcBorders>
          </w:tcPr>
          <w:p w14:paraId="25C0E3A4"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0.0245**</w:t>
            </w:r>
          </w:p>
        </w:tc>
        <w:tc>
          <w:tcPr>
            <w:tcW w:w="109" w:type="pct"/>
            <w:tcBorders>
              <w:top w:val="nil"/>
              <w:left w:val="nil"/>
              <w:bottom w:val="nil"/>
              <w:right w:val="nil"/>
            </w:tcBorders>
          </w:tcPr>
          <w:p w14:paraId="73E9D654"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6CD046D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0.0387**</w:t>
            </w:r>
          </w:p>
        </w:tc>
        <w:tc>
          <w:tcPr>
            <w:tcW w:w="793" w:type="pct"/>
            <w:tcBorders>
              <w:top w:val="nil"/>
              <w:left w:val="nil"/>
              <w:bottom w:val="nil"/>
              <w:right w:val="nil"/>
            </w:tcBorders>
          </w:tcPr>
          <w:p w14:paraId="0D3B209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0.0372**</w:t>
            </w:r>
          </w:p>
        </w:tc>
      </w:tr>
      <w:tr w:rsidR="00DB57F4" w:rsidRPr="00A7211C" w14:paraId="1FB9DEEC" w14:textId="77777777" w:rsidTr="00233168">
        <w:trPr>
          <w:jc w:val="center"/>
        </w:trPr>
        <w:tc>
          <w:tcPr>
            <w:tcW w:w="976" w:type="pct"/>
            <w:vMerge/>
            <w:tcBorders>
              <w:left w:val="nil"/>
              <w:bottom w:val="nil"/>
              <w:right w:val="nil"/>
            </w:tcBorders>
            <w:vAlign w:val="center"/>
          </w:tcPr>
          <w:p w14:paraId="26806156" w14:textId="77777777" w:rsidR="00DB57F4" w:rsidRPr="00A7211C" w:rsidRDefault="00DB57F4" w:rsidP="00233168">
            <w:pPr>
              <w:jc w:val="center"/>
              <w:rPr>
                <w:rFonts w:ascii="Times New Roman" w:hAnsi="Times New Roman" w:cs="Times New Roman"/>
                <w:szCs w:val="21"/>
              </w:rPr>
            </w:pPr>
          </w:p>
        </w:tc>
        <w:tc>
          <w:tcPr>
            <w:tcW w:w="775" w:type="pct"/>
            <w:tcBorders>
              <w:top w:val="nil"/>
              <w:left w:val="nil"/>
              <w:bottom w:val="nil"/>
              <w:right w:val="nil"/>
            </w:tcBorders>
          </w:tcPr>
          <w:p w14:paraId="2622E7F3" w14:textId="77777777" w:rsidR="00DB57F4" w:rsidRPr="00A7211C" w:rsidRDefault="00DB57F4" w:rsidP="00233168">
            <w:pPr>
              <w:jc w:val="center"/>
              <w:rPr>
                <w:rFonts w:ascii="Times New Roman" w:hAnsi="Times New Roman" w:cs="Times New Roman"/>
                <w:szCs w:val="21"/>
              </w:rPr>
            </w:pPr>
          </w:p>
        </w:tc>
        <w:tc>
          <w:tcPr>
            <w:tcW w:w="775" w:type="pct"/>
            <w:tcBorders>
              <w:top w:val="nil"/>
              <w:left w:val="nil"/>
              <w:bottom w:val="nil"/>
              <w:right w:val="nil"/>
            </w:tcBorders>
          </w:tcPr>
          <w:p w14:paraId="2429289A" w14:textId="77777777" w:rsidR="00DB57F4" w:rsidRPr="00A7211C" w:rsidRDefault="00DB57F4" w:rsidP="00233168">
            <w:pPr>
              <w:jc w:val="center"/>
              <w:rPr>
                <w:rFonts w:ascii="Times New Roman" w:hAnsi="Times New Roman" w:cs="Times New Roman"/>
                <w:szCs w:val="21"/>
              </w:rPr>
            </w:pPr>
          </w:p>
        </w:tc>
        <w:tc>
          <w:tcPr>
            <w:tcW w:w="776" w:type="pct"/>
            <w:tcBorders>
              <w:top w:val="nil"/>
              <w:left w:val="nil"/>
              <w:bottom w:val="nil"/>
              <w:right w:val="nil"/>
            </w:tcBorders>
          </w:tcPr>
          <w:p w14:paraId="5A074ED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(0.0116)</w:t>
            </w:r>
          </w:p>
        </w:tc>
        <w:tc>
          <w:tcPr>
            <w:tcW w:w="109" w:type="pct"/>
            <w:tcBorders>
              <w:top w:val="nil"/>
              <w:left w:val="nil"/>
              <w:bottom w:val="nil"/>
              <w:right w:val="nil"/>
            </w:tcBorders>
          </w:tcPr>
          <w:p w14:paraId="6567B4F0"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5695558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(0.0167)</w:t>
            </w:r>
          </w:p>
        </w:tc>
        <w:tc>
          <w:tcPr>
            <w:tcW w:w="793" w:type="pct"/>
            <w:tcBorders>
              <w:top w:val="nil"/>
              <w:left w:val="nil"/>
              <w:bottom w:val="nil"/>
              <w:right w:val="nil"/>
            </w:tcBorders>
          </w:tcPr>
          <w:p w14:paraId="39FFA71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(0.0155)</w:t>
            </w:r>
          </w:p>
        </w:tc>
      </w:tr>
      <w:tr w:rsidR="00DB57F4" w:rsidRPr="00A7211C" w14:paraId="7360945F" w14:textId="77777777" w:rsidTr="00233168">
        <w:trPr>
          <w:jc w:val="center"/>
        </w:trPr>
        <w:tc>
          <w:tcPr>
            <w:tcW w:w="976" w:type="pct"/>
            <w:vMerge w:val="restart"/>
            <w:tcBorders>
              <w:top w:val="nil"/>
              <w:left w:val="nil"/>
              <w:right w:val="nil"/>
            </w:tcBorders>
            <w:vAlign w:val="center"/>
          </w:tcPr>
          <w:p w14:paraId="38A9B4B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Constant</w:t>
            </w:r>
          </w:p>
        </w:tc>
        <w:tc>
          <w:tcPr>
            <w:tcW w:w="775" w:type="pct"/>
            <w:tcBorders>
              <w:top w:val="nil"/>
              <w:left w:val="nil"/>
              <w:bottom w:val="nil"/>
              <w:right w:val="nil"/>
            </w:tcBorders>
          </w:tcPr>
          <w:p w14:paraId="6187888E"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-5.3671***</w:t>
            </w:r>
          </w:p>
        </w:tc>
        <w:tc>
          <w:tcPr>
            <w:tcW w:w="775" w:type="pct"/>
            <w:tcBorders>
              <w:top w:val="nil"/>
              <w:left w:val="nil"/>
              <w:bottom w:val="nil"/>
              <w:right w:val="nil"/>
            </w:tcBorders>
          </w:tcPr>
          <w:p w14:paraId="278E9DE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-1.4336***</w:t>
            </w:r>
          </w:p>
        </w:tc>
        <w:tc>
          <w:tcPr>
            <w:tcW w:w="776" w:type="pct"/>
            <w:tcBorders>
              <w:top w:val="nil"/>
              <w:left w:val="nil"/>
              <w:bottom w:val="nil"/>
              <w:right w:val="nil"/>
            </w:tcBorders>
          </w:tcPr>
          <w:p w14:paraId="254BA8F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-4.2901***</w:t>
            </w:r>
          </w:p>
        </w:tc>
        <w:tc>
          <w:tcPr>
            <w:tcW w:w="109" w:type="pct"/>
            <w:tcBorders>
              <w:top w:val="nil"/>
              <w:left w:val="nil"/>
              <w:bottom w:val="nil"/>
              <w:right w:val="nil"/>
            </w:tcBorders>
          </w:tcPr>
          <w:p w14:paraId="629DD89B"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5C8B9A15"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-5.4786***</w:t>
            </w:r>
          </w:p>
        </w:tc>
        <w:tc>
          <w:tcPr>
            <w:tcW w:w="793" w:type="pct"/>
            <w:tcBorders>
              <w:top w:val="nil"/>
              <w:left w:val="nil"/>
              <w:bottom w:val="nil"/>
              <w:right w:val="nil"/>
            </w:tcBorders>
          </w:tcPr>
          <w:p w14:paraId="72A3076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-5.4160***</w:t>
            </w:r>
          </w:p>
        </w:tc>
      </w:tr>
      <w:tr w:rsidR="00DB57F4" w:rsidRPr="00A7211C" w14:paraId="6D3740D8" w14:textId="77777777" w:rsidTr="00233168">
        <w:trPr>
          <w:jc w:val="center"/>
        </w:trPr>
        <w:tc>
          <w:tcPr>
            <w:tcW w:w="976" w:type="pct"/>
            <w:vMerge/>
            <w:tcBorders>
              <w:left w:val="nil"/>
              <w:bottom w:val="nil"/>
              <w:right w:val="nil"/>
            </w:tcBorders>
            <w:vAlign w:val="center"/>
          </w:tcPr>
          <w:p w14:paraId="5B28EE21" w14:textId="77777777" w:rsidR="00DB57F4" w:rsidRPr="00A7211C" w:rsidRDefault="00DB57F4" w:rsidP="00233168">
            <w:pPr>
              <w:jc w:val="center"/>
              <w:rPr>
                <w:rFonts w:ascii="Times New Roman" w:hAnsi="Times New Roman" w:cs="Times New Roman"/>
                <w:szCs w:val="21"/>
              </w:rPr>
            </w:pPr>
          </w:p>
        </w:tc>
        <w:tc>
          <w:tcPr>
            <w:tcW w:w="775" w:type="pct"/>
            <w:tcBorders>
              <w:top w:val="nil"/>
              <w:left w:val="nil"/>
              <w:bottom w:val="nil"/>
              <w:right w:val="nil"/>
            </w:tcBorders>
          </w:tcPr>
          <w:p w14:paraId="4C445E4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(0.3490)</w:t>
            </w:r>
          </w:p>
        </w:tc>
        <w:tc>
          <w:tcPr>
            <w:tcW w:w="775" w:type="pct"/>
            <w:tcBorders>
              <w:top w:val="nil"/>
              <w:left w:val="nil"/>
              <w:bottom w:val="nil"/>
              <w:right w:val="nil"/>
            </w:tcBorders>
          </w:tcPr>
          <w:p w14:paraId="75E2828A"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(0.1919)</w:t>
            </w:r>
          </w:p>
        </w:tc>
        <w:tc>
          <w:tcPr>
            <w:tcW w:w="776" w:type="pct"/>
            <w:tcBorders>
              <w:top w:val="nil"/>
              <w:left w:val="nil"/>
              <w:bottom w:val="nil"/>
              <w:right w:val="nil"/>
            </w:tcBorders>
          </w:tcPr>
          <w:p w14:paraId="0DB6EEC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(0.2877)</w:t>
            </w:r>
          </w:p>
        </w:tc>
        <w:tc>
          <w:tcPr>
            <w:tcW w:w="109" w:type="pct"/>
            <w:tcBorders>
              <w:top w:val="nil"/>
              <w:left w:val="nil"/>
              <w:bottom w:val="nil"/>
              <w:right w:val="nil"/>
            </w:tcBorders>
          </w:tcPr>
          <w:p w14:paraId="3DF331DE"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35CCE8DE"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(0.3851)</w:t>
            </w:r>
          </w:p>
        </w:tc>
        <w:tc>
          <w:tcPr>
            <w:tcW w:w="793" w:type="pct"/>
            <w:tcBorders>
              <w:top w:val="nil"/>
              <w:left w:val="nil"/>
              <w:bottom w:val="nil"/>
              <w:right w:val="nil"/>
            </w:tcBorders>
          </w:tcPr>
          <w:p w14:paraId="110E509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(0.3482)</w:t>
            </w:r>
          </w:p>
        </w:tc>
      </w:tr>
      <w:tr w:rsidR="00DB57F4" w:rsidRPr="00A7211C" w14:paraId="0C891732" w14:textId="77777777" w:rsidTr="00233168">
        <w:trPr>
          <w:jc w:val="center"/>
        </w:trPr>
        <w:tc>
          <w:tcPr>
            <w:tcW w:w="976" w:type="pct"/>
            <w:tcBorders>
              <w:top w:val="nil"/>
              <w:left w:val="nil"/>
              <w:bottom w:val="nil"/>
              <w:right w:val="nil"/>
            </w:tcBorders>
            <w:vAlign w:val="center"/>
          </w:tcPr>
          <w:p w14:paraId="7BBF85F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Observations</w:t>
            </w:r>
          </w:p>
        </w:tc>
        <w:tc>
          <w:tcPr>
            <w:tcW w:w="775" w:type="pct"/>
            <w:tcBorders>
              <w:top w:val="nil"/>
              <w:left w:val="nil"/>
              <w:bottom w:val="nil"/>
              <w:right w:val="nil"/>
            </w:tcBorders>
          </w:tcPr>
          <w:p w14:paraId="7D8268E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24,906</w:t>
            </w:r>
          </w:p>
        </w:tc>
        <w:tc>
          <w:tcPr>
            <w:tcW w:w="775" w:type="pct"/>
            <w:tcBorders>
              <w:top w:val="nil"/>
              <w:left w:val="nil"/>
              <w:bottom w:val="nil"/>
              <w:right w:val="nil"/>
            </w:tcBorders>
          </w:tcPr>
          <w:p w14:paraId="0EFF7DF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24,906</w:t>
            </w:r>
          </w:p>
        </w:tc>
        <w:tc>
          <w:tcPr>
            <w:tcW w:w="776" w:type="pct"/>
            <w:tcBorders>
              <w:top w:val="nil"/>
              <w:left w:val="nil"/>
              <w:bottom w:val="nil"/>
              <w:right w:val="nil"/>
            </w:tcBorders>
          </w:tcPr>
          <w:p w14:paraId="7A8F9BE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24,906</w:t>
            </w:r>
          </w:p>
        </w:tc>
        <w:tc>
          <w:tcPr>
            <w:tcW w:w="109" w:type="pct"/>
            <w:tcBorders>
              <w:top w:val="nil"/>
              <w:left w:val="nil"/>
              <w:bottom w:val="nil"/>
              <w:right w:val="nil"/>
            </w:tcBorders>
          </w:tcPr>
          <w:p w14:paraId="725C0750"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4F917C9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20,040</w:t>
            </w:r>
          </w:p>
        </w:tc>
        <w:tc>
          <w:tcPr>
            <w:tcW w:w="793" w:type="pct"/>
            <w:tcBorders>
              <w:top w:val="nil"/>
              <w:left w:val="nil"/>
              <w:bottom w:val="nil"/>
              <w:right w:val="nil"/>
            </w:tcBorders>
          </w:tcPr>
          <w:p w14:paraId="1B64FEA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24,906</w:t>
            </w:r>
          </w:p>
        </w:tc>
      </w:tr>
      <w:tr w:rsidR="00DB57F4" w:rsidRPr="00A7211C" w14:paraId="5B809086" w14:textId="77777777" w:rsidTr="00233168">
        <w:trPr>
          <w:jc w:val="center"/>
        </w:trPr>
        <w:tc>
          <w:tcPr>
            <w:tcW w:w="976" w:type="pct"/>
            <w:tcBorders>
              <w:top w:val="nil"/>
              <w:left w:val="nil"/>
              <w:bottom w:val="nil"/>
              <w:right w:val="nil"/>
            </w:tcBorders>
            <w:vAlign w:val="center"/>
          </w:tcPr>
          <w:p w14:paraId="024B8F3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Adjusted R</w:t>
            </w:r>
            <w:r w:rsidRPr="00A7211C">
              <w:rPr>
                <w:rFonts w:ascii="Times New Roman" w:hAnsi="Times New Roman" w:cs="Times New Roman"/>
                <w:szCs w:val="21"/>
                <w:vertAlign w:val="superscript"/>
              </w:rPr>
              <w:t>2</w:t>
            </w:r>
          </w:p>
        </w:tc>
        <w:tc>
          <w:tcPr>
            <w:tcW w:w="775" w:type="pct"/>
            <w:tcBorders>
              <w:top w:val="nil"/>
              <w:left w:val="nil"/>
              <w:bottom w:val="nil"/>
              <w:right w:val="nil"/>
            </w:tcBorders>
          </w:tcPr>
          <w:p w14:paraId="27C0FCD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0.7585</w:t>
            </w:r>
          </w:p>
        </w:tc>
        <w:tc>
          <w:tcPr>
            <w:tcW w:w="775" w:type="pct"/>
            <w:tcBorders>
              <w:top w:val="nil"/>
              <w:left w:val="nil"/>
              <w:bottom w:val="nil"/>
              <w:right w:val="nil"/>
            </w:tcBorders>
          </w:tcPr>
          <w:p w14:paraId="31B11DE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0.5802</w:t>
            </w:r>
          </w:p>
        </w:tc>
        <w:tc>
          <w:tcPr>
            <w:tcW w:w="776" w:type="pct"/>
            <w:tcBorders>
              <w:top w:val="nil"/>
              <w:left w:val="nil"/>
              <w:bottom w:val="nil"/>
              <w:right w:val="nil"/>
            </w:tcBorders>
          </w:tcPr>
          <w:p w14:paraId="72D5D8B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0.7396</w:t>
            </w:r>
          </w:p>
        </w:tc>
        <w:tc>
          <w:tcPr>
            <w:tcW w:w="109" w:type="pct"/>
            <w:tcBorders>
              <w:top w:val="nil"/>
              <w:left w:val="nil"/>
              <w:bottom w:val="nil"/>
              <w:right w:val="nil"/>
            </w:tcBorders>
          </w:tcPr>
          <w:p w14:paraId="10E72F6F"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1013781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0.7559</w:t>
            </w:r>
          </w:p>
        </w:tc>
        <w:tc>
          <w:tcPr>
            <w:tcW w:w="793" w:type="pct"/>
            <w:tcBorders>
              <w:top w:val="nil"/>
              <w:left w:val="nil"/>
              <w:bottom w:val="nil"/>
              <w:right w:val="nil"/>
            </w:tcBorders>
          </w:tcPr>
          <w:p w14:paraId="55F2B7C3"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0.7678</w:t>
            </w:r>
          </w:p>
        </w:tc>
      </w:tr>
      <w:tr w:rsidR="00DB57F4" w:rsidRPr="00A7211C" w14:paraId="31B5AE7C" w14:textId="77777777" w:rsidTr="00233168">
        <w:trPr>
          <w:jc w:val="center"/>
        </w:trPr>
        <w:tc>
          <w:tcPr>
            <w:tcW w:w="976" w:type="pct"/>
            <w:tcBorders>
              <w:top w:val="nil"/>
              <w:left w:val="nil"/>
              <w:bottom w:val="nil"/>
              <w:right w:val="nil"/>
            </w:tcBorders>
            <w:vAlign w:val="center"/>
          </w:tcPr>
          <w:p w14:paraId="6E3558F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Year FE</w:t>
            </w:r>
          </w:p>
        </w:tc>
        <w:tc>
          <w:tcPr>
            <w:tcW w:w="775" w:type="pct"/>
            <w:tcBorders>
              <w:top w:val="nil"/>
              <w:left w:val="nil"/>
              <w:bottom w:val="nil"/>
              <w:right w:val="nil"/>
            </w:tcBorders>
          </w:tcPr>
          <w:p w14:paraId="0FA2F85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75" w:type="pct"/>
            <w:tcBorders>
              <w:top w:val="nil"/>
              <w:left w:val="nil"/>
              <w:bottom w:val="nil"/>
              <w:right w:val="nil"/>
            </w:tcBorders>
          </w:tcPr>
          <w:p w14:paraId="7A1DD7C7"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76" w:type="pct"/>
            <w:tcBorders>
              <w:top w:val="nil"/>
              <w:left w:val="nil"/>
              <w:bottom w:val="nil"/>
              <w:right w:val="nil"/>
            </w:tcBorders>
          </w:tcPr>
          <w:p w14:paraId="65EBD3A5"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109" w:type="pct"/>
            <w:tcBorders>
              <w:top w:val="nil"/>
              <w:left w:val="nil"/>
              <w:bottom w:val="nil"/>
              <w:right w:val="nil"/>
            </w:tcBorders>
          </w:tcPr>
          <w:p w14:paraId="23233F94"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1A4AD40E"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3" w:type="pct"/>
            <w:tcBorders>
              <w:top w:val="nil"/>
              <w:left w:val="nil"/>
              <w:bottom w:val="nil"/>
              <w:right w:val="nil"/>
            </w:tcBorders>
          </w:tcPr>
          <w:p w14:paraId="43B5D4E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r>
      <w:tr w:rsidR="00DB57F4" w:rsidRPr="00A7211C" w14:paraId="43BCBE4E" w14:textId="77777777" w:rsidTr="00233168">
        <w:tblPrEx>
          <w:tblBorders>
            <w:bottom w:val="single" w:sz="6" w:space="0" w:color="auto"/>
          </w:tblBorders>
        </w:tblPrEx>
        <w:trPr>
          <w:jc w:val="center"/>
        </w:trPr>
        <w:tc>
          <w:tcPr>
            <w:tcW w:w="976" w:type="pct"/>
            <w:tcBorders>
              <w:top w:val="nil"/>
              <w:left w:val="nil"/>
              <w:bottom w:val="nil"/>
              <w:right w:val="nil"/>
            </w:tcBorders>
            <w:vAlign w:val="center"/>
          </w:tcPr>
          <w:p w14:paraId="21F39B9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Firm FE</w:t>
            </w:r>
          </w:p>
        </w:tc>
        <w:tc>
          <w:tcPr>
            <w:tcW w:w="775" w:type="pct"/>
            <w:tcBorders>
              <w:top w:val="nil"/>
              <w:left w:val="nil"/>
              <w:bottom w:val="nil"/>
              <w:right w:val="nil"/>
            </w:tcBorders>
          </w:tcPr>
          <w:p w14:paraId="19A4FA2D"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75" w:type="pct"/>
            <w:tcBorders>
              <w:top w:val="nil"/>
              <w:left w:val="nil"/>
              <w:bottom w:val="nil"/>
              <w:right w:val="nil"/>
            </w:tcBorders>
          </w:tcPr>
          <w:p w14:paraId="691E4FA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76" w:type="pct"/>
            <w:tcBorders>
              <w:top w:val="nil"/>
              <w:left w:val="nil"/>
              <w:bottom w:val="nil"/>
              <w:right w:val="nil"/>
            </w:tcBorders>
          </w:tcPr>
          <w:p w14:paraId="4AE2F2E4"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109" w:type="pct"/>
            <w:tcBorders>
              <w:top w:val="nil"/>
              <w:left w:val="nil"/>
              <w:bottom w:val="nil"/>
              <w:right w:val="nil"/>
            </w:tcBorders>
          </w:tcPr>
          <w:p w14:paraId="7F8CEF43"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5CC3E6C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c>
          <w:tcPr>
            <w:tcW w:w="793" w:type="pct"/>
            <w:tcBorders>
              <w:top w:val="nil"/>
              <w:left w:val="nil"/>
              <w:bottom w:val="nil"/>
              <w:right w:val="nil"/>
            </w:tcBorders>
          </w:tcPr>
          <w:p w14:paraId="62787F69"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r>
      <w:tr w:rsidR="00DB57F4" w:rsidRPr="00A7211C" w14:paraId="4778C051" w14:textId="77777777" w:rsidTr="00233168">
        <w:tblPrEx>
          <w:tblBorders>
            <w:bottom w:val="single" w:sz="6" w:space="0" w:color="auto"/>
          </w:tblBorders>
        </w:tblPrEx>
        <w:trPr>
          <w:jc w:val="center"/>
        </w:trPr>
        <w:tc>
          <w:tcPr>
            <w:tcW w:w="976" w:type="pct"/>
            <w:tcBorders>
              <w:top w:val="nil"/>
              <w:left w:val="nil"/>
              <w:bottom w:val="nil"/>
              <w:right w:val="nil"/>
            </w:tcBorders>
            <w:vAlign w:val="center"/>
          </w:tcPr>
          <w:p w14:paraId="3ADD840A"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Ind ×Year FE</w:t>
            </w:r>
          </w:p>
        </w:tc>
        <w:tc>
          <w:tcPr>
            <w:tcW w:w="775" w:type="pct"/>
            <w:tcBorders>
              <w:top w:val="nil"/>
              <w:left w:val="nil"/>
              <w:bottom w:val="nil"/>
              <w:right w:val="nil"/>
            </w:tcBorders>
          </w:tcPr>
          <w:p w14:paraId="5F1F34F8"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775" w:type="pct"/>
            <w:tcBorders>
              <w:top w:val="nil"/>
              <w:left w:val="nil"/>
              <w:bottom w:val="nil"/>
              <w:right w:val="nil"/>
            </w:tcBorders>
          </w:tcPr>
          <w:p w14:paraId="4B3FF6EB"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776" w:type="pct"/>
            <w:tcBorders>
              <w:top w:val="nil"/>
              <w:left w:val="nil"/>
              <w:bottom w:val="nil"/>
              <w:right w:val="nil"/>
            </w:tcBorders>
          </w:tcPr>
          <w:p w14:paraId="6FF073A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109" w:type="pct"/>
            <w:tcBorders>
              <w:top w:val="nil"/>
              <w:left w:val="nil"/>
              <w:bottom w:val="nil"/>
              <w:right w:val="nil"/>
            </w:tcBorders>
          </w:tcPr>
          <w:p w14:paraId="7690D4A8"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nil"/>
              <w:right w:val="nil"/>
            </w:tcBorders>
          </w:tcPr>
          <w:p w14:paraId="2D3B23E6"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793" w:type="pct"/>
            <w:tcBorders>
              <w:top w:val="nil"/>
              <w:left w:val="nil"/>
              <w:bottom w:val="nil"/>
              <w:right w:val="nil"/>
            </w:tcBorders>
          </w:tcPr>
          <w:p w14:paraId="50DCF390"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r>
      <w:tr w:rsidR="00DB57F4" w:rsidRPr="00A7211C" w14:paraId="2C3ADFA4" w14:textId="77777777" w:rsidTr="00233168">
        <w:tblPrEx>
          <w:tblBorders>
            <w:bottom w:val="single" w:sz="6" w:space="0" w:color="auto"/>
          </w:tblBorders>
        </w:tblPrEx>
        <w:trPr>
          <w:jc w:val="center"/>
        </w:trPr>
        <w:tc>
          <w:tcPr>
            <w:tcW w:w="976" w:type="pct"/>
            <w:tcBorders>
              <w:top w:val="nil"/>
              <w:left w:val="nil"/>
              <w:bottom w:val="single" w:sz="12" w:space="0" w:color="auto"/>
              <w:right w:val="nil"/>
            </w:tcBorders>
            <w:vAlign w:val="center"/>
          </w:tcPr>
          <w:p w14:paraId="7E76B791"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Prov ×Year FE</w:t>
            </w:r>
          </w:p>
        </w:tc>
        <w:tc>
          <w:tcPr>
            <w:tcW w:w="775" w:type="pct"/>
            <w:tcBorders>
              <w:top w:val="nil"/>
              <w:left w:val="nil"/>
              <w:bottom w:val="single" w:sz="12" w:space="0" w:color="auto"/>
              <w:right w:val="nil"/>
            </w:tcBorders>
          </w:tcPr>
          <w:p w14:paraId="2B6D3535"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775" w:type="pct"/>
            <w:tcBorders>
              <w:top w:val="nil"/>
              <w:left w:val="nil"/>
              <w:bottom w:val="single" w:sz="12" w:space="0" w:color="auto"/>
              <w:right w:val="nil"/>
            </w:tcBorders>
          </w:tcPr>
          <w:p w14:paraId="179EEBBA"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776" w:type="pct"/>
            <w:tcBorders>
              <w:top w:val="nil"/>
              <w:left w:val="nil"/>
              <w:bottom w:val="single" w:sz="12" w:space="0" w:color="auto"/>
              <w:right w:val="nil"/>
            </w:tcBorders>
          </w:tcPr>
          <w:p w14:paraId="46C5FE42"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109" w:type="pct"/>
            <w:tcBorders>
              <w:top w:val="nil"/>
              <w:left w:val="nil"/>
              <w:bottom w:val="single" w:sz="12" w:space="0" w:color="auto"/>
              <w:right w:val="nil"/>
            </w:tcBorders>
          </w:tcPr>
          <w:p w14:paraId="34B812F4" w14:textId="77777777" w:rsidR="00DB57F4" w:rsidRPr="00A7211C" w:rsidRDefault="00DB57F4" w:rsidP="00233168">
            <w:pPr>
              <w:jc w:val="center"/>
              <w:rPr>
                <w:rFonts w:ascii="Times New Roman" w:hAnsi="Times New Roman" w:cs="Times New Roman"/>
                <w:szCs w:val="21"/>
              </w:rPr>
            </w:pPr>
          </w:p>
        </w:tc>
        <w:tc>
          <w:tcPr>
            <w:tcW w:w="796" w:type="pct"/>
            <w:tcBorders>
              <w:top w:val="nil"/>
              <w:left w:val="nil"/>
              <w:bottom w:val="single" w:sz="12" w:space="0" w:color="auto"/>
              <w:right w:val="nil"/>
            </w:tcBorders>
          </w:tcPr>
          <w:p w14:paraId="14BBE07A"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NO</w:t>
            </w:r>
          </w:p>
        </w:tc>
        <w:tc>
          <w:tcPr>
            <w:tcW w:w="793" w:type="pct"/>
            <w:tcBorders>
              <w:top w:val="nil"/>
              <w:left w:val="nil"/>
              <w:bottom w:val="single" w:sz="12" w:space="0" w:color="auto"/>
              <w:right w:val="nil"/>
            </w:tcBorders>
          </w:tcPr>
          <w:p w14:paraId="069F66E4" w14:textId="77777777" w:rsidR="00DB57F4" w:rsidRPr="00A7211C" w:rsidRDefault="00DB57F4" w:rsidP="00233168">
            <w:pPr>
              <w:jc w:val="center"/>
              <w:rPr>
                <w:rFonts w:ascii="Times New Roman" w:hAnsi="Times New Roman" w:cs="Times New Roman"/>
                <w:szCs w:val="21"/>
              </w:rPr>
            </w:pPr>
            <w:r w:rsidRPr="00A7211C">
              <w:rPr>
                <w:rFonts w:ascii="Times New Roman" w:hAnsi="Times New Roman" w:cs="Times New Roman"/>
                <w:szCs w:val="21"/>
              </w:rPr>
              <w:t>YES</w:t>
            </w:r>
          </w:p>
        </w:tc>
      </w:tr>
    </w:tbl>
    <w:bookmarkEnd w:id="1"/>
    <w:p w14:paraId="69A273DD"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1843C499" w14:textId="77777777" w:rsidR="00DB57F4" w:rsidRDefault="00DB57F4" w:rsidP="00DB57F4"/>
    <w:p w14:paraId="7AD9D6DA" w14:textId="77777777" w:rsidR="00DB57F4" w:rsidRPr="006557B0" w:rsidRDefault="00DB57F4" w:rsidP="00DB57F4">
      <w:pPr>
        <w:rPr>
          <w:rFonts w:ascii="Times New Roman" w:hAnsi="Times New Roman" w:cs="Times New Roman"/>
          <w:b/>
          <w:bCs/>
        </w:rPr>
      </w:pPr>
      <w:r w:rsidRPr="006557B0">
        <w:rPr>
          <w:rFonts w:ascii="Times New Roman" w:hAnsi="Times New Roman" w:cs="Times New Roman"/>
          <w:b/>
          <w:bCs/>
        </w:rPr>
        <w:t xml:space="preserve">Table </w:t>
      </w:r>
      <w:r w:rsidRPr="006557B0">
        <w:rPr>
          <w:rFonts w:ascii="Times New Roman" w:hAnsi="Times New Roman" w:cs="Times New Roman" w:hint="eastAsia"/>
          <w:b/>
          <w:bCs/>
        </w:rPr>
        <w:t>8</w:t>
      </w:r>
      <w:r w:rsidRPr="006557B0">
        <w:rPr>
          <w:rFonts w:ascii="Times New Roman" w:hAnsi="Times New Roman" w:cs="Times New Roman"/>
          <w:b/>
          <w:bCs/>
        </w:rPr>
        <w:t xml:space="preserve"> Mechanism analysis: Financing constraints</w:t>
      </w:r>
      <w:r w:rsidRPr="006557B0">
        <w:rPr>
          <w:rFonts w:ascii="Times New Roman" w:hAnsi="Times New Roman" w:cs="Times New Roman" w:hint="eastAsia"/>
          <w:b/>
          <w:bCs/>
        </w:rPr>
        <w:t xml:space="preserve"> and sustainable finance.</w:t>
      </w:r>
    </w:p>
    <w:tbl>
      <w:tblPr>
        <w:tblW w:w="5000" w:type="pct"/>
        <w:jc w:val="center"/>
        <w:tblCellMar>
          <w:left w:w="75" w:type="dxa"/>
          <w:right w:w="75" w:type="dxa"/>
        </w:tblCellMar>
        <w:tblLook w:val="04A0" w:firstRow="1" w:lastRow="0" w:firstColumn="1" w:lastColumn="0" w:noHBand="0" w:noVBand="1"/>
      </w:tblPr>
      <w:tblGrid>
        <w:gridCol w:w="1914"/>
        <w:gridCol w:w="1598"/>
        <w:gridCol w:w="1598"/>
        <w:gridCol w:w="1598"/>
        <w:gridCol w:w="1598"/>
      </w:tblGrid>
      <w:tr w:rsidR="00DB57F4" w:rsidRPr="00631A74" w14:paraId="6433B927" w14:textId="77777777" w:rsidTr="00233168">
        <w:trPr>
          <w:jc w:val="center"/>
        </w:trPr>
        <w:tc>
          <w:tcPr>
            <w:tcW w:w="1152" w:type="pct"/>
            <w:vMerge w:val="restart"/>
            <w:tcBorders>
              <w:top w:val="single" w:sz="12" w:space="0" w:color="auto"/>
              <w:left w:val="nil"/>
              <w:right w:val="nil"/>
            </w:tcBorders>
            <w:vAlign w:val="center"/>
          </w:tcPr>
          <w:p w14:paraId="12146F05"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VARIABLES</w:t>
            </w:r>
          </w:p>
        </w:tc>
        <w:tc>
          <w:tcPr>
            <w:tcW w:w="962" w:type="pct"/>
            <w:tcBorders>
              <w:top w:val="single" w:sz="12" w:space="0" w:color="auto"/>
              <w:left w:val="nil"/>
              <w:bottom w:val="nil"/>
              <w:right w:val="nil"/>
            </w:tcBorders>
          </w:tcPr>
          <w:p w14:paraId="34F3D62E"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(1)</w:t>
            </w:r>
          </w:p>
        </w:tc>
        <w:tc>
          <w:tcPr>
            <w:tcW w:w="962" w:type="pct"/>
            <w:tcBorders>
              <w:top w:val="single" w:sz="12" w:space="0" w:color="auto"/>
              <w:left w:val="nil"/>
              <w:bottom w:val="nil"/>
              <w:right w:val="nil"/>
            </w:tcBorders>
          </w:tcPr>
          <w:p w14:paraId="096C6181"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w:t>
            </w:r>
            <w:r w:rsidRPr="00631A74">
              <w:rPr>
                <w:rFonts w:ascii="Times New Roman" w:hAnsi="Times New Roman" w:cs="Times New Roman" w:hint="eastAsia"/>
                <w:color w:val="FF0000"/>
                <w:szCs w:val="21"/>
              </w:rPr>
              <w:t>2</w:t>
            </w:r>
            <w:r w:rsidRPr="00631A74">
              <w:rPr>
                <w:rFonts w:ascii="Times New Roman" w:hAnsi="Times New Roman" w:cs="Times New Roman"/>
                <w:color w:val="FF0000"/>
                <w:szCs w:val="21"/>
              </w:rPr>
              <w:t>)</w:t>
            </w:r>
          </w:p>
        </w:tc>
        <w:tc>
          <w:tcPr>
            <w:tcW w:w="962" w:type="pct"/>
            <w:tcBorders>
              <w:top w:val="single" w:sz="12" w:space="0" w:color="auto"/>
              <w:left w:val="nil"/>
              <w:bottom w:val="nil"/>
              <w:right w:val="nil"/>
            </w:tcBorders>
          </w:tcPr>
          <w:p w14:paraId="1DE54D95"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w:t>
            </w:r>
            <w:r w:rsidRPr="00631A74">
              <w:rPr>
                <w:rFonts w:ascii="Times New Roman" w:hAnsi="Times New Roman" w:cs="Times New Roman" w:hint="eastAsia"/>
                <w:color w:val="FF0000"/>
                <w:szCs w:val="21"/>
              </w:rPr>
              <w:t>3</w:t>
            </w:r>
            <w:r w:rsidRPr="00631A74">
              <w:rPr>
                <w:rFonts w:ascii="Times New Roman" w:hAnsi="Times New Roman" w:cs="Times New Roman"/>
                <w:color w:val="FF0000"/>
                <w:szCs w:val="21"/>
              </w:rPr>
              <w:t>)</w:t>
            </w:r>
          </w:p>
        </w:tc>
        <w:tc>
          <w:tcPr>
            <w:tcW w:w="962" w:type="pct"/>
            <w:tcBorders>
              <w:top w:val="single" w:sz="12" w:space="0" w:color="auto"/>
              <w:left w:val="nil"/>
              <w:bottom w:val="nil"/>
              <w:right w:val="nil"/>
            </w:tcBorders>
          </w:tcPr>
          <w:p w14:paraId="00DE1E0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(4)</w:t>
            </w:r>
          </w:p>
        </w:tc>
      </w:tr>
      <w:tr w:rsidR="00DB57F4" w:rsidRPr="00631A74" w14:paraId="40073D5B" w14:textId="77777777" w:rsidTr="00233168">
        <w:trPr>
          <w:jc w:val="center"/>
        </w:trPr>
        <w:tc>
          <w:tcPr>
            <w:tcW w:w="1152" w:type="pct"/>
            <w:vMerge/>
            <w:tcBorders>
              <w:left w:val="nil"/>
              <w:bottom w:val="single" w:sz="6" w:space="0" w:color="auto"/>
              <w:right w:val="nil"/>
            </w:tcBorders>
          </w:tcPr>
          <w:p w14:paraId="2F53049B" w14:textId="77777777" w:rsidR="00DB57F4" w:rsidRPr="00631A74" w:rsidRDefault="00DB57F4" w:rsidP="00233168">
            <w:pPr>
              <w:jc w:val="center"/>
              <w:rPr>
                <w:rFonts w:ascii="Times New Roman" w:hAnsi="Times New Roman" w:cs="Times New Roman"/>
                <w:szCs w:val="21"/>
              </w:rPr>
            </w:pPr>
          </w:p>
        </w:tc>
        <w:tc>
          <w:tcPr>
            <w:tcW w:w="962" w:type="pct"/>
            <w:tcBorders>
              <w:top w:val="nil"/>
              <w:left w:val="nil"/>
              <w:bottom w:val="single" w:sz="6" w:space="0" w:color="auto"/>
              <w:right w:val="nil"/>
            </w:tcBorders>
          </w:tcPr>
          <w:p w14:paraId="1EE481C8" w14:textId="77777777" w:rsidR="00DB57F4" w:rsidRPr="00631A74" w:rsidRDefault="00DB57F4" w:rsidP="00233168">
            <w:pPr>
              <w:jc w:val="center"/>
              <w:rPr>
                <w:rFonts w:ascii="Times New Roman" w:hAnsi="Times New Roman" w:cs="Times New Roman"/>
                <w:i/>
                <w:szCs w:val="21"/>
              </w:rPr>
            </w:pPr>
            <w:r w:rsidRPr="00631A74">
              <w:rPr>
                <w:rFonts w:ascii="Times New Roman" w:hAnsi="Times New Roman" w:cs="Times New Roman" w:hint="eastAsia"/>
                <w:i/>
                <w:szCs w:val="21"/>
              </w:rPr>
              <w:t>KZ</w:t>
            </w:r>
          </w:p>
        </w:tc>
        <w:tc>
          <w:tcPr>
            <w:tcW w:w="962" w:type="pct"/>
            <w:tcBorders>
              <w:top w:val="nil"/>
              <w:left w:val="nil"/>
              <w:bottom w:val="single" w:sz="6" w:space="0" w:color="auto"/>
              <w:right w:val="nil"/>
            </w:tcBorders>
          </w:tcPr>
          <w:p w14:paraId="3F539678" w14:textId="77777777" w:rsidR="00DB57F4" w:rsidRPr="00631A74" w:rsidRDefault="00DB57F4" w:rsidP="00233168">
            <w:pPr>
              <w:jc w:val="center"/>
              <w:rPr>
                <w:rFonts w:ascii="Times New Roman" w:hAnsi="Times New Roman" w:cs="Times New Roman"/>
                <w:i/>
                <w:color w:val="FF0000"/>
                <w:szCs w:val="21"/>
              </w:rPr>
            </w:pPr>
            <w:r w:rsidRPr="00631A74">
              <w:rPr>
                <w:rFonts w:ascii="Times New Roman" w:hAnsi="Times New Roman" w:cs="Times New Roman" w:hint="eastAsia"/>
                <w:i/>
                <w:color w:val="FF0000"/>
                <w:szCs w:val="21"/>
              </w:rPr>
              <w:t>Cost</w:t>
            </w:r>
          </w:p>
        </w:tc>
        <w:tc>
          <w:tcPr>
            <w:tcW w:w="962" w:type="pct"/>
            <w:tcBorders>
              <w:top w:val="nil"/>
              <w:left w:val="nil"/>
              <w:bottom w:val="single" w:sz="6" w:space="0" w:color="auto"/>
              <w:right w:val="nil"/>
            </w:tcBorders>
          </w:tcPr>
          <w:p w14:paraId="04C05802" w14:textId="77777777" w:rsidR="00DB57F4" w:rsidRPr="00631A74" w:rsidRDefault="00DB57F4" w:rsidP="00233168">
            <w:pPr>
              <w:jc w:val="center"/>
              <w:rPr>
                <w:rFonts w:ascii="Times New Roman" w:eastAsia="DengXian" w:hAnsi="Times New Roman" w:cs="Times New Roman"/>
                <w:i/>
                <w:color w:val="FF0000"/>
                <w:szCs w:val="21"/>
              </w:rPr>
            </w:pPr>
            <w:r w:rsidRPr="00631A74">
              <w:rPr>
                <w:rFonts w:ascii="Times New Roman" w:hAnsi="Times New Roman" w:cs="Times New Roman"/>
                <w:i/>
                <w:color w:val="FF0000"/>
                <w:szCs w:val="21"/>
              </w:rPr>
              <w:t>G</w:t>
            </w:r>
            <w:r w:rsidRPr="00631A74">
              <w:rPr>
                <w:rFonts w:ascii="Times New Roman" w:hAnsi="Times New Roman" w:cs="Times New Roman" w:hint="eastAsia"/>
                <w:i/>
                <w:color w:val="FF0000"/>
                <w:szCs w:val="21"/>
              </w:rPr>
              <w:t>investor</w:t>
            </w:r>
          </w:p>
        </w:tc>
        <w:tc>
          <w:tcPr>
            <w:tcW w:w="962" w:type="pct"/>
            <w:tcBorders>
              <w:top w:val="nil"/>
              <w:left w:val="nil"/>
              <w:bottom w:val="single" w:sz="6" w:space="0" w:color="auto"/>
              <w:right w:val="nil"/>
            </w:tcBorders>
          </w:tcPr>
          <w:p w14:paraId="61FCF31B" w14:textId="77777777" w:rsidR="00DB57F4" w:rsidRPr="00631A74" w:rsidRDefault="00DB57F4" w:rsidP="00233168">
            <w:pPr>
              <w:jc w:val="center"/>
              <w:rPr>
                <w:rFonts w:ascii="Times New Roman" w:eastAsia="DengXian" w:hAnsi="Times New Roman" w:cs="Times New Roman"/>
                <w:i/>
                <w:color w:val="FF0000"/>
                <w:szCs w:val="21"/>
              </w:rPr>
            </w:pPr>
            <w:proofErr w:type="spellStart"/>
            <w:r w:rsidRPr="00631A74">
              <w:rPr>
                <w:rFonts w:ascii="Times New Roman" w:eastAsia="DengXian" w:hAnsi="Times New Roman" w:cs="Times New Roman" w:hint="eastAsia"/>
                <w:i/>
                <w:color w:val="FF0000"/>
                <w:szCs w:val="21"/>
              </w:rPr>
              <w:t>ESG_cor</w:t>
            </w:r>
            <w:proofErr w:type="spellEnd"/>
          </w:p>
        </w:tc>
      </w:tr>
      <w:tr w:rsidR="00DB57F4" w:rsidRPr="00631A74" w14:paraId="721EA6E6" w14:textId="77777777" w:rsidTr="00233168">
        <w:trPr>
          <w:jc w:val="center"/>
        </w:trPr>
        <w:tc>
          <w:tcPr>
            <w:tcW w:w="1152" w:type="pct"/>
            <w:vMerge w:val="restart"/>
            <w:tcBorders>
              <w:top w:val="nil"/>
              <w:left w:val="nil"/>
              <w:right w:val="nil"/>
            </w:tcBorders>
            <w:vAlign w:val="center"/>
          </w:tcPr>
          <w:p w14:paraId="70C9B122" w14:textId="77777777" w:rsidR="00DB57F4" w:rsidRPr="00631A74" w:rsidRDefault="00DB57F4" w:rsidP="00233168">
            <w:pPr>
              <w:jc w:val="center"/>
              <w:rPr>
                <w:rFonts w:ascii="Times New Roman" w:hAnsi="Times New Roman" w:cs="Times New Roman"/>
                <w:szCs w:val="21"/>
              </w:rPr>
            </w:pPr>
            <w:proofErr w:type="spellStart"/>
            <w:r w:rsidRPr="00631A74">
              <w:rPr>
                <w:rFonts w:ascii="Times New Roman" w:hAnsi="Times New Roman" w:cs="Times New Roman"/>
                <w:i/>
                <w:iCs/>
                <w:szCs w:val="21"/>
              </w:rPr>
              <w:t>esg_news</w:t>
            </w:r>
            <w:proofErr w:type="spellEnd"/>
          </w:p>
        </w:tc>
        <w:tc>
          <w:tcPr>
            <w:tcW w:w="962" w:type="pct"/>
            <w:tcBorders>
              <w:top w:val="nil"/>
              <w:left w:val="nil"/>
              <w:bottom w:val="nil"/>
              <w:right w:val="nil"/>
            </w:tcBorders>
          </w:tcPr>
          <w:p w14:paraId="049D66D5"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-0.1026***</w:t>
            </w:r>
          </w:p>
        </w:tc>
        <w:tc>
          <w:tcPr>
            <w:tcW w:w="962" w:type="pct"/>
            <w:tcBorders>
              <w:top w:val="nil"/>
              <w:left w:val="nil"/>
              <w:bottom w:val="nil"/>
              <w:right w:val="nil"/>
            </w:tcBorders>
          </w:tcPr>
          <w:p w14:paraId="257EA810"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-0.00</w:t>
            </w:r>
            <w:r w:rsidRPr="00631A74">
              <w:rPr>
                <w:rFonts w:ascii="Times New Roman" w:hAnsi="Times New Roman" w:cs="Times New Roman" w:hint="eastAsia"/>
                <w:color w:val="FF0000"/>
                <w:szCs w:val="21"/>
              </w:rPr>
              <w:t>05</w:t>
            </w:r>
            <w:r w:rsidRPr="00631A74">
              <w:rPr>
                <w:rFonts w:ascii="Times New Roman" w:hAnsi="Times New Roman" w:cs="Times New Roman"/>
                <w:color w:val="FF0000"/>
                <w:szCs w:val="21"/>
              </w:rPr>
              <w:t>**</w:t>
            </w:r>
          </w:p>
        </w:tc>
        <w:tc>
          <w:tcPr>
            <w:tcW w:w="962" w:type="pct"/>
            <w:tcBorders>
              <w:top w:val="nil"/>
              <w:left w:val="nil"/>
              <w:bottom w:val="nil"/>
              <w:right w:val="nil"/>
            </w:tcBorders>
          </w:tcPr>
          <w:p w14:paraId="07022783"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919</w:t>
            </w:r>
            <w:r w:rsidRPr="00631A74">
              <w:rPr>
                <w:rFonts w:ascii="Times New Roman" w:hAnsi="Times New Roman" w:cs="Times New Roman"/>
                <w:color w:val="FF0000"/>
                <w:szCs w:val="21"/>
              </w:rPr>
              <w:t>***</w:t>
            </w:r>
          </w:p>
        </w:tc>
        <w:tc>
          <w:tcPr>
            <w:tcW w:w="962" w:type="pct"/>
            <w:tcBorders>
              <w:top w:val="nil"/>
              <w:left w:val="nil"/>
              <w:bottom w:val="nil"/>
              <w:right w:val="nil"/>
            </w:tcBorders>
          </w:tcPr>
          <w:p w14:paraId="78B27AD1"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675</w:t>
            </w:r>
            <w:r w:rsidRPr="00631A74">
              <w:rPr>
                <w:rFonts w:ascii="Times New Roman" w:hAnsi="Times New Roman" w:cs="Times New Roman"/>
                <w:color w:val="FF0000"/>
                <w:szCs w:val="21"/>
              </w:rPr>
              <w:t>***</w:t>
            </w:r>
          </w:p>
        </w:tc>
      </w:tr>
      <w:tr w:rsidR="00DB57F4" w:rsidRPr="00631A74" w14:paraId="17F17C8E" w14:textId="77777777" w:rsidTr="00233168">
        <w:trPr>
          <w:jc w:val="center"/>
        </w:trPr>
        <w:tc>
          <w:tcPr>
            <w:tcW w:w="1152" w:type="pct"/>
            <w:vMerge/>
            <w:tcBorders>
              <w:left w:val="nil"/>
              <w:bottom w:val="nil"/>
              <w:right w:val="nil"/>
            </w:tcBorders>
            <w:vAlign w:val="center"/>
          </w:tcPr>
          <w:p w14:paraId="1CF5B2E1" w14:textId="77777777" w:rsidR="00DB57F4" w:rsidRPr="00631A74" w:rsidRDefault="00DB57F4" w:rsidP="00233168">
            <w:pPr>
              <w:jc w:val="center"/>
              <w:rPr>
                <w:rFonts w:ascii="Times New Roman" w:hAnsi="Times New Roman" w:cs="Times New Roman"/>
                <w:szCs w:val="21"/>
              </w:rPr>
            </w:pPr>
          </w:p>
        </w:tc>
        <w:tc>
          <w:tcPr>
            <w:tcW w:w="962" w:type="pct"/>
            <w:tcBorders>
              <w:top w:val="nil"/>
              <w:left w:val="nil"/>
              <w:bottom w:val="nil"/>
              <w:right w:val="nil"/>
            </w:tcBorders>
          </w:tcPr>
          <w:p w14:paraId="18DC15D1"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(0.0315)</w:t>
            </w:r>
          </w:p>
        </w:tc>
        <w:tc>
          <w:tcPr>
            <w:tcW w:w="962" w:type="pct"/>
            <w:tcBorders>
              <w:top w:val="nil"/>
              <w:left w:val="nil"/>
              <w:bottom w:val="nil"/>
              <w:right w:val="nil"/>
            </w:tcBorders>
          </w:tcPr>
          <w:p w14:paraId="4E3DAF9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(0.00</w:t>
            </w:r>
            <w:r w:rsidRPr="00631A74">
              <w:rPr>
                <w:rFonts w:ascii="Times New Roman" w:hAnsi="Times New Roman" w:cs="Times New Roman" w:hint="eastAsia"/>
                <w:color w:val="FF0000"/>
                <w:szCs w:val="21"/>
              </w:rPr>
              <w:t>02</w:t>
            </w:r>
            <w:r w:rsidRPr="00631A74">
              <w:rPr>
                <w:rFonts w:ascii="Times New Roman" w:hAnsi="Times New Roman" w:cs="Times New Roman"/>
                <w:color w:val="FF0000"/>
                <w:szCs w:val="21"/>
              </w:rPr>
              <w:t>)</w:t>
            </w:r>
          </w:p>
        </w:tc>
        <w:tc>
          <w:tcPr>
            <w:tcW w:w="962" w:type="pct"/>
            <w:tcBorders>
              <w:top w:val="nil"/>
              <w:left w:val="nil"/>
              <w:bottom w:val="nil"/>
              <w:right w:val="nil"/>
            </w:tcBorders>
          </w:tcPr>
          <w:p w14:paraId="2F871F2F"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115</w:t>
            </w:r>
            <w:r w:rsidRPr="00631A74">
              <w:rPr>
                <w:rFonts w:ascii="Times New Roman" w:hAnsi="Times New Roman" w:cs="Times New Roman"/>
                <w:color w:val="FF0000"/>
                <w:szCs w:val="21"/>
              </w:rPr>
              <w:t>)</w:t>
            </w:r>
          </w:p>
        </w:tc>
        <w:tc>
          <w:tcPr>
            <w:tcW w:w="962" w:type="pct"/>
            <w:tcBorders>
              <w:top w:val="nil"/>
              <w:left w:val="nil"/>
              <w:bottom w:val="nil"/>
              <w:right w:val="nil"/>
            </w:tcBorders>
          </w:tcPr>
          <w:p w14:paraId="6DC41F4B"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093</w:t>
            </w:r>
            <w:r w:rsidRPr="00631A74">
              <w:rPr>
                <w:rFonts w:ascii="Times New Roman" w:hAnsi="Times New Roman" w:cs="Times New Roman"/>
                <w:color w:val="FF0000"/>
                <w:szCs w:val="21"/>
              </w:rPr>
              <w:t>)</w:t>
            </w:r>
          </w:p>
        </w:tc>
      </w:tr>
      <w:tr w:rsidR="00DB57F4" w:rsidRPr="00631A74" w14:paraId="62B43E59" w14:textId="77777777" w:rsidTr="00233168">
        <w:trPr>
          <w:jc w:val="center"/>
        </w:trPr>
        <w:tc>
          <w:tcPr>
            <w:tcW w:w="1152" w:type="pct"/>
            <w:vMerge w:val="restart"/>
            <w:tcBorders>
              <w:top w:val="nil"/>
              <w:left w:val="nil"/>
              <w:right w:val="nil"/>
            </w:tcBorders>
            <w:vAlign w:val="center"/>
          </w:tcPr>
          <w:p w14:paraId="26441440"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Constant</w:t>
            </w:r>
          </w:p>
        </w:tc>
        <w:tc>
          <w:tcPr>
            <w:tcW w:w="962" w:type="pct"/>
            <w:tcBorders>
              <w:top w:val="nil"/>
              <w:left w:val="nil"/>
              <w:bottom w:val="nil"/>
              <w:right w:val="nil"/>
            </w:tcBorders>
          </w:tcPr>
          <w:p w14:paraId="1CC9ABBA"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4.1072***</w:t>
            </w:r>
          </w:p>
        </w:tc>
        <w:tc>
          <w:tcPr>
            <w:tcW w:w="962" w:type="pct"/>
            <w:tcBorders>
              <w:top w:val="nil"/>
              <w:left w:val="nil"/>
              <w:bottom w:val="nil"/>
              <w:right w:val="nil"/>
            </w:tcBorders>
          </w:tcPr>
          <w:p w14:paraId="7FCDB531"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538***</w:t>
            </w:r>
          </w:p>
        </w:tc>
        <w:tc>
          <w:tcPr>
            <w:tcW w:w="962" w:type="pct"/>
            <w:tcBorders>
              <w:top w:val="nil"/>
              <w:left w:val="nil"/>
              <w:bottom w:val="nil"/>
              <w:right w:val="nil"/>
            </w:tcBorders>
          </w:tcPr>
          <w:p w14:paraId="11AD029A"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-7.3539</w:t>
            </w:r>
            <w:r w:rsidRPr="00631A74">
              <w:rPr>
                <w:rFonts w:ascii="Times New Roman" w:hAnsi="Times New Roman" w:cs="Times New Roman"/>
                <w:color w:val="FF0000"/>
                <w:szCs w:val="21"/>
              </w:rPr>
              <w:t>***</w:t>
            </w:r>
          </w:p>
        </w:tc>
        <w:tc>
          <w:tcPr>
            <w:tcW w:w="962" w:type="pct"/>
            <w:tcBorders>
              <w:top w:val="nil"/>
              <w:left w:val="nil"/>
              <w:bottom w:val="nil"/>
              <w:right w:val="nil"/>
            </w:tcBorders>
          </w:tcPr>
          <w:p w14:paraId="354993B4"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3.5043</w:t>
            </w:r>
            <w:r w:rsidRPr="00631A74">
              <w:rPr>
                <w:rFonts w:ascii="Times New Roman" w:hAnsi="Times New Roman" w:cs="Times New Roman"/>
                <w:color w:val="FF0000"/>
                <w:szCs w:val="21"/>
              </w:rPr>
              <w:t>***</w:t>
            </w:r>
          </w:p>
        </w:tc>
      </w:tr>
      <w:tr w:rsidR="00DB57F4" w:rsidRPr="00631A74" w14:paraId="74D8F080" w14:textId="77777777" w:rsidTr="00233168">
        <w:trPr>
          <w:jc w:val="center"/>
        </w:trPr>
        <w:tc>
          <w:tcPr>
            <w:tcW w:w="1152" w:type="pct"/>
            <w:vMerge/>
            <w:tcBorders>
              <w:left w:val="nil"/>
              <w:bottom w:val="nil"/>
              <w:right w:val="nil"/>
            </w:tcBorders>
          </w:tcPr>
          <w:p w14:paraId="37C8D3FE" w14:textId="77777777" w:rsidR="00DB57F4" w:rsidRPr="00631A74" w:rsidRDefault="00DB57F4" w:rsidP="00233168">
            <w:pPr>
              <w:jc w:val="center"/>
              <w:rPr>
                <w:rFonts w:ascii="Times New Roman" w:hAnsi="Times New Roman" w:cs="Times New Roman"/>
                <w:szCs w:val="21"/>
              </w:rPr>
            </w:pPr>
          </w:p>
        </w:tc>
        <w:tc>
          <w:tcPr>
            <w:tcW w:w="962" w:type="pct"/>
            <w:tcBorders>
              <w:top w:val="nil"/>
              <w:left w:val="nil"/>
              <w:bottom w:val="nil"/>
              <w:right w:val="nil"/>
            </w:tcBorders>
          </w:tcPr>
          <w:p w14:paraId="2E799430"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(0.7101)</w:t>
            </w:r>
          </w:p>
        </w:tc>
        <w:tc>
          <w:tcPr>
            <w:tcW w:w="962" w:type="pct"/>
            <w:tcBorders>
              <w:top w:val="nil"/>
              <w:left w:val="nil"/>
              <w:bottom w:val="nil"/>
              <w:right w:val="nil"/>
            </w:tcBorders>
          </w:tcPr>
          <w:p w14:paraId="0936B1E9"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119</w:t>
            </w:r>
            <w:r w:rsidRPr="00631A74">
              <w:rPr>
                <w:rFonts w:ascii="Times New Roman" w:hAnsi="Times New Roman" w:cs="Times New Roman"/>
                <w:color w:val="FF0000"/>
                <w:szCs w:val="21"/>
              </w:rPr>
              <w:t>)</w:t>
            </w:r>
          </w:p>
        </w:tc>
        <w:tc>
          <w:tcPr>
            <w:tcW w:w="962" w:type="pct"/>
            <w:tcBorders>
              <w:top w:val="nil"/>
              <w:left w:val="nil"/>
              <w:bottom w:val="nil"/>
              <w:right w:val="nil"/>
            </w:tcBorders>
          </w:tcPr>
          <w:p w14:paraId="1253DB2A"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2612</w:t>
            </w:r>
            <w:r w:rsidRPr="00631A74">
              <w:rPr>
                <w:rFonts w:ascii="Times New Roman" w:hAnsi="Times New Roman" w:cs="Times New Roman"/>
                <w:color w:val="FF0000"/>
                <w:szCs w:val="21"/>
              </w:rPr>
              <w:t>)</w:t>
            </w:r>
          </w:p>
        </w:tc>
        <w:tc>
          <w:tcPr>
            <w:tcW w:w="962" w:type="pct"/>
            <w:tcBorders>
              <w:top w:val="nil"/>
              <w:left w:val="nil"/>
              <w:bottom w:val="nil"/>
              <w:right w:val="nil"/>
            </w:tcBorders>
          </w:tcPr>
          <w:p w14:paraId="360B917B"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1796</w:t>
            </w:r>
            <w:r w:rsidRPr="00631A74">
              <w:rPr>
                <w:rFonts w:ascii="Times New Roman" w:hAnsi="Times New Roman" w:cs="Times New Roman"/>
                <w:color w:val="FF0000"/>
                <w:szCs w:val="21"/>
              </w:rPr>
              <w:t>)</w:t>
            </w:r>
          </w:p>
        </w:tc>
      </w:tr>
      <w:tr w:rsidR="00DB57F4" w:rsidRPr="00631A74" w14:paraId="03506F5B" w14:textId="77777777" w:rsidTr="00233168">
        <w:trPr>
          <w:jc w:val="center"/>
        </w:trPr>
        <w:tc>
          <w:tcPr>
            <w:tcW w:w="1152" w:type="pct"/>
            <w:tcBorders>
              <w:top w:val="nil"/>
              <w:left w:val="nil"/>
              <w:bottom w:val="nil"/>
              <w:right w:val="nil"/>
            </w:tcBorders>
            <w:vAlign w:val="center"/>
          </w:tcPr>
          <w:p w14:paraId="418F5004"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Observations</w:t>
            </w:r>
          </w:p>
        </w:tc>
        <w:tc>
          <w:tcPr>
            <w:tcW w:w="962" w:type="pct"/>
            <w:tcBorders>
              <w:top w:val="nil"/>
              <w:left w:val="nil"/>
              <w:bottom w:val="nil"/>
              <w:right w:val="nil"/>
            </w:tcBorders>
          </w:tcPr>
          <w:p w14:paraId="31FD8A7D"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24,906</w:t>
            </w:r>
          </w:p>
        </w:tc>
        <w:tc>
          <w:tcPr>
            <w:tcW w:w="962" w:type="pct"/>
            <w:tcBorders>
              <w:top w:val="nil"/>
              <w:left w:val="nil"/>
              <w:bottom w:val="nil"/>
              <w:right w:val="nil"/>
            </w:tcBorders>
          </w:tcPr>
          <w:p w14:paraId="66B69980"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c>
          <w:tcPr>
            <w:tcW w:w="962" w:type="pct"/>
            <w:tcBorders>
              <w:top w:val="nil"/>
              <w:left w:val="nil"/>
              <w:bottom w:val="nil"/>
              <w:right w:val="nil"/>
            </w:tcBorders>
          </w:tcPr>
          <w:p w14:paraId="062BB745"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c>
          <w:tcPr>
            <w:tcW w:w="962" w:type="pct"/>
            <w:tcBorders>
              <w:top w:val="nil"/>
              <w:left w:val="nil"/>
              <w:bottom w:val="nil"/>
              <w:right w:val="nil"/>
            </w:tcBorders>
          </w:tcPr>
          <w:p w14:paraId="56227788"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r>
      <w:tr w:rsidR="00DB57F4" w:rsidRPr="00631A74" w14:paraId="3A91A42E" w14:textId="77777777" w:rsidTr="00233168">
        <w:trPr>
          <w:jc w:val="center"/>
        </w:trPr>
        <w:tc>
          <w:tcPr>
            <w:tcW w:w="1152" w:type="pct"/>
            <w:tcBorders>
              <w:top w:val="nil"/>
              <w:left w:val="nil"/>
              <w:bottom w:val="nil"/>
              <w:right w:val="nil"/>
            </w:tcBorders>
            <w:vAlign w:val="center"/>
          </w:tcPr>
          <w:p w14:paraId="3FCCAC75"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Adjusted R</w:t>
            </w:r>
            <w:r w:rsidRPr="00631A74">
              <w:rPr>
                <w:rFonts w:ascii="Times New Roman" w:hAnsi="Times New Roman" w:cs="Times New Roman"/>
                <w:szCs w:val="21"/>
                <w:vertAlign w:val="superscript"/>
              </w:rPr>
              <w:t>2</w:t>
            </w:r>
          </w:p>
        </w:tc>
        <w:tc>
          <w:tcPr>
            <w:tcW w:w="962" w:type="pct"/>
            <w:tcBorders>
              <w:top w:val="nil"/>
              <w:left w:val="nil"/>
              <w:bottom w:val="nil"/>
              <w:right w:val="nil"/>
            </w:tcBorders>
          </w:tcPr>
          <w:p w14:paraId="2A00D967"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0.7384</w:t>
            </w:r>
          </w:p>
        </w:tc>
        <w:tc>
          <w:tcPr>
            <w:tcW w:w="962" w:type="pct"/>
            <w:tcBorders>
              <w:top w:val="nil"/>
              <w:left w:val="nil"/>
              <w:bottom w:val="nil"/>
              <w:right w:val="nil"/>
            </w:tcBorders>
          </w:tcPr>
          <w:p w14:paraId="7DA1072D"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5464</w:t>
            </w:r>
          </w:p>
        </w:tc>
        <w:tc>
          <w:tcPr>
            <w:tcW w:w="962" w:type="pct"/>
            <w:tcBorders>
              <w:top w:val="nil"/>
              <w:left w:val="nil"/>
              <w:bottom w:val="nil"/>
              <w:right w:val="nil"/>
            </w:tcBorders>
          </w:tcPr>
          <w:p w14:paraId="259D437C"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5806</w:t>
            </w:r>
          </w:p>
        </w:tc>
        <w:tc>
          <w:tcPr>
            <w:tcW w:w="962" w:type="pct"/>
            <w:tcBorders>
              <w:top w:val="nil"/>
              <w:left w:val="nil"/>
              <w:bottom w:val="nil"/>
              <w:right w:val="nil"/>
            </w:tcBorders>
          </w:tcPr>
          <w:p w14:paraId="1D32A286"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4290</w:t>
            </w:r>
          </w:p>
        </w:tc>
      </w:tr>
      <w:tr w:rsidR="00DB57F4" w:rsidRPr="00631A74" w14:paraId="06940D55" w14:textId="77777777" w:rsidTr="00233168">
        <w:trPr>
          <w:jc w:val="center"/>
        </w:trPr>
        <w:tc>
          <w:tcPr>
            <w:tcW w:w="1152" w:type="pct"/>
            <w:tcBorders>
              <w:top w:val="nil"/>
              <w:left w:val="nil"/>
              <w:bottom w:val="nil"/>
              <w:right w:val="nil"/>
            </w:tcBorders>
            <w:vAlign w:val="center"/>
          </w:tcPr>
          <w:p w14:paraId="005446B7"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Controls</w:t>
            </w:r>
          </w:p>
        </w:tc>
        <w:tc>
          <w:tcPr>
            <w:tcW w:w="962" w:type="pct"/>
            <w:tcBorders>
              <w:top w:val="nil"/>
              <w:left w:val="nil"/>
              <w:bottom w:val="nil"/>
              <w:right w:val="nil"/>
            </w:tcBorders>
          </w:tcPr>
          <w:p w14:paraId="3C299154"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YES</w:t>
            </w:r>
          </w:p>
        </w:tc>
        <w:tc>
          <w:tcPr>
            <w:tcW w:w="962" w:type="pct"/>
            <w:tcBorders>
              <w:top w:val="nil"/>
              <w:left w:val="nil"/>
              <w:bottom w:val="nil"/>
              <w:right w:val="nil"/>
            </w:tcBorders>
          </w:tcPr>
          <w:p w14:paraId="21B91BDC"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962" w:type="pct"/>
            <w:tcBorders>
              <w:top w:val="nil"/>
              <w:left w:val="nil"/>
              <w:bottom w:val="nil"/>
              <w:right w:val="nil"/>
            </w:tcBorders>
          </w:tcPr>
          <w:p w14:paraId="556E8EB4"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962" w:type="pct"/>
            <w:tcBorders>
              <w:top w:val="nil"/>
              <w:left w:val="nil"/>
              <w:bottom w:val="nil"/>
              <w:right w:val="nil"/>
            </w:tcBorders>
          </w:tcPr>
          <w:p w14:paraId="0D6569AF"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r>
      <w:tr w:rsidR="00DB57F4" w:rsidRPr="00631A74" w14:paraId="1831B244" w14:textId="77777777" w:rsidTr="00233168">
        <w:trPr>
          <w:jc w:val="center"/>
        </w:trPr>
        <w:tc>
          <w:tcPr>
            <w:tcW w:w="1152" w:type="pct"/>
            <w:tcBorders>
              <w:top w:val="nil"/>
              <w:left w:val="nil"/>
              <w:right w:val="nil"/>
            </w:tcBorders>
            <w:vAlign w:val="center"/>
          </w:tcPr>
          <w:p w14:paraId="78D0368A"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Year FE</w:t>
            </w:r>
          </w:p>
        </w:tc>
        <w:tc>
          <w:tcPr>
            <w:tcW w:w="962" w:type="pct"/>
            <w:tcBorders>
              <w:top w:val="nil"/>
              <w:left w:val="nil"/>
              <w:right w:val="nil"/>
            </w:tcBorders>
          </w:tcPr>
          <w:p w14:paraId="66C942F8"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YES</w:t>
            </w:r>
          </w:p>
        </w:tc>
        <w:tc>
          <w:tcPr>
            <w:tcW w:w="962" w:type="pct"/>
            <w:tcBorders>
              <w:top w:val="nil"/>
              <w:left w:val="nil"/>
              <w:right w:val="nil"/>
            </w:tcBorders>
          </w:tcPr>
          <w:p w14:paraId="521B013B"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962" w:type="pct"/>
            <w:tcBorders>
              <w:top w:val="nil"/>
              <w:left w:val="nil"/>
              <w:right w:val="nil"/>
            </w:tcBorders>
          </w:tcPr>
          <w:p w14:paraId="710B05C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962" w:type="pct"/>
            <w:tcBorders>
              <w:top w:val="nil"/>
              <w:left w:val="nil"/>
              <w:right w:val="nil"/>
            </w:tcBorders>
          </w:tcPr>
          <w:p w14:paraId="4EEA93B7"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r>
      <w:tr w:rsidR="00DB57F4" w:rsidRPr="00631A74" w14:paraId="04731F74" w14:textId="77777777" w:rsidTr="00233168">
        <w:tblPrEx>
          <w:tblBorders>
            <w:bottom w:val="single" w:sz="6" w:space="0" w:color="auto"/>
          </w:tblBorders>
        </w:tblPrEx>
        <w:trPr>
          <w:jc w:val="center"/>
        </w:trPr>
        <w:tc>
          <w:tcPr>
            <w:tcW w:w="1152" w:type="pct"/>
            <w:tcBorders>
              <w:top w:val="nil"/>
              <w:left w:val="nil"/>
              <w:bottom w:val="single" w:sz="12" w:space="0" w:color="auto"/>
              <w:right w:val="nil"/>
            </w:tcBorders>
            <w:vAlign w:val="center"/>
          </w:tcPr>
          <w:p w14:paraId="4590ABED"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Firm FE</w:t>
            </w:r>
          </w:p>
        </w:tc>
        <w:tc>
          <w:tcPr>
            <w:tcW w:w="962" w:type="pct"/>
            <w:tcBorders>
              <w:top w:val="nil"/>
              <w:left w:val="nil"/>
              <w:bottom w:val="single" w:sz="12" w:space="0" w:color="auto"/>
              <w:right w:val="nil"/>
            </w:tcBorders>
          </w:tcPr>
          <w:p w14:paraId="5A20790A" w14:textId="77777777" w:rsidR="00DB57F4" w:rsidRPr="00631A74" w:rsidRDefault="00DB57F4" w:rsidP="00233168">
            <w:pPr>
              <w:jc w:val="center"/>
              <w:rPr>
                <w:rFonts w:ascii="Times New Roman" w:hAnsi="Times New Roman" w:cs="Times New Roman"/>
                <w:szCs w:val="21"/>
              </w:rPr>
            </w:pPr>
            <w:r w:rsidRPr="00631A74">
              <w:rPr>
                <w:rFonts w:ascii="Times New Roman" w:hAnsi="Times New Roman" w:cs="Times New Roman"/>
                <w:szCs w:val="21"/>
              </w:rPr>
              <w:t>YES</w:t>
            </w:r>
          </w:p>
        </w:tc>
        <w:tc>
          <w:tcPr>
            <w:tcW w:w="962" w:type="pct"/>
            <w:tcBorders>
              <w:top w:val="nil"/>
              <w:left w:val="nil"/>
              <w:bottom w:val="single" w:sz="12" w:space="0" w:color="auto"/>
              <w:right w:val="nil"/>
            </w:tcBorders>
          </w:tcPr>
          <w:p w14:paraId="2AD05B96"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962" w:type="pct"/>
            <w:tcBorders>
              <w:top w:val="nil"/>
              <w:left w:val="nil"/>
              <w:bottom w:val="single" w:sz="12" w:space="0" w:color="auto"/>
              <w:right w:val="nil"/>
            </w:tcBorders>
          </w:tcPr>
          <w:p w14:paraId="16565300"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962" w:type="pct"/>
            <w:tcBorders>
              <w:top w:val="nil"/>
              <w:left w:val="nil"/>
              <w:bottom w:val="single" w:sz="12" w:space="0" w:color="auto"/>
              <w:right w:val="nil"/>
            </w:tcBorders>
          </w:tcPr>
          <w:p w14:paraId="08BAE1BF"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r>
    </w:tbl>
    <w:p w14:paraId="4F8A480E"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06FB33A8" w14:textId="77777777" w:rsidR="00DB57F4" w:rsidRDefault="00DB57F4" w:rsidP="00DB57F4"/>
    <w:p w14:paraId="6DF95D17" w14:textId="77777777" w:rsidR="00DB57F4" w:rsidRPr="006557B0" w:rsidRDefault="00DB57F4" w:rsidP="00DB57F4">
      <w:pPr>
        <w:rPr>
          <w:rFonts w:ascii="Times New Roman" w:hAnsi="Times New Roman" w:cs="Times New Roman"/>
          <w:b/>
          <w:bCs/>
        </w:rPr>
      </w:pPr>
      <w:r w:rsidRPr="006557B0">
        <w:rPr>
          <w:rFonts w:ascii="Times New Roman" w:hAnsi="Times New Roman" w:cs="Times New Roman"/>
          <w:b/>
          <w:bCs/>
        </w:rPr>
        <w:t xml:space="preserve">Table </w:t>
      </w:r>
      <w:r>
        <w:rPr>
          <w:rFonts w:ascii="Times New Roman" w:hAnsi="Times New Roman" w:cs="Times New Roman" w:hint="eastAsia"/>
          <w:b/>
          <w:bCs/>
        </w:rPr>
        <w:t>9</w:t>
      </w:r>
      <w:r w:rsidRPr="006557B0">
        <w:rPr>
          <w:rFonts w:ascii="Times New Roman" w:hAnsi="Times New Roman" w:cs="Times New Roman"/>
          <w:b/>
          <w:bCs/>
        </w:rPr>
        <w:t xml:space="preserve"> Mechanism analysis</w:t>
      </w:r>
      <w:proofErr w:type="gramStart"/>
      <w:r w:rsidRPr="006557B0">
        <w:rPr>
          <w:rFonts w:ascii="Times New Roman" w:hAnsi="Times New Roman" w:cs="Times New Roman" w:hint="eastAsia"/>
          <w:b/>
          <w:bCs/>
        </w:rPr>
        <w:t xml:space="preserve">: </w:t>
      </w:r>
      <w:r w:rsidRPr="006557B0">
        <w:rPr>
          <w:rFonts w:ascii="Times New Roman" w:hAnsi="Times New Roman" w:cs="Times New Roman"/>
          <w:b/>
          <w:bCs/>
        </w:rPr>
        <w:t xml:space="preserve"> </w:t>
      </w:r>
      <w:r w:rsidRPr="006557B0">
        <w:rPr>
          <w:rFonts w:ascii="Times New Roman" w:hAnsi="Times New Roman" w:cs="Times New Roman" w:hint="eastAsia"/>
          <w:b/>
          <w:bCs/>
        </w:rPr>
        <w:t>Awareness</w:t>
      </w:r>
      <w:proofErr w:type="gramEnd"/>
      <w:r w:rsidRPr="006557B0">
        <w:rPr>
          <w:rFonts w:ascii="Times New Roman" w:hAnsi="Times New Roman" w:cs="Times New Roman" w:hint="eastAsia"/>
          <w:b/>
          <w:bCs/>
        </w:rPr>
        <w:t xml:space="preserve"> of green business practices</w:t>
      </w:r>
      <w:r>
        <w:rPr>
          <w:rFonts w:ascii="Times New Roman" w:hAnsi="Times New Roman" w:cs="Times New Roman" w:hint="eastAsia"/>
          <w:b/>
          <w:bCs/>
        </w:rPr>
        <w:t>.</w:t>
      </w:r>
    </w:p>
    <w:tbl>
      <w:tblPr>
        <w:tblW w:w="5000" w:type="pct"/>
        <w:jc w:val="center"/>
        <w:tblCellMar>
          <w:left w:w="75" w:type="dxa"/>
          <w:right w:w="75" w:type="dxa"/>
        </w:tblCellMar>
        <w:tblLook w:val="04A0" w:firstRow="1" w:lastRow="0" w:firstColumn="1" w:lastColumn="0" w:noHBand="0" w:noVBand="1"/>
      </w:tblPr>
      <w:tblGrid>
        <w:gridCol w:w="1545"/>
        <w:gridCol w:w="1399"/>
        <w:gridCol w:w="1399"/>
        <w:gridCol w:w="1399"/>
        <w:gridCol w:w="1282"/>
        <w:gridCol w:w="1282"/>
      </w:tblGrid>
      <w:tr w:rsidR="00DB57F4" w:rsidRPr="00631A74" w14:paraId="5E83716D" w14:textId="77777777" w:rsidTr="00233168">
        <w:trPr>
          <w:jc w:val="center"/>
        </w:trPr>
        <w:tc>
          <w:tcPr>
            <w:tcW w:w="945" w:type="pct"/>
            <w:vMerge w:val="restart"/>
            <w:tcBorders>
              <w:top w:val="single" w:sz="12" w:space="0" w:color="auto"/>
              <w:left w:val="nil"/>
              <w:right w:val="nil"/>
            </w:tcBorders>
            <w:vAlign w:val="center"/>
          </w:tcPr>
          <w:p w14:paraId="127529E1"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VARIABLES</w:t>
            </w:r>
          </w:p>
        </w:tc>
        <w:tc>
          <w:tcPr>
            <w:tcW w:w="827" w:type="pct"/>
            <w:tcBorders>
              <w:top w:val="single" w:sz="12" w:space="0" w:color="auto"/>
              <w:left w:val="nil"/>
              <w:right w:val="nil"/>
            </w:tcBorders>
          </w:tcPr>
          <w:p w14:paraId="33D44D38"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(1)</w:t>
            </w:r>
          </w:p>
        </w:tc>
        <w:tc>
          <w:tcPr>
            <w:tcW w:w="827" w:type="pct"/>
            <w:tcBorders>
              <w:top w:val="single" w:sz="12" w:space="0" w:color="auto"/>
              <w:left w:val="nil"/>
              <w:right w:val="nil"/>
            </w:tcBorders>
          </w:tcPr>
          <w:p w14:paraId="72A324D3"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w:t>
            </w:r>
          </w:p>
        </w:tc>
        <w:tc>
          <w:tcPr>
            <w:tcW w:w="827" w:type="pct"/>
            <w:tcBorders>
              <w:top w:val="single" w:sz="12" w:space="0" w:color="auto"/>
              <w:left w:val="nil"/>
              <w:right w:val="nil"/>
            </w:tcBorders>
          </w:tcPr>
          <w:p w14:paraId="77C8976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(3)</w:t>
            </w:r>
          </w:p>
        </w:tc>
        <w:tc>
          <w:tcPr>
            <w:tcW w:w="787" w:type="pct"/>
            <w:tcBorders>
              <w:top w:val="single" w:sz="12" w:space="0" w:color="auto"/>
              <w:left w:val="nil"/>
              <w:right w:val="nil"/>
            </w:tcBorders>
          </w:tcPr>
          <w:p w14:paraId="65663CA3"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(4)</w:t>
            </w:r>
          </w:p>
        </w:tc>
        <w:tc>
          <w:tcPr>
            <w:tcW w:w="786" w:type="pct"/>
            <w:tcBorders>
              <w:top w:val="single" w:sz="12" w:space="0" w:color="auto"/>
              <w:left w:val="nil"/>
              <w:right w:val="nil"/>
            </w:tcBorders>
          </w:tcPr>
          <w:p w14:paraId="1E3125CA"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(5)</w:t>
            </w:r>
          </w:p>
        </w:tc>
      </w:tr>
      <w:tr w:rsidR="00DB57F4" w:rsidRPr="00631A74" w14:paraId="7CD3A86C" w14:textId="77777777" w:rsidTr="00233168">
        <w:trPr>
          <w:jc w:val="center"/>
        </w:trPr>
        <w:tc>
          <w:tcPr>
            <w:tcW w:w="945" w:type="pct"/>
            <w:vMerge/>
            <w:tcBorders>
              <w:top w:val="single" w:sz="12" w:space="0" w:color="auto"/>
              <w:left w:val="nil"/>
              <w:right w:val="nil"/>
            </w:tcBorders>
            <w:vAlign w:val="center"/>
          </w:tcPr>
          <w:p w14:paraId="73A34187" w14:textId="77777777" w:rsidR="00DB57F4" w:rsidRPr="00631A74" w:rsidRDefault="00DB57F4" w:rsidP="00233168">
            <w:pPr>
              <w:jc w:val="center"/>
              <w:rPr>
                <w:rFonts w:ascii="Times New Roman" w:hAnsi="Times New Roman" w:cs="Times New Roman"/>
                <w:color w:val="FF0000"/>
                <w:szCs w:val="21"/>
              </w:rPr>
            </w:pPr>
          </w:p>
        </w:tc>
        <w:tc>
          <w:tcPr>
            <w:tcW w:w="827" w:type="pct"/>
            <w:tcBorders>
              <w:left w:val="nil"/>
              <w:bottom w:val="single" w:sz="4" w:space="0" w:color="auto"/>
              <w:right w:val="nil"/>
            </w:tcBorders>
            <w:vAlign w:val="center"/>
          </w:tcPr>
          <w:p w14:paraId="5915DD90"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eastAsia="SimSun" w:hAnsi="Times New Roman" w:cs="Times New Roman"/>
                <w:color w:val="FF0000"/>
                <w:kern w:val="0"/>
                <w:szCs w:val="21"/>
              </w:rPr>
              <w:t>Environmental Awareness</w:t>
            </w:r>
          </w:p>
        </w:tc>
        <w:tc>
          <w:tcPr>
            <w:tcW w:w="827" w:type="pct"/>
            <w:tcBorders>
              <w:left w:val="nil"/>
              <w:bottom w:val="single" w:sz="4" w:space="0" w:color="auto"/>
              <w:right w:val="nil"/>
            </w:tcBorders>
            <w:vAlign w:val="center"/>
          </w:tcPr>
          <w:p w14:paraId="36E1D187"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eastAsia="SimSun" w:hAnsi="Times New Roman" w:cs="Times New Roman"/>
                <w:color w:val="FF0000"/>
                <w:kern w:val="0"/>
                <w:szCs w:val="21"/>
              </w:rPr>
              <w:t>Environmental Management</w:t>
            </w:r>
          </w:p>
        </w:tc>
        <w:tc>
          <w:tcPr>
            <w:tcW w:w="827" w:type="pct"/>
            <w:tcBorders>
              <w:left w:val="nil"/>
              <w:bottom w:val="single" w:sz="4" w:space="0" w:color="auto"/>
              <w:right w:val="nil"/>
            </w:tcBorders>
            <w:vAlign w:val="center"/>
          </w:tcPr>
          <w:p w14:paraId="102FF752"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eastAsia="SimSun" w:hAnsi="Times New Roman" w:cs="Times New Roman"/>
                <w:color w:val="FF0000"/>
                <w:kern w:val="0"/>
                <w:szCs w:val="21"/>
              </w:rPr>
              <w:t>Environmental Investment</w:t>
            </w:r>
          </w:p>
        </w:tc>
        <w:tc>
          <w:tcPr>
            <w:tcW w:w="787" w:type="pct"/>
            <w:tcBorders>
              <w:left w:val="nil"/>
              <w:bottom w:val="single" w:sz="4" w:space="0" w:color="auto"/>
              <w:right w:val="nil"/>
            </w:tcBorders>
            <w:vAlign w:val="center"/>
          </w:tcPr>
          <w:p w14:paraId="1B2FBF03"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eastAsia="SimSun" w:hAnsi="Times New Roman" w:cs="Times New Roman"/>
                <w:color w:val="FF0000"/>
                <w:kern w:val="0"/>
                <w:szCs w:val="21"/>
              </w:rPr>
              <w:t>Pollution Reduction</w:t>
            </w:r>
          </w:p>
        </w:tc>
        <w:tc>
          <w:tcPr>
            <w:tcW w:w="786" w:type="pct"/>
            <w:tcBorders>
              <w:left w:val="nil"/>
              <w:bottom w:val="single" w:sz="4" w:space="0" w:color="auto"/>
              <w:right w:val="nil"/>
            </w:tcBorders>
            <w:vAlign w:val="center"/>
          </w:tcPr>
          <w:p w14:paraId="11BF8EBD"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eastAsia="SimSun" w:hAnsi="Times New Roman" w:cs="Times New Roman"/>
                <w:color w:val="FF0000"/>
                <w:kern w:val="0"/>
                <w:szCs w:val="21"/>
              </w:rPr>
              <w:t>Energy Conservation</w:t>
            </w:r>
          </w:p>
        </w:tc>
      </w:tr>
      <w:tr w:rsidR="00DB57F4" w:rsidRPr="00631A74" w14:paraId="37D2167B" w14:textId="77777777" w:rsidTr="00233168">
        <w:trPr>
          <w:jc w:val="center"/>
        </w:trPr>
        <w:tc>
          <w:tcPr>
            <w:tcW w:w="945" w:type="pct"/>
            <w:vMerge/>
            <w:tcBorders>
              <w:left w:val="nil"/>
              <w:bottom w:val="single" w:sz="6" w:space="0" w:color="auto"/>
              <w:right w:val="nil"/>
            </w:tcBorders>
          </w:tcPr>
          <w:p w14:paraId="5EF1272D" w14:textId="77777777" w:rsidR="00DB57F4" w:rsidRPr="00631A74" w:rsidRDefault="00DB57F4" w:rsidP="00233168">
            <w:pPr>
              <w:jc w:val="center"/>
              <w:rPr>
                <w:rFonts w:ascii="Times New Roman" w:hAnsi="Times New Roman" w:cs="Times New Roman"/>
                <w:color w:val="FF0000"/>
                <w:szCs w:val="21"/>
              </w:rPr>
            </w:pPr>
          </w:p>
        </w:tc>
        <w:tc>
          <w:tcPr>
            <w:tcW w:w="827" w:type="pct"/>
            <w:tcBorders>
              <w:top w:val="single" w:sz="4" w:space="0" w:color="auto"/>
              <w:left w:val="nil"/>
              <w:bottom w:val="single" w:sz="6" w:space="0" w:color="auto"/>
              <w:right w:val="nil"/>
            </w:tcBorders>
          </w:tcPr>
          <w:p w14:paraId="6478D192" w14:textId="77777777" w:rsidR="00DB57F4" w:rsidRPr="00631A74" w:rsidRDefault="00DB57F4" w:rsidP="00233168">
            <w:pPr>
              <w:jc w:val="center"/>
              <w:rPr>
                <w:rFonts w:ascii="Times New Roman" w:hAnsi="Times New Roman" w:cs="Times New Roman"/>
                <w:i/>
                <w:color w:val="FF0000"/>
                <w:szCs w:val="21"/>
              </w:rPr>
            </w:pPr>
            <w:r w:rsidRPr="00631A74">
              <w:rPr>
                <w:rFonts w:ascii="Times New Roman" w:hAnsi="Times New Roman" w:cs="Times New Roman" w:hint="eastAsia"/>
                <w:i/>
                <w:color w:val="FF0000"/>
                <w:szCs w:val="21"/>
              </w:rPr>
              <w:t>EA</w:t>
            </w:r>
          </w:p>
        </w:tc>
        <w:tc>
          <w:tcPr>
            <w:tcW w:w="827" w:type="pct"/>
            <w:tcBorders>
              <w:top w:val="single" w:sz="4" w:space="0" w:color="auto"/>
              <w:left w:val="nil"/>
              <w:bottom w:val="single" w:sz="6" w:space="0" w:color="auto"/>
              <w:right w:val="nil"/>
            </w:tcBorders>
          </w:tcPr>
          <w:p w14:paraId="0A0CC148" w14:textId="77777777" w:rsidR="00DB57F4" w:rsidRPr="00631A74" w:rsidRDefault="00DB57F4" w:rsidP="00233168">
            <w:pPr>
              <w:jc w:val="center"/>
              <w:rPr>
                <w:rFonts w:ascii="Times New Roman" w:hAnsi="Times New Roman" w:cs="Times New Roman"/>
                <w:i/>
                <w:color w:val="FF0000"/>
                <w:szCs w:val="21"/>
              </w:rPr>
            </w:pPr>
            <w:r w:rsidRPr="00631A74">
              <w:rPr>
                <w:rFonts w:ascii="Times New Roman" w:hAnsi="Times New Roman" w:cs="Times New Roman" w:hint="eastAsia"/>
                <w:i/>
                <w:color w:val="FF0000"/>
                <w:szCs w:val="21"/>
              </w:rPr>
              <w:t>EM</w:t>
            </w:r>
          </w:p>
        </w:tc>
        <w:tc>
          <w:tcPr>
            <w:tcW w:w="827" w:type="pct"/>
            <w:tcBorders>
              <w:top w:val="single" w:sz="4" w:space="0" w:color="auto"/>
              <w:left w:val="nil"/>
              <w:bottom w:val="single" w:sz="6" w:space="0" w:color="auto"/>
              <w:right w:val="nil"/>
            </w:tcBorders>
          </w:tcPr>
          <w:p w14:paraId="265FA892" w14:textId="77777777" w:rsidR="00DB57F4" w:rsidRPr="00631A74" w:rsidRDefault="00DB57F4" w:rsidP="00233168">
            <w:pPr>
              <w:jc w:val="center"/>
              <w:rPr>
                <w:rFonts w:ascii="Times New Roman" w:hAnsi="Times New Roman" w:cs="Times New Roman"/>
                <w:i/>
                <w:color w:val="FF0000"/>
                <w:szCs w:val="21"/>
              </w:rPr>
            </w:pPr>
            <w:r w:rsidRPr="00631A74">
              <w:rPr>
                <w:rFonts w:ascii="Times New Roman" w:hAnsi="Times New Roman" w:cs="Times New Roman" w:hint="eastAsia"/>
                <w:i/>
                <w:color w:val="FF0000"/>
                <w:szCs w:val="21"/>
              </w:rPr>
              <w:t>EI</w:t>
            </w:r>
          </w:p>
        </w:tc>
        <w:tc>
          <w:tcPr>
            <w:tcW w:w="787" w:type="pct"/>
            <w:tcBorders>
              <w:top w:val="single" w:sz="4" w:space="0" w:color="auto"/>
              <w:left w:val="nil"/>
              <w:bottom w:val="single" w:sz="6" w:space="0" w:color="auto"/>
              <w:right w:val="nil"/>
            </w:tcBorders>
          </w:tcPr>
          <w:p w14:paraId="3ED2B278" w14:textId="77777777" w:rsidR="00DB57F4" w:rsidRPr="00631A74" w:rsidRDefault="00DB57F4" w:rsidP="00233168">
            <w:pPr>
              <w:jc w:val="center"/>
              <w:rPr>
                <w:rFonts w:ascii="Times New Roman" w:hAnsi="Times New Roman" w:cs="Times New Roman"/>
                <w:i/>
                <w:color w:val="FF0000"/>
                <w:szCs w:val="21"/>
              </w:rPr>
            </w:pPr>
            <w:r w:rsidRPr="00631A74">
              <w:rPr>
                <w:rFonts w:ascii="Times New Roman" w:hAnsi="Times New Roman" w:cs="Times New Roman" w:hint="eastAsia"/>
                <w:i/>
                <w:color w:val="FF0000"/>
                <w:szCs w:val="21"/>
              </w:rPr>
              <w:t>PR</w:t>
            </w:r>
          </w:p>
        </w:tc>
        <w:tc>
          <w:tcPr>
            <w:tcW w:w="786" w:type="pct"/>
            <w:tcBorders>
              <w:top w:val="single" w:sz="4" w:space="0" w:color="auto"/>
              <w:left w:val="nil"/>
              <w:bottom w:val="single" w:sz="6" w:space="0" w:color="auto"/>
              <w:right w:val="nil"/>
            </w:tcBorders>
          </w:tcPr>
          <w:p w14:paraId="34157FBC" w14:textId="77777777" w:rsidR="00DB57F4" w:rsidRPr="00631A74" w:rsidRDefault="00DB57F4" w:rsidP="00233168">
            <w:pPr>
              <w:jc w:val="center"/>
              <w:rPr>
                <w:rFonts w:ascii="Times New Roman" w:eastAsia="DengXian" w:hAnsi="Times New Roman" w:cs="Times New Roman"/>
                <w:i/>
                <w:color w:val="FF0000"/>
                <w:szCs w:val="21"/>
              </w:rPr>
            </w:pPr>
            <w:r w:rsidRPr="00631A74">
              <w:rPr>
                <w:rFonts w:ascii="Times New Roman" w:eastAsia="DengXian" w:hAnsi="Times New Roman" w:cs="Times New Roman" w:hint="eastAsia"/>
                <w:i/>
                <w:color w:val="FF0000"/>
                <w:szCs w:val="21"/>
              </w:rPr>
              <w:t>EC</w:t>
            </w:r>
          </w:p>
        </w:tc>
      </w:tr>
      <w:tr w:rsidR="00DB57F4" w:rsidRPr="00631A74" w14:paraId="64B2E284" w14:textId="77777777" w:rsidTr="00233168">
        <w:trPr>
          <w:trHeight w:val="150"/>
          <w:jc w:val="center"/>
        </w:trPr>
        <w:tc>
          <w:tcPr>
            <w:tcW w:w="945" w:type="pct"/>
            <w:vMerge w:val="restart"/>
            <w:tcBorders>
              <w:top w:val="nil"/>
              <w:left w:val="nil"/>
              <w:right w:val="nil"/>
            </w:tcBorders>
            <w:vAlign w:val="center"/>
          </w:tcPr>
          <w:p w14:paraId="11B53598" w14:textId="77777777" w:rsidR="00DB57F4" w:rsidRPr="00631A74" w:rsidRDefault="00DB57F4" w:rsidP="00233168">
            <w:pPr>
              <w:jc w:val="center"/>
              <w:rPr>
                <w:rFonts w:ascii="Times New Roman" w:hAnsi="Times New Roman" w:cs="Times New Roman"/>
                <w:color w:val="FF0000"/>
                <w:szCs w:val="21"/>
              </w:rPr>
            </w:pPr>
            <w:proofErr w:type="spellStart"/>
            <w:r w:rsidRPr="00631A74">
              <w:rPr>
                <w:rFonts w:ascii="Times New Roman" w:hAnsi="Times New Roman" w:cs="Times New Roman"/>
                <w:i/>
                <w:iCs/>
                <w:color w:val="FF0000"/>
                <w:szCs w:val="21"/>
              </w:rPr>
              <w:t>esg_news</w:t>
            </w:r>
            <w:proofErr w:type="spellEnd"/>
          </w:p>
        </w:tc>
        <w:tc>
          <w:tcPr>
            <w:tcW w:w="827" w:type="pct"/>
            <w:tcBorders>
              <w:top w:val="nil"/>
              <w:left w:val="nil"/>
              <w:bottom w:val="nil"/>
              <w:right w:val="nil"/>
            </w:tcBorders>
          </w:tcPr>
          <w:p w14:paraId="6FD5B194"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359</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740A5ECB"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0.03</w:t>
            </w:r>
            <w:r w:rsidRPr="00631A74">
              <w:rPr>
                <w:rFonts w:ascii="Times New Roman" w:hAnsi="Times New Roman" w:cs="Times New Roman" w:hint="eastAsia"/>
                <w:color w:val="FF0000"/>
                <w:szCs w:val="21"/>
              </w:rPr>
              <w:t>37</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4CE37E77"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159</w:t>
            </w:r>
            <w:r w:rsidRPr="00631A74">
              <w:rPr>
                <w:rFonts w:ascii="Times New Roman" w:hAnsi="Times New Roman" w:cs="Times New Roman"/>
                <w:color w:val="FF0000"/>
                <w:szCs w:val="21"/>
              </w:rPr>
              <w:t>**</w:t>
            </w:r>
          </w:p>
        </w:tc>
        <w:tc>
          <w:tcPr>
            <w:tcW w:w="787" w:type="pct"/>
            <w:tcBorders>
              <w:top w:val="nil"/>
              <w:left w:val="nil"/>
              <w:bottom w:val="nil"/>
              <w:right w:val="nil"/>
            </w:tcBorders>
          </w:tcPr>
          <w:p w14:paraId="4E778AA6"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0424</w:t>
            </w:r>
            <w:r w:rsidRPr="00631A74">
              <w:rPr>
                <w:rFonts w:ascii="Times New Roman" w:hAnsi="Times New Roman" w:cs="Times New Roman"/>
                <w:color w:val="FF0000"/>
                <w:szCs w:val="21"/>
              </w:rPr>
              <w:t>**</w:t>
            </w:r>
          </w:p>
        </w:tc>
        <w:tc>
          <w:tcPr>
            <w:tcW w:w="786" w:type="pct"/>
            <w:tcBorders>
              <w:top w:val="nil"/>
              <w:left w:val="nil"/>
              <w:bottom w:val="nil"/>
              <w:right w:val="nil"/>
            </w:tcBorders>
          </w:tcPr>
          <w:p w14:paraId="5B0EDFF7"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0431*</w:t>
            </w:r>
            <w:r w:rsidRPr="00631A74">
              <w:rPr>
                <w:rFonts w:ascii="Times New Roman" w:hAnsi="Times New Roman" w:cs="Times New Roman"/>
                <w:color w:val="FF0000"/>
                <w:szCs w:val="21"/>
              </w:rPr>
              <w:t>**</w:t>
            </w:r>
          </w:p>
        </w:tc>
      </w:tr>
      <w:tr w:rsidR="00DB57F4" w:rsidRPr="00631A74" w14:paraId="1A813763" w14:textId="77777777" w:rsidTr="00233168">
        <w:trPr>
          <w:jc w:val="center"/>
        </w:trPr>
        <w:tc>
          <w:tcPr>
            <w:tcW w:w="945" w:type="pct"/>
            <w:vMerge/>
            <w:tcBorders>
              <w:left w:val="nil"/>
              <w:bottom w:val="nil"/>
              <w:right w:val="nil"/>
            </w:tcBorders>
            <w:vAlign w:val="center"/>
          </w:tcPr>
          <w:p w14:paraId="3DA8CF59" w14:textId="77777777" w:rsidR="00DB57F4" w:rsidRPr="00631A74" w:rsidRDefault="00DB57F4" w:rsidP="00233168">
            <w:pPr>
              <w:jc w:val="center"/>
              <w:rPr>
                <w:rFonts w:ascii="Times New Roman" w:hAnsi="Times New Roman" w:cs="Times New Roman"/>
                <w:color w:val="FF0000"/>
                <w:szCs w:val="21"/>
              </w:rPr>
            </w:pPr>
          </w:p>
        </w:tc>
        <w:tc>
          <w:tcPr>
            <w:tcW w:w="827" w:type="pct"/>
            <w:tcBorders>
              <w:top w:val="nil"/>
              <w:left w:val="nil"/>
              <w:bottom w:val="nil"/>
              <w:right w:val="nil"/>
            </w:tcBorders>
          </w:tcPr>
          <w:p w14:paraId="10276AAB"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172</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5333D3B9"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(0.01</w:t>
            </w:r>
            <w:r w:rsidRPr="00631A74">
              <w:rPr>
                <w:rFonts w:ascii="Times New Roman" w:hAnsi="Times New Roman" w:cs="Times New Roman" w:hint="eastAsia"/>
                <w:color w:val="FF0000"/>
                <w:szCs w:val="21"/>
              </w:rPr>
              <w:t>14</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064E437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076</w:t>
            </w:r>
            <w:r w:rsidRPr="00631A74">
              <w:rPr>
                <w:rFonts w:ascii="Times New Roman" w:hAnsi="Times New Roman" w:cs="Times New Roman"/>
                <w:color w:val="FF0000"/>
                <w:szCs w:val="21"/>
              </w:rPr>
              <w:t>)</w:t>
            </w:r>
          </w:p>
        </w:tc>
        <w:tc>
          <w:tcPr>
            <w:tcW w:w="787" w:type="pct"/>
            <w:tcBorders>
              <w:top w:val="nil"/>
              <w:left w:val="nil"/>
              <w:bottom w:val="nil"/>
              <w:right w:val="nil"/>
            </w:tcBorders>
          </w:tcPr>
          <w:p w14:paraId="037FDFBD"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211</w:t>
            </w:r>
            <w:r w:rsidRPr="00631A74">
              <w:rPr>
                <w:rFonts w:ascii="Times New Roman" w:hAnsi="Times New Roman" w:cs="Times New Roman"/>
                <w:color w:val="FF0000"/>
                <w:szCs w:val="21"/>
              </w:rPr>
              <w:t>)</w:t>
            </w:r>
          </w:p>
        </w:tc>
        <w:tc>
          <w:tcPr>
            <w:tcW w:w="786" w:type="pct"/>
            <w:tcBorders>
              <w:top w:val="nil"/>
              <w:left w:val="nil"/>
              <w:bottom w:val="nil"/>
              <w:right w:val="nil"/>
            </w:tcBorders>
          </w:tcPr>
          <w:p w14:paraId="5BB71A85"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(0.0</w:t>
            </w:r>
            <w:r w:rsidRPr="00631A74">
              <w:rPr>
                <w:rFonts w:ascii="Times New Roman" w:hAnsi="Times New Roman" w:cs="Times New Roman" w:hint="eastAsia"/>
                <w:color w:val="FF0000"/>
                <w:szCs w:val="21"/>
              </w:rPr>
              <w:t>125</w:t>
            </w:r>
            <w:r w:rsidRPr="00631A74">
              <w:rPr>
                <w:rFonts w:ascii="Times New Roman" w:hAnsi="Times New Roman" w:cs="Times New Roman"/>
                <w:color w:val="FF0000"/>
                <w:szCs w:val="21"/>
              </w:rPr>
              <w:t>)</w:t>
            </w:r>
          </w:p>
        </w:tc>
      </w:tr>
      <w:tr w:rsidR="00DB57F4" w:rsidRPr="00631A74" w14:paraId="0A384C89" w14:textId="77777777" w:rsidTr="00233168">
        <w:trPr>
          <w:jc w:val="center"/>
        </w:trPr>
        <w:tc>
          <w:tcPr>
            <w:tcW w:w="945" w:type="pct"/>
            <w:vMerge w:val="restart"/>
            <w:tcBorders>
              <w:top w:val="nil"/>
              <w:left w:val="nil"/>
              <w:right w:val="nil"/>
            </w:tcBorders>
            <w:vAlign w:val="center"/>
          </w:tcPr>
          <w:p w14:paraId="6A3686FC"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Constant</w:t>
            </w:r>
          </w:p>
        </w:tc>
        <w:tc>
          <w:tcPr>
            <w:tcW w:w="827" w:type="pct"/>
            <w:tcBorders>
              <w:top w:val="nil"/>
              <w:left w:val="nil"/>
              <w:bottom w:val="nil"/>
              <w:right w:val="nil"/>
            </w:tcBorders>
          </w:tcPr>
          <w:p w14:paraId="48E57053"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-3.8304</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251306E2"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w:t>
            </w:r>
            <w:r w:rsidRPr="00631A74">
              <w:rPr>
                <w:rFonts w:ascii="Times New Roman" w:hAnsi="Times New Roman" w:cs="Times New Roman" w:hint="eastAsia"/>
                <w:color w:val="FF0000"/>
                <w:szCs w:val="21"/>
              </w:rPr>
              <w:t>3.6380</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65FBC0B3"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-0.4811</w:t>
            </w:r>
            <w:r w:rsidRPr="00631A74">
              <w:rPr>
                <w:rFonts w:ascii="Times New Roman" w:hAnsi="Times New Roman" w:cs="Times New Roman"/>
                <w:color w:val="FF0000"/>
                <w:szCs w:val="21"/>
              </w:rPr>
              <w:t>**</w:t>
            </w:r>
          </w:p>
        </w:tc>
        <w:tc>
          <w:tcPr>
            <w:tcW w:w="787" w:type="pct"/>
            <w:tcBorders>
              <w:top w:val="nil"/>
              <w:left w:val="nil"/>
              <w:bottom w:val="nil"/>
              <w:right w:val="nil"/>
            </w:tcBorders>
          </w:tcPr>
          <w:p w14:paraId="061C8080"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-5.3221</w:t>
            </w:r>
            <w:r w:rsidRPr="00631A74">
              <w:rPr>
                <w:rFonts w:ascii="Times New Roman" w:hAnsi="Times New Roman" w:cs="Times New Roman"/>
                <w:color w:val="FF0000"/>
                <w:szCs w:val="21"/>
              </w:rPr>
              <w:t>***</w:t>
            </w:r>
          </w:p>
        </w:tc>
        <w:tc>
          <w:tcPr>
            <w:tcW w:w="786" w:type="pct"/>
            <w:tcBorders>
              <w:top w:val="nil"/>
              <w:left w:val="nil"/>
              <w:bottom w:val="nil"/>
              <w:right w:val="nil"/>
            </w:tcBorders>
          </w:tcPr>
          <w:p w14:paraId="0E7A7071"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hint="eastAsia"/>
                <w:color w:val="FF0000"/>
                <w:szCs w:val="21"/>
              </w:rPr>
              <w:t>-5.4941</w:t>
            </w:r>
            <w:r w:rsidRPr="00631A74">
              <w:rPr>
                <w:rFonts w:ascii="Times New Roman" w:hAnsi="Times New Roman" w:cs="Times New Roman"/>
                <w:color w:val="FF0000"/>
                <w:szCs w:val="21"/>
              </w:rPr>
              <w:t>***</w:t>
            </w:r>
          </w:p>
        </w:tc>
      </w:tr>
      <w:tr w:rsidR="00DB57F4" w:rsidRPr="00631A74" w14:paraId="7FA091B4" w14:textId="77777777" w:rsidTr="00233168">
        <w:trPr>
          <w:jc w:val="center"/>
        </w:trPr>
        <w:tc>
          <w:tcPr>
            <w:tcW w:w="945" w:type="pct"/>
            <w:vMerge/>
            <w:tcBorders>
              <w:left w:val="nil"/>
              <w:bottom w:val="nil"/>
              <w:right w:val="nil"/>
            </w:tcBorders>
          </w:tcPr>
          <w:p w14:paraId="2CDCE110" w14:textId="77777777" w:rsidR="00DB57F4" w:rsidRPr="00631A74" w:rsidRDefault="00DB57F4" w:rsidP="00233168">
            <w:pPr>
              <w:jc w:val="center"/>
              <w:rPr>
                <w:rFonts w:ascii="Times New Roman" w:hAnsi="Times New Roman" w:cs="Times New Roman"/>
                <w:color w:val="FF0000"/>
                <w:szCs w:val="21"/>
              </w:rPr>
            </w:pPr>
          </w:p>
        </w:tc>
        <w:tc>
          <w:tcPr>
            <w:tcW w:w="827" w:type="pct"/>
            <w:tcBorders>
              <w:top w:val="nil"/>
              <w:left w:val="nil"/>
              <w:bottom w:val="nil"/>
              <w:right w:val="nil"/>
            </w:tcBorders>
          </w:tcPr>
          <w:p w14:paraId="30B2EC9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3472</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5B2C4004"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3652</w:t>
            </w:r>
            <w:r w:rsidRPr="00631A74">
              <w:rPr>
                <w:rFonts w:ascii="Times New Roman" w:hAnsi="Times New Roman" w:cs="Times New Roman"/>
                <w:color w:val="FF0000"/>
                <w:szCs w:val="21"/>
              </w:rPr>
              <w:t>)</w:t>
            </w:r>
          </w:p>
        </w:tc>
        <w:tc>
          <w:tcPr>
            <w:tcW w:w="827" w:type="pct"/>
            <w:tcBorders>
              <w:top w:val="nil"/>
              <w:left w:val="nil"/>
              <w:bottom w:val="nil"/>
              <w:right w:val="nil"/>
            </w:tcBorders>
          </w:tcPr>
          <w:p w14:paraId="4BA0B265"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1933</w:t>
            </w:r>
            <w:r w:rsidRPr="00631A74">
              <w:rPr>
                <w:rFonts w:ascii="Times New Roman" w:hAnsi="Times New Roman" w:cs="Times New Roman"/>
                <w:color w:val="FF0000"/>
                <w:szCs w:val="21"/>
              </w:rPr>
              <w:t>)</w:t>
            </w:r>
          </w:p>
        </w:tc>
        <w:tc>
          <w:tcPr>
            <w:tcW w:w="787" w:type="pct"/>
            <w:tcBorders>
              <w:top w:val="nil"/>
              <w:left w:val="nil"/>
              <w:bottom w:val="nil"/>
              <w:right w:val="nil"/>
            </w:tcBorders>
          </w:tcPr>
          <w:p w14:paraId="6EE89778"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w:t>
            </w:r>
            <w:r w:rsidRPr="00631A74">
              <w:rPr>
                <w:rFonts w:ascii="Times New Roman" w:hAnsi="Times New Roman" w:cs="Times New Roman" w:hint="eastAsia"/>
                <w:color w:val="FF0000"/>
                <w:szCs w:val="21"/>
              </w:rPr>
              <w:t>0.5031</w:t>
            </w:r>
            <w:r w:rsidRPr="00631A74">
              <w:rPr>
                <w:rFonts w:ascii="Times New Roman" w:hAnsi="Times New Roman" w:cs="Times New Roman"/>
                <w:color w:val="FF0000"/>
                <w:szCs w:val="21"/>
              </w:rPr>
              <w:t>)</w:t>
            </w:r>
          </w:p>
        </w:tc>
        <w:tc>
          <w:tcPr>
            <w:tcW w:w="786" w:type="pct"/>
            <w:tcBorders>
              <w:top w:val="nil"/>
              <w:left w:val="nil"/>
              <w:bottom w:val="nil"/>
              <w:right w:val="nil"/>
            </w:tcBorders>
          </w:tcPr>
          <w:p w14:paraId="6C07BB12"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w:t>
            </w:r>
            <w:r w:rsidRPr="00631A74">
              <w:rPr>
                <w:rFonts w:ascii="Times New Roman" w:hAnsi="Times New Roman" w:cs="Times New Roman" w:hint="eastAsia"/>
                <w:color w:val="FF0000"/>
                <w:szCs w:val="21"/>
              </w:rPr>
              <w:t>0.5267</w:t>
            </w:r>
            <w:r w:rsidRPr="00631A74">
              <w:rPr>
                <w:rFonts w:ascii="Times New Roman" w:hAnsi="Times New Roman" w:cs="Times New Roman"/>
                <w:color w:val="FF0000"/>
                <w:szCs w:val="21"/>
              </w:rPr>
              <w:t>)</w:t>
            </w:r>
          </w:p>
        </w:tc>
      </w:tr>
      <w:tr w:rsidR="00DB57F4" w:rsidRPr="00631A74" w14:paraId="35678982" w14:textId="77777777" w:rsidTr="00233168">
        <w:trPr>
          <w:jc w:val="center"/>
        </w:trPr>
        <w:tc>
          <w:tcPr>
            <w:tcW w:w="945" w:type="pct"/>
            <w:tcBorders>
              <w:top w:val="nil"/>
              <w:left w:val="nil"/>
              <w:bottom w:val="nil"/>
              <w:right w:val="nil"/>
            </w:tcBorders>
          </w:tcPr>
          <w:p w14:paraId="4E02A372"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Observations</w:t>
            </w:r>
          </w:p>
        </w:tc>
        <w:tc>
          <w:tcPr>
            <w:tcW w:w="827" w:type="pct"/>
            <w:tcBorders>
              <w:top w:val="nil"/>
              <w:left w:val="nil"/>
              <w:bottom w:val="nil"/>
              <w:right w:val="nil"/>
            </w:tcBorders>
          </w:tcPr>
          <w:p w14:paraId="56452C65"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c>
          <w:tcPr>
            <w:tcW w:w="827" w:type="pct"/>
            <w:tcBorders>
              <w:top w:val="nil"/>
              <w:left w:val="nil"/>
              <w:bottom w:val="nil"/>
              <w:right w:val="nil"/>
            </w:tcBorders>
          </w:tcPr>
          <w:p w14:paraId="36C512A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c>
          <w:tcPr>
            <w:tcW w:w="827" w:type="pct"/>
            <w:tcBorders>
              <w:top w:val="nil"/>
              <w:left w:val="nil"/>
              <w:bottom w:val="nil"/>
              <w:right w:val="nil"/>
            </w:tcBorders>
          </w:tcPr>
          <w:p w14:paraId="416A7DF2"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c>
          <w:tcPr>
            <w:tcW w:w="787" w:type="pct"/>
            <w:tcBorders>
              <w:top w:val="nil"/>
              <w:left w:val="nil"/>
              <w:bottom w:val="nil"/>
              <w:right w:val="nil"/>
            </w:tcBorders>
          </w:tcPr>
          <w:p w14:paraId="2D6E737F"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c>
          <w:tcPr>
            <w:tcW w:w="786" w:type="pct"/>
            <w:tcBorders>
              <w:top w:val="nil"/>
              <w:left w:val="nil"/>
              <w:bottom w:val="nil"/>
              <w:right w:val="nil"/>
            </w:tcBorders>
          </w:tcPr>
          <w:p w14:paraId="0151AD07"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24,906</w:t>
            </w:r>
          </w:p>
        </w:tc>
      </w:tr>
      <w:tr w:rsidR="00DB57F4" w:rsidRPr="00631A74" w14:paraId="1A0BE7B8" w14:textId="77777777" w:rsidTr="00233168">
        <w:trPr>
          <w:jc w:val="center"/>
        </w:trPr>
        <w:tc>
          <w:tcPr>
            <w:tcW w:w="945" w:type="pct"/>
            <w:tcBorders>
              <w:top w:val="nil"/>
              <w:left w:val="nil"/>
              <w:bottom w:val="nil"/>
              <w:right w:val="nil"/>
            </w:tcBorders>
          </w:tcPr>
          <w:p w14:paraId="60132142"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Adjusted R</w:t>
            </w:r>
            <w:r w:rsidRPr="00631A74">
              <w:rPr>
                <w:rFonts w:ascii="Times New Roman" w:hAnsi="Times New Roman" w:cs="Times New Roman"/>
                <w:color w:val="FF0000"/>
                <w:szCs w:val="21"/>
                <w:vertAlign w:val="superscript"/>
              </w:rPr>
              <w:t>2</w:t>
            </w:r>
          </w:p>
        </w:tc>
        <w:tc>
          <w:tcPr>
            <w:tcW w:w="827" w:type="pct"/>
            <w:tcBorders>
              <w:top w:val="nil"/>
              <w:left w:val="nil"/>
              <w:bottom w:val="nil"/>
              <w:right w:val="nil"/>
            </w:tcBorders>
          </w:tcPr>
          <w:p w14:paraId="58EFCEE5"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4136</w:t>
            </w:r>
          </w:p>
        </w:tc>
        <w:tc>
          <w:tcPr>
            <w:tcW w:w="827" w:type="pct"/>
            <w:tcBorders>
              <w:top w:val="nil"/>
              <w:left w:val="nil"/>
              <w:bottom w:val="nil"/>
              <w:right w:val="nil"/>
            </w:tcBorders>
          </w:tcPr>
          <w:p w14:paraId="02E112F1"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3382</w:t>
            </w:r>
          </w:p>
        </w:tc>
        <w:tc>
          <w:tcPr>
            <w:tcW w:w="827" w:type="pct"/>
            <w:tcBorders>
              <w:top w:val="nil"/>
              <w:left w:val="nil"/>
              <w:bottom w:val="nil"/>
              <w:right w:val="nil"/>
            </w:tcBorders>
          </w:tcPr>
          <w:p w14:paraId="0FA062AC"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5002</w:t>
            </w:r>
          </w:p>
        </w:tc>
        <w:tc>
          <w:tcPr>
            <w:tcW w:w="787" w:type="pct"/>
            <w:tcBorders>
              <w:top w:val="nil"/>
              <w:left w:val="nil"/>
              <w:bottom w:val="nil"/>
              <w:right w:val="nil"/>
            </w:tcBorders>
          </w:tcPr>
          <w:p w14:paraId="16F62007"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3808</w:t>
            </w:r>
          </w:p>
        </w:tc>
        <w:tc>
          <w:tcPr>
            <w:tcW w:w="786" w:type="pct"/>
            <w:tcBorders>
              <w:top w:val="nil"/>
              <w:left w:val="nil"/>
              <w:bottom w:val="nil"/>
              <w:right w:val="nil"/>
            </w:tcBorders>
          </w:tcPr>
          <w:p w14:paraId="7B377838"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0.</w:t>
            </w:r>
            <w:r w:rsidRPr="00631A74">
              <w:rPr>
                <w:rFonts w:ascii="Times New Roman" w:hAnsi="Times New Roman" w:cs="Times New Roman" w:hint="eastAsia"/>
                <w:color w:val="FF0000"/>
                <w:szCs w:val="21"/>
              </w:rPr>
              <w:t>3811</w:t>
            </w:r>
          </w:p>
        </w:tc>
      </w:tr>
      <w:tr w:rsidR="00DB57F4" w:rsidRPr="00631A74" w14:paraId="59ECF04B" w14:textId="77777777" w:rsidTr="00233168">
        <w:trPr>
          <w:jc w:val="center"/>
        </w:trPr>
        <w:tc>
          <w:tcPr>
            <w:tcW w:w="945" w:type="pct"/>
            <w:tcBorders>
              <w:top w:val="nil"/>
              <w:left w:val="nil"/>
              <w:bottom w:val="nil"/>
              <w:right w:val="nil"/>
            </w:tcBorders>
          </w:tcPr>
          <w:p w14:paraId="55C53C8F"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Controls</w:t>
            </w:r>
          </w:p>
        </w:tc>
        <w:tc>
          <w:tcPr>
            <w:tcW w:w="827" w:type="pct"/>
            <w:tcBorders>
              <w:top w:val="nil"/>
              <w:left w:val="nil"/>
              <w:bottom w:val="nil"/>
              <w:right w:val="nil"/>
            </w:tcBorders>
          </w:tcPr>
          <w:p w14:paraId="0AB11511"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827" w:type="pct"/>
            <w:tcBorders>
              <w:top w:val="nil"/>
              <w:left w:val="nil"/>
              <w:bottom w:val="nil"/>
              <w:right w:val="nil"/>
            </w:tcBorders>
          </w:tcPr>
          <w:p w14:paraId="4681DBDB"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827" w:type="pct"/>
            <w:tcBorders>
              <w:top w:val="nil"/>
              <w:left w:val="nil"/>
              <w:bottom w:val="nil"/>
              <w:right w:val="nil"/>
            </w:tcBorders>
          </w:tcPr>
          <w:p w14:paraId="7EDC409D"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787" w:type="pct"/>
            <w:tcBorders>
              <w:top w:val="nil"/>
              <w:left w:val="nil"/>
              <w:bottom w:val="nil"/>
              <w:right w:val="nil"/>
            </w:tcBorders>
          </w:tcPr>
          <w:p w14:paraId="62A7C1FE"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786" w:type="pct"/>
            <w:tcBorders>
              <w:top w:val="nil"/>
              <w:left w:val="nil"/>
              <w:bottom w:val="nil"/>
              <w:right w:val="nil"/>
            </w:tcBorders>
          </w:tcPr>
          <w:p w14:paraId="58CA09F5"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r>
      <w:tr w:rsidR="00DB57F4" w:rsidRPr="00631A74" w14:paraId="623A80B7" w14:textId="77777777" w:rsidTr="00233168">
        <w:trPr>
          <w:jc w:val="center"/>
        </w:trPr>
        <w:tc>
          <w:tcPr>
            <w:tcW w:w="945" w:type="pct"/>
            <w:tcBorders>
              <w:top w:val="nil"/>
              <w:left w:val="nil"/>
              <w:right w:val="nil"/>
            </w:tcBorders>
          </w:tcPr>
          <w:p w14:paraId="71CB437C"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Year FE</w:t>
            </w:r>
          </w:p>
        </w:tc>
        <w:tc>
          <w:tcPr>
            <w:tcW w:w="827" w:type="pct"/>
            <w:tcBorders>
              <w:top w:val="nil"/>
              <w:left w:val="nil"/>
              <w:right w:val="nil"/>
            </w:tcBorders>
          </w:tcPr>
          <w:p w14:paraId="1DE8EEE0"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827" w:type="pct"/>
            <w:tcBorders>
              <w:top w:val="nil"/>
              <w:left w:val="nil"/>
              <w:right w:val="nil"/>
            </w:tcBorders>
          </w:tcPr>
          <w:p w14:paraId="0C20C08C"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827" w:type="pct"/>
            <w:tcBorders>
              <w:top w:val="nil"/>
              <w:left w:val="nil"/>
              <w:right w:val="nil"/>
            </w:tcBorders>
          </w:tcPr>
          <w:p w14:paraId="5F878509"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787" w:type="pct"/>
            <w:tcBorders>
              <w:top w:val="nil"/>
              <w:left w:val="nil"/>
              <w:right w:val="nil"/>
            </w:tcBorders>
          </w:tcPr>
          <w:p w14:paraId="6D07A3BA"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786" w:type="pct"/>
            <w:tcBorders>
              <w:top w:val="nil"/>
              <w:left w:val="nil"/>
              <w:right w:val="nil"/>
            </w:tcBorders>
          </w:tcPr>
          <w:p w14:paraId="59210144"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r>
      <w:tr w:rsidR="00DB57F4" w:rsidRPr="00631A74" w14:paraId="02625E58" w14:textId="77777777" w:rsidTr="00233168">
        <w:tblPrEx>
          <w:tblBorders>
            <w:bottom w:val="single" w:sz="6" w:space="0" w:color="auto"/>
          </w:tblBorders>
        </w:tblPrEx>
        <w:trPr>
          <w:jc w:val="center"/>
        </w:trPr>
        <w:tc>
          <w:tcPr>
            <w:tcW w:w="945" w:type="pct"/>
            <w:tcBorders>
              <w:top w:val="nil"/>
              <w:left w:val="nil"/>
              <w:bottom w:val="single" w:sz="12" w:space="0" w:color="auto"/>
              <w:right w:val="nil"/>
            </w:tcBorders>
          </w:tcPr>
          <w:p w14:paraId="7968E5B6"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Firm FE</w:t>
            </w:r>
          </w:p>
        </w:tc>
        <w:tc>
          <w:tcPr>
            <w:tcW w:w="827" w:type="pct"/>
            <w:tcBorders>
              <w:top w:val="nil"/>
              <w:left w:val="nil"/>
              <w:bottom w:val="single" w:sz="12" w:space="0" w:color="auto"/>
              <w:right w:val="nil"/>
            </w:tcBorders>
          </w:tcPr>
          <w:p w14:paraId="48417346"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827" w:type="pct"/>
            <w:tcBorders>
              <w:top w:val="nil"/>
              <w:left w:val="nil"/>
              <w:bottom w:val="single" w:sz="12" w:space="0" w:color="auto"/>
              <w:right w:val="nil"/>
            </w:tcBorders>
          </w:tcPr>
          <w:p w14:paraId="11F01D86"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827" w:type="pct"/>
            <w:tcBorders>
              <w:top w:val="nil"/>
              <w:left w:val="nil"/>
              <w:bottom w:val="single" w:sz="12" w:space="0" w:color="auto"/>
              <w:right w:val="nil"/>
            </w:tcBorders>
          </w:tcPr>
          <w:p w14:paraId="43A95008"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787" w:type="pct"/>
            <w:tcBorders>
              <w:top w:val="nil"/>
              <w:left w:val="nil"/>
              <w:bottom w:val="single" w:sz="12" w:space="0" w:color="auto"/>
              <w:right w:val="nil"/>
            </w:tcBorders>
          </w:tcPr>
          <w:p w14:paraId="51701F24"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c>
          <w:tcPr>
            <w:tcW w:w="786" w:type="pct"/>
            <w:tcBorders>
              <w:top w:val="nil"/>
              <w:left w:val="nil"/>
              <w:bottom w:val="single" w:sz="12" w:space="0" w:color="auto"/>
              <w:right w:val="nil"/>
            </w:tcBorders>
          </w:tcPr>
          <w:p w14:paraId="556798EB" w14:textId="77777777" w:rsidR="00DB57F4" w:rsidRPr="00631A74" w:rsidRDefault="00DB57F4" w:rsidP="00233168">
            <w:pPr>
              <w:jc w:val="center"/>
              <w:rPr>
                <w:rFonts w:ascii="Times New Roman" w:hAnsi="Times New Roman" w:cs="Times New Roman"/>
                <w:color w:val="FF0000"/>
                <w:szCs w:val="21"/>
              </w:rPr>
            </w:pPr>
            <w:r w:rsidRPr="00631A74">
              <w:rPr>
                <w:rFonts w:ascii="Times New Roman" w:hAnsi="Times New Roman" w:cs="Times New Roman"/>
                <w:color w:val="FF0000"/>
                <w:szCs w:val="21"/>
              </w:rPr>
              <w:t>YES</w:t>
            </w:r>
          </w:p>
        </w:tc>
      </w:tr>
    </w:tbl>
    <w:p w14:paraId="12CA09D2"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6BE78B70" w14:textId="77777777" w:rsidR="00DB57F4" w:rsidRDefault="00DB57F4" w:rsidP="00DB57F4">
      <w:r>
        <w:rPr>
          <w:rFonts w:hint="eastAsia"/>
        </w:rPr>
        <w:br w:type="page"/>
      </w:r>
    </w:p>
    <w:p w14:paraId="2CDD49D7" w14:textId="77777777" w:rsidR="00DB57F4" w:rsidRDefault="00DB57F4" w:rsidP="00DB57F4"/>
    <w:p w14:paraId="40668436" w14:textId="77777777" w:rsidR="00DB57F4" w:rsidRPr="006557B0" w:rsidRDefault="00DB57F4" w:rsidP="00DB57F4">
      <w:pPr>
        <w:rPr>
          <w:rFonts w:ascii="Times New Roman" w:hAnsi="Times New Roman" w:cs="Times New Roman"/>
          <w:b/>
          <w:bCs/>
        </w:rPr>
      </w:pPr>
      <w:r w:rsidRPr="006557B0">
        <w:rPr>
          <w:rFonts w:ascii="Times New Roman" w:hAnsi="Times New Roman" w:cs="Times New Roman"/>
          <w:b/>
          <w:bCs/>
        </w:rPr>
        <w:t xml:space="preserve">Table </w:t>
      </w:r>
      <w:r w:rsidRPr="006557B0">
        <w:rPr>
          <w:rFonts w:ascii="Times New Roman" w:hAnsi="Times New Roman" w:cs="Times New Roman" w:hint="eastAsia"/>
          <w:b/>
          <w:bCs/>
        </w:rPr>
        <w:t>10</w:t>
      </w:r>
      <w:r w:rsidRPr="006557B0">
        <w:rPr>
          <w:rFonts w:ascii="Times New Roman" w:hAnsi="Times New Roman" w:cs="Times New Roman"/>
          <w:b/>
          <w:bCs/>
        </w:rPr>
        <w:t xml:space="preserve"> </w:t>
      </w:r>
      <w:r w:rsidRPr="006557B0">
        <w:rPr>
          <w:rFonts w:ascii="Times New Roman" w:eastAsia="DengXian" w:hAnsi="Times New Roman" w:cs="Times New Roman" w:hint="eastAsia"/>
          <w:b/>
          <w:bCs/>
        </w:rPr>
        <w:t>Heterogeneity Analysis</w:t>
      </w:r>
      <w:r>
        <w:rPr>
          <w:rFonts w:ascii="Times New Roman" w:eastAsia="DengXian" w:hAnsi="Times New Roman" w:cs="Times New Roman" w:hint="eastAsia"/>
          <w:b/>
          <w:bCs/>
        </w:rPr>
        <w:t>.</w:t>
      </w:r>
    </w:p>
    <w:tbl>
      <w:tblPr>
        <w:tblW w:w="5000" w:type="pct"/>
        <w:jc w:val="center"/>
        <w:tblCellMar>
          <w:left w:w="75" w:type="dxa"/>
          <w:right w:w="75" w:type="dxa"/>
        </w:tblCellMar>
        <w:tblLook w:val="04A0" w:firstRow="1" w:lastRow="0" w:firstColumn="1" w:lastColumn="0" w:noHBand="0" w:noVBand="1"/>
      </w:tblPr>
      <w:tblGrid>
        <w:gridCol w:w="1302"/>
        <w:gridCol w:w="1090"/>
        <w:gridCol w:w="1097"/>
        <w:gridCol w:w="1243"/>
        <w:gridCol w:w="1244"/>
        <w:gridCol w:w="1165"/>
        <w:gridCol w:w="1165"/>
      </w:tblGrid>
      <w:tr w:rsidR="00DB57F4" w:rsidRPr="00A7211C" w14:paraId="7B557929" w14:textId="77777777" w:rsidTr="00233168">
        <w:trPr>
          <w:jc w:val="center"/>
        </w:trPr>
        <w:tc>
          <w:tcPr>
            <w:tcW w:w="770" w:type="pct"/>
            <w:vMerge w:val="restart"/>
            <w:tcBorders>
              <w:top w:val="single" w:sz="12" w:space="0" w:color="auto"/>
              <w:left w:val="nil"/>
              <w:right w:val="nil"/>
            </w:tcBorders>
            <w:vAlign w:val="center"/>
          </w:tcPr>
          <w:p w14:paraId="37EAF3E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VARIABLES</w:t>
            </w:r>
          </w:p>
        </w:tc>
        <w:tc>
          <w:tcPr>
            <w:tcW w:w="666" w:type="pct"/>
            <w:tcBorders>
              <w:top w:val="single" w:sz="12" w:space="0" w:color="auto"/>
              <w:left w:val="nil"/>
              <w:right w:val="nil"/>
            </w:tcBorders>
          </w:tcPr>
          <w:p w14:paraId="4B9C523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w:t>
            </w:r>
          </w:p>
        </w:tc>
        <w:tc>
          <w:tcPr>
            <w:tcW w:w="670" w:type="pct"/>
            <w:tcBorders>
              <w:top w:val="single" w:sz="12" w:space="0" w:color="auto"/>
              <w:left w:val="nil"/>
              <w:right w:val="nil"/>
            </w:tcBorders>
          </w:tcPr>
          <w:p w14:paraId="470AEBA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(2)</w:t>
            </w:r>
          </w:p>
        </w:tc>
        <w:tc>
          <w:tcPr>
            <w:tcW w:w="758" w:type="pct"/>
            <w:tcBorders>
              <w:top w:val="single" w:sz="12" w:space="0" w:color="auto"/>
              <w:left w:val="nil"/>
              <w:right w:val="nil"/>
            </w:tcBorders>
          </w:tcPr>
          <w:p w14:paraId="08FE960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(3)</w:t>
            </w:r>
          </w:p>
        </w:tc>
        <w:tc>
          <w:tcPr>
            <w:tcW w:w="758" w:type="pct"/>
            <w:tcBorders>
              <w:top w:val="single" w:sz="12" w:space="0" w:color="auto"/>
              <w:left w:val="nil"/>
              <w:right w:val="nil"/>
            </w:tcBorders>
          </w:tcPr>
          <w:p w14:paraId="29CE146F"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w:t>
            </w:r>
          </w:p>
        </w:tc>
        <w:tc>
          <w:tcPr>
            <w:tcW w:w="689" w:type="pct"/>
            <w:tcBorders>
              <w:top w:val="single" w:sz="12" w:space="0" w:color="auto"/>
              <w:left w:val="nil"/>
              <w:right w:val="nil"/>
            </w:tcBorders>
          </w:tcPr>
          <w:p w14:paraId="61F2BF4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(5)</w:t>
            </w:r>
          </w:p>
        </w:tc>
        <w:tc>
          <w:tcPr>
            <w:tcW w:w="689" w:type="pct"/>
            <w:tcBorders>
              <w:top w:val="single" w:sz="12" w:space="0" w:color="auto"/>
              <w:left w:val="nil"/>
              <w:right w:val="nil"/>
            </w:tcBorders>
          </w:tcPr>
          <w:p w14:paraId="38A05E7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(6)</w:t>
            </w:r>
          </w:p>
        </w:tc>
      </w:tr>
      <w:tr w:rsidR="00DB57F4" w:rsidRPr="00A7211C" w14:paraId="4D1EB8EA" w14:textId="77777777" w:rsidTr="00233168">
        <w:trPr>
          <w:jc w:val="center"/>
        </w:trPr>
        <w:tc>
          <w:tcPr>
            <w:tcW w:w="770" w:type="pct"/>
            <w:vMerge/>
            <w:tcBorders>
              <w:left w:val="nil"/>
              <w:right w:val="nil"/>
            </w:tcBorders>
          </w:tcPr>
          <w:p w14:paraId="191609FD" w14:textId="77777777" w:rsidR="00DB57F4" w:rsidRPr="00A7211C" w:rsidRDefault="00DB57F4" w:rsidP="00233168">
            <w:pPr>
              <w:jc w:val="center"/>
              <w:rPr>
                <w:rFonts w:ascii="Times New Roman" w:hAnsi="Times New Roman" w:cs="Times New Roman"/>
              </w:rPr>
            </w:pPr>
          </w:p>
        </w:tc>
        <w:tc>
          <w:tcPr>
            <w:tcW w:w="666" w:type="pct"/>
            <w:tcBorders>
              <w:top w:val="nil"/>
              <w:left w:val="nil"/>
              <w:bottom w:val="single" w:sz="4" w:space="0" w:color="auto"/>
              <w:right w:val="nil"/>
            </w:tcBorders>
            <w:vAlign w:val="center"/>
          </w:tcPr>
          <w:p w14:paraId="7D89FE8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Higher Energy-intensity Enterprise</w:t>
            </w:r>
          </w:p>
        </w:tc>
        <w:tc>
          <w:tcPr>
            <w:tcW w:w="670" w:type="pct"/>
            <w:tcBorders>
              <w:top w:val="nil"/>
              <w:left w:val="nil"/>
              <w:bottom w:val="single" w:sz="4" w:space="0" w:color="auto"/>
              <w:right w:val="nil"/>
            </w:tcBorders>
            <w:vAlign w:val="center"/>
          </w:tcPr>
          <w:p w14:paraId="31F7910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Lower Energy-intensity Enterprise</w:t>
            </w:r>
          </w:p>
        </w:tc>
        <w:tc>
          <w:tcPr>
            <w:tcW w:w="758" w:type="pct"/>
            <w:tcBorders>
              <w:top w:val="nil"/>
              <w:left w:val="nil"/>
              <w:bottom w:val="single" w:sz="4" w:space="0" w:color="auto"/>
              <w:right w:val="nil"/>
            </w:tcBorders>
            <w:vAlign w:val="center"/>
          </w:tcPr>
          <w:p w14:paraId="0182EAA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 xml:space="preserve">Region of </w:t>
            </w:r>
            <w:r>
              <w:rPr>
                <w:rFonts w:ascii="Times New Roman" w:hAnsi="Times New Roman" w:cs="Times New Roman" w:hint="eastAsia"/>
              </w:rPr>
              <w:t xml:space="preserve">Better </w:t>
            </w:r>
            <w:r w:rsidRPr="00A7211C">
              <w:rPr>
                <w:rFonts w:ascii="Times New Roman" w:hAnsi="Times New Roman" w:cs="Times New Roman"/>
              </w:rPr>
              <w:t>Green Finance</w:t>
            </w:r>
          </w:p>
        </w:tc>
        <w:tc>
          <w:tcPr>
            <w:tcW w:w="758" w:type="pct"/>
            <w:tcBorders>
              <w:top w:val="nil"/>
              <w:left w:val="nil"/>
              <w:bottom w:val="single" w:sz="4" w:space="0" w:color="auto"/>
              <w:right w:val="nil"/>
            </w:tcBorders>
            <w:vAlign w:val="center"/>
          </w:tcPr>
          <w:p w14:paraId="16708B8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Region of Poorer Green Finance</w:t>
            </w:r>
          </w:p>
        </w:tc>
        <w:tc>
          <w:tcPr>
            <w:tcW w:w="689" w:type="pct"/>
            <w:tcBorders>
              <w:top w:val="nil"/>
              <w:left w:val="nil"/>
              <w:bottom w:val="single" w:sz="4" w:space="0" w:color="auto"/>
              <w:right w:val="nil"/>
            </w:tcBorders>
            <w:vAlign w:val="center"/>
          </w:tcPr>
          <w:p w14:paraId="76A51D0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Better ESG Governance Region</w:t>
            </w:r>
          </w:p>
        </w:tc>
        <w:tc>
          <w:tcPr>
            <w:tcW w:w="689" w:type="pct"/>
            <w:tcBorders>
              <w:top w:val="nil"/>
              <w:left w:val="nil"/>
              <w:bottom w:val="single" w:sz="4" w:space="0" w:color="auto"/>
              <w:right w:val="nil"/>
            </w:tcBorders>
            <w:vAlign w:val="center"/>
          </w:tcPr>
          <w:p w14:paraId="37582F6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Lower ESG Governance Region</w:t>
            </w:r>
          </w:p>
        </w:tc>
      </w:tr>
      <w:tr w:rsidR="00DB57F4" w:rsidRPr="00A7211C" w14:paraId="7E789AA9" w14:textId="77777777" w:rsidTr="00233168">
        <w:trPr>
          <w:jc w:val="center"/>
        </w:trPr>
        <w:tc>
          <w:tcPr>
            <w:tcW w:w="770" w:type="pct"/>
            <w:vMerge/>
            <w:tcBorders>
              <w:left w:val="nil"/>
              <w:bottom w:val="single" w:sz="6" w:space="0" w:color="auto"/>
              <w:right w:val="nil"/>
            </w:tcBorders>
          </w:tcPr>
          <w:p w14:paraId="2EA8BB95" w14:textId="77777777" w:rsidR="00DB57F4" w:rsidRPr="00A7211C" w:rsidRDefault="00DB57F4" w:rsidP="00233168">
            <w:pPr>
              <w:jc w:val="center"/>
              <w:rPr>
                <w:rFonts w:ascii="Times New Roman" w:hAnsi="Times New Roman" w:cs="Times New Roman"/>
              </w:rPr>
            </w:pPr>
          </w:p>
        </w:tc>
        <w:tc>
          <w:tcPr>
            <w:tcW w:w="666" w:type="pct"/>
            <w:tcBorders>
              <w:top w:val="single" w:sz="4" w:space="0" w:color="auto"/>
              <w:left w:val="nil"/>
              <w:bottom w:val="single" w:sz="6" w:space="0" w:color="auto"/>
              <w:right w:val="nil"/>
            </w:tcBorders>
          </w:tcPr>
          <w:p w14:paraId="1A30FD0D" w14:textId="77777777" w:rsidR="00DB57F4" w:rsidRPr="00A7211C" w:rsidRDefault="00DB57F4" w:rsidP="00233168">
            <w:pPr>
              <w:jc w:val="center"/>
              <w:rPr>
                <w:rFonts w:ascii="Times New Roman" w:hAnsi="Times New Roman" w:cs="Times New Roman"/>
                <w:i/>
                <w:iCs/>
              </w:rPr>
            </w:pPr>
            <w:r w:rsidRPr="00A7211C">
              <w:rPr>
                <w:rFonts w:ascii="Times New Roman" w:hAnsi="Times New Roman" w:cs="Times New Roman"/>
                <w:i/>
                <w:iCs/>
              </w:rPr>
              <w:t>CEI</w:t>
            </w:r>
          </w:p>
        </w:tc>
        <w:tc>
          <w:tcPr>
            <w:tcW w:w="670" w:type="pct"/>
            <w:tcBorders>
              <w:top w:val="single" w:sz="4" w:space="0" w:color="auto"/>
              <w:left w:val="nil"/>
              <w:bottom w:val="single" w:sz="6" w:space="0" w:color="auto"/>
              <w:right w:val="nil"/>
            </w:tcBorders>
          </w:tcPr>
          <w:p w14:paraId="64689ED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i/>
                <w:iCs/>
              </w:rPr>
              <w:t>CEI</w:t>
            </w:r>
          </w:p>
        </w:tc>
        <w:tc>
          <w:tcPr>
            <w:tcW w:w="758" w:type="pct"/>
            <w:tcBorders>
              <w:top w:val="single" w:sz="4" w:space="0" w:color="auto"/>
              <w:left w:val="nil"/>
              <w:bottom w:val="single" w:sz="6" w:space="0" w:color="auto"/>
              <w:right w:val="nil"/>
            </w:tcBorders>
          </w:tcPr>
          <w:p w14:paraId="1CA32E2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i/>
                <w:iCs/>
              </w:rPr>
              <w:t>CEI</w:t>
            </w:r>
          </w:p>
        </w:tc>
        <w:tc>
          <w:tcPr>
            <w:tcW w:w="758" w:type="pct"/>
            <w:tcBorders>
              <w:top w:val="single" w:sz="4" w:space="0" w:color="auto"/>
              <w:left w:val="nil"/>
              <w:bottom w:val="single" w:sz="6" w:space="0" w:color="auto"/>
              <w:right w:val="nil"/>
            </w:tcBorders>
          </w:tcPr>
          <w:p w14:paraId="3B2F161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i/>
                <w:iCs/>
              </w:rPr>
              <w:t>CEI</w:t>
            </w:r>
          </w:p>
        </w:tc>
        <w:tc>
          <w:tcPr>
            <w:tcW w:w="689" w:type="pct"/>
            <w:tcBorders>
              <w:top w:val="single" w:sz="4" w:space="0" w:color="auto"/>
              <w:left w:val="nil"/>
              <w:bottom w:val="single" w:sz="6" w:space="0" w:color="auto"/>
              <w:right w:val="nil"/>
            </w:tcBorders>
          </w:tcPr>
          <w:p w14:paraId="186E59F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i/>
                <w:iCs/>
              </w:rPr>
              <w:t>CEI</w:t>
            </w:r>
          </w:p>
        </w:tc>
        <w:tc>
          <w:tcPr>
            <w:tcW w:w="689" w:type="pct"/>
            <w:tcBorders>
              <w:top w:val="single" w:sz="4" w:space="0" w:color="auto"/>
              <w:left w:val="nil"/>
              <w:bottom w:val="single" w:sz="6" w:space="0" w:color="auto"/>
              <w:right w:val="nil"/>
            </w:tcBorders>
          </w:tcPr>
          <w:p w14:paraId="5C7E907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i/>
                <w:iCs/>
              </w:rPr>
              <w:t>CEI</w:t>
            </w:r>
          </w:p>
        </w:tc>
      </w:tr>
      <w:tr w:rsidR="00DB57F4" w:rsidRPr="00A7211C" w14:paraId="22E948DF" w14:textId="77777777" w:rsidTr="00233168">
        <w:trPr>
          <w:jc w:val="center"/>
        </w:trPr>
        <w:tc>
          <w:tcPr>
            <w:tcW w:w="770" w:type="pct"/>
            <w:vMerge w:val="restart"/>
            <w:tcBorders>
              <w:top w:val="nil"/>
              <w:left w:val="nil"/>
              <w:right w:val="nil"/>
            </w:tcBorders>
            <w:vAlign w:val="center"/>
          </w:tcPr>
          <w:p w14:paraId="73D25481" w14:textId="77777777" w:rsidR="00DB57F4" w:rsidRPr="00A7211C" w:rsidRDefault="00DB57F4" w:rsidP="00233168">
            <w:pPr>
              <w:jc w:val="center"/>
              <w:rPr>
                <w:rFonts w:ascii="Times New Roman" w:hAnsi="Times New Roman" w:cs="Times New Roman"/>
              </w:rPr>
            </w:pPr>
            <w:proofErr w:type="spellStart"/>
            <w:r w:rsidRPr="00A7211C">
              <w:rPr>
                <w:rFonts w:ascii="Times New Roman" w:hAnsi="Times New Roman" w:cs="Times New Roman"/>
                <w:i/>
                <w:iCs/>
                <w:szCs w:val="21"/>
              </w:rPr>
              <w:t>esg_news</w:t>
            </w:r>
            <w:proofErr w:type="spellEnd"/>
          </w:p>
        </w:tc>
        <w:tc>
          <w:tcPr>
            <w:tcW w:w="666" w:type="pct"/>
            <w:tcBorders>
              <w:top w:val="nil"/>
              <w:left w:val="nil"/>
              <w:bottom w:val="nil"/>
              <w:right w:val="nil"/>
            </w:tcBorders>
          </w:tcPr>
          <w:p w14:paraId="6700D6A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0.0720***</w:t>
            </w:r>
          </w:p>
        </w:tc>
        <w:tc>
          <w:tcPr>
            <w:tcW w:w="670" w:type="pct"/>
            <w:tcBorders>
              <w:top w:val="nil"/>
              <w:left w:val="nil"/>
              <w:bottom w:val="nil"/>
              <w:right w:val="nil"/>
            </w:tcBorders>
          </w:tcPr>
          <w:p w14:paraId="2638371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0.0185</w:t>
            </w:r>
          </w:p>
        </w:tc>
        <w:tc>
          <w:tcPr>
            <w:tcW w:w="758" w:type="pct"/>
            <w:tcBorders>
              <w:top w:val="nil"/>
              <w:left w:val="nil"/>
              <w:bottom w:val="nil"/>
              <w:right w:val="nil"/>
            </w:tcBorders>
          </w:tcPr>
          <w:p w14:paraId="55A52B9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0.0425**</w:t>
            </w:r>
          </w:p>
        </w:tc>
        <w:tc>
          <w:tcPr>
            <w:tcW w:w="758" w:type="pct"/>
            <w:tcBorders>
              <w:top w:val="nil"/>
              <w:left w:val="nil"/>
              <w:bottom w:val="nil"/>
              <w:right w:val="nil"/>
            </w:tcBorders>
          </w:tcPr>
          <w:p w14:paraId="3C86245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0.0102</w:t>
            </w:r>
          </w:p>
        </w:tc>
        <w:tc>
          <w:tcPr>
            <w:tcW w:w="689" w:type="pct"/>
            <w:tcBorders>
              <w:top w:val="nil"/>
              <w:left w:val="nil"/>
              <w:bottom w:val="nil"/>
              <w:right w:val="nil"/>
            </w:tcBorders>
          </w:tcPr>
          <w:p w14:paraId="012CC0F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0.0778***</w:t>
            </w:r>
          </w:p>
        </w:tc>
        <w:tc>
          <w:tcPr>
            <w:tcW w:w="689" w:type="pct"/>
            <w:tcBorders>
              <w:top w:val="nil"/>
              <w:left w:val="nil"/>
              <w:bottom w:val="nil"/>
              <w:right w:val="nil"/>
            </w:tcBorders>
          </w:tcPr>
          <w:p w14:paraId="2CF3E01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-0.0128</w:t>
            </w:r>
          </w:p>
        </w:tc>
      </w:tr>
      <w:tr w:rsidR="00DB57F4" w:rsidRPr="00A7211C" w14:paraId="18141D28" w14:textId="77777777" w:rsidTr="00233168">
        <w:trPr>
          <w:jc w:val="center"/>
        </w:trPr>
        <w:tc>
          <w:tcPr>
            <w:tcW w:w="770" w:type="pct"/>
            <w:vMerge/>
            <w:tcBorders>
              <w:left w:val="nil"/>
              <w:bottom w:val="nil"/>
              <w:right w:val="nil"/>
            </w:tcBorders>
            <w:vAlign w:val="center"/>
          </w:tcPr>
          <w:p w14:paraId="6A9D68EA" w14:textId="77777777" w:rsidR="00DB57F4" w:rsidRPr="00A7211C" w:rsidRDefault="00DB57F4" w:rsidP="00233168">
            <w:pPr>
              <w:jc w:val="center"/>
              <w:rPr>
                <w:rFonts w:ascii="Times New Roman" w:hAnsi="Times New Roman" w:cs="Times New Roman"/>
              </w:rPr>
            </w:pPr>
          </w:p>
        </w:tc>
        <w:tc>
          <w:tcPr>
            <w:tcW w:w="666" w:type="pct"/>
            <w:tcBorders>
              <w:top w:val="nil"/>
              <w:left w:val="nil"/>
              <w:bottom w:val="nil"/>
              <w:right w:val="nil"/>
            </w:tcBorders>
          </w:tcPr>
          <w:p w14:paraId="33CECFA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(0.0239)</w:t>
            </w:r>
          </w:p>
        </w:tc>
        <w:tc>
          <w:tcPr>
            <w:tcW w:w="670" w:type="pct"/>
            <w:tcBorders>
              <w:top w:val="nil"/>
              <w:left w:val="nil"/>
              <w:bottom w:val="nil"/>
              <w:right w:val="nil"/>
            </w:tcBorders>
          </w:tcPr>
          <w:p w14:paraId="20013EB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(0.0233)</w:t>
            </w:r>
          </w:p>
        </w:tc>
        <w:tc>
          <w:tcPr>
            <w:tcW w:w="758" w:type="pct"/>
            <w:tcBorders>
              <w:top w:val="nil"/>
              <w:left w:val="nil"/>
              <w:bottom w:val="nil"/>
              <w:right w:val="nil"/>
            </w:tcBorders>
          </w:tcPr>
          <w:p w14:paraId="6AD0C94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(0.0215)</w:t>
            </w:r>
          </w:p>
        </w:tc>
        <w:tc>
          <w:tcPr>
            <w:tcW w:w="758" w:type="pct"/>
            <w:tcBorders>
              <w:top w:val="nil"/>
              <w:left w:val="nil"/>
              <w:bottom w:val="nil"/>
              <w:right w:val="nil"/>
            </w:tcBorders>
          </w:tcPr>
          <w:p w14:paraId="66C682D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(0.0241)</w:t>
            </w:r>
          </w:p>
        </w:tc>
        <w:tc>
          <w:tcPr>
            <w:tcW w:w="689" w:type="pct"/>
            <w:tcBorders>
              <w:top w:val="nil"/>
              <w:left w:val="nil"/>
              <w:bottom w:val="nil"/>
              <w:right w:val="nil"/>
            </w:tcBorders>
          </w:tcPr>
          <w:p w14:paraId="6896F24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(0.0257)</w:t>
            </w:r>
          </w:p>
        </w:tc>
        <w:tc>
          <w:tcPr>
            <w:tcW w:w="689" w:type="pct"/>
            <w:tcBorders>
              <w:top w:val="nil"/>
              <w:left w:val="nil"/>
              <w:bottom w:val="nil"/>
              <w:right w:val="nil"/>
            </w:tcBorders>
          </w:tcPr>
          <w:p w14:paraId="01D9B57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(0.0196)</w:t>
            </w:r>
          </w:p>
        </w:tc>
      </w:tr>
      <w:tr w:rsidR="00DB57F4" w:rsidRPr="00A7211C" w14:paraId="0D3F2FF8" w14:textId="77777777" w:rsidTr="00233168">
        <w:trPr>
          <w:jc w:val="center"/>
        </w:trPr>
        <w:tc>
          <w:tcPr>
            <w:tcW w:w="770" w:type="pct"/>
            <w:vMerge w:val="restart"/>
            <w:tcBorders>
              <w:top w:val="nil"/>
              <w:left w:val="nil"/>
              <w:right w:val="nil"/>
            </w:tcBorders>
            <w:vAlign w:val="center"/>
          </w:tcPr>
          <w:p w14:paraId="56AF497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szCs w:val="21"/>
              </w:rPr>
              <w:t>Constant</w:t>
            </w:r>
          </w:p>
        </w:tc>
        <w:tc>
          <w:tcPr>
            <w:tcW w:w="666" w:type="pct"/>
            <w:tcBorders>
              <w:top w:val="nil"/>
              <w:left w:val="nil"/>
              <w:bottom w:val="nil"/>
              <w:right w:val="nil"/>
            </w:tcBorders>
          </w:tcPr>
          <w:p w14:paraId="1DA26B7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-6.1959***</w:t>
            </w:r>
          </w:p>
        </w:tc>
        <w:tc>
          <w:tcPr>
            <w:tcW w:w="670" w:type="pct"/>
            <w:tcBorders>
              <w:top w:val="nil"/>
              <w:left w:val="nil"/>
              <w:bottom w:val="nil"/>
              <w:right w:val="nil"/>
            </w:tcBorders>
          </w:tcPr>
          <w:p w14:paraId="7B00A8A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-4.8701***</w:t>
            </w:r>
          </w:p>
        </w:tc>
        <w:tc>
          <w:tcPr>
            <w:tcW w:w="758" w:type="pct"/>
            <w:tcBorders>
              <w:top w:val="nil"/>
              <w:left w:val="nil"/>
              <w:bottom w:val="nil"/>
              <w:right w:val="nil"/>
            </w:tcBorders>
          </w:tcPr>
          <w:p w14:paraId="6352663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-5.0640***</w:t>
            </w:r>
          </w:p>
        </w:tc>
        <w:tc>
          <w:tcPr>
            <w:tcW w:w="758" w:type="pct"/>
            <w:tcBorders>
              <w:top w:val="nil"/>
              <w:left w:val="nil"/>
              <w:bottom w:val="nil"/>
              <w:right w:val="nil"/>
            </w:tcBorders>
          </w:tcPr>
          <w:p w14:paraId="6B27D5C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-4.8426***</w:t>
            </w:r>
          </w:p>
        </w:tc>
        <w:tc>
          <w:tcPr>
            <w:tcW w:w="689" w:type="pct"/>
            <w:tcBorders>
              <w:top w:val="nil"/>
              <w:left w:val="nil"/>
              <w:bottom w:val="nil"/>
              <w:right w:val="nil"/>
            </w:tcBorders>
          </w:tcPr>
          <w:p w14:paraId="7241C51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-4.6783***</w:t>
            </w:r>
          </w:p>
        </w:tc>
        <w:tc>
          <w:tcPr>
            <w:tcW w:w="689" w:type="pct"/>
            <w:tcBorders>
              <w:top w:val="nil"/>
              <w:left w:val="nil"/>
              <w:bottom w:val="nil"/>
              <w:right w:val="nil"/>
            </w:tcBorders>
          </w:tcPr>
          <w:p w14:paraId="603285A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-5.0105***</w:t>
            </w:r>
          </w:p>
        </w:tc>
      </w:tr>
      <w:tr w:rsidR="00DB57F4" w:rsidRPr="00A7211C" w14:paraId="6078009B" w14:textId="77777777" w:rsidTr="00233168">
        <w:trPr>
          <w:jc w:val="center"/>
        </w:trPr>
        <w:tc>
          <w:tcPr>
            <w:tcW w:w="770" w:type="pct"/>
            <w:vMerge/>
            <w:tcBorders>
              <w:left w:val="nil"/>
              <w:bottom w:val="nil"/>
              <w:right w:val="nil"/>
            </w:tcBorders>
          </w:tcPr>
          <w:p w14:paraId="4C1FE2B5" w14:textId="77777777" w:rsidR="00DB57F4" w:rsidRPr="00A7211C" w:rsidRDefault="00DB57F4" w:rsidP="00233168">
            <w:pPr>
              <w:jc w:val="center"/>
              <w:rPr>
                <w:rFonts w:ascii="Times New Roman" w:hAnsi="Times New Roman" w:cs="Times New Roman"/>
              </w:rPr>
            </w:pPr>
          </w:p>
        </w:tc>
        <w:tc>
          <w:tcPr>
            <w:tcW w:w="666" w:type="pct"/>
            <w:tcBorders>
              <w:top w:val="nil"/>
              <w:left w:val="nil"/>
              <w:bottom w:val="nil"/>
              <w:right w:val="nil"/>
            </w:tcBorders>
          </w:tcPr>
          <w:p w14:paraId="7E491AA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(0.6076)</w:t>
            </w:r>
          </w:p>
        </w:tc>
        <w:tc>
          <w:tcPr>
            <w:tcW w:w="670" w:type="pct"/>
            <w:tcBorders>
              <w:top w:val="nil"/>
              <w:left w:val="nil"/>
              <w:bottom w:val="nil"/>
              <w:right w:val="nil"/>
            </w:tcBorders>
          </w:tcPr>
          <w:p w14:paraId="558FB3B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(0.5535)</w:t>
            </w:r>
          </w:p>
        </w:tc>
        <w:tc>
          <w:tcPr>
            <w:tcW w:w="758" w:type="pct"/>
            <w:tcBorders>
              <w:top w:val="nil"/>
              <w:left w:val="nil"/>
              <w:bottom w:val="nil"/>
              <w:right w:val="nil"/>
            </w:tcBorders>
          </w:tcPr>
          <w:p w14:paraId="04EF08F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(0.5505)</w:t>
            </w:r>
          </w:p>
        </w:tc>
        <w:tc>
          <w:tcPr>
            <w:tcW w:w="758" w:type="pct"/>
            <w:tcBorders>
              <w:top w:val="nil"/>
              <w:left w:val="nil"/>
              <w:bottom w:val="nil"/>
              <w:right w:val="nil"/>
            </w:tcBorders>
          </w:tcPr>
          <w:p w14:paraId="6136D0A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(0.5206)</w:t>
            </w:r>
          </w:p>
        </w:tc>
        <w:tc>
          <w:tcPr>
            <w:tcW w:w="689" w:type="pct"/>
            <w:tcBorders>
              <w:top w:val="nil"/>
              <w:left w:val="nil"/>
              <w:bottom w:val="nil"/>
              <w:right w:val="nil"/>
            </w:tcBorders>
          </w:tcPr>
          <w:p w14:paraId="0EEE8A7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(0.6330)</w:t>
            </w:r>
          </w:p>
        </w:tc>
        <w:tc>
          <w:tcPr>
            <w:tcW w:w="689" w:type="pct"/>
            <w:tcBorders>
              <w:top w:val="nil"/>
              <w:left w:val="nil"/>
              <w:bottom w:val="nil"/>
              <w:right w:val="nil"/>
            </w:tcBorders>
          </w:tcPr>
          <w:p w14:paraId="704349E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(0.6014)</w:t>
            </w:r>
          </w:p>
        </w:tc>
      </w:tr>
      <w:tr w:rsidR="00DB57F4" w:rsidRPr="00A7211C" w14:paraId="41EAA80A" w14:textId="77777777" w:rsidTr="00233168">
        <w:trPr>
          <w:jc w:val="center"/>
        </w:trPr>
        <w:tc>
          <w:tcPr>
            <w:tcW w:w="770" w:type="pct"/>
            <w:tcBorders>
              <w:top w:val="nil"/>
              <w:left w:val="nil"/>
              <w:bottom w:val="nil"/>
              <w:right w:val="nil"/>
            </w:tcBorders>
          </w:tcPr>
          <w:p w14:paraId="76BC2FB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Observations</w:t>
            </w:r>
          </w:p>
        </w:tc>
        <w:tc>
          <w:tcPr>
            <w:tcW w:w="666" w:type="pct"/>
            <w:tcBorders>
              <w:top w:val="nil"/>
              <w:left w:val="nil"/>
              <w:bottom w:val="nil"/>
              <w:right w:val="nil"/>
            </w:tcBorders>
          </w:tcPr>
          <w:p w14:paraId="2C7F97E3"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12,453</w:t>
            </w:r>
          </w:p>
        </w:tc>
        <w:tc>
          <w:tcPr>
            <w:tcW w:w="670" w:type="pct"/>
            <w:tcBorders>
              <w:top w:val="nil"/>
              <w:left w:val="nil"/>
              <w:bottom w:val="nil"/>
              <w:right w:val="nil"/>
            </w:tcBorders>
          </w:tcPr>
          <w:p w14:paraId="35F2A4A0"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12,453</w:t>
            </w:r>
          </w:p>
        </w:tc>
        <w:tc>
          <w:tcPr>
            <w:tcW w:w="758" w:type="pct"/>
            <w:tcBorders>
              <w:top w:val="nil"/>
              <w:left w:val="nil"/>
              <w:bottom w:val="nil"/>
              <w:right w:val="nil"/>
            </w:tcBorders>
          </w:tcPr>
          <w:p w14:paraId="38A25AB4"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13,724</w:t>
            </w:r>
          </w:p>
        </w:tc>
        <w:tc>
          <w:tcPr>
            <w:tcW w:w="758" w:type="pct"/>
            <w:tcBorders>
              <w:top w:val="nil"/>
              <w:left w:val="nil"/>
              <w:bottom w:val="nil"/>
              <w:right w:val="nil"/>
            </w:tcBorders>
          </w:tcPr>
          <w:p w14:paraId="477E774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11,182</w:t>
            </w:r>
          </w:p>
        </w:tc>
        <w:tc>
          <w:tcPr>
            <w:tcW w:w="689" w:type="pct"/>
            <w:tcBorders>
              <w:top w:val="nil"/>
              <w:left w:val="nil"/>
              <w:bottom w:val="nil"/>
              <w:right w:val="nil"/>
            </w:tcBorders>
          </w:tcPr>
          <w:p w14:paraId="59B3522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12,405</w:t>
            </w:r>
          </w:p>
        </w:tc>
        <w:tc>
          <w:tcPr>
            <w:tcW w:w="689" w:type="pct"/>
            <w:tcBorders>
              <w:top w:val="nil"/>
              <w:left w:val="nil"/>
              <w:bottom w:val="nil"/>
              <w:right w:val="nil"/>
            </w:tcBorders>
          </w:tcPr>
          <w:p w14:paraId="4F63C78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12,501</w:t>
            </w:r>
          </w:p>
        </w:tc>
      </w:tr>
      <w:tr w:rsidR="00DB57F4" w:rsidRPr="00A7211C" w14:paraId="7C5E30F0" w14:textId="77777777" w:rsidTr="00233168">
        <w:trPr>
          <w:jc w:val="center"/>
        </w:trPr>
        <w:tc>
          <w:tcPr>
            <w:tcW w:w="770" w:type="pct"/>
            <w:tcBorders>
              <w:top w:val="nil"/>
              <w:left w:val="nil"/>
              <w:bottom w:val="nil"/>
              <w:right w:val="nil"/>
            </w:tcBorders>
          </w:tcPr>
          <w:p w14:paraId="623D563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Adjusted R</w:t>
            </w:r>
            <w:r w:rsidRPr="00A7211C">
              <w:rPr>
                <w:rFonts w:ascii="Times New Roman" w:hAnsi="Times New Roman" w:cs="Times New Roman"/>
                <w:vertAlign w:val="superscript"/>
              </w:rPr>
              <w:t>2</w:t>
            </w:r>
          </w:p>
        </w:tc>
        <w:tc>
          <w:tcPr>
            <w:tcW w:w="666" w:type="pct"/>
            <w:tcBorders>
              <w:top w:val="nil"/>
              <w:left w:val="nil"/>
              <w:bottom w:val="nil"/>
              <w:right w:val="nil"/>
            </w:tcBorders>
          </w:tcPr>
          <w:p w14:paraId="6622040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0.7769</w:t>
            </w:r>
          </w:p>
        </w:tc>
        <w:tc>
          <w:tcPr>
            <w:tcW w:w="670" w:type="pct"/>
            <w:tcBorders>
              <w:top w:val="nil"/>
              <w:left w:val="nil"/>
              <w:bottom w:val="nil"/>
              <w:right w:val="nil"/>
            </w:tcBorders>
          </w:tcPr>
          <w:p w14:paraId="42015E4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0.7561</w:t>
            </w:r>
          </w:p>
        </w:tc>
        <w:tc>
          <w:tcPr>
            <w:tcW w:w="758" w:type="pct"/>
            <w:tcBorders>
              <w:top w:val="nil"/>
              <w:left w:val="nil"/>
              <w:bottom w:val="nil"/>
              <w:right w:val="nil"/>
            </w:tcBorders>
          </w:tcPr>
          <w:p w14:paraId="498AAC8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0.7917</w:t>
            </w:r>
          </w:p>
        </w:tc>
        <w:tc>
          <w:tcPr>
            <w:tcW w:w="758" w:type="pct"/>
            <w:tcBorders>
              <w:top w:val="nil"/>
              <w:left w:val="nil"/>
              <w:bottom w:val="nil"/>
              <w:right w:val="nil"/>
            </w:tcBorders>
          </w:tcPr>
          <w:p w14:paraId="680A602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0.7383</w:t>
            </w:r>
          </w:p>
        </w:tc>
        <w:tc>
          <w:tcPr>
            <w:tcW w:w="689" w:type="pct"/>
            <w:tcBorders>
              <w:top w:val="nil"/>
              <w:left w:val="nil"/>
              <w:bottom w:val="nil"/>
              <w:right w:val="nil"/>
            </w:tcBorders>
          </w:tcPr>
          <w:p w14:paraId="7116DA0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0.8088</w:t>
            </w:r>
          </w:p>
        </w:tc>
        <w:tc>
          <w:tcPr>
            <w:tcW w:w="689" w:type="pct"/>
            <w:tcBorders>
              <w:top w:val="nil"/>
              <w:left w:val="nil"/>
              <w:bottom w:val="nil"/>
              <w:right w:val="nil"/>
            </w:tcBorders>
          </w:tcPr>
          <w:p w14:paraId="14B845E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0.7089</w:t>
            </w:r>
          </w:p>
        </w:tc>
      </w:tr>
      <w:tr w:rsidR="00DB57F4" w:rsidRPr="00A7211C" w14:paraId="5F31EBAF" w14:textId="77777777" w:rsidTr="00233168">
        <w:trPr>
          <w:jc w:val="center"/>
        </w:trPr>
        <w:tc>
          <w:tcPr>
            <w:tcW w:w="770" w:type="pct"/>
            <w:tcBorders>
              <w:top w:val="nil"/>
              <w:left w:val="nil"/>
              <w:bottom w:val="nil"/>
              <w:right w:val="nil"/>
            </w:tcBorders>
          </w:tcPr>
          <w:p w14:paraId="448863B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Controls</w:t>
            </w:r>
          </w:p>
        </w:tc>
        <w:tc>
          <w:tcPr>
            <w:tcW w:w="666" w:type="pct"/>
            <w:tcBorders>
              <w:top w:val="nil"/>
              <w:left w:val="nil"/>
              <w:bottom w:val="nil"/>
              <w:right w:val="nil"/>
            </w:tcBorders>
          </w:tcPr>
          <w:p w14:paraId="3F665F7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70" w:type="pct"/>
            <w:tcBorders>
              <w:top w:val="nil"/>
              <w:left w:val="nil"/>
              <w:bottom w:val="nil"/>
              <w:right w:val="nil"/>
            </w:tcBorders>
          </w:tcPr>
          <w:p w14:paraId="556A097D"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758" w:type="pct"/>
            <w:tcBorders>
              <w:top w:val="nil"/>
              <w:left w:val="nil"/>
              <w:bottom w:val="nil"/>
              <w:right w:val="nil"/>
            </w:tcBorders>
          </w:tcPr>
          <w:p w14:paraId="5FFADA6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758" w:type="pct"/>
            <w:tcBorders>
              <w:top w:val="nil"/>
              <w:left w:val="nil"/>
              <w:bottom w:val="nil"/>
              <w:right w:val="nil"/>
            </w:tcBorders>
          </w:tcPr>
          <w:p w14:paraId="35995AA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89" w:type="pct"/>
            <w:tcBorders>
              <w:top w:val="nil"/>
              <w:left w:val="nil"/>
              <w:bottom w:val="nil"/>
              <w:right w:val="nil"/>
            </w:tcBorders>
          </w:tcPr>
          <w:p w14:paraId="5737FCE7"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89" w:type="pct"/>
            <w:tcBorders>
              <w:top w:val="nil"/>
              <w:left w:val="nil"/>
              <w:bottom w:val="nil"/>
              <w:right w:val="nil"/>
            </w:tcBorders>
          </w:tcPr>
          <w:p w14:paraId="19EE1F4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r>
      <w:tr w:rsidR="00DB57F4" w:rsidRPr="00A7211C" w14:paraId="3E817D07" w14:textId="77777777" w:rsidTr="00233168">
        <w:trPr>
          <w:jc w:val="center"/>
        </w:trPr>
        <w:tc>
          <w:tcPr>
            <w:tcW w:w="770" w:type="pct"/>
            <w:tcBorders>
              <w:top w:val="nil"/>
              <w:left w:val="nil"/>
              <w:right w:val="nil"/>
            </w:tcBorders>
          </w:tcPr>
          <w:p w14:paraId="192B8812"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Year FE</w:t>
            </w:r>
          </w:p>
        </w:tc>
        <w:tc>
          <w:tcPr>
            <w:tcW w:w="666" w:type="pct"/>
            <w:tcBorders>
              <w:top w:val="nil"/>
              <w:left w:val="nil"/>
              <w:right w:val="nil"/>
            </w:tcBorders>
          </w:tcPr>
          <w:p w14:paraId="360FD8C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70" w:type="pct"/>
            <w:tcBorders>
              <w:top w:val="nil"/>
              <w:left w:val="nil"/>
              <w:right w:val="nil"/>
            </w:tcBorders>
          </w:tcPr>
          <w:p w14:paraId="18FD2E8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758" w:type="pct"/>
            <w:tcBorders>
              <w:top w:val="nil"/>
              <w:left w:val="nil"/>
              <w:right w:val="nil"/>
            </w:tcBorders>
          </w:tcPr>
          <w:p w14:paraId="43EDD245"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758" w:type="pct"/>
            <w:tcBorders>
              <w:top w:val="nil"/>
              <w:left w:val="nil"/>
              <w:right w:val="nil"/>
            </w:tcBorders>
          </w:tcPr>
          <w:p w14:paraId="15A87EE1"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89" w:type="pct"/>
            <w:tcBorders>
              <w:top w:val="nil"/>
              <w:left w:val="nil"/>
              <w:right w:val="nil"/>
            </w:tcBorders>
          </w:tcPr>
          <w:p w14:paraId="7C18411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89" w:type="pct"/>
            <w:tcBorders>
              <w:top w:val="nil"/>
              <w:left w:val="nil"/>
              <w:right w:val="nil"/>
            </w:tcBorders>
          </w:tcPr>
          <w:p w14:paraId="4986413C"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r>
      <w:tr w:rsidR="00DB57F4" w:rsidRPr="00A7211C" w14:paraId="6A2E304A" w14:textId="77777777" w:rsidTr="00233168">
        <w:tblPrEx>
          <w:tblBorders>
            <w:bottom w:val="single" w:sz="6" w:space="0" w:color="auto"/>
          </w:tblBorders>
        </w:tblPrEx>
        <w:trPr>
          <w:jc w:val="center"/>
        </w:trPr>
        <w:tc>
          <w:tcPr>
            <w:tcW w:w="770" w:type="pct"/>
            <w:tcBorders>
              <w:top w:val="nil"/>
              <w:left w:val="nil"/>
              <w:bottom w:val="single" w:sz="12" w:space="0" w:color="auto"/>
              <w:right w:val="nil"/>
            </w:tcBorders>
          </w:tcPr>
          <w:p w14:paraId="08A65468"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Firm FE</w:t>
            </w:r>
          </w:p>
        </w:tc>
        <w:tc>
          <w:tcPr>
            <w:tcW w:w="666" w:type="pct"/>
            <w:tcBorders>
              <w:top w:val="nil"/>
              <w:left w:val="nil"/>
              <w:bottom w:val="single" w:sz="12" w:space="0" w:color="auto"/>
              <w:right w:val="nil"/>
            </w:tcBorders>
          </w:tcPr>
          <w:p w14:paraId="7000CB9B"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70" w:type="pct"/>
            <w:tcBorders>
              <w:top w:val="nil"/>
              <w:left w:val="nil"/>
              <w:bottom w:val="single" w:sz="12" w:space="0" w:color="auto"/>
              <w:right w:val="nil"/>
            </w:tcBorders>
          </w:tcPr>
          <w:p w14:paraId="698FF17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758" w:type="pct"/>
            <w:tcBorders>
              <w:top w:val="nil"/>
              <w:left w:val="nil"/>
              <w:bottom w:val="single" w:sz="12" w:space="0" w:color="auto"/>
              <w:right w:val="nil"/>
            </w:tcBorders>
          </w:tcPr>
          <w:p w14:paraId="52305619"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758" w:type="pct"/>
            <w:tcBorders>
              <w:top w:val="nil"/>
              <w:left w:val="nil"/>
              <w:bottom w:val="single" w:sz="12" w:space="0" w:color="auto"/>
              <w:right w:val="nil"/>
            </w:tcBorders>
          </w:tcPr>
          <w:p w14:paraId="2363E96E"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89" w:type="pct"/>
            <w:tcBorders>
              <w:top w:val="nil"/>
              <w:left w:val="nil"/>
              <w:bottom w:val="single" w:sz="12" w:space="0" w:color="auto"/>
              <w:right w:val="nil"/>
            </w:tcBorders>
          </w:tcPr>
          <w:p w14:paraId="4AFEED76"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c>
          <w:tcPr>
            <w:tcW w:w="689" w:type="pct"/>
            <w:tcBorders>
              <w:top w:val="nil"/>
              <w:left w:val="nil"/>
              <w:bottom w:val="single" w:sz="12" w:space="0" w:color="auto"/>
              <w:right w:val="nil"/>
            </w:tcBorders>
          </w:tcPr>
          <w:p w14:paraId="30E8B32A" w14:textId="77777777" w:rsidR="00DB57F4" w:rsidRPr="00A7211C" w:rsidRDefault="00DB57F4" w:rsidP="00233168">
            <w:pPr>
              <w:jc w:val="center"/>
              <w:rPr>
                <w:rFonts w:ascii="Times New Roman" w:hAnsi="Times New Roman" w:cs="Times New Roman"/>
              </w:rPr>
            </w:pPr>
            <w:r w:rsidRPr="00A7211C">
              <w:rPr>
                <w:rFonts w:ascii="Times New Roman" w:hAnsi="Times New Roman" w:cs="Times New Roman"/>
              </w:rPr>
              <w:t>YES</w:t>
            </w:r>
          </w:p>
        </w:tc>
      </w:tr>
    </w:tbl>
    <w:p w14:paraId="08FF8584"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4DB1CB61" w14:textId="77777777" w:rsidR="00DB57F4" w:rsidRDefault="00DB57F4" w:rsidP="00DB57F4"/>
    <w:p w14:paraId="38D42B72" w14:textId="77777777" w:rsidR="00DB57F4" w:rsidRPr="00914C5E" w:rsidRDefault="00DB57F4" w:rsidP="00DB57F4">
      <w:pPr>
        <w:rPr>
          <w:b/>
          <w:bCs/>
        </w:rPr>
      </w:pPr>
    </w:p>
    <w:p w14:paraId="3E937AC6" w14:textId="77777777" w:rsidR="00DB57F4" w:rsidRPr="00914C5E" w:rsidRDefault="00DB57F4" w:rsidP="00DB57F4">
      <w:pPr>
        <w:rPr>
          <w:rFonts w:ascii="Times New Roman" w:hAnsi="Times New Roman" w:cs="Times New Roman"/>
          <w:b/>
          <w:bCs/>
        </w:rPr>
      </w:pPr>
      <w:bookmarkStart w:id="2" w:name="_Hlk158836518"/>
      <w:r w:rsidRPr="00914C5E">
        <w:rPr>
          <w:rFonts w:ascii="Times New Roman" w:hAnsi="Times New Roman" w:cs="Times New Roman"/>
          <w:b/>
          <w:bCs/>
        </w:rPr>
        <w:t>Table 1</w:t>
      </w:r>
      <w:r w:rsidRPr="00914C5E">
        <w:rPr>
          <w:rFonts w:ascii="Times New Roman" w:hAnsi="Times New Roman" w:cs="Times New Roman" w:hint="eastAsia"/>
          <w:b/>
          <w:bCs/>
        </w:rPr>
        <w:t>1</w:t>
      </w:r>
      <w:r w:rsidRPr="00914C5E">
        <w:rPr>
          <w:rFonts w:ascii="Times New Roman" w:hAnsi="Times New Roman" w:cs="Times New Roman"/>
          <w:b/>
          <w:bCs/>
        </w:rPr>
        <w:t xml:space="preserve"> Expansion analysis based on ESG news and information content</w:t>
      </w:r>
      <w:r w:rsidRPr="00914C5E">
        <w:rPr>
          <w:rFonts w:ascii="Times New Roman" w:hAnsi="Times New Roman" w:cs="Times New Roman" w:hint="eastAsia"/>
          <w:b/>
          <w:bCs/>
        </w:rPr>
        <w:t>.</w:t>
      </w:r>
    </w:p>
    <w:tbl>
      <w:tblPr>
        <w:tblW w:w="5000" w:type="pct"/>
        <w:jc w:val="center"/>
        <w:tblCellMar>
          <w:left w:w="75" w:type="dxa"/>
          <w:right w:w="75" w:type="dxa"/>
        </w:tblCellMar>
        <w:tblLook w:val="04A0" w:firstRow="1" w:lastRow="0" w:firstColumn="1" w:lastColumn="0" w:noHBand="0" w:noVBand="1"/>
      </w:tblPr>
      <w:tblGrid>
        <w:gridCol w:w="1187"/>
        <w:gridCol w:w="1018"/>
        <w:gridCol w:w="1018"/>
        <w:gridCol w:w="1017"/>
        <w:gridCol w:w="1017"/>
        <w:gridCol w:w="1017"/>
        <w:gridCol w:w="1017"/>
        <w:gridCol w:w="1015"/>
      </w:tblGrid>
      <w:tr w:rsidR="00DB57F4" w:rsidRPr="00A7211C" w14:paraId="33F0B6CF" w14:textId="77777777" w:rsidTr="00233168">
        <w:trPr>
          <w:jc w:val="center"/>
        </w:trPr>
        <w:tc>
          <w:tcPr>
            <w:tcW w:w="715" w:type="pct"/>
            <w:vMerge w:val="restart"/>
            <w:tcBorders>
              <w:top w:val="single" w:sz="12" w:space="0" w:color="auto"/>
              <w:left w:val="nil"/>
              <w:right w:val="nil"/>
            </w:tcBorders>
            <w:vAlign w:val="center"/>
          </w:tcPr>
          <w:p w14:paraId="3AD9C6E9"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VARIABLES</w:t>
            </w:r>
          </w:p>
        </w:tc>
        <w:tc>
          <w:tcPr>
            <w:tcW w:w="613" w:type="pct"/>
            <w:tcBorders>
              <w:top w:val="single" w:sz="12" w:space="0" w:color="auto"/>
              <w:left w:val="nil"/>
              <w:bottom w:val="nil"/>
              <w:right w:val="nil"/>
            </w:tcBorders>
          </w:tcPr>
          <w:p w14:paraId="4FB0AF5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(1)</w:t>
            </w:r>
          </w:p>
        </w:tc>
        <w:tc>
          <w:tcPr>
            <w:tcW w:w="613" w:type="pct"/>
            <w:tcBorders>
              <w:top w:val="single" w:sz="12" w:space="0" w:color="auto"/>
              <w:left w:val="nil"/>
              <w:bottom w:val="nil"/>
              <w:right w:val="nil"/>
            </w:tcBorders>
          </w:tcPr>
          <w:p w14:paraId="4843562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w:t>
            </w:r>
          </w:p>
        </w:tc>
        <w:tc>
          <w:tcPr>
            <w:tcW w:w="612" w:type="pct"/>
            <w:tcBorders>
              <w:top w:val="single" w:sz="12" w:space="0" w:color="auto"/>
              <w:left w:val="nil"/>
              <w:bottom w:val="nil"/>
              <w:right w:val="nil"/>
            </w:tcBorders>
          </w:tcPr>
          <w:p w14:paraId="5A4CDCD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(3)</w:t>
            </w:r>
          </w:p>
        </w:tc>
        <w:tc>
          <w:tcPr>
            <w:tcW w:w="612" w:type="pct"/>
            <w:tcBorders>
              <w:top w:val="single" w:sz="12" w:space="0" w:color="auto"/>
              <w:left w:val="nil"/>
              <w:bottom w:val="nil"/>
              <w:right w:val="nil"/>
            </w:tcBorders>
          </w:tcPr>
          <w:p w14:paraId="51C06F81"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(4)</w:t>
            </w:r>
          </w:p>
        </w:tc>
        <w:tc>
          <w:tcPr>
            <w:tcW w:w="612" w:type="pct"/>
            <w:tcBorders>
              <w:top w:val="single" w:sz="12" w:space="0" w:color="auto"/>
              <w:left w:val="nil"/>
              <w:bottom w:val="nil"/>
              <w:right w:val="nil"/>
            </w:tcBorders>
          </w:tcPr>
          <w:p w14:paraId="5E82946F"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w:t>
            </w:r>
          </w:p>
        </w:tc>
        <w:tc>
          <w:tcPr>
            <w:tcW w:w="612" w:type="pct"/>
            <w:tcBorders>
              <w:top w:val="single" w:sz="12" w:space="0" w:color="auto"/>
              <w:left w:val="nil"/>
              <w:bottom w:val="nil"/>
              <w:right w:val="nil"/>
            </w:tcBorders>
          </w:tcPr>
          <w:p w14:paraId="528547BB"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(6)</w:t>
            </w:r>
          </w:p>
        </w:tc>
        <w:tc>
          <w:tcPr>
            <w:tcW w:w="611" w:type="pct"/>
            <w:tcBorders>
              <w:top w:val="single" w:sz="12" w:space="0" w:color="auto"/>
              <w:left w:val="nil"/>
              <w:bottom w:val="nil"/>
              <w:right w:val="nil"/>
            </w:tcBorders>
          </w:tcPr>
          <w:p w14:paraId="5E1DAFDE"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(7)</w:t>
            </w:r>
          </w:p>
        </w:tc>
      </w:tr>
      <w:tr w:rsidR="00DB57F4" w:rsidRPr="00A7211C" w14:paraId="065D9B35" w14:textId="77777777" w:rsidTr="00233168">
        <w:trPr>
          <w:jc w:val="center"/>
        </w:trPr>
        <w:tc>
          <w:tcPr>
            <w:tcW w:w="715" w:type="pct"/>
            <w:vMerge/>
            <w:tcBorders>
              <w:left w:val="nil"/>
              <w:bottom w:val="single" w:sz="6" w:space="0" w:color="auto"/>
              <w:right w:val="nil"/>
            </w:tcBorders>
          </w:tcPr>
          <w:p w14:paraId="34A1F0E7"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single" w:sz="6" w:space="0" w:color="auto"/>
              <w:right w:val="nil"/>
            </w:tcBorders>
          </w:tcPr>
          <w:p w14:paraId="43A38F41" w14:textId="77777777" w:rsidR="00DB57F4" w:rsidRPr="00914C5E" w:rsidRDefault="00DB57F4" w:rsidP="00233168">
            <w:pPr>
              <w:jc w:val="center"/>
              <w:rPr>
                <w:rFonts w:ascii="Times New Roman" w:hAnsi="Times New Roman" w:cs="Times New Roman"/>
                <w:i/>
                <w:sz w:val="18"/>
                <w:szCs w:val="18"/>
              </w:rPr>
            </w:pPr>
            <w:r w:rsidRPr="00914C5E">
              <w:rPr>
                <w:rFonts w:ascii="Times New Roman" w:hAnsi="Times New Roman" w:cs="Times New Roman" w:hint="eastAsia"/>
                <w:i/>
                <w:sz w:val="18"/>
                <w:szCs w:val="18"/>
              </w:rPr>
              <w:t>CEI</w:t>
            </w:r>
          </w:p>
        </w:tc>
        <w:tc>
          <w:tcPr>
            <w:tcW w:w="613" w:type="pct"/>
            <w:tcBorders>
              <w:top w:val="nil"/>
              <w:left w:val="nil"/>
              <w:bottom w:val="single" w:sz="6" w:space="0" w:color="auto"/>
              <w:right w:val="nil"/>
            </w:tcBorders>
          </w:tcPr>
          <w:p w14:paraId="74BB996F" w14:textId="77777777" w:rsidR="00DB57F4" w:rsidRPr="00A7211C" w:rsidRDefault="00DB57F4" w:rsidP="00233168">
            <w:pPr>
              <w:jc w:val="center"/>
              <w:rPr>
                <w:rFonts w:ascii="Times New Roman" w:hAnsi="Times New Roman" w:cs="Times New Roman"/>
                <w:sz w:val="18"/>
                <w:szCs w:val="18"/>
              </w:rPr>
            </w:pPr>
            <w:r w:rsidRPr="00D84E88">
              <w:rPr>
                <w:rFonts w:ascii="Times New Roman" w:hAnsi="Times New Roman" w:cs="Times New Roman" w:hint="eastAsia"/>
                <w:i/>
                <w:sz w:val="18"/>
                <w:szCs w:val="18"/>
              </w:rPr>
              <w:t>CEI</w:t>
            </w:r>
          </w:p>
        </w:tc>
        <w:tc>
          <w:tcPr>
            <w:tcW w:w="612" w:type="pct"/>
            <w:tcBorders>
              <w:top w:val="nil"/>
              <w:left w:val="nil"/>
              <w:bottom w:val="single" w:sz="6" w:space="0" w:color="auto"/>
              <w:right w:val="nil"/>
            </w:tcBorders>
          </w:tcPr>
          <w:p w14:paraId="5BFA3BF2" w14:textId="77777777" w:rsidR="00DB57F4" w:rsidRPr="00A7211C" w:rsidRDefault="00DB57F4" w:rsidP="00233168">
            <w:pPr>
              <w:jc w:val="center"/>
              <w:rPr>
                <w:rFonts w:ascii="Times New Roman" w:hAnsi="Times New Roman" w:cs="Times New Roman"/>
                <w:sz w:val="18"/>
                <w:szCs w:val="18"/>
              </w:rPr>
            </w:pPr>
            <w:r w:rsidRPr="00D84E88">
              <w:rPr>
                <w:rFonts w:ascii="Times New Roman" w:hAnsi="Times New Roman" w:cs="Times New Roman" w:hint="eastAsia"/>
                <w:i/>
                <w:sz w:val="18"/>
                <w:szCs w:val="18"/>
              </w:rPr>
              <w:t>CEI</w:t>
            </w:r>
          </w:p>
        </w:tc>
        <w:tc>
          <w:tcPr>
            <w:tcW w:w="612" w:type="pct"/>
            <w:tcBorders>
              <w:top w:val="nil"/>
              <w:left w:val="nil"/>
              <w:bottom w:val="single" w:sz="6" w:space="0" w:color="auto"/>
              <w:right w:val="nil"/>
            </w:tcBorders>
          </w:tcPr>
          <w:p w14:paraId="29DAA03C" w14:textId="77777777" w:rsidR="00DB57F4" w:rsidRPr="00A7211C" w:rsidRDefault="00DB57F4" w:rsidP="00233168">
            <w:pPr>
              <w:jc w:val="center"/>
              <w:rPr>
                <w:rFonts w:ascii="Times New Roman" w:hAnsi="Times New Roman" w:cs="Times New Roman"/>
                <w:iCs/>
                <w:sz w:val="18"/>
                <w:szCs w:val="18"/>
              </w:rPr>
            </w:pPr>
            <w:r w:rsidRPr="00D84E88">
              <w:rPr>
                <w:rFonts w:ascii="Times New Roman" w:hAnsi="Times New Roman" w:cs="Times New Roman" w:hint="eastAsia"/>
                <w:i/>
                <w:sz w:val="18"/>
                <w:szCs w:val="18"/>
              </w:rPr>
              <w:t>CEI</w:t>
            </w:r>
          </w:p>
        </w:tc>
        <w:tc>
          <w:tcPr>
            <w:tcW w:w="612" w:type="pct"/>
            <w:tcBorders>
              <w:top w:val="nil"/>
              <w:left w:val="nil"/>
              <w:bottom w:val="single" w:sz="6" w:space="0" w:color="auto"/>
              <w:right w:val="nil"/>
            </w:tcBorders>
          </w:tcPr>
          <w:p w14:paraId="4341F829" w14:textId="77777777" w:rsidR="00DB57F4" w:rsidRPr="00A7211C" w:rsidRDefault="00DB57F4" w:rsidP="00233168">
            <w:pPr>
              <w:jc w:val="center"/>
              <w:rPr>
                <w:rFonts w:ascii="Times New Roman" w:hAnsi="Times New Roman" w:cs="Times New Roman"/>
                <w:sz w:val="18"/>
                <w:szCs w:val="18"/>
              </w:rPr>
            </w:pPr>
            <w:r w:rsidRPr="00D84E88">
              <w:rPr>
                <w:rFonts w:ascii="Times New Roman" w:hAnsi="Times New Roman" w:cs="Times New Roman" w:hint="eastAsia"/>
                <w:i/>
                <w:sz w:val="18"/>
                <w:szCs w:val="18"/>
              </w:rPr>
              <w:t>CEI</w:t>
            </w:r>
          </w:p>
        </w:tc>
        <w:tc>
          <w:tcPr>
            <w:tcW w:w="612" w:type="pct"/>
            <w:tcBorders>
              <w:top w:val="nil"/>
              <w:left w:val="nil"/>
              <w:bottom w:val="single" w:sz="6" w:space="0" w:color="auto"/>
              <w:right w:val="nil"/>
            </w:tcBorders>
          </w:tcPr>
          <w:p w14:paraId="54DA18FB" w14:textId="77777777" w:rsidR="00DB57F4" w:rsidRPr="00A7211C" w:rsidRDefault="00DB57F4" w:rsidP="00233168">
            <w:pPr>
              <w:jc w:val="center"/>
              <w:rPr>
                <w:rFonts w:ascii="Times New Roman" w:hAnsi="Times New Roman" w:cs="Times New Roman"/>
                <w:sz w:val="18"/>
                <w:szCs w:val="18"/>
              </w:rPr>
            </w:pPr>
            <w:r w:rsidRPr="00D84E88">
              <w:rPr>
                <w:rFonts w:ascii="Times New Roman" w:hAnsi="Times New Roman" w:cs="Times New Roman" w:hint="eastAsia"/>
                <w:i/>
                <w:sz w:val="18"/>
                <w:szCs w:val="18"/>
              </w:rPr>
              <w:t>CEI</w:t>
            </w:r>
          </w:p>
        </w:tc>
        <w:tc>
          <w:tcPr>
            <w:tcW w:w="611" w:type="pct"/>
            <w:tcBorders>
              <w:top w:val="nil"/>
              <w:left w:val="nil"/>
              <w:bottom w:val="single" w:sz="6" w:space="0" w:color="auto"/>
              <w:right w:val="nil"/>
            </w:tcBorders>
          </w:tcPr>
          <w:p w14:paraId="4DFD3817" w14:textId="77777777" w:rsidR="00DB57F4" w:rsidRPr="00A7211C" w:rsidRDefault="00DB57F4" w:rsidP="00233168">
            <w:pPr>
              <w:jc w:val="center"/>
              <w:rPr>
                <w:rFonts w:ascii="Times New Roman" w:hAnsi="Times New Roman" w:cs="Times New Roman"/>
                <w:sz w:val="18"/>
                <w:szCs w:val="18"/>
              </w:rPr>
            </w:pPr>
            <w:r w:rsidRPr="00D84E88">
              <w:rPr>
                <w:rFonts w:ascii="Times New Roman" w:hAnsi="Times New Roman" w:cs="Times New Roman" w:hint="eastAsia"/>
                <w:i/>
                <w:sz w:val="18"/>
                <w:szCs w:val="18"/>
              </w:rPr>
              <w:t>CEI</w:t>
            </w:r>
          </w:p>
        </w:tc>
      </w:tr>
      <w:tr w:rsidR="00DB57F4" w:rsidRPr="00A7211C" w14:paraId="69F3580A" w14:textId="77777777" w:rsidTr="00233168">
        <w:trPr>
          <w:jc w:val="center"/>
        </w:trPr>
        <w:tc>
          <w:tcPr>
            <w:tcW w:w="715" w:type="pct"/>
            <w:vMerge w:val="restart"/>
            <w:tcBorders>
              <w:top w:val="nil"/>
              <w:left w:val="nil"/>
              <w:right w:val="nil"/>
            </w:tcBorders>
            <w:vAlign w:val="center"/>
          </w:tcPr>
          <w:p w14:paraId="5017F35B" w14:textId="77777777" w:rsidR="00DB57F4" w:rsidRPr="00A7211C" w:rsidRDefault="00DB57F4" w:rsidP="00233168">
            <w:pPr>
              <w:jc w:val="center"/>
              <w:rPr>
                <w:rFonts w:ascii="Times New Roman" w:hAnsi="Times New Roman" w:cs="Times New Roman"/>
                <w:i/>
                <w:iCs/>
                <w:sz w:val="18"/>
                <w:szCs w:val="18"/>
              </w:rPr>
            </w:pPr>
            <w:proofErr w:type="spellStart"/>
            <w:r w:rsidRPr="00A7211C">
              <w:rPr>
                <w:rFonts w:ascii="Times New Roman" w:hAnsi="Times New Roman" w:cs="Times New Roman" w:hint="eastAsia"/>
                <w:i/>
                <w:iCs/>
                <w:sz w:val="18"/>
                <w:szCs w:val="18"/>
              </w:rPr>
              <w:t>E_news</w:t>
            </w:r>
            <w:proofErr w:type="spellEnd"/>
          </w:p>
        </w:tc>
        <w:tc>
          <w:tcPr>
            <w:tcW w:w="613" w:type="pct"/>
            <w:tcBorders>
              <w:top w:val="nil"/>
              <w:left w:val="nil"/>
              <w:bottom w:val="nil"/>
              <w:right w:val="nil"/>
            </w:tcBorders>
          </w:tcPr>
          <w:p w14:paraId="41DFBF41"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0.0601***</w:t>
            </w:r>
          </w:p>
        </w:tc>
        <w:tc>
          <w:tcPr>
            <w:tcW w:w="613" w:type="pct"/>
            <w:tcBorders>
              <w:top w:val="nil"/>
              <w:left w:val="nil"/>
              <w:bottom w:val="nil"/>
              <w:right w:val="nil"/>
            </w:tcBorders>
          </w:tcPr>
          <w:p w14:paraId="3FB8E83F"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33B2853D"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2AE5285"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54A09E98"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30F104BC"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294F8022" w14:textId="77777777" w:rsidR="00DB57F4" w:rsidRPr="00A7211C" w:rsidRDefault="00DB57F4" w:rsidP="00233168">
            <w:pPr>
              <w:jc w:val="center"/>
              <w:rPr>
                <w:rFonts w:ascii="Times New Roman" w:hAnsi="Times New Roman" w:cs="Times New Roman"/>
                <w:sz w:val="18"/>
                <w:szCs w:val="18"/>
              </w:rPr>
            </w:pPr>
          </w:p>
        </w:tc>
      </w:tr>
      <w:tr w:rsidR="00DB57F4" w:rsidRPr="00A7211C" w14:paraId="223DF530" w14:textId="77777777" w:rsidTr="00233168">
        <w:trPr>
          <w:jc w:val="center"/>
        </w:trPr>
        <w:tc>
          <w:tcPr>
            <w:tcW w:w="715" w:type="pct"/>
            <w:vMerge/>
            <w:tcBorders>
              <w:left w:val="nil"/>
              <w:bottom w:val="nil"/>
              <w:right w:val="nil"/>
            </w:tcBorders>
            <w:vAlign w:val="center"/>
          </w:tcPr>
          <w:p w14:paraId="3785609C"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12D80682"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(0.0121)</w:t>
            </w:r>
          </w:p>
        </w:tc>
        <w:tc>
          <w:tcPr>
            <w:tcW w:w="613" w:type="pct"/>
            <w:tcBorders>
              <w:top w:val="nil"/>
              <w:left w:val="nil"/>
              <w:bottom w:val="nil"/>
              <w:right w:val="nil"/>
            </w:tcBorders>
          </w:tcPr>
          <w:p w14:paraId="047E67CC"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060A3ED"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67D7206"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58C0920"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4846FAA1"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6609D504" w14:textId="77777777" w:rsidR="00DB57F4" w:rsidRPr="00A7211C" w:rsidRDefault="00DB57F4" w:rsidP="00233168">
            <w:pPr>
              <w:jc w:val="center"/>
              <w:rPr>
                <w:rFonts w:ascii="Times New Roman" w:hAnsi="Times New Roman" w:cs="Times New Roman"/>
                <w:sz w:val="18"/>
                <w:szCs w:val="18"/>
              </w:rPr>
            </w:pPr>
          </w:p>
        </w:tc>
      </w:tr>
      <w:tr w:rsidR="00DB57F4" w:rsidRPr="00A7211C" w14:paraId="0E8EACAD" w14:textId="77777777" w:rsidTr="00233168">
        <w:trPr>
          <w:jc w:val="center"/>
        </w:trPr>
        <w:tc>
          <w:tcPr>
            <w:tcW w:w="715" w:type="pct"/>
            <w:vMerge w:val="restart"/>
            <w:tcBorders>
              <w:top w:val="nil"/>
              <w:left w:val="nil"/>
              <w:right w:val="nil"/>
            </w:tcBorders>
            <w:vAlign w:val="center"/>
          </w:tcPr>
          <w:p w14:paraId="3DF3FA25" w14:textId="77777777" w:rsidR="00DB57F4" w:rsidRPr="00A7211C" w:rsidRDefault="00DB57F4" w:rsidP="00233168">
            <w:pPr>
              <w:jc w:val="center"/>
              <w:rPr>
                <w:rFonts w:ascii="Times New Roman" w:hAnsi="Times New Roman" w:cs="Times New Roman"/>
                <w:sz w:val="18"/>
                <w:szCs w:val="18"/>
              </w:rPr>
            </w:pPr>
            <w:proofErr w:type="spellStart"/>
            <w:r w:rsidRPr="00A7211C">
              <w:rPr>
                <w:rFonts w:ascii="Times New Roman" w:hAnsi="Times New Roman" w:cs="Times New Roman" w:hint="eastAsia"/>
                <w:i/>
                <w:iCs/>
                <w:sz w:val="18"/>
                <w:szCs w:val="18"/>
              </w:rPr>
              <w:t>S_news</w:t>
            </w:r>
            <w:proofErr w:type="spellEnd"/>
          </w:p>
        </w:tc>
        <w:tc>
          <w:tcPr>
            <w:tcW w:w="613" w:type="pct"/>
            <w:tcBorders>
              <w:top w:val="nil"/>
              <w:left w:val="nil"/>
              <w:bottom w:val="nil"/>
              <w:right w:val="nil"/>
            </w:tcBorders>
          </w:tcPr>
          <w:p w14:paraId="53D030C3"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74EB8214"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0.0317**</w:t>
            </w:r>
          </w:p>
        </w:tc>
        <w:tc>
          <w:tcPr>
            <w:tcW w:w="612" w:type="pct"/>
            <w:tcBorders>
              <w:top w:val="nil"/>
              <w:left w:val="nil"/>
              <w:bottom w:val="nil"/>
              <w:right w:val="nil"/>
            </w:tcBorders>
          </w:tcPr>
          <w:p w14:paraId="09EA1FEC"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75D74E83"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5FEBF71E"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7A7419BA"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530C00FC" w14:textId="77777777" w:rsidR="00DB57F4" w:rsidRPr="00A7211C" w:rsidRDefault="00DB57F4" w:rsidP="00233168">
            <w:pPr>
              <w:jc w:val="center"/>
              <w:rPr>
                <w:rFonts w:ascii="Times New Roman" w:hAnsi="Times New Roman" w:cs="Times New Roman"/>
                <w:sz w:val="18"/>
                <w:szCs w:val="18"/>
              </w:rPr>
            </w:pPr>
          </w:p>
        </w:tc>
      </w:tr>
      <w:tr w:rsidR="00DB57F4" w:rsidRPr="00A7211C" w14:paraId="62DBE713" w14:textId="77777777" w:rsidTr="00233168">
        <w:trPr>
          <w:jc w:val="center"/>
        </w:trPr>
        <w:tc>
          <w:tcPr>
            <w:tcW w:w="715" w:type="pct"/>
            <w:vMerge/>
            <w:tcBorders>
              <w:left w:val="nil"/>
              <w:bottom w:val="nil"/>
              <w:right w:val="nil"/>
            </w:tcBorders>
            <w:vAlign w:val="center"/>
          </w:tcPr>
          <w:p w14:paraId="12831642"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49F9984D"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07548FE7"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(0.0131)</w:t>
            </w:r>
          </w:p>
        </w:tc>
        <w:tc>
          <w:tcPr>
            <w:tcW w:w="612" w:type="pct"/>
            <w:tcBorders>
              <w:top w:val="nil"/>
              <w:left w:val="nil"/>
              <w:bottom w:val="nil"/>
              <w:right w:val="nil"/>
            </w:tcBorders>
          </w:tcPr>
          <w:p w14:paraId="522140CC"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0BFAE92"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3498F66C"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B326FD6"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08F96672" w14:textId="77777777" w:rsidR="00DB57F4" w:rsidRPr="00A7211C" w:rsidRDefault="00DB57F4" w:rsidP="00233168">
            <w:pPr>
              <w:jc w:val="center"/>
              <w:rPr>
                <w:rFonts w:ascii="Times New Roman" w:hAnsi="Times New Roman" w:cs="Times New Roman"/>
                <w:sz w:val="18"/>
                <w:szCs w:val="18"/>
              </w:rPr>
            </w:pPr>
          </w:p>
        </w:tc>
      </w:tr>
      <w:tr w:rsidR="00DB57F4" w:rsidRPr="00A7211C" w14:paraId="674E28B1" w14:textId="77777777" w:rsidTr="00233168">
        <w:trPr>
          <w:jc w:val="center"/>
        </w:trPr>
        <w:tc>
          <w:tcPr>
            <w:tcW w:w="715" w:type="pct"/>
            <w:vMerge w:val="restart"/>
            <w:tcBorders>
              <w:top w:val="nil"/>
              <w:left w:val="nil"/>
              <w:right w:val="nil"/>
            </w:tcBorders>
            <w:vAlign w:val="center"/>
          </w:tcPr>
          <w:p w14:paraId="293C9E91" w14:textId="77777777" w:rsidR="00DB57F4" w:rsidRPr="00A7211C" w:rsidRDefault="00DB57F4" w:rsidP="00233168">
            <w:pPr>
              <w:jc w:val="center"/>
              <w:rPr>
                <w:rFonts w:ascii="Times New Roman" w:hAnsi="Times New Roman" w:cs="Times New Roman"/>
                <w:sz w:val="18"/>
                <w:szCs w:val="18"/>
              </w:rPr>
            </w:pPr>
            <w:proofErr w:type="spellStart"/>
            <w:r w:rsidRPr="00A7211C">
              <w:rPr>
                <w:rFonts w:ascii="Times New Roman" w:hAnsi="Times New Roman" w:cs="Times New Roman" w:hint="eastAsia"/>
                <w:i/>
                <w:iCs/>
                <w:sz w:val="18"/>
                <w:szCs w:val="18"/>
              </w:rPr>
              <w:t>G_news</w:t>
            </w:r>
            <w:proofErr w:type="spellEnd"/>
          </w:p>
        </w:tc>
        <w:tc>
          <w:tcPr>
            <w:tcW w:w="613" w:type="pct"/>
            <w:tcBorders>
              <w:top w:val="nil"/>
              <w:left w:val="nil"/>
              <w:bottom w:val="nil"/>
              <w:right w:val="nil"/>
            </w:tcBorders>
          </w:tcPr>
          <w:p w14:paraId="159BF247"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1AAA39DA"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F7A328B"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0.0108</w:t>
            </w:r>
          </w:p>
        </w:tc>
        <w:tc>
          <w:tcPr>
            <w:tcW w:w="612" w:type="pct"/>
            <w:tcBorders>
              <w:top w:val="nil"/>
              <w:left w:val="nil"/>
              <w:bottom w:val="nil"/>
              <w:right w:val="nil"/>
            </w:tcBorders>
          </w:tcPr>
          <w:p w14:paraId="5DF1C9DF"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FDA65E0"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8831181"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77432E25" w14:textId="77777777" w:rsidR="00DB57F4" w:rsidRPr="00A7211C" w:rsidRDefault="00DB57F4" w:rsidP="00233168">
            <w:pPr>
              <w:jc w:val="center"/>
              <w:rPr>
                <w:rFonts w:ascii="Times New Roman" w:hAnsi="Times New Roman" w:cs="Times New Roman"/>
                <w:sz w:val="18"/>
                <w:szCs w:val="18"/>
              </w:rPr>
            </w:pPr>
          </w:p>
        </w:tc>
      </w:tr>
      <w:tr w:rsidR="00DB57F4" w:rsidRPr="00A7211C" w14:paraId="355C6E6F" w14:textId="77777777" w:rsidTr="00233168">
        <w:trPr>
          <w:jc w:val="center"/>
        </w:trPr>
        <w:tc>
          <w:tcPr>
            <w:tcW w:w="715" w:type="pct"/>
            <w:vMerge/>
            <w:tcBorders>
              <w:left w:val="nil"/>
              <w:bottom w:val="nil"/>
              <w:right w:val="nil"/>
            </w:tcBorders>
            <w:vAlign w:val="center"/>
          </w:tcPr>
          <w:p w14:paraId="3C7BF3D4"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7A45EA92"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6744EC15"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5A21C402"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(0.0129)</w:t>
            </w:r>
          </w:p>
        </w:tc>
        <w:tc>
          <w:tcPr>
            <w:tcW w:w="612" w:type="pct"/>
            <w:tcBorders>
              <w:top w:val="nil"/>
              <w:left w:val="nil"/>
              <w:bottom w:val="nil"/>
              <w:right w:val="nil"/>
            </w:tcBorders>
          </w:tcPr>
          <w:p w14:paraId="5C696D85"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539B7DA1"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F2F5C10"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26EB8BBC" w14:textId="77777777" w:rsidR="00DB57F4" w:rsidRPr="00A7211C" w:rsidRDefault="00DB57F4" w:rsidP="00233168">
            <w:pPr>
              <w:jc w:val="center"/>
              <w:rPr>
                <w:rFonts w:ascii="Times New Roman" w:hAnsi="Times New Roman" w:cs="Times New Roman"/>
                <w:sz w:val="18"/>
                <w:szCs w:val="18"/>
              </w:rPr>
            </w:pPr>
          </w:p>
        </w:tc>
      </w:tr>
      <w:tr w:rsidR="00DB57F4" w:rsidRPr="00A7211C" w14:paraId="17F4FA97" w14:textId="77777777" w:rsidTr="00233168">
        <w:trPr>
          <w:jc w:val="center"/>
        </w:trPr>
        <w:tc>
          <w:tcPr>
            <w:tcW w:w="715" w:type="pct"/>
            <w:vMerge w:val="restart"/>
            <w:tcBorders>
              <w:top w:val="nil"/>
              <w:left w:val="nil"/>
              <w:right w:val="nil"/>
            </w:tcBorders>
            <w:vAlign w:val="center"/>
          </w:tcPr>
          <w:p w14:paraId="36056893" w14:textId="77777777" w:rsidR="00DB57F4" w:rsidRPr="00A7211C" w:rsidRDefault="00DB57F4" w:rsidP="00233168">
            <w:pPr>
              <w:jc w:val="center"/>
              <w:rPr>
                <w:rFonts w:ascii="Times New Roman" w:hAnsi="Times New Roman" w:cs="Times New Roman"/>
                <w:i/>
                <w:iCs/>
                <w:sz w:val="18"/>
                <w:szCs w:val="18"/>
              </w:rPr>
            </w:pPr>
            <w:proofErr w:type="spellStart"/>
            <w:r w:rsidRPr="00A7211C">
              <w:rPr>
                <w:rFonts w:ascii="Times New Roman" w:hAnsi="Times New Roman" w:cs="Times New Roman"/>
                <w:i/>
                <w:iCs/>
                <w:sz w:val="18"/>
                <w:szCs w:val="18"/>
              </w:rPr>
              <w:t>esg</w:t>
            </w:r>
            <w:r w:rsidRPr="00A7211C">
              <w:rPr>
                <w:rFonts w:ascii="Times New Roman" w:hAnsi="Times New Roman" w:cs="Times New Roman" w:hint="eastAsia"/>
                <w:i/>
                <w:iCs/>
                <w:sz w:val="18"/>
                <w:szCs w:val="18"/>
              </w:rPr>
              <w:t>_total</w:t>
            </w:r>
            <w:proofErr w:type="spellEnd"/>
          </w:p>
        </w:tc>
        <w:tc>
          <w:tcPr>
            <w:tcW w:w="613" w:type="pct"/>
            <w:tcBorders>
              <w:top w:val="nil"/>
              <w:left w:val="nil"/>
              <w:bottom w:val="nil"/>
              <w:right w:val="nil"/>
            </w:tcBorders>
          </w:tcPr>
          <w:p w14:paraId="0889977D"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21853FD9"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FEF2C78"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589B9C1"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0.0143*</w:t>
            </w:r>
          </w:p>
        </w:tc>
        <w:tc>
          <w:tcPr>
            <w:tcW w:w="612" w:type="pct"/>
            <w:tcBorders>
              <w:top w:val="nil"/>
              <w:left w:val="nil"/>
              <w:bottom w:val="nil"/>
              <w:right w:val="nil"/>
            </w:tcBorders>
          </w:tcPr>
          <w:p w14:paraId="6FA809DC"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C8F3A94"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3DC70AC5" w14:textId="77777777" w:rsidR="00DB57F4" w:rsidRPr="00A7211C" w:rsidRDefault="00DB57F4" w:rsidP="00233168">
            <w:pPr>
              <w:jc w:val="center"/>
              <w:rPr>
                <w:rFonts w:ascii="Times New Roman" w:hAnsi="Times New Roman" w:cs="Times New Roman"/>
                <w:sz w:val="18"/>
                <w:szCs w:val="18"/>
              </w:rPr>
            </w:pPr>
          </w:p>
        </w:tc>
      </w:tr>
      <w:tr w:rsidR="00DB57F4" w:rsidRPr="00A7211C" w14:paraId="5FEEF510" w14:textId="77777777" w:rsidTr="00233168">
        <w:trPr>
          <w:jc w:val="center"/>
        </w:trPr>
        <w:tc>
          <w:tcPr>
            <w:tcW w:w="715" w:type="pct"/>
            <w:vMerge/>
            <w:tcBorders>
              <w:left w:val="nil"/>
              <w:bottom w:val="nil"/>
              <w:right w:val="nil"/>
            </w:tcBorders>
            <w:vAlign w:val="center"/>
          </w:tcPr>
          <w:p w14:paraId="2C3E3039"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68CCCB7A"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13A7002F"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8BEBE07"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88CD9CD"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(0.0076)</w:t>
            </w:r>
          </w:p>
        </w:tc>
        <w:tc>
          <w:tcPr>
            <w:tcW w:w="612" w:type="pct"/>
            <w:tcBorders>
              <w:top w:val="nil"/>
              <w:left w:val="nil"/>
              <w:bottom w:val="nil"/>
              <w:right w:val="nil"/>
            </w:tcBorders>
          </w:tcPr>
          <w:p w14:paraId="6E8C5D58"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9E5EAF0"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2472B74E" w14:textId="77777777" w:rsidR="00DB57F4" w:rsidRPr="00A7211C" w:rsidRDefault="00DB57F4" w:rsidP="00233168">
            <w:pPr>
              <w:jc w:val="center"/>
              <w:rPr>
                <w:rFonts w:ascii="Times New Roman" w:hAnsi="Times New Roman" w:cs="Times New Roman"/>
                <w:sz w:val="18"/>
                <w:szCs w:val="18"/>
              </w:rPr>
            </w:pPr>
          </w:p>
        </w:tc>
      </w:tr>
      <w:tr w:rsidR="00DB57F4" w:rsidRPr="00A7211C" w14:paraId="513BA304" w14:textId="77777777" w:rsidTr="00233168">
        <w:trPr>
          <w:jc w:val="center"/>
        </w:trPr>
        <w:tc>
          <w:tcPr>
            <w:tcW w:w="715" w:type="pct"/>
            <w:vMerge w:val="restart"/>
            <w:tcBorders>
              <w:top w:val="nil"/>
              <w:left w:val="nil"/>
              <w:right w:val="nil"/>
            </w:tcBorders>
            <w:vAlign w:val="center"/>
          </w:tcPr>
          <w:p w14:paraId="6D3C5CD2" w14:textId="77777777" w:rsidR="00DB57F4" w:rsidRPr="00A7211C" w:rsidRDefault="00DB57F4" w:rsidP="00233168">
            <w:pPr>
              <w:jc w:val="center"/>
              <w:rPr>
                <w:rFonts w:ascii="Times New Roman" w:hAnsi="Times New Roman" w:cs="Times New Roman"/>
                <w:sz w:val="18"/>
                <w:szCs w:val="18"/>
              </w:rPr>
            </w:pPr>
            <w:proofErr w:type="spellStart"/>
            <w:r w:rsidRPr="00A7211C">
              <w:rPr>
                <w:rFonts w:ascii="Times New Roman" w:hAnsi="Times New Roman" w:cs="Times New Roman"/>
                <w:i/>
                <w:iCs/>
                <w:sz w:val="18"/>
                <w:szCs w:val="18"/>
              </w:rPr>
              <w:t>env_atten</w:t>
            </w:r>
            <w:proofErr w:type="spellEnd"/>
          </w:p>
        </w:tc>
        <w:tc>
          <w:tcPr>
            <w:tcW w:w="613" w:type="pct"/>
            <w:tcBorders>
              <w:top w:val="nil"/>
              <w:left w:val="nil"/>
              <w:bottom w:val="nil"/>
              <w:right w:val="nil"/>
            </w:tcBorders>
          </w:tcPr>
          <w:p w14:paraId="3FC1E7B7"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0CE3220A"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09D82D9"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35B16E90"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72EB58D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0.0208***</w:t>
            </w:r>
          </w:p>
        </w:tc>
        <w:tc>
          <w:tcPr>
            <w:tcW w:w="612" w:type="pct"/>
            <w:tcBorders>
              <w:top w:val="nil"/>
              <w:left w:val="nil"/>
              <w:bottom w:val="nil"/>
              <w:right w:val="nil"/>
            </w:tcBorders>
          </w:tcPr>
          <w:p w14:paraId="49BBFCD5"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4BDF5138" w14:textId="77777777" w:rsidR="00DB57F4" w:rsidRPr="00A7211C" w:rsidRDefault="00DB57F4" w:rsidP="00233168">
            <w:pPr>
              <w:jc w:val="center"/>
              <w:rPr>
                <w:rFonts w:ascii="Times New Roman" w:hAnsi="Times New Roman" w:cs="Times New Roman"/>
                <w:sz w:val="18"/>
                <w:szCs w:val="18"/>
              </w:rPr>
            </w:pPr>
          </w:p>
        </w:tc>
      </w:tr>
      <w:tr w:rsidR="00DB57F4" w:rsidRPr="00A7211C" w14:paraId="43D5718B" w14:textId="77777777" w:rsidTr="00233168">
        <w:trPr>
          <w:jc w:val="center"/>
        </w:trPr>
        <w:tc>
          <w:tcPr>
            <w:tcW w:w="715" w:type="pct"/>
            <w:vMerge/>
            <w:tcBorders>
              <w:left w:val="nil"/>
              <w:bottom w:val="nil"/>
              <w:right w:val="nil"/>
            </w:tcBorders>
            <w:vAlign w:val="center"/>
          </w:tcPr>
          <w:p w14:paraId="77E9A9D7"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5A2591B1"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6E53256A"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6CF45DA"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58B776DD"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157DEBE"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(0.0068)</w:t>
            </w:r>
          </w:p>
        </w:tc>
        <w:tc>
          <w:tcPr>
            <w:tcW w:w="612" w:type="pct"/>
            <w:tcBorders>
              <w:top w:val="nil"/>
              <w:left w:val="nil"/>
              <w:bottom w:val="nil"/>
              <w:right w:val="nil"/>
            </w:tcBorders>
          </w:tcPr>
          <w:p w14:paraId="7308EC6C"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3862DD6D" w14:textId="77777777" w:rsidR="00DB57F4" w:rsidRPr="00A7211C" w:rsidRDefault="00DB57F4" w:rsidP="00233168">
            <w:pPr>
              <w:jc w:val="center"/>
              <w:rPr>
                <w:rFonts w:ascii="Times New Roman" w:hAnsi="Times New Roman" w:cs="Times New Roman"/>
                <w:sz w:val="18"/>
                <w:szCs w:val="18"/>
              </w:rPr>
            </w:pPr>
          </w:p>
        </w:tc>
      </w:tr>
      <w:tr w:rsidR="00DB57F4" w:rsidRPr="00A7211C" w14:paraId="15C3E7C8" w14:textId="77777777" w:rsidTr="00233168">
        <w:trPr>
          <w:jc w:val="center"/>
        </w:trPr>
        <w:tc>
          <w:tcPr>
            <w:tcW w:w="715" w:type="pct"/>
            <w:vMerge w:val="restart"/>
            <w:tcBorders>
              <w:top w:val="nil"/>
              <w:left w:val="nil"/>
              <w:right w:val="nil"/>
            </w:tcBorders>
            <w:vAlign w:val="center"/>
          </w:tcPr>
          <w:p w14:paraId="6E71BE41" w14:textId="77777777" w:rsidR="00DB57F4" w:rsidRPr="00A7211C" w:rsidRDefault="00DB57F4" w:rsidP="00233168">
            <w:pPr>
              <w:jc w:val="center"/>
              <w:rPr>
                <w:rFonts w:ascii="Times New Roman" w:hAnsi="Times New Roman" w:cs="Times New Roman"/>
                <w:sz w:val="18"/>
                <w:szCs w:val="18"/>
              </w:rPr>
            </w:pPr>
            <w:proofErr w:type="spellStart"/>
            <w:r w:rsidRPr="00A7211C">
              <w:rPr>
                <w:rFonts w:ascii="Times New Roman" w:hAnsi="Times New Roman" w:cs="Times New Roman" w:hint="eastAsia"/>
                <w:i/>
                <w:iCs/>
                <w:sz w:val="18"/>
                <w:szCs w:val="18"/>
              </w:rPr>
              <w:t>soc</w:t>
            </w:r>
            <w:r w:rsidRPr="00A7211C">
              <w:rPr>
                <w:rFonts w:ascii="Times New Roman" w:hAnsi="Times New Roman" w:cs="Times New Roman"/>
                <w:i/>
                <w:iCs/>
                <w:sz w:val="18"/>
                <w:szCs w:val="18"/>
              </w:rPr>
              <w:t>_atten</w:t>
            </w:r>
            <w:proofErr w:type="spellEnd"/>
          </w:p>
        </w:tc>
        <w:tc>
          <w:tcPr>
            <w:tcW w:w="613" w:type="pct"/>
            <w:tcBorders>
              <w:top w:val="nil"/>
              <w:left w:val="nil"/>
              <w:bottom w:val="nil"/>
              <w:right w:val="nil"/>
            </w:tcBorders>
          </w:tcPr>
          <w:p w14:paraId="1C9CBEDF"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44534335"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49462C0F"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24151331"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578E0D2D"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7F9C5109"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0.0237***</w:t>
            </w:r>
          </w:p>
        </w:tc>
        <w:tc>
          <w:tcPr>
            <w:tcW w:w="611" w:type="pct"/>
            <w:tcBorders>
              <w:top w:val="nil"/>
              <w:left w:val="nil"/>
              <w:bottom w:val="nil"/>
              <w:right w:val="nil"/>
            </w:tcBorders>
          </w:tcPr>
          <w:p w14:paraId="2ADDB05F" w14:textId="77777777" w:rsidR="00DB57F4" w:rsidRPr="00A7211C" w:rsidRDefault="00DB57F4" w:rsidP="00233168">
            <w:pPr>
              <w:jc w:val="center"/>
              <w:rPr>
                <w:rFonts w:ascii="Times New Roman" w:hAnsi="Times New Roman" w:cs="Times New Roman"/>
                <w:sz w:val="18"/>
                <w:szCs w:val="18"/>
              </w:rPr>
            </w:pPr>
          </w:p>
        </w:tc>
      </w:tr>
      <w:tr w:rsidR="00DB57F4" w:rsidRPr="00A7211C" w14:paraId="1FAAFCA8" w14:textId="77777777" w:rsidTr="00233168">
        <w:trPr>
          <w:jc w:val="center"/>
        </w:trPr>
        <w:tc>
          <w:tcPr>
            <w:tcW w:w="715" w:type="pct"/>
            <w:vMerge/>
            <w:tcBorders>
              <w:left w:val="nil"/>
              <w:bottom w:val="nil"/>
              <w:right w:val="nil"/>
            </w:tcBorders>
            <w:vAlign w:val="center"/>
          </w:tcPr>
          <w:p w14:paraId="179FB123"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645B3825"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1A85D8A2"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BD475A0"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40B14C7F"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CD08804"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6FEE02A"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(0.0066)</w:t>
            </w:r>
          </w:p>
        </w:tc>
        <w:tc>
          <w:tcPr>
            <w:tcW w:w="611" w:type="pct"/>
            <w:tcBorders>
              <w:top w:val="nil"/>
              <w:left w:val="nil"/>
              <w:bottom w:val="nil"/>
              <w:right w:val="nil"/>
            </w:tcBorders>
          </w:tcPr>
          <w:p w14:paraId="4AEA7583" w14:textId="77777777" w:rsidR="00DB57F4" w:rsidRPr="00A7211C" w:rsidRDefault="00DB57F4" w:rsidP="00233168">
            <w:pPr>
              <w:jc w:val="center"/>
              <w:rPr>
                <w:rFonts w:ascii="Times New Roman" w:hAnsi="Times New Roman" w:cs="Times New Roman"/>
                <w:sz w:val="18"/>
                <w:szCs w:val="18"/>
              </w:rPr>
            </w:pPr>
          </w:p>
        </w:tc>
      </w:tr>
      <w:tr w:rsidR="00DB57F4" w:rsidRPr="00A7211C" w14:paraId="42969C17" w14:textId="77777777" w:rsidTr="00233168">
        <w:trPr>
          <w:jc w:val="center"/>
        </w:trPr>
        <w:tc>
          <w:tcPr>
            <w:tcW w:w="715" w:type="pct"/>
            <w:vMerge w:val="restart"/>
            <w:tcBorders>
              <w:top w:val="nil"/>
              <w:left w:val="nil"/>
              <w:right w:val="nil"/>
            </w:tcBorders>
            <w:vAlign w:val="center"/>
          </w:tcPr>
          <w:p w14:paraId="7DAB793E" w14:textId="77777777" w:rsidR="00DB57F4" w:rsidRPr="00A7211C" w:rsidRDefault="00DB57F4" w:rsidP="00233168">
            <w:pPr>
              <w:jc w:val="center"/>
              <w:rPr>
                <w:rFonts w:ascii="Times New Roman" w:hAnsi="Times New Roman" w:cs="Times New Roman"/>
                <w:sz w:val="18"/>
                <w:szCs w:val="18"/>
              </w:rPr>
            </w:pPr>
            <w:proofErr w:type="spellStart"/>
            <w:r w:rsidRPr="00A7211C">
              <w:rPr>
                <w:rFonts w:ascii="Times New Roman" w:hAnsi="Times New Roman" w:cs="Times New Roman" w:hint="eastAsia"/>
                <w:i/>
                <w:iCs/>
                <w:sz w:val="18"/>
                <w:szCs w:val="18"/>
              </w:rPr>
              <w:t>go</w:t>
            </w:r>
            <w:r w:rsidRPr="00A7211C">
              <w:rPr>
                <w:rFonts w:ascii="Times New Roman" w:hAnsi="Times New Roman" w:cs="Times New Roman"/>
                <w:i/>
                <w:iCs/>
                <w:sz w:val="18"/>
                <w:szCs w:val="18"/>
              </w:rPr>
              <w:t>v_atten</w:t>
            </w:r>
            <w:proofErr w:type="spellEnd"/>
          </w:p>
        </w:tc>
        <w:tc>
          <w:tcPr>
            <w:tcW w:w="613" w:type="pct"/>
            <w:tcBorders>
              <w:top w:val="nil"/>
              <w:left w:val="nil"/>
              <w:bottom w:val="nil"/>
              <w:right w:val="nil"/>
            </w:tcBorders>
          </w:tcPr>
          <w:p w14:paraId="365732EA"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4A490A5B"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F1F2C9B"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9FF3790"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F034F86"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6D0EBB11"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692B70E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-0.0101</w:t>
            </w:r>
          </w:p>
        </w:tc>
      </w:tr>
      <w:tr w:rsidR="00DB57F4" w:rsidRPr="00A7211C" w14:paraId="11F5183E" w14:textId="77777777" w:rsidTr="00233168">
        <w:trPr>
          <w:jc w:val="center"/>
        </w:trPr>
        <w:tc>
          <w:tcPr>
            <w:tcW w:w="715" w:type="pct"/>
            <w:vMerge/>
            <w:tcBorders>
              <w:left w:val="nil"/>
              <w:bottom w:val="nil"/>
              <w:right w:val="nil"/>
            </w:tcBorders>
            <w:vAlign w:val="center"/>
          </w:tcPr>
          <w:p w14:paraId="26EF0037"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39E7FA00"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136E9870"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14DAAA47"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23C31201"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0D966A49" w14:textId="77777777" w:rsidR="00DB57F4" w:rsidRPr="00A7211C" w:rsidRDefault="00DB57F4" w:rsidP="00233168">
            <w:pPr>
              <w:jc w:val="center"/>
              <w:rPr>
                <w:rFonts w:ascii="Times New Roman" w:hAnsi="Times New Roman" w:cs="Times New Roman"/>
                <w:sz w:val="18"/>
                <w:szCs w:val="18"/>
              </w:rPr>
            </w:pPr>
          </w:p>
        </w:tc>
        <w:tc>
          <w:tcPr>
            <w:tcW w:w="612" w:type="pct"/>
            <w:tcBorders>
              <w:top w:val="nil"/>
              <w:left w:val="nil"/>
              <w:bottom w:val="nil"/>
              <w:right w:val="nil"/>
            </w:tcBorders>
          </w:tcPr>
          <w:p w14:paraId="5E7835A7" w14:textId="77777777" w:rsidR="00DB57F4" w:rsidRPr="00A7211C" w:rsidRDefault="00DB57F4" w:rsidP="00233168">
            <w:pPr>
              <w:jc w:val="center"/>
              <w:rPr>
                <w:rFonts w:ascii="Times New Roman" w:hAnsi="Times New Roman" w:cs="Times New Roman"/>
                <w:sz w:val="18"/>
                <w:szCs w:val="18"/>
              </w:rPr>
            </w:pPr>
          </w:p>
        </w:tc>
        <w:tc>
          <w:tcPr>
            <w:tcW w:w="611" w:type="pct"/>
            <w:tcBorders>
              <w:top w:val="nil"/>
              <w:left w:val="nil"/>
              <w:bottom w:val="nil"/>
              <w:right w:val="nil"/>
            </w:tcBorders>
          </w:tcPr>
          <w:p w14:paraId="44AF3E48"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(0.0064)</w:t>
            </w:r>
          </w:p>
        </w:tc>
      </w:tr>
      <w:tr w:rsidR="00DB57F4" w:rsidRPr="00A7211C" w14:paraId="3823ED89" w14:textId="77777777" w:rsidTr="00233168">
        <w:trPr>
          <w:jc w:val="center"/>
        </w:trPr>
        <w:tc>
          <w:tcPr>
            <w:tcW w:w="715" w:type="pct"/>
            <w:vMerge w:val="restart"/>
            <w:tcBorders>
              <w:top w:val="nil"/>
              <w:left w:val="nil"/>
              <w:right w:val="nil"/>
            </w:tcBorders>
            <w:vAlign w:val="center"/>
          </w:tcPr>
          <w:p w14:paraId="02AFABF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Constant</w:t>
            </w:r>
          </w:p>
        </w:tc>
        <w:tc>
          <w:tcPr>
            <w:tcW w:w="613" w:type="pct"/>
            <w:tcBorders>
              <w:top w:val="nil"/>
              <w:left w:val="nil"/>
              <w:bottom w:val="nil"/>
              <w:right w:val="nil"/>
            </w:tcBorders>
          </w:tcPr>
          <w:p w14:paraId="2864C101"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-5.3068***</w:t>
            </w:r>
          </w:p>
        </w:tc>
        <w:tc>
          <w:tcPr>
            <w:tcW w:w="613" w:type="pct"/>
            <w:tcBorders>
              <w:top w:val="nil"/>
              <w:left w:val="nil"/>
              <w:bottom w:val="nil"/>
              <w:right w:val="nil"/>
            </w:tcBorders>
          </w:tcPr>
          <w:p w14:paraId="3C4D0587"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-5.3704***</w:t>
            </w:r>
          </w:p>
        </w:tc>
        <w:tc>
          <w:tcPr>
            <w:tcW w:w="612" w:type="pct"/>
            <w:tcBorders>
              <w:top w:val="nil"/>
              <w:left w:val="nil"/>
              <w:bottom w:val="nil"/>
              <w:right w:val="nil"/>
            </w:tcBorders>
          </w:tcPr>
          <w:p w14:paraId="71D9E56E"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-5.3947***</w:t>
            </w:r>
          </w:p>
        </w:tc>
        <w:tc>
          <w:tcPr>
            <w:tcW w:w="612" w:type="pct"/>
            <w:tcBorders>
              <w:top w:val="nil"/>
              <w:left w:val="nil"/>
              <w:bottom w:val="nil"/>
              <w:right w:val="nil"/>
            </w:tcBorders>
          </w:tcPr>
          <w:p w14:paraId="4F43A18C"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-5.3466***</w:t>
            </w:r>
          </w:p>
        </w:tc>
        <w:tc>
          <w:tcPr>
            <w:tcW w:w="612" w:type="pct"/>
            <w:tcBorders>
              <w:top w:val="nil"/>
              <w:left w:val="nil"/>
              <w:bottom w:val="nil"/>
              <w:right w:val="nil"/>
            </w:tcBorders>
          </w:tcPr>
          <w:p w14:paraId="709969F9"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-5.2826***</w:t>
            </w:r>
          </w:p>
        </w:tc>
        <w:tc>
          <w:tcPr>
            <w:tcW w:w="612" w:type="pct"/>
            <w:tcBorders>
              <w:top w:val="nil"/>
              <w:left w:val="nil"/>
              <w:bottom w:val="nil"/>
              <w:right w:val="nil"/>
            </w:tcBorders>
          </w:tcPr>
          <w:p w14:paraId="488367CC"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-5.2237***</w:t>
            </w:r>
          </w:p>
        </w:tc>
        <w:tc>
          <w:tcPr>
            <w:tcW w:w="611" w:type="pct"/>
            <w:tcBorders>
              <w:top w:val="nil"/>
              <w:left w:val="nil"/>
              <w:bottom w:val="nil"/>
              <w:right w:val="nil"/>
            </w:tcBorders>
          </w:tcPr>
          <w:p w14:paraId="7431DE2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-5.4440***</w:t>
            </w:r>
          </w:p>
        </w:tc>
      </w:tr>
      <w:tr w:rsidR="00DB57F4" w:rsidRPr="00A7211C" w14:paraId="20936194" w14:textId="77777777" w:rsidTr="00233168">
        <w:trPr>
          <w:jc w:val="center"/>
        </w:trPr>
        <w:tc>
          <w:tcPr>
            <w:tcW w:w="715" w:type="pct"/>
            <w:vMerge/>
            <w:tcBorders>
              <w:left w:val="nil"/>
              <w:bottom w:val="nil"/>
              <w:right w:val="nil"/>
            </w:tcBorders>
            <w:vAlign w:val="center"/>
          </w:tcPr>
          <w:p w14:paraId="555C6E52" w14:textId="77777777" w:rsidR="00DB57F4" w:rsidRPr="00A7211C" w:rsidRDefault="00DB57F4" w:rsidP="00233168">
            <w:pPr>
              <w:jc w:val="center"/>
              <w:rPr>
                <w:rFonts w:ascii="Times New Roman" w:hAnsi="Times New Roman" w:cs="Times New Roman"/>
                <w:sz w:val="18"/>
                <w:szCs w:val="18"/>
              </w:rPr>
            </w:pPr>
          </w:p>
        </w:tc>
        <w:tc>
          <w:tcPr>
            <w:tcW w:w="613" w:type="pct"/>
            <w:tcBorders>
              <w:top w:val="nil"/>
              <w:left w:val="nil"/>
              <w:bottom w:val="nil"/>
              <w:right w:val="nil"/>
            </w:tcBorders>
          </w:tcPr>
          <w:p w14:paraId="5601198D"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(0.3487)</w:t>
            </w:r>
          </w:p>
        </w:tc>
        <w:tc>
          <w:tcPr>
            <w:tcW w:w="613" w:type="pct"/>
            <w:tcBorders>
              <w:top w:val="nil"/>
              <w:left w:val="nil"/>
              <w:bottom w:val="nil"/>
              <w:right w:val="nil"/>
            </w:tcBorders>
          </w:tcPr>
          <w:p w14:paraId="033E274B"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(0.3495)</w:t>
            </w:r>
          </w:p>
        </w:tc>
        <w:tc>
          <w:tcPr>
            <w:tcW w:w="612" w:type="pct"/>
            <w:tcBorders>
              <w:top w:val="nil"/>
              <w:left w:val="nil"/>
              <w:bottom w:val="nil"/>
              <w:right w:val="nil"/>
            </w:tcBorders>
          </w:tcPr>
          <w:p w14:paraId="02761F6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(0.3493)</w:t>
            </w:r>
          </w:p>
        </w:tc>
        <w:tc>
          <w:tcPr>
            <w:tcW w:w="612" w:type="pct"/>
            <w:tcBorders>
              <w:top w:val="nil"/>
              <w:left w:val="nil"/>
              <w:bottom w:val="nil"/>
              <w:right w:val="nil"/>
            </w:tcBorders>
          </w:tcPr>
          <w:p w14:paraId="089F338C"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(0.3495)</w:t>
            </w:r>
          </w:p>
        </w:tc>
        <w:tc>
          <w:tcPr>
            <w:tcW w:w="612" w:type="pct"/>
            <w:tcBorders>
              <w:top w:val="nil"/>
              <w:left w:val="nil"/>
              <w:bottom w:val="nil"/>
              <w:right w:val="nil"/>
            </w:tcBorders>
          </w:tcPr>
          <w:p w14:paraId="5E8941C4"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(0.3485)</w:t>
            </w:r>
          </w:p>
        </w:tc>
        <w:tc>
          <w:tcPr>
            <w:tcW w:w="612" w:type="pct"/>
            <w:tcBorders>
              <w:top w:val="nil"/>
              <w:left w:val="nil"/>
              <w:bottom w:val="nil"/>
              <w:right w:val="nil"/>
            </w:tcBorders>
          </w:tcPr>
          <w:p w14:paraId="52ACF275"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(0.3499)</w:t>
            </w:r>
          </w:p>
        </w:tc>
        <w:tc>
          <w:tcPr>
            <w:tcW w:w="611" w:type="pct"/>
            <w:tcBorders>
              <w:top w:val="nil"/>
              <w:left w:val="nil"/>
              <w:bottom w:val="nil"/>
              <w:right w:val="nil"/>
            </w:tcBorders>
          </w:tcPr>
          <w:p w14:paraId="4FDE5C9A"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(0.3495)</w:t>
            </w:r>
          </w:p>
        </w:tc>
      </w:tr>
      <w:tr w:rsidR="00DB57F4" w:rsidRPr="00A7211C" w14:paraId="180E9544" w14:textId="77777777" w:rsidTr="00233168">
        <w:trPr>
          <w:jc w:val="center"/>
        </w:trPr>
        <w:tc>
          <w:tcPr>
            <w:tcW w:w="715" w:type="pct"/>
            <w:tcBorders>
              <w:top w:val="nil"/>
              <w:left w:val="nil"/>
              <w:bottom w:val="nil"/>
              <w:right w:val="nil"/>
            </w:tcBorders>
            <w:vAlign w:val="center"/>
          </w:tcPr>
          <w:p w14:paraId="5113383E"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Observations</w:t>
            </w:r>
          </w:p>
        </w:tc>
        <w:tc>
          <w:tcPr>
            <w:tcW w:w="613" w:type="pct"/>
            <w:tcBorders>
              <w:top w:val="nil"/>
              <w:left w:val="nil"/>
              <w:bottom w:val="nil"/>
              <w:right w:val="nil"/>
            </w:tcBorders>
          </w:tcPr>
          <w:p w14:paraId="69617551"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25,906</w:t>
            </w:r>
          </w:p>
        </w:tc>
        <w:tc>
          <w:tcPr>
            <w:tcW w:w="613" w:type="pct"/>
            <w:tcBorders>
              <w:top w:val="nil"/>
              <w:left w:val="nil"/>
              <w:bottom w:val="nil"/>
              <w:right w:val="nil"/>
            </w:tcBorders>
          </w:tcPr>
          <w:p w14:paraId="5ADE999D"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25,906</w:t>
            </w:r>
          </w:p>
        </w:tc>
        <w:tc>
          <w:tcPr>
            <w:tcW w:w="612" w:type="pct"/>
            <w:tcBorders>
              <w:top w:val="nil"/>
              <w:left w:val="nil"/>
              <w:bottom w:val="nil"/>
              <w:right w:val="nil"/>
            </w:tcBorders>
          </w:tcPr>
          <w:p w14:paraId="28B7F92C"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25,906</w:t>
            </w:r>
          </w:p>
        </w:tc>
        <w:tc>
          <w:tcPr>
            <w:tcW w:w="612" w:type="pct"/>
            <w:tcBorders>
              <w:top w:val="nil"/>
              <w:left w:val="nil"/>
              <w:bottom w:val="nil"/>
              <w:right w:val="nil"/>
            </w:tcBorders>
          </w:tcPr>
          <w:p w14:paraId="34DEDE5C"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25,906</w:t>
            </w:r>
          </w:p>
        </w:tc>
        <w:tc>
          <w:tcPr>
            <w:tcW w:w="612" w:type="pct"/>
            <w:tcBorders>
              <w:top w:val="nil"/>
              <w:left w:val="nil"/>
              <w:bottom w:val="nil"/>
              <w:right w:val="nil"/>
            </w:tcBorders>
          </w:tcPr>
          <w:p w14:paraId="65052CF0"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25,906</w:t>
            </w:r>
          </w:p>
        </w:tc>
        <w:tc>
          <w:tcPr>
            <w:tcW w:w="612" w:type="pct"/>
            <w:tcBorders>
              <w:top w:val="nil"/>
              <w:left w:val="nil"/>
              <w:bottom w:val="nil"/>
              <w:right w:val="nil"/>
            </w:tcBorders>
          </w:tcPr>
          <w:p w14:paraId="1299D1E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25,906</w:t>
            </w:r>
          </w:p>
        </w:tc>
        <w:tc>
          <w:tcPr>
            <w:tcW w:w="611" w:type="pct"/>
            <w:tcBorders>
              <w:top w:val="nil"/>
              <w:left w:val="nil"/>
              <w:bottom w:val="nil"/>
              <w:right w:val="nil"/>
            </w:tcBorders>
          </w:tcPr>
          <w:p w14:paraId="32162ECF"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25,906</w:t>
            </w:r>
          </w:p>
        </w:tc>
      </w:tr>
      <w:tr w:rsidR="00DB57F4" w:rsidRPr="00A7211C" w14:paraId="3CE46C01" w14:textId="77777777" w:rsidTr="00233168">
        <w:trPr>
          <w:jc w:val="center"/>
        </w:trPr>
        <w:tc>
          <w:tcPr>
            <w:tcW w:w="715" w:type="pct"/>
            <w:tcBorders>
              <w:top w:val="nil"/>
              <w:left w:val="nil"/>
              <w:bottom w:val="nil"/>
              <w:right w:val="nil"/>
            </w:tcBorders>
            <w:vAlign w:val="center"/>
          </w:tcPr>
          <w:p w14:paraId="028111EC"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Adjusted R</w:t>
            </w:r>
            <w:r w:rsidRPr="00A7211C">
              <w:rPr>
                <w:rFonts w:ascii="Times New Roman" w:hAnsi="Times New Roman" w:cs="Times New Roman"/>
                <w:sz w:val="18"/>
                <w:szCs w:val="18"/>
                <w:vertAlign w:val="superscript"/>
              </w:rPr>
              <w:t>2</w:t>
            </w:r>
          </w:p>
        </w:tc>
        <w:tc>
          <w:tcPr>
            <w:tcW w:w="613" w:type="pct"/>
            <w:tcBorders>
              <w:top w:val="nil"/>
              <w:left w:val="nil"/>
              <w:bottom w:val="nil"/>
              <w:right w:val="nil"/>
            </w:tcBorders>
          </w:tcPr>
          <w:p w14:paraId="2C99316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0.7588</w:t>
            </w:r>
          </w:p>
        </w:tc>
        <w:tc>
          <w:tcPr>
            <w:tcW w:w="613" w:type="pct"/>
            <w:tcBorders>
              <w:top w:val="nil"/>
              <w:left w:val="nil"/>
              <w:bottom w:val="nil"/>
              <w:right w:val="nil"/>
            </w:tcBorders>
          </w:tcPr>
          <w:p w14:paraId="0C08E569"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0.7586</w:t>
            </w:r>
          </w:p>
        </w:tc>
        <w:tc>
          <w:tcPr>
            <w:tcW w:w="612" w:type="pct"/>
            <w:tcBorders>
              <w:top w:val="nil"/>
              <w:left w:val="nil"/>
              <w:bottom w:val="nil"/>
              <w:right w:val="nil"/>
            </w:tcBorders>
          </w:tcPr>
          <w:p w14:paraId="4C559EF9"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0.7585</w:t>
            </w:r>
          </w:p>
        </w:tc>
        <w:tc>
          <w:tcPr>
            <w:tcW w:w="612" w:type="pct"/>
            <w:tcBorders>
              <w:top w:val="nil"/>
              <w:left w:val="nil"/>
              <w:bottom w:val="nil"/>
              <w:right w:val="nil"/>
            </w:tcBorders>
          </w:tcPr>
          <w:p w14:paraId="0BC08848"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0.7585</w:t>
            </w:r>
          </w:p>
        </w:tc>
        <w:tc>
          <w:tcPr>
            <w:tcW w:w="612" w:type="pct"/>
            <w:tcBorders>
              <w:top w:val="nil"/>
              <w:left w:val="nil"/>
              <w:bottom w:val="nil"/>
              <w:right w:val="nil"/>
            </w:tcBorders>
          </w:tcPr>
          <w:p w14:paraId="7438F31E"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0.7586</w:t>
            </w:r>
          </w:p>
        </w:tc>
        <w:tc>
          <w:tcPr>
            <w:tcW w:w="612" w:type="pct"/>
            <w:tcBorders>
              <w:top w:val="nil"/>
              <w:left w:val="nil"/>
              <w:bottom w:val="nil"/>
              <w:right w:val="nil"/>
            </w:tcBorders>
          </w:tcPr>
          <w:p w14:paraId="47D3B23F"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0.7586</w:t>
            </w:r>
          </w:p>
        </w:tc>
        <w:tc>
          <w:tcPr>
            <w:tcW w:w="611" w:type="pct"/>
            <w:tcBorders>
              <w:top w:val="nil"/>
              <w:left w:val="nil"/>
              <w:bottom w:val="nil"/>
              <w:right w:val="nil"/>
            </w:tcBorders>
          </w:tcPr>
          <w:p w14:paraId="1F69E78A"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0.7585</w:t>
            </w:r>
          </w:p>
        </w:tc>
      </w:tr>
      <w:tr w:rsidR="00DB57F4" w:rsidRPr="00A7211C" w14:paraId="23880832" w14:textId="77777777" w:rsidTr="00233168">
        <w:trPr>
          <w:jc w:val="center"/>
        </w:trPr>
        <w:tc>
          <w:tcPr>
            <w:tcW w:w="715" w:type="pct"/>
            <w:tcBorders>
              <w:top w:val="nil"/>
              <w:left w:val="nil"/>
              <w:bottom w:val="nil"/>
              <w:right w:val="nil"/>
            </w:tcBorders>
            <w:vAlign w:val="center"/>
          </w:tcPr>
          <w:p w14:paraId="22103829"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Controls</w:t>
            </w:r>
          </w:p>
        </w:tc>
        <w:tc>
          <w:tcPr>
            <w:tcW w:w="613" w:type="pct"/>
            <w:tcBorders>
              <w:top w:val="nil"/>
              <w:left w:val="nil"/>
              <w:bottom w:val="nil"/>
              <w:right w:val="nil"/>
            </w:tcBorders>
          </w:tcPr>
          <w:p w14:paraId="63472F8B"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3" w:type="pct"/>
            <w:tcBorders>
              <w:top w:val="nil"/>
              <w:left w:val="nil"/>
              <w:bottom w:val="nil"/>
              <w:right w:val="nil"/>
            </w:tcBorders>
          </w:tcPr>
          <w:p w14:paraId="3CF7DF9B"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nil"/>
              <w:right w:val="nil"/>
            </w:tcBorders>
          </w:tcPr>
          <w:p w14:paraId="0C4A1DAB"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nil"/>
              <w:right w:val="nil"/>
            </w:tcBorders>
          </w:tcPr>
          <w:p w14:paraId="1260F33A"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nil"/>
              <w:right w:val="nil"/>
            </w:tcBorders>
          </w:tcPr>
          <w:p w14:paraId="2C5FC43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nil"/>
              <w:right w:val="nil"/>
            </w:tcBorders>
          </w:tcPr>
          <w:p w14:paraId="70F6A0FB"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1" w:type="pct"/>
            <w:tcBorders>
              <w:top w:val="nil"/>
              <w:left w:val="nil"/>
              <w:bottom w:val="nil"/>
              <w:right w:val="nil"/>
            </w:tcBorders>
          </w:tcPr>
          <w:p w14:paraId="408AAFD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r>
      <w:tr w:rsidR="00DB57F4" w:rsidRPr="00A7211C" w14:paraId="4F819C48" w14:textId="77777777" w:rsidTr="00233168">
        <w:trPr>
          <w:jc w:val="center"/>
        </w:trPr>
        <w:tc>
          <w:tcPr>
            <w:tcW w:w="715" w:type="pct"/>
            <w:tcBorders>
              <w:top w:val="nil"/>
              <w:left w:val="nil"/>
              <w:right w:val="nil"/>
            </w:tcBorders>
            <w:vAlign w:val="center"/>
          </w:tcPr>
          <w:p w14:paraId="34AF382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Year FE</w:t>
            </w:r>
          </w:p>
        </w:tc>
        <w:tc>
          <w:tcPr>
            <w:tcW w:w="613" w:type="pct"/>
            <w:tcBorders>
              <w:top w:val="nil"/>
              <w:left w:val="nil"/>
              <w:right w:val="nil"/>
            </w:tcBorders>
          </w:tcPr>
          <w:p w14:paraId="4109659D"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3" w:type="pct"/>
            <w:tcBorders>
              <w:top w:val="nil"/>
              <w:left w:val="nil"/>
              <w:right w:val="nil"/>
            </w:tcBorders>
          </w:tcPr>
          <w:p w14:paraId="208C1C24"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right w:val="nil"/>
            </w:tcBorders>
          </w:tcPr>
          <w:p w14:paraId="3A205E54"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right w:val="nil"/>
            </w:tcBorders>
          </w:tcPr>
          <w:p w14:paraId="06CFA0C6"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right w:val="nil"/>
            </w:tcBorders>
          </w:tcPr>
          <w:p w14:paraId="665780C1"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right w:val="nil"/>
            </w:tcBorders>
          </w:tcPr>
          <w:p w14:paraId="45F34820"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1" w:type="pct"/>
            <w:tcBorders>
              <w:top w:val="nil"/>
              <w:left w:val="nil"/>
              <w:right w:val="nil"/>
            </w:tcBorders>
          </w:tcPr>
          <w:p w14:paraId="2122CF90"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r>
      <w:tr w:rsidR="00DB57F4" w:rsidRPr="00A7211C" w14:paraId="253E5C18" w14:textId="77777777" w:rsidTr="00233168">
        <w:tblPrEx>
          <w:tblBorders>
            <w:bottom w:val="single" w:sz="6" w:space="0" w:color="auto"/>
          </w:tblBorders>
        </w:tblPrEx>
        <w:trPr>
          <w:jc w:val="center"/>
        </w:trPr>
        <w:tc>
          <w:tcPr>
            <w:tcW w:w="715" w:type="pct"/>
            <w:tcBorders>
              <w:top w:val="nil"/>
              <w:left w:val="nil"/>
              <w:bottom w:val="single" w:sz="12" w:space="0" w:color="auto"/>
              <w:right w:val="nil"/>
            </w:tcBorders>
            <w:vAlign w:val="center"/>
          </w:tcPr>
          <w:p w14:paraId="3A554F3F"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Firm FE</w:t>
            </w:r>
          </w:p>
        </w:tc>
        <w:tc>
          <w:tcPr>
            <w:tcW w:w="613" w:type="pct"/>
            <w:tcBorders>
              <w:top w:val="nil"/>
              <w:left w:val="nil"/>
              <w:bottom w:val="single" w:sz="12" w:space="0" w:color="auto"/>
              <w:right w:val="nil"/>
            </w:tcBorders>
          </w:tcPr>
          <w:p w14:paraId="75CDFC99"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3" w:type="pct"/>
            <w:tcBorders>
              <w:top w:val="nil"/>
              <w:left w:val="nil"/>
              <w:bottom w:val="single" w:sz="12" w:space="0" w:color="auto"/>
              <w:right w:val="nil"/>
            </w:tcBorders>
          </w:tcPr>
          <w:p w14:paraId="7A607C2E"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single" w:sz="12" w:space="0" w:color="auto"/>
              <w:right w:val="nil"/>
            </w:tcBorders>
          </w:tcPr>
          <w:p w14:paraId="6288E1A0"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single" w:sz="12" w:space="0" w:color="auto"/>
              <w:right w:val="nil"/>
            </w:tcBorders>
          </w:tcPr>
          <w:p w14:paraId="3844AD2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single" w:sz="12" w:space="0" w:color="auto"/>
              <w:right w:val="nil"/>
            </w:tcBorders>
          </w:tcPr>
          <w:p w14:paraId="3DB2F4C7"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2" w:type="pct"/>
            <w:tcBorders>
              <w:top w:val="nil"/>
              <w:left w:val="nil"/>
              <w:bottom w:val="single" w:sz="12" w:space="0" w:color="auto"/>
              <w:right w:val="nil"/>
            </w:tcBorders>
          </w:tcPr>
          <w:p w14:paraId="156540B3"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c>
          <w:tcPr>
            <w:tcW w:w="611" w:type="pct"/>
            <w:tcBorders>
              <w:top w:val="nil"/>
              <w:left w:val="nil"/>
              <w:bottom w:val="single" w:sz="12" w:space="0" w:color="auto"/>
              <w:right w:val="nil"/>
            </w:tcBorders>
          </w:tcPr>
          <w:p w14:paraId="686FD4AA" w14:textId="77777777" w:rsidR="00DB57F4" w:rsidRPr="00A7211C" w:rsidRDefault="00DB57F4" w:rsidP="00233168">
            <w:pPr>
              <w:jc w:val="center"/>
              <w:rPr>
                <w:rFonts w:ascii="Times New Roman" w:hAnsi="Times New Roman" w:cs="Times New Roman"/>
                <w:sz w:val="18"/>
                <w:szCs w:val="18"/>
              </w:rPr>
            </w:pPr>
            <w:r w:rsidRPr="00A7211C">
              <w:rPr>
                <w:rFonts w:ascii="Times New Roman" w:hAnsi="Times New Roman" w:cs="Times New Roman"/>
                <w:sz w:val="18"/>
                <w:szCs w:val="18"/>
              </w:rPr>
              <w:t>YES</w:t>
            </w:r>
          </w:p>
        </w:tc>
      </w:tr>
    </w:tbl>
    <w:bookmarkEnd w:id="2"/>
    <w:p w14:paraId="645FD27E" w14:textId="77777777" w:rsidR="00DB57F4" w:rsidRPr="00A7211C" w:rsidRDefault="00DB57F4" w:rsidP="00DB57F4">
      <w:pPr>
        <w:rPr>
          <w:rFonts w:ascii="Times New Roman" w:hAnsi="Times New Roman" w:cs="Times New Roman"/>
        </w:rPr>
      </w:pPr>
      <w:r w:rsidRPr="006557B0">
        <w:rPr>
          <w:rFonts w:ascii="Times New Roman" w:hAnsi="Times New Roman" w:cs="Times New Roman"/>
          <w:i/>
          <w:iCs/>
        </w:rPr>
        <w:t>Note</w:t>
      </w:r>
      <w:r w:rsidRPr="00A7211C">
        <w:rPr>
          <w:rFonts w:ascii="Times New Roman" w:hAnsi="Times New Roman" w:cs="Times New Roman"/>
        </w:rPr>
        <w:t xml:space="preserve">: </w:t>
      </w:r>
      <w:r w:rsidRPr="006557B0">
        <w:rPr>
          <w:rFonts w:ascii="Times New Roman" w:hAnsi="Times New Roman" w:cs="Times New Roman" w:hint="eastAsia"/>
        </w:rPr>
        <w:t>The values in parentheses represent robust standard errors clustered at the firm level.</w:t>
      </w:r>
      <w:r>
        <w:rPr>
          <w:rFonts w:ascii="Times New Roman" w:hAnsi="Times New Roman" w:cs="Times New Roman" w:hint="eastAsia"/>
        </w:rPr>
        <w:t xml:space="preserve"> *</w:t>
      </w:r>
      <w:r w:rsidRPr="00A7211C">
        <w:rPr>
          <w:rFonts w:ascii="Times New Roman" w:hAnsi="Times New Roman" w:cs="Times New Roman"/>
        </w:rPr>
        <w:t>**, **, and * represent significance levels of 1%, 5%, and 10%, respectively.</w:t>
      </w:r>
      <w:r>
        <w:rPr>
          <w:rFonts w:ascii="Times New Roman" w:hAnsi="Times New Roman" w:cs="Times New Roman" w:hint="eastAsia"/>
        </w:rPr>
        <w:t xml:space="preserve"> </w:t>
      </w:r>
    </w:p>
    <w:p w14:paraId="4B1B1A71" w14:textId="77777777" w:rsidR="00DB57F4" w:rsidRDefault="00DB57F4" w:rsidP="00DB57F4">
      <w:r>
        <w:rPr>
          <w:rFonts w:hint="eastAsia"/>
        </w:rPr>
        <w:br w:type="page"/>
      </w:r>
    </w:p>
    <w:p w14:paraId="69D245C1" w14:textId="77777777" w:rsidR="00DB57F4" w:rsidRPr="00E17ECE" w:rsidRDefault="00DB57F4" w:rsidP="00DB57F4">
      <w:pPr>
        <w:jc w:val="center"/>
        <w:rPr>
          <w:rFonts w:ascii="Times New Roman" w:hAnsi="Times New Roman" w:cs="Times New Roman"/>
          <w:b/>
          <w:bCs/>
          <w:sz w:val="32"/>
          <w:szCs w:val="32"/>
        </w:rPr>
      </w:pPr>
      <w:bookmarkStart w:id="3" w:name="_Hlk174456422"/>
      <w:r w:rsidRPr="00E17ECE">
        <w:rPr>
          <w:rFonts w:ascii="Times New Roman" w:hAnsi="Times New Roman" w:cs="Times New Roman"/>
          <w:b/>
          <w:bCs/>
          <w:sz w:val="32"/>
          <w:szCs w:val="32"/>
        </w:rPr>
        <w:lastRenderedPageBreak/>
        <w:t>Appendix</w:t>
      </w:r>
    </w:p>
    <w:p w14:paraId="42CADBBF" w14:textId="77777777" w:rsidR="00DB57F4" w:rsidRPr="00E17ECE" w:rsidRDefault="00DB57F4" w:rsidP="00DB57F4">
      <w:pPr>
        <w:rPr>
          <w:rFonts w:ascii="Times New Roman" w:hAnsi="Times New Roman" w:cs="Times New Roman"/>
          <w:szCs w:val="21"/>
        </w:rPr>
      </w:pPr>
      <w:r w:rsidRPr="00E17ECE">
        <w:rPr>
          <w:rFonts w:ascii="Times New Roman" w:hAnsi="Times New Roman" w:cs="Times New Roman"/>
          <w:b/>
          <w:bCs/>
          <w:szCs w:val="21"/>
        </w:rPr>
        <w:t>Table A1</w:t>
      </w:r>
      <w:r w:rsidRPr="00E17ECE">
        <w:rPr>
          <w:rFonts w:ascii="Times New Roman" w:hAnsi="Times New Roman" w:cs="Times New Roman"/>
          <w:szCs w:val="21"/>
        </w:rPr>
        <w:t xml:space="preserve"> Seed words</w:t>
      </w:r>
    </w:p>
    <w:tbl>
      <w:tblPr>
        <w:tblStyle w:val="TableGrid"/>
        <w:tblW w:w="0" w:type="auto"/>
        <w:jc w:val="center"/>
        <w:tblLook w:val="04A0" w:firstRow="1" w:lastRow="0" w:firstColumn="1" w:lastColumn="0" w:noHBand="0" w:noVBand="1"/>
      </w:tblPr>
      <w:tblGrid>
        <w:gridCol w:w="1242"/>
        <w:gridCol w:w="1556"/>
        <w:gridCol w:w="5508"/>
      </w:tblGrid>
      <w:tr w:rsidR="00DB57F4" w:rsidRPr="00E17ECE" w14:paraId="0A421B6C" w14:textId="77777777" w:rsidTr="00233168">
        <w:trPr>
          <w:jc w:val="center"/>
        </w:trPr>
        <w:tc>
          <w:tcPr>
            <w:tcW w:w="2907" w:type="dxa"/>
            <w:gridSpan w:val="2"/>
            <w:tcBorders>
              <w:top w:val="single" w:sz="12" w:space="0" w:color="auto"/>
              <w:left w:val="nil"/>
              <w:bottom w:val="single" w:sz="6" w:space="0" w:color="auto"/>
              <w:right w:val="single" w:sz="4" w:space="0" w:color="auto"/>
            </w:tcBorders>
          </w:tcPr>
          <w:p w14:paraId="7B5D1808" w14:textId="77777777" w:rsidR="00DB57F4" w:rsidRPr="00E17ECE" w:rsidRDefault="00DB57F4" w:rsidP="00233168">
            <w:pPr>
              <w:pStyle w:val="NoSpacing"/>
              <w:jc w:val="center"/>
              <w:rPr>
                <w:sz w:val="21"/>
                <w:szCs w:val="21"/>
              </w:rPr>
            </w:pPr>
            <w:r w:rsidRPr="00E17ECE">
              <w:rPr>
                <w:sz w:val="21"/>
                <w:szCs w:val="21"/>
              </w:rPr>
              <w:t>Dimensions</w:t>
            </w:r>
          </w:p>
        </w:tc>
        <w:tc>
          <w:tcPr>
            <w:tcW w:w="6946" w:type="dxa"/>
            <w:tcBorders>
              <w:top w:val="single" w:sz="12" w:space="0" w:color="auto"/>
              <w:left w:val="single" w:sz="4" w:space="0" w:color="auto"/>
              <w:bottom w:val="single" w:sz="6" w:space="0" w:color="auto"/>
              <w:right w:val="nil"/>
            </w:tcBorders>
          </w:tcPr>
          <w:p w14:paraId="3D6FEF74" w14:textId="77777777" w:rsidR="00DB57F4" w:rsidRPr="00E17ECE" w:rsidRDefault="00DB57F4" w:rsidP="00233168">
            <w:pPr>
              <w:pStyle w:val="NoSpacing"/>
              <w:jc w:val="center"/>
              <w:rPr>
                <w:sz w:val="21"/>
                <w:szCs w:val="21"/>
              </w:rPr>
            </w:pPr>
            <w:r w:rsidRPr="00E17ECE">
              <w:rPr>
                <w:sz w:val="21"/>
                <w:szCs w:val="21"/>
              </w:rPr>
              <w:t>Samples of seed words</w:t>
            </w:r>
          </w:p>
        </w:tc>
      </w:tr>
      <w:tr w:rsidR="00DB57F4" w:rsidRPr="00E17ECE" w14:paraId="6588A029" w14:textId="77777777" w:rsidTr="00233168">
        <w:trPr>
          <w:trHeight w:val="1746"/>
          <w:jc w:val="center"/>
        </w:trPr>
        <w:tc>
          <w:tcPr>
            <w:tcW w:w="2907" w:type="dxa"/>
            <w:gridSpan w:val="2"/>
            <w:tcBorders>
              <w:top w:val="single" w:sz="6" w:space="0" w:color="auto"/>
              <w:left w:val="nil"/>
              <w:bottom w:val="single" w:sz="4" w:space="0" w:color="auto"/>
              <w:right w:val="single" w:sz="4" w:space="0" w:color="auto"/>
            </w:tcBorders>
            <w:vAlign w:val="center"/>
          </w:tcPr>
          <w:p w14:paraId="2522AF64" w14:textId="77777777" w:rsidR="00DB57F4" w:rsidRPr="00E17ECE" w:rsidRDefault="00DB57F4" w:rsidP="00233168">
            <w:pPr>
              <w:pStyle w:val="NoSpacing"/>
              <w:jc w:val="center"/>
              <w:rPr>
                <w:sz w:val="21"/>
                <w:szCs w:val="21"/>
              </w:rPr>
            </w:pPr>
            <w:r w:rsidRPr="00E17ECE">
              <w:rPr>
                <w:sz w:val="21"/>
                <w:szCs w:val="21"/>
              </w:rPr>
              <w:t>Corporate energy innovation</w:t>
            </w:r>
          </w:p>
        </w:tc>
        <w:tc>
          <w:tcPr>
            <w:tcW w:w="6946" w:type="dxa"/>
            <w:tcBorders>
              <w:top w:val="single" w:sz="6" w:space="0" w:color="auto"/>
              <w:left w:val="single" w:sz="4" w:space="0" w:color="auto"/>
              <w:bottom w:val="single" w:sz="4" w:space="0" w:color="auto"/>
              <w:right w:val="nil"/>
            </w:tcBorders>
          </w:tcPr>
          <w:p w14:paraId="3EAF48CC" w14:textId="77777777" w:rsidR="00DB57F4" w:rsidRPr="00E17ECE" w:rsidRDefault="00DB57F4" w:rsidP="00233168">
            <w:pPr>
              <w:pStyle w:val="NoSpacing"/>
              <w:rPr>
                <w:sz w:val="21"/>
                <w:szCs w:val="21"/>
              </w:rPr>
            </w:pPr>
            <w:r w:rsidRPr="00E17ECE">
              <w:rPr>
                <w:sz w:val="21"/>
                <w:szCs w:val="21"/>
              </w:rPr>
              <w:t>Emerging Energy, Green Energy, Renewable Energy, Energy Systems, Energy Innovation, Eco-friendly Technologies, Green Innovation, Cleaner Production Processes, Resource Utili</w:t>
            </w:r>
            <w:r>
              <w:rPr>
                <w:rFonts w:hint="eastAsia"/>
                <w:sz w:val="21"/>
                <w:szCs w:val="21"/>
              </w:rPr>
              <w:t>z</w:t>
            </w:r>
            <w:r w:rsidRPr="00E17ECE">
              <w:rPr>
                <w:sz w:val="21"/>
                <w:szCs w:val="21"/>
              </w:rPr>
              <w:t>ation Technologies, Hydrogen Cycle Systems, Fuel Cells, Hydrogen Technology, Photovoltaic Energy Storage, Green Power Systems, Wind, Solar, Hydropower, Ocean Energy, Biomass, Geothermal Energy, Waste, Combustion Plant</w:t>
            </w:r>
          </w:p>
        </w:tc>
      </w:tr>
      <w:tr w:rsidR="00DB57F4" w:rsidRPr="00E17ECE" w14:paraId="04B9FAE0" w14:textId="77777777" w:rsidTr="00233168">
        <w:trPr>
          <w:jc w:val="center"/>
        </w:trPr>
        <w:tc>
          <w:tcPr>
            <w:tcW w:w="1318" w:type="dxa"/>
            <w:vMerge w:val="restart"/>
            <w:tcBorders>
              <w:top w:val="single" w:sz="4" w:space="0" w:color="auto"/>
              <w:left w:val="nil"/>
              <w:bottom w:val="single" w:sz="4" w:space="0" w:color="auto"/>
              <w:right w:val="single" w:sz="4" w:space="0" w:color="auto"/>
            </w:tcBorders>
            <w:vAlign w:val="center"/>
          </w:tcPr>
          <w:p w14:paraId="45752DDE" w14:textId="77777777" w:rsidR="00DB57F4" w:rsidRPr="00E17ECE" w:rsidRDefault="00DB57F4" w:rsidP="00233168">
            <w:pPr>
              <w:pStyle w:val="NoSpacing"/>
              <w:jc w:val="center"/>
              <w:rPr>
                <w:sz w:val="21"/>
                <w:szCs w:val="21"/>
              </w:rPr>
            </w:pPr>
            <w:r w:rsidRPr="00E17ECE">
              <w:rPr>
                <w:sz w:val="21"/>
                <w:szCs w:val="21"/>
              </w:rPr>
              <w:t>ESG news sentiment</w:t>
            </w:r>
          </w:p>
        </w:tc>
        <w:tc>
          <w:tcPr>
            <w:tcW w:w="1589" w:type="dxa"/>
            <w:tcBorders>
              <w:top w:val="single" w:sz="4" w:space="0" w:color="auto"/>
              <w:left w:val="single" w:sz="4" w:space="0" w:color="auto"/>
              <w:bottom w:val="single" w:sz="4" w:space="0" w:color="auto"/>
              <w:right w:val="single" w:sz="4" w:space="0" w:color="auto"/>
            </w:tcBorders>
            <w:vAlign w:val="center"/>
          </w:tcPr>
          <w:p w14:paraId="3B6D89D8" w14:textId="77777777" w:rsidR="00DB57F4" w:rsidRPr="00E17ECE" w:rsidRDefault="00DB57F4" w:rsidP="00233168">
            <w:pPr>
              <w:pStyle w:val="NoSpacing"/>
              <w:jc w:val="center"/>
              <w:rPr>
                <w:sz w:val="21"/>
                <w:szCs w:val="21"/>
              </w:rPr>
            </w:pPr>
            <w:r w:rsidRPr="00E17ECE">
              <w:rPr>
                <w:sz w:val="21"/>
                <w:szCs w:val="21"/>
              </w:rPr>
              <w:t>Environmental (E)</w:t>
            </w:r>
          </w:p>
        </w:tc>
        <w:tc>
          <w:tcPr>
            <w:tcW w:w="6946" w:type="dxa"/>
            <w:tcBorders>
              <w:top w:val="single" w:sz="4" w:space="0" w:color="auto"/>
              <w:left w:val="single" w:sz="4" w:space="0" w:color="auto"/>
              <w:bottom w:val="single" w:sz="4" w:space="0" w:color="auto"/>
              <w:right w:val="nil"/>
            </w:tcBorders>
          </w:tcPr>
          <w:p w14:paraId="744E0865" w14:textId="77777777" w:rsidR="00DB57F4" w:rsidRPr="00E17ECE" w:rsidRDefault="00DB57F4" w:rsidP="00233168">
            <w:pPr>
              <w:pStyle w:val="NoSpacing"/>
              <w:rPr>
                <w:sz w:val="21"/>
                <w:szCs w:val="21"/>
              </w:rPr>
            </w:pPr>
            <w:r w:rsidRPr="00E17ECE">
              <w:rPr>
                <w:sz w:val="21"/>
                <w:szCs w:val="21"/>
              </w:rPr>
              <w:t>Green Transition, Energy Efficiency and Emission Reduction, Pollution Prevention and Control, Carbon Footprint, Environmental Management,</w:t>
            </w:r>
          </w:p>
          <w:p w14:paraId="70A4FE3A" w14:textId="77777777" w:rsidR="00DB57F4" w:rsidRPr="00E17ECE" w:rsidRDefault="00DB57F4" w:rsidP="00233168">
            <w:pPr>
              <w:pStyle w:val="NoSpacing"/>
              <w:rPr>
                <w:sz w:val="21"/>
                <w:szCs w:val="21"/>
              </w:rPr>
            </w:pPr>
            <w:r w:rsidRPr="00E17ECE">
              <w:rPr>
                <w:sz w:val="21"/>
                <w:szCs w:val="21"/>
              </w:rPr>
              <w:t>Environmental Violations, Environmental Inputs, Waste Management, Energy Strategies, Climate Risks, Ecological Conservation, Biodiversity, Environmental Standards, CO2, Environmental Pollution, Sustainable Development, Carbon Neutrality</w:t>
            </w:r>
          </w:p>
        </w:tc>
      </w:tr>
      <w:tr w:rsidR="00DB57F4" w:rsidRPr="00E17ECE" w14:paraId="2BDECA81" w14:textId="77777777" w:rsidTr="00233168">
        <w:trPr>
          <w:jc w:val="center"/>
        </w:trPr>
        <w:tc>
          <w:tcPr>
            <w:tcW w:w="1318" w:type="dxa"/>
            <w:vMerge/>
            <w:tcBorders>
              <w:top w:val="single" w:sz="4" w:space="0" w:color="auto"/>
              <w:left w:val="nil"/>
              <w:bottom w:val="single" w:sz="4" w:space="0" w:color="auto"/>
              <w:right w:val="single" w:sz="4" w:space="0" w:color="auto"/>
            </w:tcBorders>
          </w:tcPr>
          <w:p w14:paraId="6DDA03F7" w14:textId="77777777" w:rsidR="00DB57F4" w:rsidRPr="00E17ECE" w:rsidRDefault="00DB57F4" w:rsidP="00233168">
            <w:pPr>
              <w:pStyle w:val="NoSpacing"/>
              <w:jc w:val="center"/>
              <w:rPr>
                <w:sz w:val="21"/>
                <w:szCs w:val="21"/>
              </w:rPr>
            </w:pPr>
          </w:p>
        </w:tc>
        <w:tc>
          <w:tcPr>
            <w:tcW w:w="1589" w:type="dxa"/>
            <w:tcBorders>
              <w:top w:val="single" w:sz="4" w:space="0" w:color="auto"/>
              <w:left w:val="single" w:sz="4" w:space="0" w:color="auto"/>
              <w:bottom w:val="single" w:sz="4" w:space="0" w:color="auto"/>
              <w:right w:val="single" w:sz="4" w:space="0" w:color="auto"/>
            </w:tcBorders>
            <w:vAlign w:val="center"/>
          </w:tcPr>
          <w:p w14:paraId="5FD71B75" w14:textId="77777777" w:rsidR="00DB57F4" w:rsidRPr="00E17ECE" w:rsidRDefault="00DB57F4" w:rsidP="00233168">
            <w:pPr>
              <w:pStyle w:val="NoSpacing"/>
              <w:jc w:val="center"/>
              <w:rPr>
                <w:sz w:val="21"/>
                <w:szCs w:val="21"/>
              </w:rPr>
            </w:pPr>
            <w:r w:rsidRPr="00E17ECE">
              <w:rPr>
                <w:sz w:val="21"/>
                <w:szCs w:val="21"/>
              </w:rPr>
              <w:t>Social (S)</w:t>
            </w:r>
          </w:p>
        </w:tc>
        <w:tc>
          <w:tcPr>
            <w:tcW w:w="6946" w:type="dxa"/>
            <w:tcBorders>
              <w:top w:val="single" w:sz="4" w:space="0" w:color="auto"/>
              <w:left w:val="single" w:sz="4" w:space="0" w:color="auto"/>
              <w:bottom w:val="single" w:sz="4" w:space="0" w:color="auto"/>
              <w:right w:val="nil"/>
            </w:tcBorders>
          </w:tcPr>
          <w:p w14:paraId="5A4533BD" w14:textId="77777777" w:rsidR="00DB57F4" w:rsidRPr="00E17ECE" w:rsidRDefault="00DB57F4" w:rsidP="00233168">
            <w:pPr>
              <w:pStyle w:val="NoSpacing"/>
              <w:rPr>
                <w:sz w:val="21"/>
                <w:szCs w:val="21"/>
              </w:rPr>
            </w:pPr>
            <w:r w:rsidRPr="00E17ECE">
              <w:rPr>
                <w:sz w:val="21"/>
                <w:szCs w:val="21"/>
              </w:rPr>
              <w:t xml:space="preserve">Anti-Discrimination, </w:t>
            </w:r>
            <w:proofErr w:type="spellStart"/>
            <w:r w:rsidRPr="00E17ECE">
              <w:rPr>
                <w:sz w:val="21"/>
                <w:szCs w:val="21"/>
              </w:rPr>
              <w:t>Labour</w:t>
            </w:r>
            <w:proofErr w:type="spellEnd"/>
            <w:r w:rsidRPr="00E17ECE">
              <w:rPr>
                <w:sz w:val="21"/>
                <w:szCs w:val="21"/>
              </w:rPr>
              <w:t xml:space="preserve"> Relations, Industrial Disputes, Gender Equality, Employee Welfare, Employee Safety, Equity Incentives, Customer Privacy, Supplier Management, Product Safety, Manufacturing Practices, Social Giving, Precision Poverty Alleviation, Charitable Activities, Public Safety, Community Development, Purchasing and Channel Management, Data Security</w:t>
            </w:r>
          </w:p>
        </w:tc>
      </w:tr>
      <w:tr w:rsidR="00DB57F4" w:rsidRPr="00E17ECE" w14:paraId="2E3FA07B" w14:textId="77777777" w:rsidTr="00233168">
        <w:trPr>
          <w:jc w:val="center"/>
        </w:trPr>
        <w:tc>
          <w:tcPr>
            <w:tcW w:w="1318" w:type="dxa"/>
            <w:vMerge/>
            <w:tcBorders>
              <w:top w:val="single" w:sz="4" w:space="0" w:color="auto"/>
              <w:left w:val="nil"/>
              <w:bottom w:val="single" w:sz="12" w:space="0" w:color="auto"/>
              <w:right w:val="single" w:sz="4" w:space="0" w:color="auto"/>
            </w:tcBorders>
          </w:tcPr>
          <w:p w14:paraId="1D0B7F79" w14:textId="77777777" w:rsidR="00DB57F4" w:rsidRPr="00E17ECE" w:rsidRDefault="00DB57F4" w:rsidP="00233168">
            <w:pPr>
              <w:pStyle w:val="NoSpacing"/>
              <w:jc w:val="center"/>
              <w:rPr>
                <w:sz w:val="21"/>
                <w:szCs w:val="21"/>
              </w:rPr>
            </w:pPr>
          </w:p>
        </w:tc>
        <w:tc>
          <w:tcPr>
            <w:tcW w:w="1589" w:type="dxa"/>
            <w:tcBorders>
              <w:top w:val="single" w:sz="4" w:space="0" w:color="auto"/>
              <w:left w:val="single" w:sz="4" w:space="0" w:color="auto"/>
              <w:bottom w:val="single" w:sz="12" w:space="0" w:color="auto"/>
              <w:right w:val="single" w:sz="4" w:space="0" w:color="auto"/>
            </w:tcBorders>
            <w:vAlign w:val="center"/>
          </w:tcPr>
          <w:p w14:paraId="5D25F8CE" w14:textId="77777777" w:rsidR="00DB57F4" w:rsidRPr="00E17ECE" w:rsidRDefault="00DB57F4" w:rsidP="00233168">
            <w:pPr>
              <w:pStyle w:val="NoSpacing"/>
              <w:jc w:val="center"/>
              <w:rPr>
                <w:sz w:val="21"/>
                <w:szCs w:val="21"/>
              </w:rPr>
            </w:pPr>
            <w:r w:rsidRPr="00E17ECE">
              <w:rPr>
                <w:sz w:val="21"/>
                <w:szCs w:val="21"/>
              </w:rPr>
              <w:t>Governance (G)</w:t>
            </w:r>
          </w:p>
        </w:tc>
        <w:tc>
          <w:tcPr>
            <w:tcW w:w="6946" w:type="dxa"/>
            <w:tcBorders>
              <w:top w:val="single" w:sz="4" w:space="0" w:color="auto"/>
              <w:left w:val="single" w:sz="4" w:space="0" w:color="auto"/>
              <w:bottom w:val="single" w:sz="12" w:space="0" w:color="auto"/>
              <w:right w:val="nil"/>
            </w:tcBorders>
          </w:tcPr>
          <w:p w14:paraId="14C6EB5A" w14:textId="77777777" w:rsidR="00DB57F4" w:rsidRPr="00E17ECE" w:rsidRDefault="00DB57F4" w:rsidP="00233168">
            <w:pPr>
              <w:pStyle w:val="NoSpacing"/>
              <w:rPr>
                <w:sz w:val="21"/>
                <w:szCs w:val="21"/>
              </w:rPr>
            </w:pPr>
            <w:r w:rsidRPr="00E17ECE">
              <w:rPr>
                <w:sz w:val="21"/>
                <w:szCs w:val="21"/>
              </w:rPr>
              <w:t>Business Ethics, Financial Risk, Tax Fraud, Corporate Culture, Operational Risk, Internal Controls, Contractual Disputes, Administrative Penalties, Budgetary Management, Political Contributions, Equity Structure, Board Structure, Women Directors, Executive Compensation, Antitrust, Shareholder Proposals, Investor Relations, Risk Management</w:t>
            </w:r>
          </w:p>
        </w:tc>
      </w:tr>
    </w:tbl>
    <w:p w14:paraId="59FC5EC8" w14:textId="77777777" w:rsidR="00DB57F4" w:rsidRPr="00E17ECE" w:rsidRDefault="00DB57F4" w:rsidP="00DB57F4">
      <w:pPr>
        <w:rPr>
          <w:rFonts w:ascii="Times New Roman" w:hAnsi="Times New Roman" w:cs="Times New Roman"/>
          <w:szCs w:val="21"/>
        </w:rPr>
      </w:pPr>
    </w:p>
    <w:p w14:paraId="41CCFF2A" w14:textId="77777777" w:rsidR="00DB57F4" w:rsidRPr="00E17ECE" w:rsidRDefault="00DB57F4" w:rsidP="00DB57F4">
      <w:pPr>
        <w:rPr>
          <w:rFonts w:ascii="Times New Roman" w:hAnsi="Times New Roman" w:cs="Times New Roman"/>
          <w:szCs w:val="21"/>
        </w:rPr>
      </w:pPr>
      <w:r w:rsidRPr="00E17ECE">
        <w:rPr>
          <w:rFonts w:ascii="Times New Roman" w:hAnsi="Times New Roman" w:cs="Times New Roman"/>
          <w:b/>
          <w:bCs/>
          <w:szCs w:val="21"/>
        </w:rPr>
        <w:t>Table A2</w:t>
      </w:r>
      <w:r w:rsidRPr="00E17ECE">
        <w:rPr>
          <w:rFonts w:ascii="Times New Roman" w:hAnsi="Times New Roman" w:cs="Times New Roman"/>
          <w:szCs w:val="21"/>
        </w:rPr>
        <w:t xml:space="preserve"> Relevant policy documents</w:t>
      </w:r>
    </w:p>
    <w:tbl>
      <w:tblPr>
        <w:tblStyle w:val="TableGrid"/>
        <w:tblW w:w="0" w:type="auto"/>
        <w:jc w:val="center"/>
        <w:tblBorders>
          <w:top w:val="single" w:sz="12" w:space="0" w:color="auto"/>
          <w:left w:val="none" w:sz="0" w:space="0" w:color="auto"/>
          <w:bottom w:val="single" w:sz="12" w:space="0" w:color="auto"/>
          <w:right w:val="none" w:sz="0" w:space="0" w:color="auto"/>
        </w:tblBorders>
        <w:tblLook w:val="04A0" w:firstRow="1" w:lastRow="0" w:firstColumn="1" w:lastColumn="0" w:noHBand="0" w:noVBand="1"/>
      </w:tblPr>
      <w:tblGrid>
        <w:gridCol w:w="1689"/>
        <w:gridCol w:w="1988"/>
        <w:gridCol w:w="4629"/>
      </w:tblGrid>
      <w:tr w:rsidR="00DB57F4" w:rsidRPr="00E17ECE" w14:paraId="55F6E6F6" w14:textId="77777777" w:rsidTr="00233168">
        <w:trPr>
          <w:jc w:val="center"/>
        </w:trPr>
        <w:tc>
          <w:tcPr>
            <w:tcW w:w="0" w:type="auto"/>
            <w:vAlign w:val="center"/>
          </w:tcPr>
          <w:p w14:paraId="7065C64C" w14:textId="77777777" w:rsidR="00DB57F4" w:rsidRPr="00E17ECE" w:rsidRDefault="00DB57F4" w:rsidP="00233168">
            <w:pPr>
              <w:pStyle w:val="NoSpacing"/>
              <w:jc w:val="center"/>
              <w:rPr>
                <w:sz w:val="21"/>
                <w:szCs w:val="21"/>
              </w:rPr>
            </w:pPr>
            <w:r w:rsidRPr="00E17ECE">
              <w:rPr>
                <w:sz w:val="21"/>
                <w:szCs w:val="21"/>
              </w:rPr>
              <w:t>Dimension</w:t>
            </w:r>
          </w:p>
        </w:tc>
        <w:tc>
          <w:tcPr>
            <w:tcW w:w="0" w:type="auto"/>
            <w:vAlign w:val="center"/>
          </w:tcPr>
          <w:p w14:paraId="0B753BDC" w14:textId="77777777" w:rsidR="00DB57F4" w:rsidRPr="00E17ECE" w:rsidRDefault="00DB57F4" w:rsidP="00233168">
            <w:pPr>
              <w:jc w:val="center"/>
              <w:rPr>
                <w:szCs w:val="21"/>
              </w:rPr>
            </w:pPr>
            <w:r w:rsidRPr="00E17ECE">
              <w:rPr>
                <w:szCs w:val="21"/>
              </w:rPr>
              <w:t>Published agency</w:t>
            </w:r>
          </w:p>
        </w:tc>
        <w:tc>
          <w:tcPr>
            <w:tcW w:w="0" w:type="auto"/>
            <w:vAlign w:val="center"/>
          </w:tcPr>
          <w:p w14:paraId="2B863047" w14:textId="77777777" w:rsidR="00DB57F4" w:rsidRPr="00E17ECE" w:rsidRDefault="00DB57F4" w:rsidP="00233168">
            <w:pPr>
              <w:jc w:val="center"/>
              <w:rPr>
                <w:szCs w:val="21"/>
              </w:rPr>
            </w:pPr>
            <w:r w:rsidRPr="00E17ECE">
              <w:rPr>
                <w:szCs w:val="21"/>
              </w:rPr>
              <w:t>Relevant policy documents</w:t>
            </w:r>
          </w:p>
        </w:tc>
      </w:tr>
      <w:tr w:rsidR="00DB57F4" w:rsidRPr="00E17ECE" w14:paraId="4ED75656" w14:textId="77777777" w:rsidTr="00233168">
        <w:trPr>
          <w:trHeight w:val="852"/>
          <w:jc w:val="center"/>
        </w:trPr>
        <w:tc>
          <w:tcPr>
            <w:tcW w:w="0" w:type="auto"/>
            <w:vMerge w:val="restart"/>
            <w:vAlign w:val="center"/>
          </w:tcPr>
          <w:p w14:paraId="7C075D08" w14:textId="77777777" w:rsidR="00DB57F4" w:rsidRPr="00E17ECE" w:rsidRDefault="00DB57F4" w:rsidP="00233168">
            <w:pPr>
              <w:pStyle w:val="NoSpacing"/>
              <w:jc w:val="center"/>
              <w:rPr>
                <w:sz w:val="21"/>
                <w:szCs w:val="21"/>
              </w:rPr>
            </w:pPr>
            <w:r w:rsidRPr="00E17ECE">
              <w:rPr>
                <w:sz w:val="21"/>
                <w:szCs w:val="21"/>
              </w:rPr>
              <w:t>Corporate energy innovation</w:t>
            </w:r>
          </w:p>
        </w:tc>
        <w:tc>
          <w:tcPr>
            <w:tcW w:w="0" w:type="auto"/>
            <w:vAlign w:val="center"/>
          </w:tcPr>
          <w:p w14:paraId="4188EACD" w14:textId="77777777" w:rsidR="00DB57F4" w:rsidRPr="00E17ECE" w:rsidRDefault="00DB57F4" w:rsidP="00233168">
            <w:pPr>
              <w:pStyle w:val="NoSpacing"/>
              <w:rPr>
                <w:sz w:val="21"/>
                <w:szCs w:val="21"/>
              </w:rPr>
            </w:pPr>
            <w:r w:rsidRPr="00E17ECE">
              <w:rPr>
                <w:sz w:val="21"/>
                <w:szCs w:val="21"/>
              </w:rPr>
              <w:t>Chinese government</w:t>
            </w:r>
          </w:p>
        </w:tc>
        <w:tc>
          <w:tcPr>
            <w:tcW w:w="0" w:type="auto"/>
            <w:vAlign w:val="center"/>
          </w:tcPr>
          <w:p w14:paraId="3CA48DB8" w14:textId="77777777" w:rsidR="00DB57F4" w:rsidRPr="00E17ECE" w:rsidRDefault="00DB57F4" w:rsidP="00233168">
            <w:pPr>
              <w:pStyle w:val="NoSpacing"/>
              <w:rPr>
                <w:i/>
                <w:iCs/>
                <w:sz w:val="21"/>
                <w:szCs w:val="21"/>
              </w:rPr>
            </w:pPr>
            <w:r w:rsidRPr="00E17ECE">
              <w:rPr>
                <w:i/>
                <w:iCs/>
                <w:sz w:val="21"/>
                <w:szCs w:val="21"/>
              </w:rPr>
              <w:t>The 14th Five-Year Plan for Science and Technology Innovation in the Energy Sector,</w:t>
            </w:r>
          </w:p>
          <w:p w14:paraId="0FDD9E1E" w14:textId="77777777" w:rsidR="00DB57F4" w:rsidRPr="00E17ECE" w:rsidRDefault="00DB57F4" w:rsidP="00233168">
            <w:pPr>
              <w:pStyle w:val="NoSpacing"/>
              <w:rPr>
                <w:i/>
                <w:iCs/>
                <w:sz w:val="21"/>
                <w:szCs w:val="21"/>
              </w:rPr>
            </w:pPr>
            <w:r w:rsidRPr="00E17ECE">
              <w:rPr>
                <w:i/>
                <w:iCs/>
                <w:sz w:val="21"/>
                <w:szCs w:val="21"/>
              </w:rPr>
              <w:t>Guiding Opinions on Energy Work in 2024,</w:t>
            </w:r>
          </w:p>
          <w:p w14:paraId="4407A94F" w14:textId="77777777" w:rsidR="00DB57F4" w:rsidRPr="00E17ECE" w:rsidRDefault="00DB57F4" w:rsidP="00233168">
            <w:pPr>
              <w:pStyle w:val="NoSpacing"/>
              <w:rPr>
                <w:i/>
                <w:iCs/>
                <w:sz w:val="21"/>
                <w:szCs w:val="21"/>
              </w:rPr>
            </w:pPr>
            <w:r w:rsidRPr="00E17ECE">
              <w:rPr>
                <w:i/>
                <w:iCs/>
                <w:sz w:val="21"/>
                <w:szCs w:val="21"/>
              </w:rPr>
              <w:t>China Energy Development Report 2024,</w:t>
            </w:r>
          </w:p>
          <w:p w14:paraId="74F70F51" w14:textId="77777777" w:rsidR="00DB57F4" w:rsidRPr="00E17ECE" w:rsidRDefault="00DB57F4" w:rsidP="00233168">
            <w:pPr>
              <w:pStyle w:val="NoSpacing"/>
              <w:rPr>
                <w:i/>
                <w:iCs/>
                <w:sz w:val="21"/>
                <w:szCs w:val="21"/>
              </w:rPr>
            </w:pPr>
            <w:r w:rsidRPr="00E17ECE">
              <w:rPr>
                <w:i/>
                <w:iCs/>
                <w:sz w:val="21"/>
                <w:szCs w:val="21"/>
              </w:rPr>
              <w:t>China Electricity Development Report 2024,</w:t>
            </w:r>
          </w:p>
          <w:p w14:paraId="45138B8A" w14:textId="77777777" w:rsidR="00DB57F4" w:rsidRPr="00E17ECE" w:rsidRDefault="00DB57F4" w:rsidP="00233168">
            <w:pPr>
              <w:pStyle w:val="NoSpacing"/>
              <w:rPr>
                <w:i/>
                <w:iCs/>
                <w:sz w:val="21"/>
                <w:szCs w:val="21"/>
              </w:rPr>
            </w:pPr>
            <w:r w:rsidRPr="00E17ECE">
              <w:rPr>
                <w:i/>
                <w:iCs/>
                <w:sz w:val="21"/>
                <w:szCs w:val="21"/>
              </w:rPr>
              <w:t xml:space="preserve">Action </w:t>
            </w:r>
            <w:proofErr w:type="spellStart"/>
            <w:r w:rsidRPr="00E17ECE">
              <w:rPr>
                <w:i/>
                <w:iCs/>
                <w:sz w:val="21"/>
                <w:szCs w:val="21"/>
              </w:rPr>
              <w:t>Programme</w:t>
            </w:r>
            <w:proofErr w:type="spellEnd"/>
            <w:r w:rsidRPr="00E17ECE">
              <w:rPr>
                <w:i/>
                <w:iCs/>
                <w:sz w:val="21"/>
                <w:szCs w:val="21"/>
              </w:rPr>
              <w:t xml:space="preserve"> on Energy Conservation and Carbon Reduction 2024-2025,</w:t>
            </w:r>
          </w:p>
          <w:p w14:paraId="19DD0361" w14:textId="77777777" w:rsidR="00DB57F4" w:rsidRPr="00E17ECE" w:rsidRDefault="00DB57F4" w:rsidP="00233168">
            <w:pPr>
              <w:pStyle w:val="NoSpacing"/>
              <w:rPr>
                <w:i/>
                <w:iCs/>
                <w:sz w:val="21"/>
                <w:szCs w:val="21"/>
              </w:rPr>
            </w:pPr>
            <w:r w:rsidRPr="00E17ECE">
              <w:rPr>
                <w:i/>
                <w:iCs/>
                <w:sz w:val="21"/>
                <w:szCs w:val="21"/>
              </w:rPr>
              <w:t>Annual Development Report of China's Electricity Industry 2024</w:t>
            </w:r>
          </w:p>
        </w:tc>
      </w:tr>
      <w:tr w:rsidR="00DB57F4" w:rsidRPr="00E17ECE" w14:paraId="78C82A86" w14:textId="77777777" w:rsidTr="00233168">
        <w:trPr>
          <w:trHeight w:val="851"/>
          <w:jc w:val="center"/>
        </w:trPr>
        <w:tc>
          <w:tcPr>
            <w:tcW w:w="0" w:type="auto"/>
            <w:vMerge/>
            <w:vAlign w:val="center"/>
          </w:tcPr>
          <w:p w14:paraId="361800A0" w14:textId="77777777" w:rsidR="00DB57F4" w:rsidRPr="00E17ECE" w:rsidRDefault="00DB57F4" w:rsidP="00233168">
            <w:pPr>
              <w:pStyle w:val="NoSpacing"/>
              <w:jc w:val="center"/>
              <w:rPr>
                <w:sz w:val="21"/>
                <w:szCs w:val="21"/>
              </w:rPr>
            </w:pPr>
          </w:p>
        </w:tc>
        <w:tc>
          <w:tcPr>
            <w:tcW w:w="0" w:type="auto"/>
            <w:vAlign w:val="center"/>
          </w:tcPr>
          <w:p w14:paraId="51DCDCBB" w14:textId="77777777" w:rsidR="00DB57F4" w:rsidRPr="00E17ECE" w:rsidRDefault="00DB57F4" w:rsidP="00233168">
            <w:pPr>
              <w:pStyle w:val="NoSpacing"/>
              <w:jc w:val="center"/>
              <w:rPr>
                <w:sz w:val="21"/>
                <w:szCs w:val="21"/>
              </w:rPr>
            </w:pPr>
            <w:r w:rsidRPr="00E17ECE">
              <w:rPr>
                <w:sz w:val="21"/>
                <w:szCs w:val="21"/>
              </w:rPr>
              <w:t>International Energy Agency (IEA)</w:t>
            </w:r>
          </w:p>
        </w:tc>
        <w:tc>
          <w:tcPr>
            <w:tcW w:w="0" w:type="auto"/>
            <w:vAlign w:val="center"/>
          </w:tcPr>
          <w:p w14:paraId="210CCD46" w14:textId="77777777" w:rsidR="00DB57F4" w:rsidRPr="00E17ECE" w:rsidRDefault="00DB57F4" w:rsidP="00233168">
            <w:pPr>
              <w:pStyle w:val="NoSpacing"/>
              <w:rPr>
                <w:i/>
                <w:iCs/>
                <w:sz w:val="21"/>
                <w:szCs w:val="21"/>
              </w:rPr>
            </w:pPr>
            <w:r w:rsidRPr="00E17ECE">
              <w:rPr>
                <w:i/>
                <w:iCs/>
                <w:sz w:val="21"/>
                <w:szCs w:val="21"/>
              </w:rPr>
              <w:t>Tracking Clean Energy Innovation - Analysis report.</w:t>
            </w:r>
          </w:p>
          <w:p w14:paraId="032BBA05" w14:textId="77777777" w:rsidR="00DB57F4" w:rsidRPr="00E17ECE" w:rsidRDefault="00DB57F4" w:rsidP="00233168">
            <w:pPr>
              <w:pStyle w:val="NoSpacing"/>
              <w:rPr>
                <w:i/>
                <w:iCs/>
                <w:sz w:val="21"/>
                <w:szCs w:val="21"/>
              </w:rPr>
            </w:pPr>
            <w:r w:rsidRPr="00E17ECE">
              <w:rPr>
                <w:i/>
                <w:iCs/>
                <w:sz w:val="21"/>
                <w:szCs w:val="21"/>
              </w:rPr>
              <w:t>Global Energy Transition Overview 2023</w:t>
            </w:r>
          </w:p>
          <w:p w14:paraId="3F8BFF26" w14:textId="77777777" w:rsidR="00DB57F4" w:rsidRPr="00E17ECE" w:rsidRDefault="00DB57F4" w:rsidP="00233168">
            <w:pPr>
              <w:pStyle w:val="NoSpacing"/>
              <w:rPr>
                <w:sz w:val="21"/>
                <w:szCs w:val="21"/>
              </w:rPr>
            </w:pPr>
            <w:r w:rsidRPr="00E17ECE">
              <w:rPr>
                <w:i/>
                <w:iCs/>
                <w:sz w:val="21"/>
                <w:szCs w:val="21"/>
              </w:rPr>
              <w:t>Tracking Clean Energy Progress 2023</w:t>
            </w:r>
          </w:p>
        </w:tc>
      </w:tr>
      <w:tr w:rsidR="00DB57F4" w:rsidRPr="00E17ECE" w14:paraId="5291BA67" w14:textId="77777777" w:rsidTr="00233168">
        <w:trPr>
          <w:trHeight w:val="558"/>
          <w:jc w:val="center"/>
        </w:trPr>
        <w:tc>
          <w:tcPr>
            <w:tcW w:w="0" w:type="auto"/>
            <w:vMerge w:val="restart"/>
            <w:vAlign w:val="center"/>
          </w:tcPr>
          <w:p w14:paraId="32143FBB" w14:textId="77777777" w:rsidR="00DB57F4" w:rsidRPr="00E17ECE" w:rsidRDefault="00DB57F4" w:rsidP="00233168">
            <w:pPr>
              <w:pStyle w:val="NoSpacing"/>
              <w:jc w:val="center"/>
              <w:rPr>
                <w:sz w:val="21"/>
                <w:szCs w:val="21"/>
              </w:rPr>
            </w:pPr>
            <w:r w:rsidRPr="00E17ECE">
              <w:rPr>
                <w:sz w:val="21"/>
                <w:szCs w:val="21"/>
              </w:rPr>
              <w:t>ESG news sentiment</w:t>
            </w:r>
          </w:p>
        </w:tc>
        <w:tc>
          <w:tcPr>
            <w:tcW w:w="0" w:type="auto"/>
            <w:vAlign w:val="center"/>
          </w:tcPr>
          <w:p w14:paraId="4DDDB5E2" w14:textId="77777777" w:rsidR="00DB57F4" w:rsidRPr="00E17ECE" w:rsidRDefault="00DB57F4" w:rsidP="00233168">
            <w:pPr>
              <w:pStyle w:val="NoSpacing"/>
              <w:jc w:val="center"/>
              <w:rPr>
                <w:sz w:val="21"/>
                <w:szCs w:val="21"/>
              </w:rPr>
            </w:pPr>
            <w:r w:rsidRPr="00E17ECE">
              <w:rPr>
                <w:sz w:val="21"/>
                <w:szCs w:val="21"/>
              </w:rPr>
              <w:t>Chinese government</w:t>
            </w:r>
          </w:p>
        </w:tc>
        <w:tc>
          <w:tcPr>
            <w:tcW w:w="0" w:type="auto"/>
            <w:vAlign w:val="center"/>
          </w:tcPr>
          <w:p w14:paraId="4D978DD8" w14:textId="77777777" w:rsidR="00DB57F4" w:rsidRPr="00E17ECE" w:rsidRDefault="00DB57F4" w:rsidP="00233168">
            <w:pPr>
              <w:pStyle w:val="NoSpacing"/>
              <w:rPr>
                <w:i/>
                <w:iCs/>
                <w:sz w:val="21"/>
                <w:szCs w:val="21"/>
              </w:rPr>
            </w:pPr>
            <w:r w:rsidRPr="00E17ECE">
              <w:rPr>
                <w:i/>
                <w:iCs/>
                <w:sz w:val="21"/>
                <w:szCs w:val="21"/>
              </w:rPr>
              <w:t>Work Program on Improving the Quality of Listed Companies Held by Central Enterprises,</w:t>
            </w:r>
          </w:p>
          <w:p w14:paraId="4A298324" w14:textId="77777777" w:rsidR="00DB57F4" w:rsidRPr="00E17ECE" w:rsidRDefault="00DB57F4" w:rsidP="00233168">
            <w:pPr>
              <w:pStyle w:val="NoSpacing"/>
              <w:rPr>
                <w:i/>
                <w:iCs/>
                <w:sz w:val="21"/>
                <w:szCs w:val="21"/>
              </w:rPr>
            </w:pPr>
            <w:r w:rsidRPr="00E17ECE">
              <w:rPr>
                <w:i/>
                <w:iCs/>
                <w:sz w:val="21"/>
                <w:szCs w:val="21"/>
              </w:rPr>
              <w:t>Administrative Measures for Voluntary Greenhouse Gas Emission Reduction Trading (for Trial Implementation),</w:t>
            </w:r>
          </w:p>
          <w:p w14:paraId="3598D698" w14:textId="77777777" w:rsidR="00DB57F4" w:rsidRPr="00E17ECE" w:rsidRDefault="00DB57F4" w:rsidP="00233168">
            <w:pPr>
              <w:pStyle w:val="NoSpacing"/>
              <w:rPr>
                <w:i/>
                <w:iCs/>
                <w:sz w:val="21"/>
                <w:szCs w:val="21"/>
              </w:rPr>
            </w:pPr>
            <w:r w:rsidRPr="00E17ECE">
              <w:rPr>
                <w:i/>
                <w:iCs/>
                <w:sz w:val="21"/>
                <w:szCs w:val="21"/>
              </w:rPr>
              <w:t>Report on ESG Actions of Chinese Listed Companies (2022-2023),</w:t>
            </w:r>
          </w:p>
          <w:p w14:paraId="436D48E1" w14:textId="77777777" w:rsidR="00DB57F4" w:rsidRPr="00E17ECE" w:rsidRDefault="00DB57F4" w:rsidP="00233168">
            <w:pPr>
              <w:pStyle w:val="NoSpacing"/>
              <w:rPr>
                <w:i/>
                <w:iCs/>
                <w:sz w:val="21"/>
                <w:szCs w:val="21"/>
              </w:rPr>
            </w:pPr>
            <w:r w:rsidRPr="00E17ECE">
              <w:rPr>
                <w:i/>
                <w:iCs/>
                <w:sz w:val="21"/>
                <w:szCs w:val="21"/>
              </w:rPr>
              <w:lastRenderedPageBreak/>
              <w:t>Administrative Measures for the Legal Disclosure of Environmental Information of Enterprises</w:t>
            </w:r>
          </w:p>
        </w:tc>
      </w:tr>
      <w:tr w:rsidR="00DB57F4" w:rsidRPr="00E17ECE" w14:paraId="258A52FE" w14:textId="77777777" w:rsidTr="00233168">
        <w:trPr>
          <w:trHeight w:val="993"/>
          <w:jc w:val="center"/>
        </w:trPr>
        <w:tc>
          <w:tcPr>
            <w:tcW w:w="0" w:type="auto"/>
            <w:vMerge/>
            <w:vAlign w:val="center"/>
          </w:tcPr>
          <w:p w14:paraId="3BA8D304" w14:textId="77777777" w:rsidR="00DB57F4" w:rsidRPr="00E17ECE" w:rsidRDefault="00DB57F4" w:rsidP="00233168">
            <w:pPr>
              <w:pStyle w:val="NoSpacing"/>
              <w:jc w:val="center"/>
              <w:rPr>
                <w:sz w:val="21"/>
                <w:szCs w:val="21"/>
              </w:rPr>
            </w:pPr>
          </w:p>
        </w:tc>
        <w:tc>
          <w:tcPr>
            <w:tcW w:w="0" w:type="auto"/>
            <w:vAlign w:val="center"/>
          </w:tcPr>
          <w:p w14:paraId="56B412E0" w14:textId="77777777" w:rsidR="00DB57F4" w:rsidRPr="00E17ECE" w:rsidRDefault="00DB57F4" w:rsidP="00233168">
            <w:pPr>
              <w:pStyle w:val="NoSpacing"/>
              <w:jc w:val="center"/>
              <w:rPr>
                <w:sz w:val="21"/>
                <w:szCs w:val="21"/>
              </w:rPr>
            </w:pPr>
            <w:r w:rsidRPr="00E17ECE">
              <w:rPr>
                <w:sz w:val="21"/>
                <w:szCs w:val="21"/>
              </w:rPr>
              <w:t>Hong Kong Stock Exchange</w:t>
            </w:r>
          </w:p>
        </w:tc>
        <w:tc>
          <w:tcPr>
            <w:tcW w:w="0" w:type="auto"/>
            <w:vAlign w:val="center"/>
          </w:tcPr>
          <w:p w14:paraId="5544EDB8" w14:textId="77777777" w:rsidR="00DB57F4" w:rsidRPr="00E17ECE" w:rsidRDefault="00DB57F4" w:rsidP="00233168">
            <w:pPr>
              <w:pStyle w:val="NoSpacing"/>
              <w:rPr>
                <w:i/>
                <w:iCs/>
                <w:sz w:val="21"/>
                <w:szCs w:val="21"/>
              </w:rPr>
            </w:pPr>
            <w:r w:rsidRPr="00E17ECE">
              <w:rPr>
                <w:i/>
                <w:iCs/>
                <w:sz w:val="21"/>
                <w:szCs w:val="21"/>
              </w:rPr>
              <w:t>Listing Committee Report 2022,</w:t>
            </w:r>
          </w:p>
          <w:p w14:paraId="50609D96" w14:textId="77777777" w:rsidR="00DB57F4" w:rsidRPr="00E17ECE" w:rsidRDefault="00DB57F4" w:rsidP="00233168">
            <w:pPr>
              <w:pStyle w:val="NoSpacing"/>
              <w:rPr>
                <w:sz w:val="21"/>
                <w:szCs w:val="21"/>
              </w:rPr>
            </w:pPr>
            <w:r w:rsidRPr="00E17ECE">
              <w:rPr>
                <w:i/>
                <w:iCs/>
                <w:sz w:val="21"/>
                <w:szCs w:val="21"/>
              </w:rPr>
              <w:t>Guidelines on Environmental, Social and Regulatory Reporting (Third Edition)</w:t>
            </w:r>
          </w:p>
        </w:tc>
      </w:tr>
      <w:tr w:rsidR="00DB57F4" w:rsidRPr="00E17ECE" w14:paraId="2C439B2C" w14:textId="77777777" w:rsidTr="00233168">
        <w:trPr>
          <w:trHeight w:val="657"/>
          <w:jc w:val="center"/>
        </w:trPr>
        <w:tc>
          <w:tcPr>
            <w:tcW w:w="0" w:type="auto"/>
            <w:vMerge/>
            <w:vAlign w:val="center"/>
          </w:tcPr>
          <w:p w14:paraId="469EA966" w14:textId="77777777" w:rsidR="00DB57F4" w:rsidRPr="00E17ECE" w:rsidRDefault="00DB57F4" w:rsidP="00233168">
            <w:pPr>
              <w:pStyle w:val="NoSpacing"/>
              <w:jc w:val="center"/>
              <w:rPr>
                <w:sz w:val="21"/>
                <w:szCs w:val="21"/>
              </w:rPr>
            </w:pPr>
          </w:p>
        </w:tc>
        <w:tc>
          <w:tcPr>
            <w:tcW w:w="0" w:type="auto"/>
            <w:vAlign w:val="center"/>
          </w:tcPr>
          <w:p w14:paraId="4FD580B3" w14:textId="77777777" w:rsidR="00DB57F4" w:rsidRPr="00E17ECE" w:rsidRDefault="00DB57F4" w:rsidP="00233168">
            <w:pPr>
              <w:pStyle w:val="NoSpacing"/>
              <w:jc w:val="center"/>
              <w:rPr>
                <w:sz w:val="21"/>
                <w:szCs w:val="21"/>
              </w:rPr>
            </w:pPr>
            <w:r w:rsidRPr="00E17ECE">
              <w:rPr>
                <w:sz w:val="21"/>
                <w:szCs w:val="21"/>
              </w:rPr>
              <w:t>Global Reporting Initiative</w:t>
            </w:r>
          </w:p>
        </w:tc>
        <w:tc>
          <w:tcPr>
            <w:tcW w:w="0" w:type="auto"/>
            <w:vAlign w:val="center"/>
          </w:tcPr>
          <w:p w14:paraId="4CB73A47" w14:textId="77777777" w:rsidR="00DB57F4" w:rsidRPr="00E17ECE" w:rsidRDefault="00DB57F4" w:rsidP="00233168">
            <w:pPr>
              <w:pStyle w:val="NoSpacing"/>
              <w:rPr>
                <w:i/>
                <w:iCs/>
                <w:sz w:val="21"/>
                <w:szCs w:val="21"/>
              </w:rPr>
            </w:pPr>
            <w:r w:rsidRPr="00E17ECE">
              <w:rPr>
                <w:i/>
                <w:iCs/>
                <w:sz w:val="21"/>
                <w:szCs w:val="21"/>
              </w:rPr>
              <w:t>Global Reporting Initiative</w:t>
            </w:r>
          </w:p>
        </w:tc>
      </w:tr>
      <w:tr w:rsidR="00DB57F4" w:rsidRPr="00E17ECE" w14:paraId="450325A6" w14:textId="77777777" w:rsidTr="00233168">
        <w:trPr>
          <w:trHeight w:val="708"/>
          <w:jc w:val="center"/>
        </w:trPr>
        <w:tc>
          <w:tcPr>
            <w:tcW w:w="0" w:type="auto"/>
            <w:vMerge/>
            <w:vAlign w:val="center"/>
          </w:tcPr>
          <w:p w14:paraId="38A4B79C" w14:textId="77777777" w:rsidR="00DB57F4" w:rsidRPr="00E17ECE" w:rsidRDefault="00DB57F4" w:rsidP="00233168">
            <w:pPr>
              <w:pStyle w:val="NoSpacing"/>
              <w:jc w:val="center"/>
              <w:rPr>
                <w:sz w:val="21"/>
                <w:szCs w:val="21"/>
              </w:rPr>
            </w:pPr>
          </w:p>
        </w:tc>
        <w:tc>
          <w:tcPr>
            <w:tcW w:w="0" w:type="auto"/>
            <w:vAlign w:val="center"/>
          </w:tcPr>
          <w:p w14:paraId="2224A03C" w14:textId="77777777" w:rsidR="00DB57F4" w:rsidRPr="00E17ECE" w:rsidRDefault="00DB57F4" w:rsidP="00233168">
            <w:pPr>
              <w:pStyle w:val="NoSpacing"/>
              <w:jc w:val="center"/>
              <w:rPr>
                <w:sz w:val="21"/>
                <w:szCs w:val="21"/>
              </w:rPr>
            </w:pPr>
            <w:r w:rsidRPr="00E17ECE">
              <w:rPr>
                <w:sz w:val="21"/>
                <w:szCs w:val="21"/>
              </w:rPr>
              <w:t>United Nations (UN)</w:t>
            </w:r>
          </w:p>
        </w:tc>
        <w:tc>
          <w:tcPr>
            <w:tcW w:w="0" w:type="auto"/>
            <w:vAlign w:val="center"/>
          </w:tcPr>
          <w:p w14:paraId="7223D8FD" w14:textId="77777777" w:rsidR="00DB57F4" w:rsidRPr="00E17ECE" w:rsidRDefault="00DB57F4" w:rsidP="00233168">
            <w:pPr>
              <w:pStyle w:val="NoSpacing"/>
              <w:rPr>
                <w:i/>
                <w:iCs/>
                <w:sz w:val="21"/>
                <w:szCs w:val="21"/>
              </w:rPr>
            </w:pPr>
            <w:r w:rsidRPr="00E17ECE">
              <w:rPr>
                <w:i/>
                <w:iCs/>
                <w:sz w:val="21"/>
                <w:szCs w:val="21"/>
              </w:rPr>
              <w:t>UN Global Compact</w:t>
            </w:r>
          </w:p>
          <w:p w14:paraId="64484EC7" w14:textId="77777777" w:rsidR="00DB57F4" w:rsidRPr="00E17ECE" w:rsidRDefault="00DB57F4" w:rsidP="00233168">
            <w:pPr>
              <w:pStyle w:val="NoSpacing"/>
              <w:rPr>
                <w:i/>
                <w:iCs/>
                <w:sz w:val="21"/>
                <w:szCs w:val="21"/>
              </w:rPr>
            </w:pPr>
            <w:r w:rsidRPr="00E17ECE">
              <w:rPr>
                <w:i/>
                <w:iCs/>
                <w:sz w:val="21"/>
                <w:szCs w:val="21"/>
              </w:rPr>
              <w:t>UN Sustainable Development Goals (SDGs)</w:t>
            </w:r>
          </w:p>
        </w:tc>
      </w:tr>
      <w:bookmarkEnd w:id="3"/>
    </w:tbl>
    <w:p w14:paraId="24C826BA" w14:textId="77777777" w:rsidR="00DB57F4" w:rsidRPr="00E17ECE" w:rsidRDefault="00DB57F4" w:rsidP="00DB57F4">
      <w:pPr>
        <w:rPr>
          <w:rFonts w:ascii="Times New Roman" w:hAnsi="Times New Roman" w:cs="Times New Roman"/>
          <w:szCs w:val="21"/>
        </w:rPr>
      </w:pPr>
    </w:p>
    <w:p w14:paraId="5792FB53" w14:textId="69D432AE" w:rsidR="00DB57F4" w:rsidRDefault="00DB57F4">
      <w:pPr>
        <w:widowControl/>
        <w:jc w:val="left"/>
        <w:rPr>
          <w:rFonts w:ascii="Times New Roman" w:hAnsi="Times New Roman" w:cs="Times New Roman"/>
          <w:szCs w:val="21"/>
        </w:rPr>
      </w:pPr>
      <w:r>
        <w:rPr>
          <w:rFonts w:ascii="Times New Roman" w:hAnsi="Times New Roman" w:cs="Times New Roman"/>
          <w:szCs w:val="21"/>
        </w:rPr>
        <w:br w:type="page"/>
      </w:r>
    </w:p>
    <w:p w14:paraId="262741AE" w14:textId="77777777" w:rsidR="00076058" w:rsidRPr="000826EF" w:rsidRDefault="00076058" w:rsidP="00076058">
      <w:pPr>
        <w:jc w:val="center"/>
        <w:rPr>
          <w:rFonts w:ascii="Times New Roman" w:hAnsi="Times New Roman" w:cs="Times New Roman"/>
          <w:b/>
          <w:bCs/>
          <w:sz w:val="32"/>
          <w:szCs w:val="32"/>
        </w:rPr>
      </w:pPr>
      <w:r w:rsidRPr="000826EF">
        <w:rPr>
          <w:rFonts w:ascii="Times New Roman" w:hAnsi="Times New Roman" w:cs="Times New Roman"/>
          <w:b/>
          <w:bCs/>
          <w:sz w:val="32"/>
          <w:szCs w:val="32"/>
        </w:rPr>
        <w:lastRenderedPageBreak/>
        <w:t>Figure</w:t>
      </w:r>
    </w:p>
    <w:p w14:paraId="4B0F6EB3" w14:textId="77777777" w:rsidR="00076058" w:rsidRDefault="00076058" w:rsidP="00076058">
      <w:pPr>
        <w:jc w:val="center"/>
      </w:pPr>
      <w:r w:rsidRPr="000826EF">
        <w:rPr>
          <w:noProof/>
        </w:rPr>
        <w:drawing>
          <wp:inline distT="0" distB="0" distL="0" distR="0" wp14:anchorId="3E4D067F" wp14:editId="4DE505E9">
            <wp:extent cx="4473526" cy="3599395"/>
            <wp:effectExtent l="0" t="0" r="0" b="0"/>
            <wp:docPr id="1822879603" name="图片 1" descr="A diagram of a company's energy efficienc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879603" name="图片 1" descr="A diagram of a company's energy efficiency&#10;&#10;AI-generated content may be incorrec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81947" cy="3606171"/>
                    </a:xfrm>
                    <a:prstGeom prst="rect">
                      <a:avLst/>
                    </a:prstGeom>
                    <a:noFill/>
                    <a:ln>
                      <a:noFill/>
                    </a:ln>
                  </pic:spPr>
                </pic:pic>
              </a:graphicData>
            </a:graphic>
          </wp:inline>
        </w:drawing>
      </w:r>
    </w:p>
    <w:p w14:paraId="2A16B59A" w14:textId="77777777" w:rsidR="00076058" w:rsidRPr="00A7211C" w:rsidRDefault="00076058" w:rsidP="00076058">
      <w:pPr>
        <w:rPr>
          <w:rFonts w:ascii="Times New Roman" w:hAnsi="Times New Roman" w:cs="Times New Roman"/>
        </w:rPr>
      </w:pPr>
      <w:r w:rsidRPr="00A7211C">
        <w:rPr>
          <w:rFonts w:ascii="Times New Roman" w:hAnsi="Times New Roman" w:cs="Times New Roman"/>
          <w:b/>
          <w:bCs/>
        </w:rPr>
        <w:t>Figure 1</w:t>
      </w:r>
      <w:r w:rsidRPr="00A7211C">
        <w:rPr>
          <w:rFonts w:ascii="Times New Roman" w:hAnsi="Times New Roman" w:cs="Times New Roman"/>
        </w:rPr>
        <w:t xml:space="preserve"> </w:t>
      </w:r>
      <w:r>
        <w:rPr>
          <w:rFonts w:ascii="Times New Roman" w:hAnsi="Times New Roman" w:cs="Times New Roman" w:hint="eastAsia"/>
        </w:rPr>
        <w:t>Research</w:t>
      </w:r>
      <w:r w:rsidRPr="00A7211C">
        <w:rPr>
          <w:rFonts w:ascii="Times New Roman" w:hAnsi="Times New Roman" w:cs="Times New Roman"/>
        </w:rPr>
        <w:t xml:space="preserve"> framework</w:t>
      </w:r>
      <w:r>
        <w:rPr>
          <w:rFonts w:ascii="Times New Roman" w:hAnsi="Times New Roman" w:cs="Times New Roman" w:hint="eastAsia"/>
        </w:rPr>
        <w:t>.</w:t>
      </w:r>
    </w:p>
    <w:p w14:paraId="44418FFD" w14:textId="77777777" w:rsidR="00076058" w:rsidRDefault="00076058" w:rsidP="00076058"/>
    <w:p w14:paraId="223DBBD9" w14:textId="77777777" w:rsidR="00076058" w:rsidRDefault="00076058" w:rsidP="00076058"/>
    <w:p w14:paraId="355C2CA1" w14:textId="77777777" w:rsidR="00076058" w:rsidRPr="00A7211C" w:rsidRDefault="00076058" w:rsidP="00076058">
      <w:pPr>
        <w:jc w:val="center"/>
        <w:rPr>
          <w:rFonts w:ascii="Times New Roman" w:hAnsi="Times New Roman" w:cs="Times New Roman"/>
        </w:rPr>
      </w:pPr>
      <w:r w:rsidRPr="00A7211C">
        <w:rPr>
          <w:rFonts w:ascii="Times New Roman" w:hAnsi="Times New Roman" w:cs="Times New Roman"/>
          <w:noProof/>
        </w:rPr>
        <w:drawing>
          <wp:inline distT="0" distB="0" distL="0" distR="0" wp14:anchorId="727C6258" wp14:editId="12C0197B">
            <wp:extent cx="5041900" cy="3210551"/>
            <wp:effectExtent l="0" t="0" r="6350" b="9525"/>
            <wp:docPr id="202147438" name="图片 1" descr="A diagram of a networ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47438" name="图片 1" descr="A diagram of a network&#10;&#10;AI-generated content may be incorrec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46180" cy="3213277"/>
                    </a:xfrm>
                    <a:prstGeom prst="rect">
                      <a:avLst/>
                    </a:prstGeom>
                    <a:noFill/>
                    <a:ln>
                      <a:noFill/>
                    </a:ln>
                  </pic:spPr>
                </pic:pic>
              </a:graphicData>
            </a:graphic>
          </wp:inline>
        </w:drawing>
      </w:r>
    </w:p>
    <w:p w14:paraId="2C28EA31" w14:textId="77777777" w:rsidR="00076058" w:rsidRPr="00A7211C" w:rsidRDefault="00076058" w:rsidP="00076058">
      <w:pPr>
        <w:rPr>
          <w:rFonts w:ascii="Times New Roman" w:hAnsi="Times New Roman" w:cs="Times New Roman"/>
        </w:rPr>
      </w:pPr>
      <w:r w:rsidRPr="00A7211C">
        <w:rPr>
          <w:rFonts w:ascii="Times New Roman" w:hAnsi="Times New Roman" w:cs="Times New Roman"/>
          <w:b/>
          <w:bCs/>
        </w:rPr>
        <w:t xml:space="preserve">Figure 2 </w:t>
      </w:r>
      <w:r w:rsidRPr="00A7211C">
        <w:rPr>
          <w:rFonts w:ascii="Times New Roman" w:hAnsi="Times New Roman" w:cs="Times New Roman"/>
        </w:rPr>
        <w:t xml:space="preserve">The process of </w:t>
      </w:r>
      <w:r>
        <w:rPr>
          <w:rFonts w:ascii="Times New Roman" w:hAnsi="Times New Roman" w:cs="Times New Roman" w:hint="eastAsia"/>
        </w:rPr>
        <w:t xml:space="preserve">measuring </w:t>
      </w:r>
      <w:r w:rsidRPr="00A7211C">
        <w:rPr>
          <w:rFonts w:ascii="Times New Roman" w:hAnsi="Times New Roman" w:cs="Times New Roman"/>
          <w:i/>
          <w:iCs/>
        </w:rPr>
        <w:t>CEI</w:t>
      </w:r>
      <w:r w:rsidRPr="00A7211C">
        <w:rPr>
          <w:rFonts w:ascii="Times New Roman" w:hAnsi="Times New Roman" w:cs="Times New Roman"/>
        </w:rPr>
        <w:t xml:space="preserve"> based on </w:t>
      </w:r>
      <w:proofErr w:type="gramStart"/>
      <w:r w:rsidRPr="00A7211C">
        <w:rPr>
          <w:rFonts w:ascii="Times New Roman" w:hAnsi="Times New Roman" w:cs="Times New Roman"/>
        </w:rPr>
        <w:t>the machine</w:t>
      </w:r>
      <w:proofErr w:type="gramEnd"/>
      <w:r w:rsidRPr="00A7211C">
        <w:rPr>
          <w:rFonts w:ascii="Times New Roman" w:hAnsi="Times New Roman" w:cs="Times New Roman"/>
        </w:rPr>
        <w:t xml:space="preserve"> learning and patent information.</w:t>
      </w:r>
    </w:p>
    <w:p w14:paraId="38AD1B24" w14:textId="77777777" w:rsidR="00076058" w:rsidRPr="00A7211C" w:rsidRDefault="00076058" w:rsidP="00076058">
      <w:pPr>
        <w:rPr>
          <w:rFonts w:ascii="Times New Roman" w:hAnsi="Times New Roman" w:cs="Times New Roman"/>
        </w:rPr>
      </w:pPr>
      <w:r w:rsidRPr="00A7211C">
        <w:rPr>
          <w:rFonts w:ascii="Times New Roman" w:hAnsi="Times New Roman" w:cs="Times New Roman"/>
        </w:rPr>
        <w:t xml:space="preserve">* The seed keywords are listed in </w:t>
      </w:r>
      <w:r w:rsidRPr="00A7211C">
        <w:rPr>
          <w:rFonts w:ascii="Times New Roman" w:hAnsi="Times New Roman" w:cs="Times New Roman"/>
          <w:b/>
          <w:bCs/>
        </w:rPr>
        <w:t>Table A1</w:t>
      </w:r>
      <w:r w:rsidRPr="00A7211C">
        <w:rPr>
          <w:rFonts w:ascii="Times New Roman" w:hAnsi="Times New Roman" w:cs="Times New Roman"/>
        </w:rPr>
        <w:t xml:space="preserve"> of the </w:t>
      </w:r>
      <w:r w:rsidRPr="00A7211C">
        <w:rPr>
          <w:rFonts w:ascii="Times New Roman" w:hAnsi="Times New Roman" w:cs="Times New Roman"/>
          <w:b/>
          <w:bCs/>
        </w:rPr>
        <w:t>Appendix</w:t>
      </w:r>
      <w:r w:rsidRPr="00A7211C">
        <w:rPr>
          <w:rFonts w:ascii="Times New Roman" w:hAnsi="Times New Roman" w:cs="Times New Roman"/>
        </w:rPr>
        <w:t>.</w:t>
      </w:r>
    </w:p>
    <w:p w14:paraId="63F6F68A" w14:textId="77777777" w:rsidR="00076058" w:rsidRDefault="00076058" w:rsidP="00076058"/>
    <w:p w14:paraId="145CEA65" w14:textId="77777777" w:rsidR="00076058" w:rsidRDefault="00076058" w:rsidP="00076058"/>
    <w:p w14:paraId="4B98EB80" w14:textId="77777777" w:rsidR="00076058" w:rsidRPr="00A7211C" w:rsidRDefault="00076058" w:rsidP="00076058">
      <w:pPr>
        <w:jc w:val="center"/>
        <w:rPr>
          <w:rFonts w:ascii="Times New Roman" w:hAnsi="Times New Roman" w:cs="Times New Roman"/>
        </w:rPr>
      </w:pPr>
      <w:r w:rsidRPr="00A7211C">
        <w:rPr>
          <w:rFonts w:ascii="Times New Roman" w:hAnsi="Times New Roman" w:cs="Times New Roman"/>
          <w:noProof/>
        </w:rPr>
        <w:drawing>
          <wp:inline distT="0" distB="0" distL="0" distR="0" wp14:anchorId="2AE540BD" wp14:editId="0A80EE51">
            <wp:extent cx="5289550" cy="1706376"/>
            <wp:effectExtent l="0" t="0" r="0" b="0"/>
            <wp:docPr id="1573187308" name="图片 8" descr="A diagram of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3187308" name="图片 8" descr="A diagram of a company&#10;&#10;AI-generated content may be incorrect."/>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320300" cy="1716296"/>
                    </a:xfrm>
                    <a:prstGeom prst="rect">
                      <a:avLst/>
                    </a:prstGeom>
                  </pic:spPr>
                </pic:pic>
              </a:graphicData>
            </a:graphic>
          </wp:inline>
        </w:drawing>
      </w:r>
    </w:p>
    <w:p w14:paraId="448F59ED" w14:textId="77777777" w:rsidR="00076058" w:rsidRPr="00A7211C" w:rsidRDefault="00076058" w:rsidP="00076058">
      <w:pPr>
        <w:rPr>
          <w:rFonts w:ascii="Times New Roman" w:hAnsi="Times New Roman" w:cs="Times New Roman"/>
        </w:rPr>
      </w:pPr>
      <w:r w:rsidRPr="00A7211C">
        <w:rPr>
          <w:rFonts w:ascii="Times New Roman" w:hAnsi="Times New Roman" w:cs="Times New Roman"/>
          <w:b/>
          <w:bCs/>
        </w:rPr>
        <w:t xml:space="preserve">Figure 3 </w:t>
      </w:r>
      <w:r w:rsidRPr="00A7211C">
        <w:rPr>
          <w:rFonts w:ascii="Times New Roman" w:hAnsi="Times New Roman" w:cs="Times New Roman"/>
        </w:rPr>
        <w:t>Primary processing steps of ESG news text data in this study</w:t>
      </w:r>
    </w:p>
    <w:p w14:paraId="4A79BD6D" w14:textId="77777777" w:rsidR="00076058" w:rsidRDefault="00076058" w:rsidP="00076058">
      <w:pPr>
        <w:rPr>
          <w:rFonts w:ascii="Times New Roman" w:hAnsi="Times New Roman" w:cs="Times New Roman"/>
        </w:rPr>
      </w:pPr>
      <w:r w:rsidRPr="00A7211C">
        <w:rPr>
          <w:rFonts w:ascii="Times New Roman" w:hAnsi="Times New Roman" w:cs="Times New Roman"/>
        </w:rPr>
        <w:t xml:space="preserve">* The included database is listed in </w:t>
      </w:r>
      <w:r w:rsidRPr="00A7211C">
        <w:rPr>
          <w:rFonts w:ascii="Times New Roman" w:hAnsi="Times New Roman" w:cs="Times New Roman"/>
          <w:b/>
          <w:bCs/>
        </w:rPr>
        <w:t>Table A2</w:t>
      </w:r>
      <w:r w:rsidRPr="00A7211C">
        <w:rPr>
          <w:rFonts w:ascii="Times New Roman" w:hAnsi="Times New Roman" w:cs="Times New Roman"/>
        </w:rPr>
        <w:t xml:space="preserve"> of the </w:t>
      </w:r>
      <w:r w:rsidRPr="00A7211C">
        <w:rPr>
          <w:rFonts w:ascii="Times New Roman" w:hAnsi="Times New Roman" w:cs="Times New Roman"/>
          <w:b/>
          <w:bCs/>
        </w:rPr>
        <w:t>Appendix</w:t>
      </w:r>
      <w:r w:rsidRPr="00A7211C">
        <w:rPr>
          <w:rFonts w:ascii="Times New Roman" w:hAnsi="Times New Roman" w:cs="Times New Roman"/>
        </w:rPr>
        <w:t>.</w:t>
      </w:r>
    </w:p>
    <w:p w14:paraId="3B64E0C1" w14:textId="77777777" w:rsidR="00076058" w:rsidRDefault="00076058" w:rsidP="00076058">
      <w:pPr>
        <w:rPr>
          <w:rFonts w:ascii="Times New Roman" w:hAnsi="Times New Roman" w:cs="Times New Roman"/>
        </w:rPr>
      </w:pPr>
    </w:p>
    <w:p w14:paraId="280F2402" w14:textId="77777777" w:rsidR="00076058" w:rsidRPr="00BD11E7" w:rsidRDefault="00076058" w:rsidP="00076058">
      <w:pPr>
        <w:jc w:val="center"/>
        <w:rPr>
          <w:rFonts w:ascii="Times New Roman" w:hAnsi="Times New Roman" w:cs="Times New Roman"/>
          <w:color w:val="FF0000"/>
          <w:sz w:val="24"/>
          <w:szCs w:val="24"/>
        </w:rPr>
      </w:pPr>
      <w:r w:rsidRPr="00BD11E7">
        <w:rPr>
          <w:noProof/>
          <w:color w:val="FF0000"/>
        </w:rPr>
        <w:drawing>
          <wp:inline distT="0" distB="0" distL="0" distR="0" wp14:anchorId="40F97D69" wp14:editId="3E4CEF79">
            <wp:extent cx="4572000" cy="2743200"/>
            <wp:effectExtent l="0" t="0" r="0" b="0"/>
            <wp:docPr id="1950369391" name="图表 1">
              <a:extLst xmlns:a="http://schemas.openxmlformats.org/drawingml/2006/main">
                <a:ext uri="{FF2B5EF4-FFF2-40B4-BE49-F238E27FC236}">
                  <a16:creationId xmlns:a16="http://schemas.microsoft.com/office/drawing/2014/main" id="{CA33CFD5-03EC-F174-C6DC-D8BEA094106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7E516AC" w14:textId="77777777" w:rsidR="00076058" w:rsidRPr="00BD11E7" w:rsidRDefault="00076058" w:rsidP="00076058">
      <w:pPr>
        <w:jc w:val="center"/>
        <w:rPr>
          <w:rFonts w:ascii="Times New Roman" w:hAnsi="Times New Roman" w:cs="Times New Roman"/>
          <w:b/>
          <w:bCs/>
          <w:color w:val="FF0000"/>
          <w:szCs w:val="21"/>
        </w:rPr>
      </w:pPr>
      <w:r w:rsidRPr="00BD11E7">
        <w:rPr>
          <w:rFonts w:ascii="Times New Roman" w:hAnsi="Times New Roman" w:cs="Times New Roman" w:hint="eastAsia"/>
          <w:b/>
          <w:bCs/>
          <w:color w:val="FF0000"/>
          <w:szCs w:val="21"/>
        </w:rPr>
        <w:t>Figure 4. Annual Trends in Corporate Energy Innovation and Green Innovation</w:t>
      </w:r>
    </w:p>
    <w:p w14:paraId="5AA3BC4B" w14:textId="77777777" w:rsidR="00076058" w:rsidRPr="00A7211C" w:rsidRDefault="00076058" w:rsidP="00076058">
      <w:pPr>
        <w:jc w:val="center"/>
        <w:rPr>
          <w:rFonts w:ascii="Times New Roman" w:hAnsi="Times New Roman" w:cs="Times New Roman"/>
          <w:sz w:val="24"/>
          <w:szCs w:val="24"/>
        </w:rPr>
      </w:pPr>
      <w:r w:rsidRPr="00A7211C">
        <w:rPr>
          <w:rFonts w:ascii="Times New Roman" w:hAnsi="Times New Roman" w:cs="Times New Roman"/>
          <w:noProof/>
        </w:rPr>
        <w:drawing>
          <wp:inline distT="0" distB="0" distL="0" distR="0" wp14:anchorId="288BD5FE" wp14:editId="01361494">
            <wp:extent cx="3359150" cy="2443128"/>
            <wp:effectExtent l="0" t="0" r="0" b="0"/>
            <wp:docPr id="1666073266" name="图片 2" descr="A graph with lines and do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073266" name="图片 2" descr="A graph with lines and dots&#10;&#10;AI-generated content may be incorrect."/>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374792" cy="2454504"/>
                    </a:xfrm>
                    <a:prstGeom prst="rect">
                      <a:avLst/>
                    </a:prstGeom>
                  </pic:spPr>
                </pic:pic>
              </a:graphicData>
            </a:graphic>
          </wp:inline>
        </w:drawing>
      </w:r>
    </w:p>
    <w:p w14:paraId="567B7418" w14:textId="77777777" w:rsidR="00076058" w:rsidRPr="003253C5" w:rsidRDefault="00076058" w:rsidP="00076058">
      <w:pPr>
        <w:jc w:val="center"/>
        <w:rPr>
          <w:rFonts w:ascii="Times New Roman" w:hAnsi="Times New Roman" w:cs="Times New Roman"/>
          <w:b/>
          <w:bCs/>
          <w:szCs w:val="21"/>
        </w:rPr>
      </w:pPr>
      <w:r w:rsidRPr="003253C5">
        <w:rPr>
          <w:rFonts w:ascii="Times New Roman" w:hAnsi="Times New Roman" w:cs="Times New Roman"/>
          <w:b/>
          <w:bCs/>
          <w:szCs w:val="21"/>
        </w:rPr>
        <w:t xml:space="preserve">Figure </w:t>
      </w:r>
      <w:r>
        <w:rPr>
          <w:rFonts w:ascii="Times New Roman" w:hAnsi="Times New Roman" w:cs="Times New Roman" w:hint="eastAsia"/>
          <w:b/>
          <w:bCs/>
          <w:szCs w:val="21"/>
        </w:rPr>
        <w:t>5.</w:t>
      </w:r>
      <w:r w:rsidRPr="003253C5">
        <w:rPr>
          <w:rFonts w:ascii="Times New Roman" w:hAnsi="Times New Roman" w:cs="Times New Roman"/>
          <w:b/>
          <w:bCs/>
          <w:szCs w:val="21"/>
        </w:rPr>
        <w:t xml:space="preserve"> Parallel trend testing result</w:t>
      </w:r>
    </w:p>
    <w:p w14:paraId="5921974E" w14:textId="77777777" w:rsidR="00076058" w:rsidRDefault="00076058" w:rsidP="00076058">
      <w:pPr>
        <w:rPr>
          <w:rFonts w:ascii="Times New Roman" w:hAnsi="Times New Roman" w:cs="Times New Roman"/>
        </w:rPr>
      </w:pPr>
    </w:p>
    <w:p w14:paraId="78B67C53" w14:textId="77777777" w:rsidR="00076058" w:rsidRPr="00A7211C" w:rsidRDefault="00076058" w:rsidP="00076058">
      <w:pPr>
        <w:jc w:val="center"/>
        <w:rPr>
          <w:rFonts w:ascii="Times New Roman" w:hAnsi="Times New Roman" w:cs="Times New Roman"/>
        </w:rPr>
      </w:pPr>
      <w:r w:rsidRPr="00A7211C">
        <w:rPr>
          <w:rFonts w:ascii="Times New Roman" w:hAnsi="Times New Roman" w:cs="Times New Roman"/>
          <w:noProof/>
        </w:rPr>
        <w:lastRenderedPageBreak/>
        <w:drawing>
          <wp:inline distT="0" distB="0" distL="0" distR="0" wp14:anchorId="03E23C8E" wp14:editId="5888551D">
            <wp:extent cx="3685736" cy="2678645"/>
            <wp:effectExtent l="0" t="0" r="0" b="0"/>
            <wp:docPr id="1176682490" name="图片 2" descr="A graph of a normal distributi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6682490" name="图片 2" descr="A graph of a normal distribution&#10;&#10;AI-generated content may be incorrec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695331" cy="2685619"/>
                    </a:xfrm>
                    <a:prstGeom prst="rect">
                      <a:avLst/>
                    </a:prstGeom>
                  </pic:spPr>
                </pic:pic>
              </a:graphicData>
            </a:graphic>
          </wp:inline>
        </w:drawing>
      </w:r>
    </w:p>
    <w:p w14:paraId="0BCC7910" w14:textId="77777777" w:rsidR="00076058" w:rsidRPr="00E97137" w:rsidRDefault="00076058" w:rsidP="00076058">
      <w:pPr>
        <w:jc w:val="center"/>
        <w:rPr>
          <w:rFonts w:ascii="Times New Roman" w:hAnsi="Times New Roman" w:cs="Times New Roman"/>
        </w:rPr>
      </w:pPr>
      <w:r w:rsidRPr="00A7211C">
        <w:rPr>
          <w:rFonts w:ascii="Times New Roman" w:hAnsi="Times New Roman" w:cs="Times New Roman"/>
          <w:b/>
          <w:bCs/>
        </w:rPr>
        <w:t xml:space="preserve">Figure </w:t>
      </w:r>
      <w:r>
        <w:rPr>
          <w:rFonts w:ascii="Times New Roman" w:hAnsi="Times New Roman" w:cs="Times New Roman" w:hint="eastAsia"/>
          <w:b/>
          <w:bCs/>
        </w:rPr>
        <w:t>6</w:t>
      </w:r>
      <w:r w:rsidRPr="003253C5">
        <w:rPr>
          <w:rFonts w:ascii="Times New Roman" w:hAnsi="Times New Roman" w:cs="Times New Roman" w:hint="eastAsia"/>
          <w:b/>
          <w:bCs/>
        </w:rPr>
        <w:t>.</w:t>
      </w:r>
      <w:r w:rsidRPr="003253C5">
        <w:rPr>
          <w:rFonts w:ascii="Times New Roman" w:hAnsi="Times New Roman" w:cs="Times New Roman"/>
          <w:b/>
          <w:bCs/>
        </w:rPr>
        <w:t xml:space="preserve"> Result of Placebo </w:t>
      </w:r>
      <w:r>
        <w:rPr>
          <w:rFonts w:ascii="Times New Roman" w:hAnsi="Times New Roman" w:cs="Times New Roman" w:hint="eastAsia"/>
          <w:b/>
          <w:bCs/>
        </w:rPr>
        <w:t>T</w:t>
      </w:r>
      <w:r w:rsidRPr="003253C5">
        <w:rPr>
          <w:rFonts w:ascii="Times New Roman" w:hAnsi="Times New Roman" w:cs="Times New Roman"/>
          <w:b/>
          <w:bCs/>
        </w:rPr>
        <w:t>est</w:t>
      </w:r>
    </w:p>
    <w:p w14:paraId="0CA93B52" w14:textId="77777777" w:rsidR="00A02EA3" w:rsidRPr="00227F9D" w:rsidRDefault="00A02EA3" w:rsidP="00264F32">
      <w:pPr>
        <w:ind w:left="420" w:hangingChars="200" w:hanging="420"/>
        <w:rPr>
          <w:rFonts w:ascii="Times New Roman" w:hAnsi="Times New Roman" w:cs="Times New Roman"/>
          <w:szCs w:val="21"/>
        </w:rPr>
      </w:pPr>
    </w:p>
    <w:sectPr w:rsidR="00A02EA3" w:rsidRPr="00227F9D">
      <w:footerReference w:type="defaul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6E56A4" w14:textId="77777777" w:rsidR="00626A27" w:rsidRDefault="00626A27" w:rsidP="003317B0">
      <w:r>
        <w:separator/>
      </w:r>
    </w:p>
  </w:endnote>
  <w:endnote w:type="continuationSeparator" w:id="0">
    <w:p w14:paraId="606AF76A" w14:textId="77777777" w:rsidR="00626A27" w:rsidRDefault="00626A27" w:rsidP="00331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DengXian Light">
    <w:altName w:val="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1642518"/>
      <w:docPartObj>
        <w:docPartGallery w:val="Page Numbers (Bottom of Page)"/>
        <w:docPartUnique/>
      </w:docPartObj>
    </w:sdtPr>
    <w:sdtEndPr>
      <w:rPr>
        <w:rFonts w:ascii="Times New Roman" w:hAnsi="Times New Roman" w:cs="Times New Roman"/>
      </w:rPr>
    </w:sdtEndPr>
    <w:sdtContent>
      <w:p w14:paraId="225D2A12" w14:textId="23E28F0C" w:rsidR="008B588B" w:rsidRPr="008B588B" w:rsidRDefault="008B588B" w:rsidP="008B588B">
        <w:pPr>
          <w:pStyle w:val="Footer"/>
          <w:jc w:val="center"/>
          <w:rPr>
            <w:rFonts w:ascii="Times New Roman" w:hAnsi="Times New Roman" w:cs="Times New Roman"/>
          </w:rPr>
        </w:pPr>
        <w:r w:rsidRPr="008B588B">
          <w:rPr>
            <w:rFonts w:ascii="Times New Roman" w:hAnsi="Times New Roman" w:cs="Times New Roman"/>
          </w:rPr>
          <w:fldChar w:fldCharType="begin"/>
        </w:r>
        <w:r w:rsidRPr="008B588B">
          <w:rPr>
            <w:rFonts w:ascii="Times New Roman" w:hAnsi="Times New Roman" w:cs="Times New Roman"/>
          </w:rPr>
          <w:instrText>PAGE   \* MERGEFORMAT</w:instrText>
        </w:r>
        <w:r w:rsidRPr="008B588B">
          <w:rPr>
            <w:rFonts w:ascii="Times New Roman" w:hAnsi="Times New Roman" w:cs="Times New Roman"/>
          </w:rPr>
          <w:fldChar w:fldCharType="separate"/>
        </w:r>
        <w:r w:rsidRPr="008B588B">
          <w:rPr>
            <w:rFonts w:ascii="Times New Roman" w:hAnsi="Times New Roman" w:cs="Times New Roman"/>
            <w:lang w:val="zh-CN"/>
          </w:rPr>
          <w:t>2</w:t>
        </w:r>
        <w:r w:rsidRPr="008B588B">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3A79D6" w14:textId="77777777" w:rsidR="00626A27" w:rsidRDefault="00626A27" w:rsidP="003317B0">
      <w:r>
        <w:separator/>
      </w:r>
    </w:p>
  </w:footnote>
  <w:footnote w:type="continuationSeparator" w:id="0">
    <w:p w14:paraId="3C0B0E8A" w14:textId="77777777" w:rsidR="00626A27" w:rsidRDefault="00626A27" w:rsidP="003317B0">
      <w:r>
        <w:continuationSeparator/>
      </w:r>
    </w:p>
  </w:footnote>
  <w:footnote w:id="1">
    <w:p w14:paraId="61A301C3" w14:textId="1F39699B" w:rsidR="00CC0105" w:rsidRPr="00CC0105" w:rsidRDefault="00CC0105" w:rsidP="007571BA">
      <w:pPr>
        <w:pStyle w:val="FootnoteText"/>
      </w:pPr>
      <w:r w:rsidRPr="00CC0105">
        <w:rPr>
          <w:rStyle w:val="FootnoteReference"/>
        </w:rPr>
        <w:footnoteRef/>
      </w:r>
      <w:r w:rsidRPr="00CC0105">
        <w:t xml:space="preserve"> </w:t>
      </w:r>
      <w:r w:rsidRPr="00CC0105">
        <w:rPr>
          <w:rFonts w:hint="eastAsia"/>
        </w:rPr>
        <w:t>In this study, we obtain all international news from 2012 to 2022 through the GDELT database. Using Python, we filter ESG-related international news and calculate the annual average ESG sentiment of these international news articles based on machine learning methods.</w:t>
      </w:r>
    </w:p>
  </w:footnote>
  <w:footnote w:id="2">
    <w:p w14:paraId="7A0B1CA4" w14:textId="0B2C1292" w:rsidR="00962AEB" w:rsidRDefault="00962AEB" w:rsidP="007571BA">
      <w:pPr>
        <w:pStyle w:val="FootnoteText"/>
      </w:pPr>
      <w:r w:rsidRPr="007571BA">
        <w:rPr>
          <w:rStyle w:val="FootnoteReference"/>
        </w:rPr>
        <w:footnoteRef/>
      </w:r>
      <w:r w:rsidRPr="007571BA">
        <w:t xml:space="preserve"> </w:t>
      </w:r>
      <w:r w:rsidRPr="007571BA">
        <w:rPr>
          <w:rFonts w:hint="eastAsia"/>
          <w:i/>
          <w:iCs/>
        </w:rPr>
        <w:t>ESG_cor</w:t>
      </w:r>
      <w:r w:rsidRPr="007571BA">
        <w:rPr>
          <w:rFonts w:hint="eastAsia"/>
        </w:rPr>
        <w:t xml:space="preserve"> includes a company</w:t>
      </w:r>
      <w:r w:rsidRPr="007571BA">
        <w:t>’</w:t>
      </w:r>
      <w:r w:rsidRPr="007571BA">
        <w:rPr>
          <w:rFonts w:hint="eastAsia"/>
        </w:rPr>
        <w:t>s cooperation with external institutions on the application of ESG concepts in the financial field, the company</w:t>
      </w:r>
      <w:r w:rsidRPr="007571BA">
        <w:t>’</w:t>
      </w:r>
      <w:r w:rsidRPr="007571BA">
        <w:rPr>
          <w:rFonts w:hint="eastAsia"/>
        </w:rPr>
        <w:t xml:space="preserve">s policies or commitments to integrate ESG concepts into financial products or investment decisions, and green finance initiatives. Green finance includes green funds, green bonds, green loans, green investments, green insurance, and other green financial products. In this study, we set dummy variables for whether the company participates in the above-mentioned ESG financial cooperation projects and sum them to form the </w:t>
      </w:r>
      <w:r w:rsidRPr="007571BA">
        <w:rPr>
          <w:rFonts w:hint="eastAsia"/>
          <w:i/>
          <w:iCs/>
        </w:rPr>
        <w:t>ESG_cor</w:t>
      </w:r>
      <w:r w:rsidRPr="007571BA">
        <w:rPr>
          <w:rFonts w:hint="eastAsia"/>
        </w:rPr>
        <w:t xml:space="preserve"> index.</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A632F6"/>
    <w:multiLevelType w:val="hybridMultilevel"/>
    <w:tmpl w:val="98FC81E6"/>
    <w:lvl w:ilvl="0" w:tplc="8B9C8520">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 w15:restartNumberingAfterBreak="0">
    <w:nsid w:val="2EA52E49"/>
    <w:multiLevelType w:val="hybridMultilevel"/>
    <w:tmpl w:val="A8D8EAC6"/>
    <w:lvl w:ilvl="0" w:tplc="1714DF2E">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 w15:restartNumberingAfterBreak="0">
    <w:nsid w:val="62760B4E"/>
    <w:multiLevelType w:val="hybridMultilevel"/>
    <w:tmpl w:val="98F6B6AE"/>
    <w:lvl w:ilvl="0" w:tplc="333E1CFE">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259295679">
    <w:abstractNumId w:val="1"/>
  </w:num>
  <w:num w:numId="2" w16cid:durableId="2052917263">
    <w:abstractNumId w:val="0"/>
  </w:num>
  <w:num w:numId="3" w16cid:durableId="3767827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2B2"/>
    <w:rsid w:val="00001AEB"/>
    <w:rsid w:val="000039F2"/>
    <w:rsid w:val="00007E53"/>
    <w:rsid w:val="00043C99"/>
    <w:rsid w:val="00046FF0"/>
    <w:rsid w:val="00076058"/>
    <w:rsid w:val="00090F93"/>
    <w:rsid w:val="000B74D6"/>
    <w:rsid w:val="000C7D4A"/>
    <w:rsid w:val="000F74F1"/>
    <w:rsid w:val="001212BA"/>
    <w:rsid w:val="0019458C"/>
    <w:rsid w:val="001D09E5"/>
    <w:rsid w:val="001D7E3E"/>
    <w:rsid w:val="001E29E3"/>
    <w:rsid w:val="001F28B7"/>
    <w:rsid w:val="00227F9D"/>
    <w:rsid w:val="002647CB"/>
    <w:rsid w:val="00264F32"/>
    <w:rsid w:val="002746D9"/>
    <w:rsid w:val="00285BD5"/>
    <w:rsid w:val="0029000C"/>
    <w:rsid w:val="002968F9"/>
    <w:rsid w:val="00303675"/>
    <w:rsid w:val="003105FC"/>
    <w:rsid w:val="00316101"/>
    <w:rsid w:val="003253C5"/>
    <w:rsid w:val="003317B0"/>
    <w:rsid w:val="003719ED"/>
    <w:rsid w:val="003C66A7"/>
    <w:rsid w:val="00401ED0"/>
    <w:rsid w:val="00434F79"/>
    <w:rsid w:val="004407D4"/>
    <w:rsid w:val="00441A1A"/>
    <w:rsid w:val="00447956"/>
    <w:rsid w:val="004952F0"/>
    <w:rsid w:val="004E4884"/>
    <w:rsid w:val="004E731B"/>
    <w:rsid w:val="005421C3"/>
    <w:rsid w:val="00543066"/>
    <w:rsid w:val="0055046B"/>
    <w:rsid w:val="00552265"/>
    <w:rsid w:val="00592830"/>
    <w:rsid w:val="005A27A0"/>
    <w:rsid w:val="00626A27"/>
    <w:rsid w:val="00631A74"/>
    <w:rsid w:val="00656FAA"/>
    <w:rsid w:val="00667603"/>
    <w:rsid w:val="006702BB"/>
    <w:rsid w:val="006B2621"/>
    <w:rsid w:val="006E40DB"/>
    <w:rsid w:val="00702C0C"/>
    <w:rsid w:val="007160B3"/>
    <w:rsid w:val="007211E1"/>
    <w:rsid w:val="00735D28"/>
    <w:rsid w:val="007552B2"/>
    <w:rsid w:val="007571BA"/>
    <w:rsid w:val="00770A24"/>
    <w:rsid w:val="007753E0"/>
    <w:rsid w:val="007775A5"/>
    <w:rsid w:val="007802EA"/>
    <w:rsid w:val="00786340"/>
    <w:rsid w:val="007A67B2"/>
    <w:rsid w:val="007B114F"/>
    <w:rsid w:val="007B784A"/>
    <w:rsid w:val="007C6EF1"/>
    <w:rsid w:val="00833026"/>
    <w:rsid w:val="0085620D"/>
    <w:rsid w:val="00862863"/>
    <w:rsid w:val="00884233"/>
    <w:rsid w:val="0088651D"/>
    <w:rsid w:val="008B588B"/>
    <w:rsid w:val="008B5E7C"/>
    <w:rsid w:val="008B76D3"/>
    <w:rsid w:val="008E3F7A"/>
    <w:rsid w:val="008E7D81"/>
    <w:rsid w:val="008F1051"/>
    <w:rsid w:val="008F73D7"/>
    <w:rsid w:val="0090412C"/>
    <w:rsid w:val="00922079"/>
    <w:rsid w:val="00951DE6"/>
    <w:rsid w:val="00962AEB"/>
    <w:rsid w:val="009A00A9"/>
    <w:rsid w:val="009B3B6B"/>
    <w:rsid w:val="009C720B"/>
    <w:rsid w:val="009F66B1"/>
    <w:rsid w:val="00A02EA3"/>
    <w:rsid w:val="00A25A26"/>
    <w:rsid w:val="00A34E28"/>
    <w:rsid w:val="00A7211C"/>
    <w:rsid w:val="00AB394D"/>
    <w:rsid w:val="00AC3CEE"/>
    <w:rsid w:val="00AC777B"/>
    <w:rsid w:val="00AF6EAE"/>
    <w:rsid w:val="00B419EB"/>
    <w:rsid w:val="00B51DB7"/>
    <w:rsid w:val="00B5768B"/>
    <w:rsid w:val="00B76B80"/>
    <w:rsid w:val="00B90694"/>
    <w:rsid w:val="00BA78D5"/>
    <w:rsid w:val="00BB054C"/>
    <w:rsid w:val="00BC780D"/>
    <w:rsid w:val="00BD11E7"/>
    <w:rsid w:val="00C53358"/>
    <w:rsid w:val="00C81967"/>
    <w:rsid w:val="00CC0105"/>
    <w:rsid w:val="00CF3F73"/>
    <w:rsid w:val="00CF6ACF"/>
    <w:rsid w:val="00D00860"/>
    <w:rsid w:val="00D55670"/>
    <w:rsid w:val="00D71895"/>
    <w:rsid w:val="00D81DBF"/>
    <w:rsid w:val="00DA3EB5"/>
    <w:rsid w:val="00DB57F4"/>
    <w:rsid w:val="00DE5D3D"/>
    <w:rsid w:val="00DF5485"/>
    <w:rsid w:val="00E17EE6"/>
    <w:rsid w:val="00E57BEF"/>
    <w:rsid w:val="00E73A01"/>
    <w:rsid w:val="00E83705"/>
    <w:rsid w:val="00EA5863"/>
    <w:rsid w:val="00EB6742"/>
    <w:rsid w:val="00EC7E43"/>
    <w:rsid w:val="00EF3BF5"/>
    <w:rsid w:val="00EF77E2"/>
    <w:rsid w:val="00F63A7A"/>
    <w:rsid w:val="00F761B6"/>
    <w:rsid w:val="00FB14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86F5A6"/>
  <w15:chartTrackingRefBased/>
  <w15:docId w15:val="{BBF4A834-9503-4051-85B4-2B35A5682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7B0"/>
    <w:pP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3317B0"/>
    <w:rPr>
      <w:sz w:val="18"/>
      <w:szCs w:val="18"/>
    </w:rPr>
  </w:style>
  <w:style w:type="paragraph" w:styleId="Footer">
    <w:name w:val="footer"/>
    <w:basedOn w:val="Normal"/>
    <w:link w:val="FooterChar"/>
    <w:uiPriority w:val="99"/>
    <w:unhideWhenUsed/>
    <w:rsid w:val="003317B0"/>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3317B0"/>
    <w:rPr>
      <w:sz w:val="18"/>
      <w:szCs w:val="18"/>
    </w:rPr>
  </w:style>
  <w:style w:type="paragraph" w:styleId="ListParagraph">
    <w:name w:val="List Paragraph"/>
    <w:basedOn w:val="Normal"/>
    <w:uiPriority w:val="34"/>
    <w:qFormat/>
    <w:rsid w:val="003317B0"/>
    <w:pPr>
      <w:ind w:firstLineChars="200" w:firstLine="420"/>
    </w:pPr>
  </w:style>
  <w:style w:type="table" w:styleId="TableGrid">
    <w:name w:val="Table Grid"/>
    <w:basedOn w:val="TableNormal"/>
    <w:uiPriority w:val="39"/>
    <w:qFormat/>
    <w:rsid w:val="002647CB"/>
    <w:rPr>
      <w:rFonts w:ascii="Times New Roman" w:eastAsia="SimSu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autoRedefine/>
    <w:uiPriority w:val="99"/>
    <w:unhideWhenUsed/>
    <w:qFormat/>
    <w:rsid w:val="002647CB"/>
    <w:rPr>
      <w:color w:val="467886" w:themeColor="hyperlink"/>
      <w:u w:val="single"/>
    </w:rPr>
  </w:style>
  <w:style w:type="paragraph" w:customStyle="1" w:styleId="1">
    <w:name w:val="标题1"/>
    <w:basedOn w:val="Normal"/>
    <w:link w:val="title"/>
    <w:qFormat/>
    <w:rsid w:val="002647CB"/>
    <w:pPr>
      <w:spacing w:line="300" w:lineRule="auto"/>
    </w:pPr>
    <w:rPr>
      <w:rFonts w:ascii="Times New Roman" w:hAnsi="Times New Roman" w:cs="Times New Roman"/>
      <w:b/>
      <w:bCs/>
      <w:sz w:val="24"/>
    </w:rPr>
  </w:style>
  <w:style w:type="character" w:customStyle="1" w:styleId="title">
    <w:name w:val="title 字符"/>
    <w:basedOn w:val="DefaultParagraphFont"/>
    <w:link w:val="1"/>
    <w:rsid w:val="002647CB"/>
    <w:rPr>
      <w:rFonts w:ascii="Times New Roman" w:hAnsi="Times New Roman" w:cs="Times New Roman"/>
      <w:b/>
      <w:bCs/>
      <w:sz w:val="24"/>
    </w:rPr>
  </w:style>
  <w:style w:type="paragraph" w:customStyle="1" w:styleId="Equation">
    <w:name w:val="Equation"/>
    <w:basedOn w:val="Normal"/>
    <w:link w:val="Equation0"/>
    <w:qFormat/>
    <w:rsid w:val="002647CB"/>
    <w:pPr>
      <w:spacing w:line="300" w:lineRule="auto"/>
      <w:jc w:val="right"/>
    </w:pPr>
    <w:rPr>
      <w:rFonts w:ascii="Times New Roman" w:hAnsi="Times New Roman" w:cs="Times New Roman"/>
      <w:sz w:val="24"/>
    </w:rPr>
  </w:style>
  <w:style w:type="character" w:customStyle="1" w:styleId="Equation0">
    <w:name w:val="Equation 字符"/>
    <w:basedOn w:val="DefaultParagraphFont"/>
    <w:link w:val="Equation"/>
    <w:rsid w:val="002647CB"/>
    <w:rPr>
      <w:rFonts w:ascii="Times New Roman" w:hAnsi="Times New Roman" w:cs="Times New Roman"/>
      <w:sz w:val="24"/>
    </w:rPr>
  </w:style>
  <w:style w:type="character" w:styleId="PlaceholderText">
    <w:name w:val="Placeholder Text"/>
    <w:basedOn w:val="DefaultParagraphFont"/>
    <w:uiPriority w:val="99"/>
    <w:semiHidden/>
    <w:rsid w:val="00CF6ACF"/>
    <w:rPr>
      <w:color w:val="666666"/>
    </w:rPr>
  </w:style>
  <w:style w:type="paragraph" w:customStyle="1" w:styleId="formulation">
    <w:name w:val="formulation"/>
    <w:basedOn w:val="Normal"/>
    <w:link w:val="formulation0"/>
    <w:qFormat/>
    <w:rsid w:val="00735D28"/>
    <w:pPr>
      <w:spacing w:line="300" w:lineRule="auto"/>
    </w:pPr>
    <w:rPr>
      <w:rFonts w:ascii="Cambria Math" w:hAnsi="Cambria Math" w:cs="Times New Roman"/>
      <w:i/>
      <w:color w:val="FF0000"/>
      <w:sz w:val="24"/>
    </w:rPr>
  </w:style>
  <w:style w:type="character" w:customStyle="1" w:styleId="formulation0">
    <w:name w:val="formulation 字符"/>
    <w:basedOn w:val="DefaultParagraphFont"/>
    <w:link w:val="formulation"/>
    <w:rsid w:val="00735D28"/>
    <w:rPr>
      <w:rFonts w:ascii="Cambria Math" w:hAnsi="Cambria Math" w:cs="Times New Roman"/>
      <w:i/>
      <w:color w:val="FF0000"/>
      <w:sz w:val="24"/>
    </w:rPr>
  </w:style>
  <w:style w:type="paragraph" w:styleId="FootnoteText">
    <w:name w:val="footnote text"/>
    <w:basedOn w:val="Normal"/>
    <w:link w:val="FootnoteTextChar"/>
    <w:autoRedefine/>
    <w:uiPriority w:val="99"/>
    <w:unhideWhenUsed/>
    <w:rsid w:val="007571BA"/>
    <w:pPr>
      <w:snapToGrid w:val="0"/>
      <w:spacing w:line="300" w:lineRule="auto"/>
    </w:pPr>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qFormat/>
    <w:rsid w:val="007571BA"/>
    <w:rPr>
      <w:rFonts w:ascii="Times New Roman" w:hAnsi="Times New Roman" w:cs="Times New Roman"/>
      <w:sz w:val="20"/>
      <w:szCs w:val="20"/>
    </w:rPr>
  </w:style>
  <w:style w:type="character" w:styleId="FootnoteReference">
    <w:name w:val="footnote reference"/>
    <w:basedOn w:val="DefaultParagraphFont"/>
    <w:uiPriority w:val="99"/>
    <w:semiHidden/>
    <w:unhideWhenUsed/>
    <w:qFormat/>
    <w:rsid w:val="00922079"/>
    <w:rPr>
      <w:vertAlign w:val="superscript"/>
    </w:rPr>
  </w:style>
  <w:style w:type="character" w:styleId="UnresolvedMention">
    <w:name w:val="Unresolved Mention"/>
    <w:basedOn w:val="DefaultParagraphFont"/>
    <w:uiPriority w:val="99"/>
    <w:semiHidden/>
    <w:unhideWhenUsed/>
    <w:rsid w:val="00962AEB"/>
    <w:rPr>
      <w:color w:val="605E5C"/>
      <w:shd w:val="clear" w:color="auto" w:fill="E1DFDD"/>
    </w:rPr>
  </w:style>
  <w:style w:type="character" w:styleId="CommentReference">
    <w:name w:val="annotation reference"/>
    <w:basedOn w:val="DefaultParagraphFont"/>
    <w:uiPriority w:val="99"/>
    <w:semiHidden/>
    <w:unhideWhenUsed/>
    <w:rsid w:val="003719ED"/>
    <w:rPr>
      <w:sz w:val="16"/>
      <w:szCs w:val="16"/>
    </w:rPr>
  </w:style>
  <w:style w:type="paragraph" w:styleId="CommentText">
    <w:name w:val="annotation text"/>
    <w:basedOn w:val="Normal"/>
    <w:link w:val="CommentTextChar"/>
    <w:uiPriority w:val="99"/>
    <w:unhideWhenUsed/>
    <w:rsid w:val="003719ED"/>
    <w:rPr>
      <w:sz w:val="20"/>
      <w:szCs w:val="20"/>
    </w:rPr>
  </w:style>
  <w:style w:type="character" w:customStyle="1" w:styleId="CommentTextChar">
    <w:name w:val="Comment Text Char"/>
    <w:basedOn w:val="DefaultParagraphFont"/>
    <w:link w:val="CommentText"/>
    <w:uiPriority w:val="99"/>
    <w:rsid w:val="003719ED"/>
    <w:rPr>
      <w:sz w:val="20"/>
      <w:szCs w:val="20"/>
    </w:rPr>
  </w:style>
  <w:style w:type="paragraph" w:styleId="CommentSubject">
    <w:name w:val="annotation subject"/>
    <w:basedOn w:val="CommentText"/>
    <w:next w:val="CommentText"/>
    <w:link w:val="CommentSubjectChar"/>
    <w:uiPriority w:val="99"/>
    <w:semiHidden/>
    <w:unhideWhenUsed/>
    <w:rsid w:val="003719ED"/>
    <w:rPr>
      <w:b/>
      <w:bCs/>
    </w:rPr>
  </w:style>
  <w:style w:type="character" w:customStyle="1" w:styleId="CommentSubjectChar">
    <w:name w:val="Comment Subject Char"/>
    <w:basedOn w:val="CommentTextChar"/>
    <w:link w:val="CommentSubject"/>
    <w:uiPriority w:val="99"/>
    <w:semiHidden/>
    <w:rsid w:val="003719ED"/>
    <w:rPr>
      <w:b/>
      <w:bCs/>
      <w:sz w:val="20"/>
      <w:szCs w:val="20"/>
    </w:rPr>
  </w:style>
  <w:style w:type="paragraph" w:styleId="Revision">
    <w:name w:val="Revision"/>
    <w:hidden/>
    <w:uiPriority w:val="99"/>
    <w:semiHidden/>
    <w:rsid w:val="007A67B2"/>
  </w:style>
  <w:style w:type="paragraph" w:customStyle="1" w:styleId="a">
    <w:name w:val="摘要标题"/>
    <w:basedOn w:val="Normal"/>
    <w:link w:val="a0"/>
    <w:autoRedefine/>
    <w:qFormat/>
    <w:rsid w:val="005421C3"/>
    <w:pPr>
      <w:adjustRightInd w:val="0"/>
      <w:snapToGrid w:val="0"/>
      <w:spacing w:beforeLines="50" w:before="50" w:afterLines="50" w:after="50" w:line="400" w:lineRule="atLeast"/>
      <w:jc w:val="center"/>
    </w:pPr>
    <w:rPr>
      <w:rFonts w:ascii="Times New Roman" w:eastAsia="SimHei" w:hAnsi="Times New Roman" w:cs="Times New Roman"/>
      <w:sz w:val="24"/>
      <w:szCs w:val="24"/>
    </w:rPr>
  </w:style>
  <w:style w:type="character" w:customStyle="1" w:styleId="a0">
    <w:name w:val="摘要标题 字符"/>
    <w:basedOn w:val="DefaultParagraphFont"/>
    <w:link w:val="a"/>
    <w:autoRedefine/>
    <w:qFormat/>
    <w:rsid w:val="005421C3"/>
    <w:rPr>
      <w:rFonts w:ascii="Times New Roman" w:eastAsia="SimHei" w:hAnsi="Times New Roman" w:cs="Times New Roman"/>
      <w:sz w:val="24"/>
      <w:szCs w:val="24"/>
    </w:rPr>
  </w:style>
  <w:style w:type="paragraph" w:styleId="NoSpacing">
    <w:name w:val="No Spacing"/>
    <w:autoRedefine/>
    <w:uiPriority w:val="1"/>
    <w:qFormat/>
    <w:rsid w:val="00DB57F4"/>
    <w:pPr>
      <w:widowControl w:val="0"/>
      <w:jc w:val="both"/>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308030">
      <w:bodyDiv w:val="1"/>
      <w:marLeft w:val="0"/>
      <w:marRight w:val="0"/>
      <w:marTop w:val="0"/>
      <w:marBottom w:val="0"/>
      <w:divBdr>
        <w:top w:val="none" w:sz="0" w:space="0" w:color="auto"/>
        <w:left w:val="none" w:sz="0" w:space="0" w:color="auto"/>
        <w:bottom w:val="none" w:sz="0" w:space="0" w:color="auto"/>
        <w:right w:val="none" w:sz="0" w:space="0" w:color="auto"/>
      </w:divBdr>
    </w:div>
    <w:div w:id="241255203">
      <w:bodyDiv w:val="1"/>
      <w:marLeft w:val="0"/>
      <w:marRight w:val="0"/>
      <w:marTop w:val="0"/>
      <w:marBottom w:val="0"/>
      <w:divBdr>
        <w:top w:val="none" w:sz="0" w:space="0" w:color="auto"/>
        <w:left w:val="none" w:sz="0" w:space="0" w:color="auto"/>
        <w:bottom w:val="none" w:sz="0" w:space="0" w:color="auto"/>
        <w:right w:val="none" w:sz="0" w:space="0" w:color="auto"/>
      </w:divBdr>
    </w:div>
    <w:div w:id="290789298">
      <w:bodyDiv w:val="1"/>
      <w:marLeft w:val="0"/>
      <w:marRight w:val="0"/>
      <w:marTop w:val="0"/>
      <w:marBottom w:val="0"/>
      <w:divBdr>
        <w:top w:val="none" w:sz="0" w:space="0" w:color="auto"/>
        <w:left w:val="none" w:sz="0" w:space="0" w:color="auto"/>
        <w:bottom w:val="none" w:sz="0" w:space="0" w:color="auto"/>
        <w:right w:val="none" w:sz="0" w:space="0" w:color="auto"/>
      </w:divBdr>
    </w:div>
    <w:div w:id="376047645">
      <w:bodyDiv w:val="1"/>
      <w:marLeft w:val="0"/>
      <w:marRight w:val="0"/>
      <w:marTop w:val="0"/>
      <w:marBottom w:val="0"/>
      <w:divBdr>
        <w:top w:val="none" w:sz="0" w:space="0" w:color="auto"/>
        <w:left w:val="none" w:sz="0" w:space="0" w:color="auto"/>
        <w:bottom w:val="none" w:sz="0" w:space="0" w:color="auto"/>
        <w:right w:val="none" w:sz="0" w:space="0" w:color="auto"/>
      </w:divBdr>
    </w:div>
    <w:div w:id="419134848">
      <w:bodyDiv w:val="1"/>
      <w:marLeft w:val="0"/>
      <w:marRight w:val="0"/>
      <w:marTop w:val="0"/>
      <w:marBottom w:val="0"/>
      <w:divBdr>
        <w:top w:val="none" w:sz="0" w:space="0" w:color="auto"/>
        <w:left w:val="none" w:sz="0" w:space="0" w:color="auto"/>
        <w:bottom w:val="none" w:sz="0" w:space="0" w:color="auto"/>
        <w:right w:val="none" w:sz="0" w:space="0" w:color="auto"/>
      </w:divBdr>
    </w:div>
    <w:div w:id="605698077">
      <w:bodyDiv w:val="1"/>
      <w:marLeft w:val="0"/>
      <w:marRight w:val="0"/>
      <w:marTop w:val="0"/>
      <w:marBottom w:val="0"/>
      <w:divBdr>
        <w:top w:val="none" w:sz="0" w:space="0" w:color="auto"/>
        <w:left w:val="none" w:sz="0" w:space="0" w:color="auto"/>
        <w:bottom w:val="none" w:sz="0" w:space="0" w:color="auto"/>
        <w:right w:val="none" w:sz="0" w:space="0" w:color="auto"/>
      </w:divBdr>
    </w:div>
    <w:div w:id="648632127">
      <w:bodyDiv w:val="1"/>
      <w:marLeft w:val="0"/>
      <w:marRight w:val="0"/>
      <w:marTop w:val="0"/>
      <w:marBottom w:val="0"/>
      <w:divBdr>
        <w:top w:val="none" w:sz="0" w:space="0" w:color="auto"/>
        <w:left w:val="none" w:sz="0" w:space="0" w:color="auto"/>
        <w:bottom w:val="none" w:sz="0" w:space="0" w:color="auto"/>
        <w:right w:val="none" w:sz="0" w:space="0" w:color="auto"/>
      </w:divBdr>
    </w:div>
    <w:div w:id="664480379">
      <w:bodyDiv w:val="1"/>
      <w:marLeft w:val="0"/>
      <w:marRight w:val="0"/>
      <w:marTop w:val="0"/>
      <w:marBottom w:val="0"/>
      <w:divBdr>
        <w:top w:val="none" w:sz="0" w:space="0" w:color="auto"/>
        <w:left w:val="none" w:sz="0" w:space="0" w:color="auto"/>
        <w:bottom w:val="none" w:sz="0" w:space="0" w:color="auto"/>
        <w:right w:val="none" w:sz="0" w:space="0" w:color="auto"/>
      </w:divBdr>
    </w:div>
    <w:div w:id="674039812">
      <w:bodyDiv w:val="1"/>
      <w:marLeft w:val="0"/>
      <w:marRight w:val="0"/>
      <w:marTop w:val="0"/>
      <w:marBottom w:val="0"/>
      <w:divBdr>
        <w:top w:val="none" w:sz="0" w:space="0" w:color="auto"/>
        <w:left w:val="none" w:sz="0" w:space="0" w:color="auto"/>
        <w:bottom w:val="none" w:sz="0" w:space="0" w:color="auto"/>
        <w:right w:val="none" w:sz="0" w:space="0" w:color="auto"/>
      </w:divBdr>
    </w:div>
    <w:div w:id="770904206">
      <w:bodyDiv w:val="1"/>
      <w:marLeft w:val="0"/>
      <w:marRight w:val="0"/>
      <w:marTop w:val="0"/>
      <w:marBottom w:val="0"/>
      <w:divBdr>
        <w:top w:val="none" w:sz="0" w:space="0" w:color="auto"/>
        <w:left w:val="none" w:sz="0" w:space="0" w:color="auto"/>
        <w:bottom w:val="none" w:sz="0" w:space="0" w:color="auto"/>
        <w:right w:val="none" w:sz="0" w:space="0" w:color="auto"/>
      </w:divBdr>
    </w:div>
    <w:div w:id="873811087">
      <w:bodyDiv w:val="1"/>
      <w:marLeft w:val="0"/>
      <w:marRight w:val="0"/>
      <w:marTop w:val="0"/>
      <w:marBottom w:val="0"/>
      <w:divBdr>
        <w:top w:val="none" w:sz="0" w:space="0" w:color="auto"/>
        <w:left w:val="none" w:sz="0" w:space="0" w:color="auto"/>
        <w:bottom w:val="none" w:sz="0" w:space="0" w:color="auto"/>
        <w:right w:val="none" w:sz="0" w:space="0" w:color="auto"/>
      </w:divBdr>
    </w:div>
    <w:div w:id="1116438373">
      <w:bodyDiv w:val="1"/>
      <w:marLeft w:val="0"/>
      <w:marRight w:val="0"/>
      <w:marTop w:val="0"/>
      <w:marBottom w:val="0"/>
      <w:divBdr>
        <w:top w:val="none" w:sz="0" w:space="0" w:color="auto"/>
        <w:left w:val="none" w:sz="0" w:space="0" w:color="auto"/>
        <w:bottom w:val="none" w:sz="0" w:space="0" w:color="auto"/>
        <w:right w:val="none" w:sz="0" w:space="0" w:color="auto"/>
      </w:divBdr>
    </w:div>
    <w:div w:id="1155293855">
      <w:bodyDiv w:val="1"/>
      <w:marLeft w:val="0"/>
      <w:marRight w:val="0"/>
      <w:marTop w:val="0"/>
      <w:marBottom w:val="0"/>
      <w:divBdr>
        <w:top w:val="none" w:sz="0" w:space="0" w:color="auto"/>
        <w:left w:val="none" w:sz="0" w:space="0" w:color="auto"/>
        <w:bottom w:val="none" w:sz="0" w:space="0" w:color="auto"/>
        <w:right w:val="none" w:sz="0" w:space="0" w:color="auto"/>
      </w:divBdr>
    </w:div>
    <w:div w:id="1178959253">
      <w:bodyDiv w:val="1"/>
      <w:marLeft w:val="0"/>
      <w:marRight w:val="0"/>
      <w:marTop w:val="0"/>
      <w:marBottom w:val="0"/>
      <w:divBdr>
        <w:top w:val="none" w:sz="0" w:space="0" w:color="auto"/>
        <w:left w:val="none" w:sz="0" w:space="0" w:color="auto"/>
        <w:bottom w:val="none" w:sz="0" w:space="0" w:color="auto"/>
        <w:right w:val="none" w:sz="0" w:space="0" w:color="auto"/>
      </w:divBdr>
    </w:div>
    <w:div w:id="1211844548">
      <w:bodyDiv w:val="1"/>
      <w:marLeft w:val="0"/>
      <w:marRight w:val="0"/>
      <w:marTop w:val="0"/>
      <w:marBottom w:val="0"/>
      <w:divBdr>
        <w:top w:val="none" w:sz="0" w:space="0" w:color="auto"/>
        <w:left w:val="none" w:sz="0" w:space="0" w:color="auto"/>
        <w:bottom w:val="none" w:sz="0" w:space="0" w:color="auto"/>
        <w:right w:val="none" w:sz="0" w:space="0" w:color="auto"/>
      </w:divBdr>
    </w:div>
    <w:div w:id="1219827450">
      <w:bodyDiv w:val="1"/>
      <w:marLeft w:val="0"/>
      <w:marRight w:val="0"/>
      <w:marTop w:val="0"/>
      <w:marBottom w:val="0"/>
      <w:divBdr>
        <w:top w:val="none" w:sz="0" w:space="0" w:color="auto"/>
        <w:left w:val="none" w:sz="0" w:space="0" w:color="auto"/>
        <w:bottom w:val="none" w:sz="0" w:space="0" w:color="auto"/>
        <w:right w:val="none" w:sz="0" w:space="0" w:color="auto"/>
      </w:divBdr>
    </w:div>
    <w:div w:id="1251311557">
      <w:bodyDiv w:val="1"/>
      <w:marLeft w:val="0"/>
      <w:marRight w:val="0"/>
      <w:marTop w:val="0"/>
      <w:marBottom w:val="0"/>
      <w:divBdr>
        <w:top w:val="none" w:sz="0" w:space="0" w:color="auto"/>
        <w:left w:val="none" w:sz="0" w:space="0" w:color="auto"/>
        <w:bottom w:val="none" w:sz="0" w:space="0" w:color="auto"/>
        <w:right w:val="none" w:sz="0" w:space="0" w:color="auto"/>
      </w:divBdr>
    </w:div>
    <w:div w:id="1277297977">
      <w:bodyDiv w:val="1"/>
      <w:marLeft w:val="0"/>
      <w:marRight w:val="0"/>
      <w:marTop w:val="0"/>
      <w:marBottom w:val="0"/>
      <w:divBdr>
        <w:top w:val="none" w:sz="0" w:space="0" w:color="auto"/>
        <w:left w:val="none" w:sz="0" w:space="0" w:color="auto"/>
        <w:bottom w:val="none" w:sz="0" w:space="0" w:color="auto"/>
        <w:right w:val="none" w:sz="0" w:space="0" w:color="auto"/>
      </w:divBdr>
    </w:div>
    <w:div w:id="1399859794">
      <w:bodyDiv w:val="1"/>
      <w:marLeft w:val="0"/>
      <w:marRight w:val="0"/>
      <w:marTop w:val="0"/>
      <w:marBottom w:val="0"/>
      <w:divBdr>
        <w:top w:val="none" w:sz="0" w:space="0" w:color="auto"/>
        <w:left w:val="none" w:sz="0" w:space="0" w:color="auto"/>
        <w:bottom w:val="none" w:sz="0" w:space="0" w:color="auto"/>
        <w:right w:val="none" w:sz="0" w:space="0" w:color="auto"/>
      </w:divBdr>
    </w:div>
    <w:div w:id="1424448619">
      <w:bodyDiv w:val="1"/>
      <w:marLeft w:val="0"/>
      <w:marRight w:val="0"/>
      <w:marTop w:val="0"/>
      <w:marBottom w:val="0"/>
      <w:divBdr>
        <w:top w:val="none" w:sz="0" w:space="0" w:color="auto"/>
        <w:left w:val="none" w:sz="0" w:space="0" w:color="auto"/>
        <w:bottom w:val="none" w:sz="0" w:space="0" w:color="auto"/>
        <w:right w:val="none" w:sz="0" w:space="0" w:color="auto"/>
      </w:divBdr>
    </w:div>
    <w:div w:id="1477138172">
      <w:bodyDiv w:val="1"/>
      <w:marLeft w:val="0"/>
      <w:marRight w:val="0"/>
      <w:marTop w:val="0"/>
      <w:marBottom w:val="0"/>
      <w:divBdr>
        <w:top w:val="none" w:sz="0" w:space="0" w:color="auto"/>
        <w:left w:val="none" w:sz="0" w:space="0" w:color="auto"/>
        <w:bottom w:val="none" w:sz="0" w:space="0" w:color="auto"/>
        <w:right w:val="none" w:sz="0" w:space="0" w:color="auto"/>
      </w:divBdr>
    </w:div>
    <w:div w:id="1504319427">
      <w:bodyDiv w:val="1"/>
      <w:marLeft w:val="0"/>
      <w:marRight w:val="0"/>
      <w:marTop w:val="0"/>
      <w:marBottom w:val="0"/>
      <w:divBdr>
        <w:top w:val="none" w:sz="0" w:space="0" w:color="auto"/>
        <w:left w:val="none" w:sz="0" w:space="0" w:color="auto"/>
        <w:bottom w:val="none" w:sz="0" w:space="0" w:color="auto"/>
        <w:right w:val="none" w:sz="0" w:space="0" w:color="auto"/>
      </w:divBdr>
    </w:div>
    <w:div w:id="1510103773">
      <w:bodyDiv w:val="1"/>
      <w:marLeft w:val="0"/>
      <w:marRight w:val="0"/>
      <w:marTop w:val="0"/>
      <w:marBottom w:val="0"/>
      <w:divBdr>
        <w:top w:val="none" w:sz="0" w:space="0" w:color="auto"/>
        <w:left w:val="none" w:sz="0" w:space="0" w:color="auto"/>
        <w:bottom w:val="none" w:sz="0" w:space="0" w:color="auto"/>
        <w:right w:val="none" w:sz="0" w:space="0" w:color="auto"/>
      </w:divBdr>
    </w:div>
    <w:div w:id="1548102354">
      <w:bodyDiv w:val="1"/>
      <w:marLeft w:val="0"/>
      <w:marRight w:val="0"/>
      <w:marTop w:val="0"/>
      <w:marBottom w:val="0"/>
      <w:divBdr>
        <w:top w:val="none" w:sz="0" w:space="0" w:color="auto"/>
        <w:left w:val="none" w:sz="0" w:space="0" w:color="auto"/>
        <w:bottom w:val="none" w:sz="0" w:space="0" w:color="auto"/>
        <w:right w:val="none" w:sz="0" w:space="0" w:color="auto"/>
      </w:divBdr>
    </w:div>
    <w:div w:id="1647008933">
      <w:bodyDiv w:val="1"/>
      <w:marLeft w:val="0"/>
      <w:marRight w:val="0"/>
      <w:marTop w:val="0"/>
      <w:marBottom w:val="0"/>
      <w:divBdr>
        <w:top w:val="none" w:sz="0" w:space="0" w:color="auto"/>
        <w:left w:val="none" w:sz="0" w:space="0" w:color="auto"/>
        <w:bottom w:val="none" w:sz="0" w:space="0" w:color="auto"/>
        <w:right w:val="none" w:sz="0" w:space="0" w:color="auto"/>
      </w:divBdr>
    </w:div>
    <w:div w:id="1833986580">
      <w:bodyDiv w:val="1"/>
      <w:marLeft w:val="0"/>
      <w:marRight w:val="0"/>
      <w:marTop w:val="0"/>
      <w:marBottom w:val="0"/>
      <w:divBdr>
        <w:top w:val="none" w:sz="0" w:space="0" w:color="auto"/>
        <w:left w:val="none" w:sz="0" w:space="0" w:color="auto"/>
        <w:bottom w:val="none" w:sz="0" w:space="0" w:color="auto"/>
        <w:right w:val="none" w:sz="0" w:space="0" w:color="auto"/>
      </w:divBdr>
    </w:div>
    <w:div w:id="1864971388">
      <w:bodyDiv w:val="1"/>
      <w:marLeft w:val="0"/>
      <w:marRight w:val="0"/>
      <w:marTop w:val="0"/>
      <w:marBottom w:val="0"/>
      <w:divBdr>
        <w:top w:val="none" w:sz="0" w:space="0" w:color="auto"/>
        <w:left w:val="none" w:sz="0" w:space="0" w:color="auto"/>
        <w:bottom w:val="none" w:sz="0" w:space="0" w:color="auto"/>
        <w:right w:val="none" w:sz="0" w:space="0" w:color="auto"/>
      </w:divBdr>
    </w:div>
    <w:div w:id="2014018951">
      <w:bodyDiv w:val="1"/>
      <w:marLeft w:val="0"/>
      <w:marRight w:val="0"/>
      <w:marTop w:val="0"/>
      <w:marBottom w:val="0"/>
      <w:divBdr>
        <w:top w:val="none" w:sz="0" w:space="0" w:color="auto"/>
        <w:left w:val="none" w:sz="0" w:space="0" w:color="auto"/>
        <w:bottom w:val="none" w:sz="0" w:space="0" w:color="auto"/>
        <w:right w:val="none" w:sz="0" w:space="0" w:color="auto"/>
      </w:divBdr>
    </w:div>
    <w:div w:id="2057898189">
      <w:bodyDiv w:val="1"/>
      <w:marLeft w:val="0"/>
      <w:marRight w:val="0"/>
      <w:marTop w:val="0"/>
      <w:marBottom w:val="0"/>
      <w:divBdr>
        <w:top w:val="none" w:sz="0" w:space="0" w:color="auto"/>
        <w:left w:val="none" w:sz="0" w:space="0" w:color="auto"/>
        <w:bottom w:val="none" w:sz="0" w:space="0" w:color="auto"/>
        <w:right w:val="none" w:sz="0" w:space="0" w:color="auto"/>
      </w:divBdr>
    </w:div>
    <w:div w:id="2090080386">
      <w:bodyDiv w:val="1"/>
      <w:marLeft w:val="0"/>
      <w:marRight w:val="0"/>
      <w:marTop w:val="0"/>
      <w:marBottom w:val="0"/>
      <w:divBdr>
        <w:top w:val="none" w:sz="0" w:space="0" w:color="auto"/>
        <w:left w:val="none" w:sz="0" w:space="0" w:color="auto"/>
        <w:bottom w:val="none" w:sz="0" w:space="0" w:color="auto"/>
        <w:right w:val="none" w:sz="0" w:space="0" w:color="auto"/>
      </w:divBdr>
    </w:div>
    <w:div w:id="2097434096">
      <w:bodyDiv w:val="1"/>
      <w:marLeft w:val="0"/>
      <w:marRight w:val="0"/>
      <w:marTop w:val="0"/>
      <w:marBottom w:val="0"/>
      <w:divBdr>
        <w:top w:val="none" w:sz="0" w:space="0" w:color="auto"/>
        <w:left w:val="none" w:sz="0" w:space="0" w:color="auto"/>
        <w:bottom w:val="none" w:sz="0" w:space="0" w:color="auto"/>
        <w:right w:val="none" w:sz="0" w:space="0" w:color="auto"/>
      </w:divBdr>
    </w:div>
    <w:div w:id="211736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openxmlformats.org/officeDocument/2006/relationships/oleObject" Target="file:///D:\&#30740;&#31350;&#29983;&#36164;&#26009;\&#20225;&#19994;&#32511;&#33394;&#36716;&#22411;\ESG&#26032;&#38395;&#20851;&#27880;&#19982;&#32511;&#33394;&#36716;&#22411;\R1\&#32511;&#33394;&#36716;&#22411;&#25351;&#26631;&#26377;&#25928;&#24615;&#30340;&#35777;&#25454;.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Sheet3!$B$24</c:f>
              <c:strCache>
                <c:ptCount val="1"/>
                <c:pt idx="0">
                  <c:v>CEI</c:v>
                </c:pt>
              </c:strCache>
            </c:strRef>
          </c:tx>
          <c:spPr>
            <a:ln w="12700" cap="rnd">
              <a:solidFill>
                <a:schemeClr val="accent1"/>
              </a:solidFill>
              <a:prstDash val="sysDot"/>
              <a:round/>
            </a:ln>
            <a:effectLst/>
          </c:spPr>
          <c:marker>
            <c:symbol val="none"/>
          </c:marker>
          <c:cat>
            <c:numRef>
              <c:f>Sheet3!$A$25:$A$35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Sheet3!$B$25:$B$35</c:f>
              <c:numCache>
                <c:formatCode>General</c:formatCode>
                <c:ptCount val="11"/>
                <c:pt idx="0">
                  <c:v>0.53420000000000001</c:v>
                </c:pt>
                <c:pt idx="1">
                  <c:v>0.61919999999999997</c:v>
                </c:pt>
                <c:pt idx="2">
                  <c:v>0.63239999999999996</c:v>
                </c:pt>
                <c:pt idx="3">
                  <c:v>0.7651</c:v>
                </c:pt>
                <c:pt idx="4">
                  <c:v>0.77139999999999997</c:v>
                </c:pt>
                <c:pt idx="5">
                  <c:v>0.84009999999999996</c:v>
                </c:pt>
                <c:pt idx="6">
                  <c:v>0.87760000000000005</c:v>
                </c:pt>
                <c:pt idx="7">
                  <c:v>0.94889999999999997</c:v>
                </c:pt>
                <c:pt idx="8">
                  <c:v>1.1077999999999999</c:v>
                </c:pt>
                <c:pt idx="9">
                  <c:v>1.1001000000000001</c:v>
                </c:pt>
                <c:pt idx="10">
                  <c:v>1.2677</c:v>
                </c:pt>
              </c:numCache>
            </c:numRef>
          </c:val>
          <c:smooth val="0"/>
          <c:extLst>
            <c:ext xmlns:c16="http://schemas.microsoft.com/office/drawing/2014/chart" uri="{C3380CC4-5D6E-409C-BE32-E72D297353CC}">
              <c16:uniqueId val="{00000000-00A7-46C7-B5F7-32AB739CEF1D}"/>
            </c:ext>
          </c:extLst>
        </c:ser>
        <c:ser>
          <c:idx val="1"/>
          <c:order val="1"/>
          <c:tx>
            <c:strRef>
              <c:f>Sheet3!$C$24</c:f>
              <c:strCache>
                <c:ptCount val="1"/>
                <c:pt idx="0">
                  <c:v>green patents granted</c:v>
                </c:pt>
              </c:strCache>
            </c:strRef>
          </c:tx>
          <c:spPr>
            <a:ln w="12700" cap="rnd">
              <a:solidFill>
                <a:schemeClr val="accent2"/>
              </a:solidFill>
              <a:prstDash val="lgDashDot"/>
              <a:round/>
            </a:ln>
            <a:effectLst/>
          </c:spPr>
          <c:marker>
            <c:symbol val="none"/>
          </c:marker>
          <c:cat>
            <c:numRef>
              <c:f>Sheet3!$A$25:$A$35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Sheet3!$C$25:$C$35</c:f>
              <c:numCache>
                <c:formatCode>General</c:formatCode>
                <c:ptCount val="11"/>
                <c:pt idx="0">
                  <c:v>2.0111509999999999</c:v>
                </c:pt>
                <c:pt idx="1">
                  <c:v>2.098929</c:v>
                </c:pt>
                <c:pt idx="2">
                  <c:v>2.6033179999999998</c:v>
                </c:pt>
                <c:pt idx="3">
                  <c:v>2.8043580000000001</c:v>
                </c:pt>
                <c:pt idx="4">
                  <c:v>2.8734709999999999</c:v>
                </c:pt>
                <c:pt idx="5">
                  <c:v>3.1469279999999999</c:v>
                </c:pt>
                <c:pt idx="6">
                  <c:v>3.3018999999999998</c:v>
                </c:pt>
                <c:pt idx="7">
                  <c:v>3.722467</c:v>
                </c:pt>
                <c:pt idx="8">
                  <c:v>4.4960820000000004</c:v>
                </c:pt>
                <c:pt idx="9">
                  <c:v>4.8362069999999999</c:v>
                </c:pt>
                <c:pt idx="10">
                  <c:v>4.8964869999999996</c:v>
                </c:pt>
              </c:numCache>
            </c:numRef>
          </c:val>
          <c:smooth val="0"/>
          <c:extLst>
            <c:ext xmlns:c16="http://schemas.microsoft.com/office/drawing/2014/chart" uri="{C3380CC4-5D6E-409C-BE32-E72D297353CC}">
              <c16:uniqueId val="{00000001-00A7-46C7-B5F7-32AB739CEF1D}"/>
            </c:ext>
          </c:extLst>
        </c:ser>
        <c:ser>
          <c:idx val="2"/>
          <c:order val="2"/>
          <c:tx>
            <c:strRef>
              <c:f>Sheet3!$D$24</c:f>
              <c:strCache>
                <c:ptCount val="1"/>
                <c:pt idx="0">
                  <c:v>green patent applications</c:v>
                </c:pt>
              </c:strCache>
            </c:strRef>
          </c:tx>
          <c:spPr>
            <a:ln w="12700" cap="rnd">
              <a:solidFill>
                <a:schemeClr val="tx1">
                  <a:lumMod val="65000"/>
                  <a:lumOff val="35000"/>
                </a:schemeClr>
              </a:solidFill>
              <a:round/>
            </a:ln>
            <a:effectLst/>
          </c:spPr>
          <c:marker>
            <c:symbol val="none"/>
          </c:marker>
          <c:cat>
            <c:numRef>
              <c:f>Sheet3!$A$25:$A$35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Sheet3!$D$25:$D$35</c:f>
              <c:numCache>
                <c:formatCode>General</c:formatCode>
                <c:ptCount val="11"/>
                <c:pt idx="0">
                  <c:v>2.2225039999999998</c:v>
                </c:pt>
                <c:pt idx="1">
                  <c:v>3.050484</c:v>
                </c:pt>
                <c:pt idx="2">
                  <c:v>3.0191050000000001</c:v>
                </c:pt>
                <c:pt idx="3">
                  <c:v>3.58229</c:v>
                </c:pt>
                <c:pt idx="4">
                  <c:v>3.4816530000000001</c:v>
                </c:pt>
                <c:pt idx="5">
                  <c:v>3.955959</c:v>
                </c:pt>
                <c:pt idx="6">
                  <c:v>4.8476419999999996</c:v>
                </c:pt>
                <c:pt idx="7">
                  <c:v>4.9345980000000003</c:v>
                </c:pt>
                <c:pt idx="8">
                  <c:v>5.3015330000000001</c:v>
                </c:pt>
                <c:pt idx="9">
                  <c:v>5.7789320999999996</c:v>
                </c:pt>
                <c:pt idx="10">
                  <c:v>5.5963799999999999</c:v>
                </c:pt>
              </c:numCache>
            </c:numRef>
          </c:val>
          <c:smooth val="0"/>
          <c:extLst>
            <c:ext xmlns:c16="http://schemas.microsoft.com/office/drawing/2014/chart" uri="{C3380CC4-5D6E-409C-BE32-E72D297353CC}">
              <c16:uniqueId val="{00000002-00A7-46C7-B5F7-32AB739CEF1D}"/>
            </c:ext>
          </c:extLst>
        </c:ser>
        <c:dLbls>
          <c:showLegendKey val="0"/>
          <c:showVal val="0"/>
          <c:showCatName val="0"/>
          <c:showSerName val="0"/>
          <c:showPercent val="0"/>
          <c:showBubbleSize val="0"/>
        </c:dLbls>
        <c:smooth val="0"/>
        <c:axId val="410058880"/>
        <c:axId val="410047840"/>
      </c:lineChart>
      <c:catAx>
        <c:axId val="410058880"/>
        <c:scaling>
          <c:orientation val="minMax"/>
        </c:scaling>
        <c:delete val="0"/>
        <c:axPos val="b"/>
        <c:title>
          <c:tx>
            <c:rich>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US"/>
                  <a:t>Year</a:t>
                </a:r>
              </a:p>
            </c:rich>
          </c:tx>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zh-CN"/>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zh-CN"/>
          </a:p>
        </c:txPr>
        <c:crossAx val="410047840"/>
        <c:crosses val="autoZero"/>
        <c:auto val="1"/>
        <c:lblAlgn val="ctr"/>
        <c:lblOffset val="100"/>
        <c:noMultiLvlLbl val="0"/>
      </c:catAx>
      <c:valAx>
        <c:axId val="410047840"/>
        <c:scaling>
          <c:orientation val="minMax"/>
        </c:scaling>
        <c:delete val="0"/>
        <c:axPos val="l"/>
        <c:title>
          <c:tx>
            <c:rich>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US"/>
                  <a:t>Number of Patents (Logarithm)</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zh-CN"/>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zh-CN"/>
          </a:p>
        </c:txPr>
        <c:crossAx val="410058880"/>
        <c:crosses val="autoZero"/>
        <c:crossBetween val="between"/>
      </c:valAx>
      <c:spPr>
        <a:noFill/>
        <a:ln>
          <a:solidFill>
            <a:schemeClr val="tx1"/>
          </a:solid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zh-CN"/>
        </a:p>
      </c:txPr>
    </c:legend>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zh-CN"/>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B32AAF-EF19-46C8-BBC0-283959C44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15049</Words>
  <Characters>85781</Characters>
  <Application>Microsoft Office Word</Application>
  <DocSecurity>0</DocSecurity>
  <Lines>714</Lines>
  <Paragraphs>201</Paragraphs>
  <ScaleCrop>false</ScaleCrop>
  <Company/>
  <LinksUpToDate>false</LinksUpToDate>
  <CharactersWithSpaces>100629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weijie Tan</dc:creator>
  <cp:keywords/>
  <dc:description/>
  <cp:lastModifiedBy>Xihui Chen</cp:lastModifiedBy>
  <cp:revision>7</cp:revision>
  <dcterms:created xsi:type="dcterms:W3CDTF">2025-01-24T01:45:00Z</dcterms:created>
  <dcterms:modified xsi:type="dcterms:W3CDTF">2025-03-11T12:53:00Z</dcterms:modified>
</cp:coreProperties>
</file>