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rPr>
          <w:rFonts w:ascii="Arial" w:hAnsi="Arial"/>
          <w:color w:val="222222"/>
          <w:sz w:val="26"/>
          <w:szCs w:val="26"/>
          <w:u w:color="222222"/>
          <w:lang w:val="en-US"/>
        </w:rPr>
      </w:pPr>
    </w:p>
    <w:p>
      <w:pPr>
        <w:pStyle w:val="Default"/>
        <w:rPr>
          <w:rFonts w:ascii="Arial" w:hAnsi="Arial"/>
          <w:color w:val="222222"/>
          <w:sz w:val="32"/>
          <w:szCs w:val="32"/>
          <w:u w:color="222222"/>
          <w:lang w:val="en-US"/>
        </w:rPr>
      </w:pPr>
    </w:p>
    <w:p>
      <w:pPr>
        <w:pStyle w:val="Default"/>
        <w:rPr>
          <w:rFonts w:ascii="Arial" w:cs="Arial" w:hAnsi="Arial" w:eastAsia="Arial"/>
          <w:color w:val="222222"/>
          <w:sz w:val="32"/>
          <w:szCs w:val="32"/>
          <w:u w:color="222222"/>
          <w:lang w:val="en-US"/>
        </w:rPr>
      </w:pPr>
      <w:r>
        <w:rPr>
          <w:rFonts w:ascii="Arial" w:hAnsi="Arial" w:hint="default"/>
          <w:color w:val="222222"/>
          <w:sz w:val="32"/>
          <w:szCs w:val="32"/>
          <w:u w:color="222222"/>
          <w:rtl w:val="0"/>
          <w:lang w:val="en-US"/>
        </w:rPr>
        <w:t>‘</w:t>
      </w:r>
      <w:r>
        <w:rPr>
          <w:rFonts w:ascii="Arial" w:hAnsi="Arial"/>
          <w:color w:val="222222"/>
          <w:sz w:val="32"/>
          <w:szCs w:val="32"/>
          <w:u w:color="222222"/>
          <w:rtl w:val="0"/>
          <w:lang w:val="en-US"/>
        </w:rPr>
        <w:t>Why We Should Oppose Gender Identity Fraud Prosecutions</w:t>
      </w:r>
      <w:r>
        <w:rPr>
          <w:rFonts w:ascii="Arial" w:hAnsi="Arial" w:hint="default"/>
          <w:color w:val="222222"/>
          <w:sz w:val="32"/>
          <w:szCs w:val="32"/>
          <w:u w:color="222222"/>
          <w:rtl w:val="0"/>
          <w:lang w:val="en-US"/>
        </w:rPr>
        <w:t xml:space="preserve">’ </w:t>
      </w:r>
    </w:p>
    <w:p>
      <w:pPr>
        <w:pStyle w:val="Default"/>
        <w:rPr>
          <w:rFonts w:ascii="Arial" w:cs="Arial" w:hAnsi="Arial" w:eastAsia="Arial"/>
          <w:color w:val="222222"/>
          <w:sz w:val="32"/>
          <w:szCs w:val="32"/>
          <w:u w:color="222222"/>
          <w:lang w:val="en-US"/>
        </w:rPr>
      </w:pPr>
    </w:p>
    <w:p>
      <w:pPr>
        <w:pStyle w:val="Default"/>
        <w:rPr>
          <w:rFonts w:ascii="Arial" w:cs="Arial" w:hAnsi="Arial" w:eastAsia="Arial"/>
          <w:color w:val="222222"/>
          <w:sz w:val="32"/>
          <w:szCs w:val="32"/>
          <w:u w:color="222222"/>
          <w:lang w:val="en-US"/>
        </w:rPr>
      </w:pPr>
      <w:r>
        <w:rPr>
          <w:rFonts w:ascii="Arial" w:hAnsi="Arial"/>
          <w:color w:val="222222"/>
          <w:sz w:val="32"/>
          <w:szCs w:val="32"/>
          <w:u w:color="222222"/>
          <w:rtl w:val="0"/>
          <w:lang w:val="en-US"/>
        </w:rPr>
        <w:t>Legal Voice (published online on 10 July 2017) @</w:t>
      </w:r>
    </w:p>
    <w:p>
      <w:pPr>
        <w:pStyle w:val="Default"/>
        <w:rPr>
          <w:rFonts w:ascii="Arial" w:cs="Arial" w:hAnsi="Arial" w:eastAsia="Arial"/>
          <w:color w:val="222222"/>
          <w:sz w:val="32"/>
          <w:szCs w:val="32"/>
          <w:u w:color="222222"/>
          <w:lang w:val="en-US"/>
        </w:rPr>
      </w:pPr>
    </w:p>
    <w:p>
      <w:pPr>
        <w:pStyle w:val="Default"/>
      </w:pPr>
      <w:r>
        <w:rPr>
          <w:rFonts w:ascii="Arial" w:hAnsi="Arial"/>
          <w:color w:val="ff2d21"/>
          <w:sz w:val="32"/>
          <w:szCs w:val="32"/>
          <w:u w:color="222222"/>
          <w:rtl w:val="0"/>
          <w:lang w:val="en-US"/>
        </w:rPr>
        <w:t>http://www.legalvoice.org.uk/oppose-gender-identity-fraud-prosecutions/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