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189"/>
        <w:gridCol w:w="1231"/>
        <w:gridCol w:w="1232"/>
        <w:gridCol w:w="1115"/>
        <w:gridCol w:w="1115"/>
        <w:gridCol w:w="1115"/>
        <w:gridCol w:w="1115"/>
        <w:gridCol w:w="1115"/>
        <w:gridCol w:w="1115"/>
        <w:gridCol w:w="1115"/>
      </w:tblGrid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Diseases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Y</w:t>
            </w: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ear 2005</w:t>
            </w:r>
          </w:p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(N=199,043)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Year 2006</w:t>
            </w:r>
          </w:p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(N=206,392)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Year 2007</w:t>
            </w:r>
          </w:p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(N=214,911)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Year 2008</w:t>
            </w:r>
          </w:p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(N=226,001)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Year 2009</w:t>
            </w:r>
          </w:p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(N=234,904)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Y</w:t>
            </w: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ear 2010</w:t>
            </w:r>
          </w:p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(N=243,104)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Year 2011</w:t>
            </w:r>
          </w:p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(N=250,958)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Y</w:t>
            </w: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ar 2012</w:t>
            </w:r>
          </w:p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(N=257,777)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Y</w:t>
            </w: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ear 2013</w:t>
            </w:r>
          </w:p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(N=264,369)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Y</w:t>
            </w: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ear 2014</w:t>
            </w:r>
          </w:p>
          <w:p w:rsidR="007B4899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(N=271,007)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Cancer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6,289 (3.2)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6,868 (3.3)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7,525 (3.5)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8,416 (3.7)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8,923 (3.8)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9,396 (3.9)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9,813 (3.9)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10,194 (4)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10,479 (4)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10,682 (3.9)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Cerebrovascular disease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4,612 (2.3)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4,817 (2.3)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5,059 (2.4)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5,361 (2.4)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5,615 (2.4)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5,823 (2.4)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5,966 (2.4)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6,028 (2.3)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6,046 (2.3)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6,131 (2.3)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Chronic pulmonary disease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29,319 (14.7)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31,069 (15.1)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32,827 (15.3)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34,929 (15.5)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36,618 (15.6)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38,164 (15.7)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39,520 (15.7)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40,766 (15.8)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41,685 (15.8)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42,544 (15.7)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Congestive heart disease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2,466 (1.2)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2,526 (1.2)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2,748 (1.3)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3,097 (1.4)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3,192 (1.4)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3,331 (1.4)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3,415 (1.4)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3,448 (1.3)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3,473 (1.3)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3,496 (1.3)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Diabetes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9,095 (4.6)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9,669 (4.7)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10,376 (4.8)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11,376 (5)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12,024 (5.1)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12,652 (5.2)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13,133 (5.2)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13,600 (5.3)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14,046 (5.3)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14,244 (5.3)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Diabetes with complications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1,277 (0.6)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1,472 (0.7)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1,623 (0.8)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1,759 (0.8)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1,897 (0.8)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2,123 (0.9)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2,396 (1)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2,513 (1)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2,680 (1)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2,772 (1)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Hemiplegia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432 (0.2)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459 (0.2)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472 (0.2)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488 (0.2)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499 (0.2)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516 (0.2)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530 (0.2)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555 (0.2)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563 (0.2)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571 (0.2)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Metastatic tumour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133 (0.1)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150 (0.1)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170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204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233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247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273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304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303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305 (0.1)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Mild liver disease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362 (0.2)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394 (0.2)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430 (0.2)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497 (0.2)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552 (0.2)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624 (0.3)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684 (0.3)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758 (0.3)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811 (0.3)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865 (0.3)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Mod liver disease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159 (0.1)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166 (0.1)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191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221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234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262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279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304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313 (0.1)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319 (0.1)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Myocardial infarction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4,410 (2.2)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4,533 (2.2)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4,691 (2.2)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4,928 (2.2)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4,986 (2.1)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5,047 (2.1)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5,102 (2)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5,145 (2)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5,170 (2)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5,218 (1.9)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Peptic ulcer disease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3,490 (1.8)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3,601 (1.7)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3,737 (1.7)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3,891 (1.7)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3,940 (1.7)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3,949 (1.6)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3,957 (1.6)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3,959 (1.5)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3,913 (1.5)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3,883 (1.4)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Peripheral vascular disease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2,259 (1.1)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2,364 (1.1)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2,517 (1.2)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2,673 (1.2)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2,749 (1.2)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2,790 (1.1)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2,882 (1.1)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2,954 (1.1)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3,048 (1.2)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3,076 (1.1)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Renal disease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3,005 (1.5)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8,976 (4.3)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10,983 (5.1)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11,714 (5.2)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12,306 (5.2)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12,388 (5.1)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12,340 (4.9)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12,318 (4.8)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11,965 (4.5)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11,781 (4.3)</w:t>
            </w:r>
          </w:p>
        </w:tc>
      </w:tr>
      <w:tr w:rsidR="007B4899" w:rsidRPr="007648B0" w:rsidTr="00BB6395">
        <w:trPr>
          <w:trHeight w:val="300"/>
        </w:trPr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7B4899" w:rsidRPr="00061F42" w:rsidRDefault="007B4899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Rheumatological</w:t>
            </w:r>
            <w:proofErr w:type="spellEnd"/>
            <w:r w:rsidRPr="00061F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disease (%)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2,906 (1.5)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2,972 (1.4)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3,043 (1.4)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3,197 (1.4)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3,273 (1.4)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3,340 (1.4)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3,401 (1.4)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3,435 (1.3)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3,456 (1.3)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B4899" w:rsidRPr="005A28A2" w:rsidRDefault="007B4899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A28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3,498 (1.3)</w:t>
            </w:r>
          </w:p>
        </w:tc>
      </w:tr>
    </w:tbl>
    <w:p w:rsidR="007B4899" w:rsidRDefault="007B4899" w:rsidP="007B4899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</w:t>
      </w:r>
      <w:r w:rsidRPr="006A3390">
        <w:rPr>
          <w:rFonts w:ascii="Times New Roman" w:hAnsi="Times New Roman"/>
          <w:b/>
          <w:sz w:val="20"/>
          <w:szCs w:val="20"/>
        </w:rPr>
        <w:t xml:space="preserve">able </w:t>
      </w:r>
      <w:r>
        <w:rPr>
          <w:rFonts w:ascii="Times New Roman" w:hAnsi="Times New Roman"/>
          <w:b/>
          <w:sz w:val="20"/>
          <w:szCs w:val="20"/>
        </w:rPr>
        <w:t>2</w:t>
      </w:r>
      <w:r w:rsidRPr="006A339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Charlson</w:t>
      </w:r>
      <w:proofErr w:type="spellEnd"/>
      <w:r>
        <w:rPr>
          <w:rFonts w:ascii="Times New Roman" w:hAnsi="Times New Roman"/>
          <w:sz w:val="20"/>
          <w:szCs w:val="20"/>
        </w:rPr>
        <w:t xml:space="preserve"> comorbidity index disease categories trend over the study period (on QOF financial years, such as 1</w:t>
      </w:r>
      <w:r w:rsidRPr="009266EF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of April to 31</w:t>
      </w:r>
      <w:r w:rsidRPr="009266EF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March of the next year) in terms of number of patients affected and prevalence.</w:t>
      </w:r>
    </w:p>
    <w:p w:rsidR="00C87126" w:rsidRDefault="00C87126">
      <w:bookmarkStart w:id="0" w:name="_GoBack"/>
      <w:bookmarkEnd w:id="0"/>
    </w:p>
    <w:sectPr w:rsidR="00C87126" w:rsidSect="007B489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9"/>
    <w:rsid w:val="007B4899"/>
    <w:rsid w:val="00C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845AE-997B-47A7-8307-F3DB5D5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</cp:revision>
  <dcterms:created xsi:type="dcterms:W3CDTF">2016-02-22T17:31:00Z</dcterms:created>
  <dcterms:modified xsi:type="dcterms:W3CDTF">2016-02-22T17:32:00Z</dcterms:modified>
</cp:coreProperties>
</file>