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93" w:rsidRDefault="00CD6193" w:rsidP="00CD6193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40"/>
        <w:gridCol w:w="2236"/>
        <w:gridCol w:w="2072"/>
        <w:gridCol w:w="2170"/>
      </w:tblGrid>
      <w:tr w:rsidR="00CD6193" w:rsidRPr="000D6581" w:rsidTr="00BB6395">
        <w:trPr>
          <w:trHeight w:val="30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Baseline CCI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CCI </w:t>
            </w: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change</w:t>
            </w:r>
          </w:p>
        </w:tc>
        <w:tc>
          <w:tcPr>
            <w:tcW w:w="2236" w:type="dxa"/>
            <w:vAlign w:val="center"/>
          </w:tcPr>
          <w:p w:rsidR="00CD6193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1</w:t>
            </w:r>
            <w:r w:rsidRPr="006F781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-year follow-up</w:t>
            </w:r>
          </w:p>
          <w:p w:rsidR="00CD6193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Odds ratio</w:t>
            </w:r>
          </w:p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0D6581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[95% </w:t>
            </w: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CI</w:t>
            </w:r>
            <w:r w:rsidRPr="000D6581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5-year follow-up</w:t>
            </w:r>
          </w:p>
          <w:p w:rsidR="00CD6193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Odds ratio</w:t>
            </w:r>
          </w:p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D6581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[95% </w:t>
            </w: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CI</w:t>
            </w:r>
            <w:r w:rsidRPr="000D6581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]</w:t>
            </w:r>
          </w:p>
        </w:tc>
        <w:tc>
          <w:tcPr>
            <w:tcW w:w="2170" w:type="dxa"/>
            <w:vAlign w:val="center"/>
          </w:tcPr>
          <w:p w:rsidR="00CD6193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10-year follow-up</w:t>
            </w:r>
          </w:p>
          <w:p w:rsidR="00CD6193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Odds ratio</w:t>
            </w:r>
          </w:p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[95% CI]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6.35 [4.33,9.32]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3.58 [3.16,4.05]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3.68 [3.41,3.97]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18.18 [13.09,25.25]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10.34 [9.42,11.34]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11.31 [10.64,12.02]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&gt;=3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70.12 [36.98,132.95]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17.58 [15.45,20.01]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19.33 [17.98,20.78]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7.59 [4.95,11.65]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2.88 [2.43,3.42]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3.24 [2.91,3.61]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10.68 [7.1,16.07]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5.82 [5.17,6.55]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7.26 [6.67,7.91]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&gt;=3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12.73 [3.94,41.18]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8.42 [7.24,9.78]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9.34 [8.51,10.25]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0.59</w:t>
            </w:r>
            <w:r w:rsidRPr="006F781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*</w:t>
            </w: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[0.19,1.87]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1.12</w:t>
            </w:r>
            <w:r w:rsidRPr="006F781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*</w:t>
            </w: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[0.89,1.39]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1.24 [1.07,1.44]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1.91 [0.96,3.77]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1.69 [1.44,1.98]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2.19 [1.94,2.48]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&gt;=3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7.93 [2.75,22.86]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2.24 [1.83,2.74]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2.85 [2.5,3.24]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&gt;=3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1.69</w:t>
            </w:r>
            <w:r w:rsidRPr="006F781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*</w:t>
            </w: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[0.92,3.08]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1.09</w:t>
            </w:r>
            <w:r w:rsidRPr="006F781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*</w:t>
            </w: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[0.86,1.37]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1.29 [1.09,1.54]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2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1.27</w:t>
            </w:r>
            <w:r w:rsidRPr="006F781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*</w:t>
            </w: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[0.62,2.63]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1.22 [1.03,1.45]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1.96 [1.7,2.27]</w:t>
            </w:r>
          </w:p>
        </w:tc>
      </w:tr>
      <w:tr w:rsidR="00CD6193" w:rsidRPr="000D6581" w:rsidTr="00BB6395">
        <w:trPr>
          <w:trHeight w:val="300"/>
        </w:trPr>
        <w:tc>
          <w:tcPr>
            <w:tcW w:w="1452" w:type="dxa"/>
            <w:vMerge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&gt;=3</w:t>
            </w:r>
          </w:p>
        </w:tc>
        <w:tc>
          <w:tcPr>
            <w:tcW w:w="2236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5.54 [1.87,16.4]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1.37 [1.08,1.74]</w:t>
            </w:r>
          </w:p>
        </w:tc>
        <w:tc>
          <w:tcPr>
            <w:tcW w:w="2170" w:type="dxa"/>
            <w:vAlign w:val="center"/>
          </w:tcPr>
          <w:p w:rsidR="00CD6193" w:rsidRPr="006F7814" w:rsidRDefault="00CD6193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F7814">
              <w:rPr>
                <w:rFonts w:ascii="Times New Roman" w:eastAsia="Times New Roman" w:hAnsi="Times New Roman"/>
                <w:color w:val="000000"/>
                <w:lang w:eastAsia="en-GB"/>
              </w:rPr>
              <w:t>1.88 [1.6,2.21]</w:t>
            </w:r>
          </w:p>
        </w:tc>
      </w:tr>
    </w:tbl>
    <w:p w:rsidR="00C87126" w:rsidRDefault="00CD6193">
      <w:r>
        <w:rPr>
          <w:rFonts w:ascii="Times New Roman" w:hAnsi="Times New Roman"/>
          <w:b/>
          <w:sz w:val="20"/>
          <w:szCs w:val="20"/>
        </w:rPr>
        <w:t>Table 3</w:t>
      </w:r>
      <w:r w:rsidRPr="006C1B12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Odds ratio of mortality for group of patients that had a change in </w:t>
      </w:r>
      <w:proofErr w:type="spellStart"/>
      <w:r>
        <w:rPr>
          <w:rFonts w:ascii="Times New Roman" w:hAnsi="Times New Roman"/>
          <w:sz w:val="20"/>
          <w:szCs w:val="20"/>
        </w:rPr>
        <w:t>Charlson</w:t>
      </w:r>
      <w:proofErr w:type="spellEnd"/>
      <w:r>
        <w:rPr>
          <w:rFonts w:ascii="Times New Roman" w:hAnsi="Times New Roman"/>
          <w:sz w:val="20"/>
          <w:szCs w:val="20"/>
        </w:rPr>
        <w:t xml:space="preserve"> Comorbidity Index (CCI) and the patients that did not have it for different baseline CCI values across the study.</w:t>
      </w:r>
      <w:r w:rsidRPr="006F7814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>Value non statistically significant at a 0.05 level.</w:t>
      </w:r>
      <w:bookmarkStart w:id="0" w:name="_GoBack"/>
      <w:bookmarkEnd w:id="0"/>
    </w:p>
    <w:sectPr w:rsidR="00C8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93"/>
    <w:rsid w:val="00C87126"/>
    <w:rsid w:val="00C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8DA33-C9A0-42EA-A5FD-CD7F3FF9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University of Manchester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</cp:revision>
  <dcterms:created xsi:type="dcterms:W3CDTF">2016-02-22T17:32:00Z</dcterms:created>
  <dcterms:modified xsi:type="dcterms:W3CDTF">2016-02-22T17:33:00Z</dcterms:modified>
</cp:coreProperties>
</file>