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B1" w:rsidRDefault="00026CB1" w:rsidP="00026CB1">
      <w:pPr>
        <w:spacing w:before="120" w:after="0" w:line="240" w:lineRule="auto"/>
        <w:rPr>
          <w:rFonts w:ascii="Times New Roman" w:hAnsi="Times New Roman"/>
          <w:b/>
          <w:sz w:val="24"/>
        </w:rPr>
      </w:pPr>
    </w:p>
    <w:tbl>
      <w:tblPr>
        <w:tblW w:w="131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220"/>
        <w:gridCol w:w="2611"/>
        <w:gridCol w:w="2611"/>
        <w:gridCol w:w="2611"/>
      </w:tblGrid>
      <w:tr w:rsidR="00026CB1" w:rsidRPr="007648B0" w:rsidTr="00BB6395">
        <w:trPr>
          <w:trHeight w:val="380"/>
        </w:trPr>
        <w:tc>
          <w:tcPr>
            <w:tcW w:w="1086" w:type="dxa"/>
            <w:vMerge w:val="restart"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bottom"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Model 5</w:t>
            </w:r>
          </w:p>
        </w:tc>
      </w:tr>
      <w:tr w:rsidR="00026CB1" w:rsidRPr="007648B0" w:rsidTr="00BB6395">
        <w:trPr>
          <w:trHeight w:val="558"/>
        </w:trPr>
        <w:tc>
          <w:tcPr>
            <w:tcW w:w="1086" w:type="dxa"/>
            <w:vMerge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6CB1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12-month time windows</w:t>
            </w:r>
          </w:p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Hazard ratio</w:t>
            </w:r>
          </w:p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[95% confidence interval]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6CB1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6-month time windows</w:t>
            </w:r>
          </w:p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Hazard ratio</w:t>
            </w:r>
          </w:p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[95% confidence interval]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6CB1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3-month time windows</w:t>
            </w:r>
          </w:p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Hazard ratio</w:t>
            </w:r>
          </w:p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[95% confidence interval]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 w:val="restart"/>
            <w:textDirection w:val="btLr"/>
            <w:vAlign w:val="center"/>
          </w:tcPr>
          <w:p w:rsidR="00026CB1" w:rsidRPr="004A7B44" w:rsidRDefault="00026CB1" w:rsidP="00BB63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</w:pPr>
            <w:r w:rsidRPr="004A7B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  <w:t>NON-STRATIFIED ANALYSIS</w:t>
            </w:r>
          </w:p>
        </w:tc>
        <w:tc>
          <w:tcPr>
            <w:tcW w:w="42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 (per year)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  <w:vAlign w:val="center"/>
          </w:tcPr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Gender (M vs F)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1.21 [1.1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,1.25]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  <w:vAlign w:val="center"/>
          </w:tcPr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CCI </w:t>
            </w: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(per unit)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[1.26,1.2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1.30 [1.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30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,1.31]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</w:tr>
      <w:tr w:rsidR="00026CB1" w:rsidRPr="007648B0" w:rsidTr="00BB6395">
        <w:trPr>
          <w:trHeight w:val="294"/>
        </w:trPr>
        <w:tc>
          <w:tcPr>
            <w:tcW w:w="1086" w:type="dxa"/>
            <w:vMerge/>
            <w:vAlign w:val="center"/>
          </w:tcPr>
          <w:p w:rsidR="00026CB1" w:rsidRPr="007D7C8E" w:rsidRDefault="00026CB1" w:rsidP="00BB6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CCI</w:t>
            </w: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change</w:t>
            </w: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(per unit)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1.41 [1.38,1.4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51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,1.66]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 w:val="restart"/>
            <w:textDirection w:val="btLr"/>
            <w:vAlign w:val="center"/>
          </w:tcPr>
          <w:p w:rsidR="00026CB1" w:rsidRPr="004A7B44" w:rsidRDefault="00026CB1" w:rsidP="00BB63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  <w:t>CARDIOVASCULAR</w:t>
            </w:r>
            <w:r w:rsidRPr="004A7B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  <w:t>STR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  <w:t>A</w:t>
            </w:r>
            <w:r w:rsidRPr="004A7B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  <w:t>TIFIED</w:t>
            </w:r>
          </w:p>
          <w:p w:rsidR="00026CB1" w:rsidRPr="007D7C8E" w:rsidRDefault="00026CB1" w:rsidP="00BB63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4A7B44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en-GB"/>
              </w:rPr>
              <w:t>ANALYSIS</w:t>
            </w:r>
          </w:p>
        </w:tc>
        <w:tc>
          <w:tcPr>
            <w:tcW w:w="42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 (per year)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,1.08]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,1.08]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,1.08]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Gender (M vs F)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1.21 [1.17,1.25]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1.21 [1.1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,1.25]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Cardiovascular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CCI</w:t>
            </w: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(per unit)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1.28 [1.2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70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30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Cardiovascular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CCI</w:t>
            </w: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change</w:t>
            </w:r>
            <w:r w:rsidRPr="007D7C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(per unit)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1.12 [1.0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,1.16]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[1.25,1.3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9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6B07B2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en-GB"/>
              </w:rPr>
              <w:t>Non-cardiovascular CCI (per unit)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[1.24,1.2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30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40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</w:tr>
      <w:tr w:rsidR="00026CB1" w:rsidRPr="007648B0" w:rsidTr="00BB6395">
        <w:trPr>
          <w:trHeight w:val="300"/>
        </w:trPr>
        <w:tc>
          <w:tcPr>
            <w:tcW w:w="1086" w:type="dxa"/>
            <w:vMerge/>
          </w:tcPr>
          <w:p w:rsidR="00026CB1" w:rsidRPr="007D7C8E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6CB1" w:rsidRPr="006B07B2" w:rsidRDefault="00026CB1" w:rsidP="00BB6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it-IT" w:eastAsia="en-GB"/>
              </w:rPr>
              <w:t>Non-cardiovascular CCI change (per unit)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60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</w:t>
            </w: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,1.63]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26CB1" w:rsidRPr="00314B9E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66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[1.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62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,1.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70</w:t>
            </w:r>
            <w:r w:rsidRPr="007648B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26CB1" w:rsidRPr="004A7B44" w:rsidRDefault="00026CB1" w:rsidP="00BB63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6B07B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1.68 [1.64,1.72]</w:t>
            </w:r>
          </w:p>
        </w:tc>
      </w:tr>
    </w:tbl>
    <w:p w:rsidR="00026CB1" w:rsidRPr="007701EF" w:rsidRDefault="00026CB1" w:rsidP="00026CB1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Table 5</w:t>
      </w:r>
      <w:r w:rsidRPr="006C1B12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Hazard ratios for model 5 across the different time windows analyses. Abbreviation: CCI, </w:t>
      </w:r>
      <w:proofErr w:type="spellStart"/>
      <w:r>
        <w:rPr>
          <w:rFonts w:ascii="Times New Roman" w:hAnsi="Times New Roman"/>
          <w:sz w:val="20"/>
          <w:szCs w:val="20"/>
        </w:rPr>
        <w:t>Charlson</w:t>
      </w:r>
      <w:proofErr w:type="spellEnd"/>
      <w:r>
        <w:rPr>
          <w:rFonts w:ascii="Times New Roman" w:hAnsi="Times New Roman"/>
          <w:sz w:val="20"/>
          <w:szCs w:val="20"/>
        </w:rPr>
        <w:t xml:space="preserve"> comorbidity index. </w:t>
      </w:r>
    </w:p>
    <w:p w:rsidR="00026CB1" w:rsidRPr="00430CDE" w:rsidRDefault="00026CB1" w:rsidP="00026CB1">
      <w:pPr>
        <w:spacing w:before="120" w:after="0" w:line="480" w:lineRule="auto"/>
        <w:rPr>
          <w:rFonts w:ascii="Times New Roman" w:hAnsi="Times New Roman"/>
          <w:sz w:val="20"/>
          <w:szCs w:val="20"/>
        </w:rPr>
      </w:pPr>
    </w:p>
    <w:p w:rsidR="00C87126" w:rsidRDefault="00C87126">
      <w:bookmarkStart w:id="0" w:name="_GoBack"/>
      <w:bookmarkEnd w:id="0"/>
    </w:p>
    <w:sectPr w:rsidR="00C87126" w:rsidSect="00026CB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1"/>
    <w:rsid w:val="00026CB1"/>
    <w:rsid w:val="00C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C29AA-1D23-46BF-B4ED-DEE2543D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University of Manchester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2016-02-22T17:34:00Z</dcterms:created>
  <dcterms:modified xsi:type="dcterms:W3CDTF">2016-02-22T17:35:00Z</dcterms:modified>
</cp:coreProperties>
</file>