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95CA8" w14:textId="77777777" w:rsidR="00C751AE" w:rsidRPr="002B08B8" w:rsidRDefault="00C751AE" w:rsidP="00C751AE">
      <w:pPr>
        <w:jc w:val="both"/>
        <w:rPr>
          <w:rFonts w:ascii="Times New Roman" w:hAnsi="Times New Roman" w:cs="Times New Roman"/>
          <w:iCs/>
          <w:color w:val="000000" w:themeColor="text1"/>
          <w:szCs w:val="18"/>
        </w:rPr>
      </w:pPr>
      <w:r w:rsidRPr="002B08B8">
        <w:rPr>
          <w:rFonts w:ascii="Times New Roman" w:hAnsi="Times New Roman" w:cs="Times New Roman"/>
          <w:color w:val="000000" w:themeColor="text1"/>
        </w:rPr>
        <w:t>Table 5: Risk of Adverse Outcomes following multivariate adjustment in ACS patients</w:t>
      </w:r>
      <w:r w:rsidRPr="002B08B8">
        <w:rPr>
          <w:rFonts w:ascii="Times New Roman" w:hAnsi="Times New Roman" w:cs="Times New Roman"/>
          <w:i/>
          <w:color w:val="000000" w:themeColor="text1"/>
        </w:rPr>
        <w:t xml:space="preserve"> only</w:t>
      </w:r>
    </w:p>
    <w:p w14:paraId="66844A8F" w14:textId="77777777" w:rsidR="00C751AE" w:rsidRPr="002B08B8" w:rsidRDefault="00C751AE" w:rsidP="00C751AE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2302"/>
        <w:gridCol w:w="2236"/>
        <w:gridCol w:w="2236"/>
        <w:gridCol w:w="2236"/>
      </w:tblGrid>
      <w:tr w:rsidR="00C751AE" w:rsidRPr="002B08B8" w14:paraId="0448BF8E" w14:textId="77777777" w:rsidTr="000400CC">
        <w:trPr>
          <w:trHeight w:val="411"/>
        </w:trPr>
        <w:tc>
          <w:tcPr>
            <w:tcW w:w="2302" w:type="dxa"/>
            <w:vAlign w:val="center"/>
          </w:tcPr>
          <w:p w14:paraId="7C2D2C42" w14:textId="77777777" w:rsidR="00C751AE" w:rsidRPr="002B08B8" w:rsidRDefault="00C751AE" w:rsidP="000400CC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Variable </w:t>
            </w:r>
          </w:p>
        </w:tc>
        <w:tc>
          <w:tcPr>
            <w:tcW w:w="2236" w:type="dxa"/>
          </w:tcPr>
          <w:p w14:paraId="6C07D7C9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Adjusted OR/HR as compare to reference (No EPD use)</w:t>
            </w:r>
          </w:p>
        </w:tc>
        <w:tc>
          <w:tcPr>
            <w:tcW w:w="2236" w:type="dxa"/>
          </w:tcPr>
          <w:p w14:paraId="03EE24F2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 xml:space="preserve">P-value </w:t>
            </w:r>
          </w:p>
        </w:tc>
        <w:tc>
          <w:tcPr>
            <w:tcW w:w="2236" w:type="dxa"/>
          </w:tcPr>
          <w:p w14:paraId="620C132E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95% CI</w:t>
            </w:r>
          </w:p>
        </w:tc>
      </w:tr>
      <w:tr w:rsidR="00C751AE" w:rsidRPr="002B08B8" w14:paraId="349655B7" w14:textId="77777777" w:rsidTr="000400CC">
        <w:trPr>
          <w:trHeight w:val="427"/>
        </w:trPr>
        <w:tc>
          <w:tcPr>
            <w:tcW w:w="6774" w:type="dxa"/>
            <w:gridSpan w:val="3"/>
            <w:vAlign w:val="center"/>
          </w:tcPr>
          <w:p w14:paraId="75E95704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In-hospital mortality </w:t>
            </w:r>
          </w:p>
        </w:tc>
        <w:tc>
          <w:tcPr>
            <w:tcW w:w="2236" w:type="dxa"/>
          </w:tcPr>
          <w:p w14:paraId="13BC29A5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51AE" w:rsidRPr="002B08B8" w14:paraId="125A55F3" w14:textId="77777777" w:rsidTr="000400CC">
        <w:trPr>
          <w:trHeight w:val="427"/>
        </w:trPr>
        <w:tc>
          <w:tcPr>
            <w:tcW w:w="2302" w:type="dxa"/>
            <w:vAlign w:val="center"/>
          </w:tcPr>
          <w:p w14:paraId="06631EDB" w14:textId="77777777" w:rsidR="00C751AE" w:rsidRPr="002B08B8" w:rsidRDefault="00C751AE" w:rsidP="000400CC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Adjusted OR</w:t>
            </w:r>
            <w:r w:rsidRPr="002B08B8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sym w:font="Symbol" w:char="F02A"/>
            </w:r>
          </w:p>
        </w:tc>
        <w:tc>
          <w:tcPr>
            <w:tcW w:w="2236" w:type="dxa"/>
          </w:tcPr>
          <w:p w14:paraId="23A37514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2236" w:type="dxa"/>
          </w:tcPr>
          <w:p w14:paraId="50CF389C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2236" w:type="dxa"/>
          </w:tcPr>
          <w:p w14:paraId="38BBA94A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0.23 to 1.30</w:t>
            </w:r>
          </w:p>
        </w:tc>
      </w:tr>
      <w:tr w:rsidR="00C751AE" w:rsidRPr="002B08B8" w14:paraId="4CE5ADCD" w14:textId="77777777" w:rsidTr="000400CC">
        <w:trPr>
          <w:trHeight w:val="427"/>
        </w:trPr>
        <w:tc>
          <w:tcPr>
            <w:tcW w:w="9010" w:type="dxa"/>
            <w:gridSpan w:val="4"/>
            <w:vAlign w:val="center"/>
          </w:tcPr>
          <w:p w14:paraId="2EA00B7E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30-day mortality </w:t>
            </w:r>
          </w:p>
        </w:tc>
      </w:tr>
      <w:tr w:rsidR="00C751AE" w:rsidRPr="002B08B8" w14:paraId="1A7F3339" w14:textId="77777777" w:rsidTr="000400CC">
        <w:trPr>
          <w:trHeight w:val="411"/>
        </w:trPr>
        <w:tc>
          <w:tcPr>
            <w:tcW w:w="2302" w:type="dxa"/>
            <w:vAlign w:val="center"/>
          </w:tcPr>
          <w:p w14:paraId="224960D3" w14:textId="77777777" w:rsidR="00C751AE" w:rsidRPr="002B08B8" w:rsidRDefault="00C751AE" w:rsidP="000400CC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Adjusted HR</w:t>
            </w:r>
            <w:r w:rsidRPr="002B08B8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sym w:font="Symbol" w:char="F02A"/>
            </w:r>
          </w:p>
        </w:tc>
        <w:tc>
          <w:tcPr>
            <w:tcW w:w="2236" w:type="dxa"/>
          </w:tcPr>
          <w:p w14:paraId="74143FD6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2236" w:type="dxa"/>
          </w:tcPr>
          <w:p w14:paraId="47E1F5FE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2236" w:type="dxa"/>
          </w:tcPr>
          <w:p w14:paraId="42A6F7DA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0.48 to 1.58</w:t>
            </w:r>
          </w:p>
        </w:tc>
      </w:tr>
      <w:tr w:rsidR="00C751AE" w:rsidRPr="002B08B8" w14:paraId="60B2BDA3" w14:textId="77777777" w:rsidTr="000400CC">
        <w:trPr>
          <w:trHeight w:val="411"/>
        </w:trPr>
        <w:tc>
          <w:tcPr>
            <w:tcW w:w="9010" w:type="dxa"/>
            <w:gridSpan w:val="4"/>
            <w:vAlign w:val="center"/>
          </w:tcPr>
          <w:p w14:paraId="1CDCE10F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1-y mortality </w:t>
            </w:r>
          </w:p>
        </w:tc>
      </w:tr>
      <w:tr w:rsidR="00C751AE" w:rsidRPr="002B08B8" w14:paraId="1D2AB34C" w14:textId="77777777" w:rsidTr="000400CC">
        <w:trPr>
          <w:trHeight w:val="411"/>
        </w:trPr>
        <w:tc>
          <w:tcPr>
            <w:tcW w:w="2302" w:type="dxa"/>
            <w:vAlign w:val="center"/>
          </w:tcPr>
          <w:p w14:paraId="4421F11A" w14:textId="77777777" w:rsidR="00C751AE" w:rsidRPr="002B08B8" w:rsidRDefault="00C751AE" w:rsidP="000400CC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Adjusted HR</w:t>
            </w:r>
            <w:r w:rsidRPr="002B08B8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sym w:font="Symbol" w:char="F02A"/>
            </w:r>
          </w:p>
        </w:tc>
        <w:tc>
          <w:tcPr>
            <w:tcW w:w="2236" w:type="dxa"/>
          </w:tcPr>
          <w:p w14:paraId="652B58F2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2236" w:type="dxa"/>
          </w:tcPr>
          <w:p w14:paraId="4B002856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2236" w:type="dxa"/>
          </w:tcPr>
          <w:p w14:paraId="60183EB6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0.74 to 1.26</w:t>
            </w:r>
          </w:p>
        </w:tc>
      </w:tr>
      <w:tr w:rsidR="00C751AE" w:rsidRPr="002B08B8" w14:paraId="00975BC8" w14:textId="77777777" w:rsidTr="000400CC">
        <w:trPr>
          <w:trHeight w:val="411"/>
        </w:trPr>
        <w:tc>
          <w:tcPr>
            <w:tcW w:w="9010" w:type="dxa"/>
            <w:gridSpan w:val="4"/>
            <w:vAlign w:val="center"/>
          </w:tcPr>
          <w:p w14:paraId="0A2D22A9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No reflow/ slow flow phenomenon</w:t>
            </w:r>
          </w:p>
        </w:tc>
      </w:tr>
      <w:tr w:rsidR="00C751AE" w:rsidRPr="002B08B8" w14:paraId="3821EB17" w14:textId="77777777" w:rsidTr="000400CC">
        <w:trPr>
          <w:trHeight w:val="411"/>
        </w:trPr>
        <w:tc>
          <w:tcPr>
            <w:tcW w:w="2302" w:type="dxa"/>
            <w:vAlign w:val="center"/>
          </w:tcPr>
          <w:p w14:paraId="49A8A57A" w14:textId="77777777" w:rsidR="00C751AE" w:rsidRPr="002B08B8" w:rsidRDefault="00C751AE" w:rsidP="000400CC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Adjusted OR</w:t>
            </w:r>
            <w:r w:rsidRPr="002B08B8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sym w:font="Symbol" w:char="F02A"/>
            </w:r>
          </w:p>
        </w:tc>
        <w:tc>
          <w:tcPr>
            <w:tcW w:w="2236" w:type="dxa"/>
          </w:tcPr>
          <w:p w14:paraId="65E11E66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2236" w:type="dxa"/>
          </w:tcPr>
          <w:p w14:paraId="085815A3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&lt;0.0001</w:t>
            </w:r>
          </w:p>
        </w:tc>
        <w:tc>
          <w:tcPr>
            <w:tcW w:w="2236" w:type="dxa"/>
          </w:tcPr>
          <w:p w14:paraId="3642B4E1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1.38-2.64</w:t>
            </w:r>
          </w:p>
        </w:tc>
      </w:tr>
      <w:tr w:rsidR="00C751AE" w:rsidRPr="002B08B8" w14:paraId="49B6B962" w14:textId="77777777" w:rsidTr="000400CC">
        <w:trPr>
          <w:trHeight w:val="411"/>
        </w:trPr>
        <w:tc>
          <w:tcPr>
            <w:tcW w:w="9010" w:type="dxa"/>
            <w:gridSpan w:val="4"/>
            <w:vAlign w:val="center"/>
          </w:tcPr>
          <w:p w14:paraId="0844928C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In-hospital MACE </w:t>
            </w:r>
          </w:p>
        </w:tc>
      </w:tr>
      <w:tr w:rsidR="00C751AE" w:rsidRPr="002B08B8" w14:paraId="6461E59B" w14:textId="77777777" w:rsidTr="000400CC">
        <w:trPr>
          <w:trHeight w:val="411"/>
        </w:trPr>
        <w:tc>
          <w:tcPr>
            <w:tcW w:w="2302" w:type="dxa"/>
            <w:vAlign w:val="center"/>
          </w:tcPr>
          <w:p w14:paraId="01F2CB1C" w14:textId="77777777" w:rsidR="00C751AE" w:rsidRPr="002B08B8" w:rsidRDefault="00C751AE" w:rsidP="000400CC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Adjusted OR</w:t>
            </w:r>
            <w:r w:rsidRPr="002B08B8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sym w:font="Symbol" w:char="F02A"/>
            </w:r>
          </w:p>
        </w:tc>
        <w:tc>
          <w:tcPr>
            <w:tcW w:w="2236" w:type="dxa"/>
          </w:tcPr>
          <w:p w14:paraId="5A6690DE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2236" w:type="dxa"/>
          </w:tcPr>
          <w:p w14:paraId="2BD0681F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2236" w:type="dxa"/>
          </w:tcPr>
          <w:p w14:paraId="75374513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0.64 to 1.78</w:t>
            </w:r>
          </w:p>
        </w:tc>
      </w:tr>
      <w:tr w:rsidR="00C751AE" w:rsidRPr="002B08B8" w14:paraId="49325981" w14:textId="77777777" w:rsidTr="000400CC">
        <w:trPr>
          <w:trHeight w:val="411"/>
        </w:trPr>
        <w:tc>
          <w:tcPr>
            <w:tcW w:w="9010" w:type="dxa"/>
            <w:gridSpan w:val="4"/>
            <w:vAlign w:val="center"/>
          </w:tcPr>
          <w:p w14:paraId="1AB26751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In-hospital stroke </w:t>
            </w:r>
          </w:p>
        </w:tc>
      </w:tr>
      <w:tr w:rsidR="00C751AE" w:rsidRPr="002B08B8" w14:paraId="111EEF64" w14:textId="77777777" w:rsidTr="000400CC">
        <w:trPr>
          <w:trHeight w:val="411"/>
        </w:trPr>
        <w:tc>
          <w:tcPr>
            <w:tcW w:w="2302" w:type="dxa"/>
            <w:vAlign w:val="center"/>
          </w:tcPr>
          <w:p w14:paraId="2BA083DB" w14:textId="77777777" w:rsidR="00C751AE" w:rsidRPr="002B08B8" w:rsidRDefault="00C751AE" w:rsidP="000400CC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08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Adjusted OR</w:t>
            </w:r>
            <w:r w:rsidRPr="002B08B8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sym w:font="Symbol" w:char="F02A"/>
            </w:r>
          </w:p>
        </w:tc>
        <w:tc>
          <w:tcPr>
            <w:tcW w:w="2236" w:type="dxa"/>
          </w:tcPr>
          <w:p w14:paraId="47EF21CE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2236" w:type="dxa"/>
          </w:tcPr>
          <w:p w14:paraId="3BF0ACFC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2236" w:type="dxa"/>
          </w:tcPr>
          <w:p w14:paraId="1B290E86" w14:textId="77777777" w:rsidR="00C751AE" w:rsidRPr="002B08B8" w:rsidRDefault="00C751AE" w:rsidP="000400CC">
            <w:pPr>
              <w:jc w:val="both"/>
              <w:rPr>
                <w:rFonts w:ascii="Times New Roman" w:hAnsi="Times New Roman" w:cs="Times New Roman"/>
              </w:rPr>
            </w:pPr>
            <w:r w:rsidRPr="002B08B8">
              <w:rPr>
                <w:rFonts w:ascii="Times New Roman" w:hAnsi="Times New Roman" w:cs="Times New Roman"/>
              </w:rPr>
              <w:t>0.20 to 4.6</w:t>
            </w:r>
          </w:p>
        </w:tc>
      </w:tr>
    </w:tbl>
    <w:p w14:paraId="6AD29875" w14:textId="77777777" w:rsidR="00C751AE" w:rsidRPr="002B08B8" w:rsidRDefault="00C751AE" w:rsidP="00C751AE">
      <w:pPr>
        <w:jc w:val="both"/>
        <w:rPr>
          <w:rFonts w:ascii="Times New Roman" w:hAnsi="Times New Roman" w:cs="Times New Roman"/>
        </w:rPr>
      </w:pPr>
    </w:p>
    <w:p w14:paraId="2C2FA522" w14:textId="77777777" w:rsidR="00C751AE" w:rsidRPr="002B08B8" w:rsidRDefault="00C751AE" w:rsidP="00C751AE">
      <w:pPr>
        <w:jc w:val="both"/>
        <w:rPr>
          <w:rFonts w:ascii="Times New Roman" w:hAnsi="Times New Roman" w:cs="Times New Roman"/>
        </w:rPr>
      </w:pPr>
      <w:r w:rsidRPr="002B08B8">
        <w:rPr>
          <w:rFonts w:ascii="Times New Roman" w:hAnsi="Times New Roman" w:cs="Times New Roman"/>
          <w:sz w:val="21"/>
        </w:rPr>
        <w:t>ACS; Acute Coronary Syndrome, EPD; Embolic protection devices, CI; Confidence interval, OR; Odds ratio, HR; Hazard ratio, MACE; Major adverse cardiovascular event, PCI; Percutaneous coronary intervention</w:t>
      </w:r>
    </w:p>
    <w:p w14:paraId="3ADEE118" w14:textId="77777777" w:rsidR="00C751AE" w:rsidRPr="002B08B8" w:rsidRDefault="00C751AE" w:rsidP="00C751AE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136E2419" w14:textId="77777777" w:rsidR="00C751AE" w:rsidRPr="002B08B8" w:rsidRDefault="00C751AE" w:rsidP="00C751AE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08B8">
        <w:rPr>
          <w:rFonts w:ascii="Times New Roman" w:hAnsi="Times New Roman" w:cs="Times New Roman"/>
          <w:color w:val="000000"/>
          <w:szCs w:val="21"/>
        </w:rPr>
        <w:sym w:font="Symbol" w:char="F02A"/>
      </w:r>
      <w:r w:rsidRPr="002B08B8">
        <w:rPr>
          <w:rFonts w:ascii="Times New Roman" w:hAnsi="Times New Roman" w:cs="Times New Roman"/>
          <w:color w:val="000000"/>
          <w:sz w:val="21"/>
          <w:szCs w:val="21"/>
        </w:rPr>
        <w:t xml:space="preserve"> Variables in model included age, sex, smoking status, diabetes mellitus, hypertension, </w:t>
      </w:r>
      <w:proofErr w:type="spellStart"/>
      <w:r w:rsidRPr="002B08B8">
        <w:rPr>
          <w:rFonts w:ascii="Times New Roman" w:hAnsi="Times New Roman" w:cs="Times New Roman"/>
          <w:color w:val="000000"/>
          <w:sz w:val="21"/>
          <w:szCs w:val="21"/>
        </w:rPr>
        <w:t>hyperlipidemia</w:t>
      </w:r>
      <w:proofErr w:type="spellEnd"/>
      <w:r w:rsidRPr="002B08B8">
        <w:rPr>
          <w:rFonts w:ascii="Times New Roman" w:hAnsi="Times New Roman" w:cs="Times New Roman"/>
          <w:color w:val="000000"/>
          <w:sz w:val="21"/>
          <w:szCs w:val="21"/>
        </w:rPr>
        <w:t xml:space="preserve">, previous myocardial infarction, previous stroke, peripheral vascular disease, family history of coronary artery disease, Left Ventricular systolic dysfunction, radial access site, glycoprotein IIb/IIIa inhibitor, Multiple territories attempted, Ventilatory Support, Circulatory support, Drug eluting stent use, number of stents, thrombus aspiration </w:t>
      </w:r>
    </w:p>
    <w:p w14:paraId="036B8669" w14:textId="77777777" w:rsidR="00C751AE" w:rsidRPr="002B08B8" w:rsidRDefault="00C751AE" w:rsidP="00C751AE">
      <w:pPr>
        <w:spacing w:line="480" w:lineRule="auto"/>
        <w:jc w:val="both"/>
        <w:rPr>
          <w:rFonts w:ascii="Times New Roman" w:hAnsi="Times New Roman" w:cs="Times New Roman"/>
        </w:rPr>
      </w:pPr>
      <w:r w:rsidRPr="002B08B8">
        <w:rPr>
          <w:rFonts w:ascii="Times New Roman" w:hAnsi="Times New Roman" w:cs="Times New Roman"/>
        </w:rPr>
        <w:fldChar w:fldCharType="begin"/>
      </w:r>
      <w:r w:rsidRPr="002B08B8">
        <w:rPr>
          <w:rFonts w:ascii="Times New Roman" w:hAnsi="Times New Roman" w:cs="Times New Roman"/>
        </w:rPr>
        <w:instrText xml:space="preserve"> ADDIN </w:instrText>
      </w:r>
      <w:r w:rsidRPr="002B08B8">
        <w:rPr>
          <w:rFonts w:ascii="Times New Roman" w:hAnsi="Times New Roman" w:cs="Times New Roman"/>
        </w:rPr>
        <w:fldChar w:fldCharType="end"/>
      </w:r>
    </w:p>
    <w:p w14:paraId="3747CB48" w14:textId="77777777" w:rsidR="007759CD" w:rsidRDefault="00C751AE">
      <w:bookmarkStart w:id="0" w:name="_GoBack"/>
      <w:bookmarkEnd w:id="0"/>
    </w:p>
    <w:sectPr w:rsidR="007759CD" w:rsidSect="00043AF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AE"/>
    <w:rsid w:val="00041CEA"/>
    <w:rsid w:val="00043AFF"/>
    <w:rsid w:val="00080365"/>
    <w:rsid w:val="000F3F5E"/>
    <w:rsid w:val="00135E2F"/>
    <w:rsid w:val="001421AE"/>
    <w:rsid w:val="00195F45"/>
    <w:rsid w:val="001C20F2"/>
    <w:rsid w:val="001D3BEE"/>
    <w:rsid w:val="001D4FC4"/>
    <w:rsid w:val="001F5E0C"/>
    <w:rsid w:val="002076F5"/>
    <w:rsid w:val="00263A48"/>
    <w:rsid w:val="00263A5A"/>
    <w:rsid w:val="002A44A0"/>
    <w:rsid w:val="0032296F"/>
    <w:rsid w:val="00334205"/>
    <w:rsid w:val="00370163"/>
    <w:rsid w:val="003A7B8E"/>
    <w:rsid w:val="003B3DA8"/>
    <w:rsid w:val="00411E1B"/>
    <w:rsid w:val="004430D8"/>
    <w:rsid w:val="004552DE"/>
    <w:rsid w:val="004E2A72"/>
    <w:rsid w:val="005331AC"/>
    <w:rsid w:val="00560795"/>
    <w:rsid w:val="00591747"/>
    <w:rsid w:val="005A3A68"/>
    <w:rsid w:val="005C1921"/>
    <w:rsid w:val="005F41C7"/>
    <w:rsid w:val="00630622"/>
    <w:rsid w:val="00642EEB"/>
    <w:rsid w:val="0065037E"/>
    <w:rsid w:val="00660C85"/>
    <w:rsid w:val="007156E5"/>
    <w:rsid w:val="00725BE3"/>
    <w:rsid w:val="00791C8B"/>
    <w:rsid w:val="007B309B"/>
    <w:rsid w:val="007C6154"/>
    <w:rsid w:val="008032A0"/>
    <w:rsid w:val="00807004"/>
    <w:rsid w:val="008143A4"/>
    <w:rsid w:val="00814AD0"/>
    <w:rsid w:val="008470AC"/>
    <w:rsid w:val="00885538"/>
    <w:rsid w:val="008B1534"/>
    <w:rsid w:val="008D201C"/>
    <w:rsid w:val="008E65B1"/>
    <w:rsid w:val="008E76E7"/>
    <w:rsid w:val="0090018E"/>
    <w:rsid w:val="00973040"/>
    <w:rsid w:val="009B0DF8"/>
    <w:rsid w:val="00A1761C"/>
    <w:rsid w:val="00A21467"/>
    <w:rsid w:val="00A90228"/>
    <w:rsid w:val="00A93C8A"/>
    <w:rsid w:val="00AE215D"/>
    <w:rsid w:val="00B03111"/>
    <w:rsid w:val="00B30FCE"/>
    <w:rsid w:val="00B361A6"/>
    <w:rsid w:val="00BB13FC"/>
    <w:rsid w:val="00BF5830"/>
    <w:rsid w:val="00C308B2"/>
    <w:rsid w:val="00C46BBB"/>
    <w:rsid w:val="00C751AE"/>
    <w:rsid w:val="00CC7723"/>
    <w:rsid w:val="00CD2FFD"/>
    <w:rsid w:val="00CE65D5"/>
    <w:rsid w:val="00D04893"/>
    <w:rsid w:val="00D67BFF"/>
    <w:rsid w:val="00D861C9"/>
    <w:rsid w:val="00DD54B3"/>
    <w:rsid w:val="00E13489"/>
    <w:rsid w:val="00E14158"/>
    <w:rsid w:val="00E261D7"/>
    <w:rsid w:val="00E53FFB"/>
    <w:rsid w:val="00E56861"/>
    <w:rsid w:val="00E628DB"/>
    <w:rsid w:val="00E822D0"/>
    <w:rsid w:val="00E85E5E"/>
    <w:rsid w:val="00E95CA6"/>
    <w:rsid w:val="00EA507A"/>
    <w:rsid w:val="00EF01B1"/>
    <w:rsid w:val="00F865D0"/>
    <w:rsid w:val="00F90BCC"/>
    <w:rsid w:val="00F93524"/>
    <w:rsid w:val="00F94C48"/>
    <w:rsid w:val="00F951CA"/>
    <w:rsid w:val="00F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23AAD"/>
  <w14:defaultImageDpi w14:val="32767"/>
  <w15:chartTrackingRefBased/>
  <w15:docId w15:val="{498D7314-77CE-6E47-9580-8105345F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5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Shoaib</dc:creator>
  <cp:keywords/>
  <dc:description/>
  <cp:lastModifiedBy>Ahmad Shoaib</cp:lastModifiedBy>
  <cp:revision>1</cp:revision>
  <dcterms:created xsi:type="dcterms:W3CDTF">2019-08-20T09:08:00Z</dcterms:created>
  <dcterms:modified xsi:type="dcterms:W3CDTF">2019-08-20T09:08:00Z</dcterms:modified>
</cp:coreProperties>
</file>