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E5" w:rsidRPr="002978E5" w:rsidRDefault="002978E5" w:rsidP="002978E5">
      <w:pPr>
        <w:pStyle w:val="NoSpacing"/>
        <w:spacing w:line="480" w:lineRule="auto"/>
        <w:jc w:val="right"/>
        <w:rPr>
          <w:rFonts w:ascii="Times New Roman" w:hAnsi="Times New Roman" w:cs="Times New Roman"/>
          <w:sz w:val="24"/>
        </w:rPr>
      </w:pPr>
      <w:r w:rsidRPr="002978E5">
        <w:rPr>
          <w:rFonts w:ascii="Times New Roman" w:hAnsi="Times New Roman" w:cs="Times New Roman"/>
          <w:sz w:val="24"/>
        </w:rPr>
        <w:t>Dr Nicholas Seager</w:t>
      </w:r>
    </w:p>
    <w:p w:rsidR="002978E5" w:rsidRPr="002978E5" w:rsidRDefault="002978E5" w:rsidP="002978E5">
      <w:pPr>
        <w:pStyle w:val="NoSpacing"/>
        <w:spacing w:line="480" w:lineRule="auto"/>
        <w:jc w:val="right"/>
        <w:rPr>
          <w:rFonts w:ascii="Times New Roman" w:hAnsi="Times New Roman" w:cs="Times New Roman"/>
          <w:sz w:val="24"/>
        </w:rPr>
      </w:pPr>
      <w:r w:rsidRPr="002978E5">
        <w:rPr>
          <w:rFonts w:ascii="Times New Roman" w:hAnsi="Times New Roman" w:cs="Times New Roman"/>
          <w:sz w:val="24"/>
        </w:rPr>
        <w:t>School of Humanities</w:t>
      </w:r>
    </w:p>
    <w:p w:rsidR="002978E5" w:rsidRPr="002978E5" w:rsidRDefault="002978E5" w:rsidP="002978E5">
      <w:pPr>
        <w:pStyle w:val="NoSpacing"/>
        <w:spacing w:line="480" w:lineRule="auto"/>
        <w:jc w:val="right"/>
        <w:rPr>
          <w:rFonts w:ascii="Times New Roman" w:hAnsi="Times New Roman" w:cs="Times New Roman"/>
          <w:sz w:val="24"/>
        </w:rPr>
      </w:pPr>
      <w:r w:rsidRPr="002978E5">
        <w:rPr>
          <w:rFonts w:ascii="Times New Roman" w:hAnsi="Times New Roman" w:cs="Times New Roman"/>
          <w:sz w:val="24"/>
        </w:rPr>
        <w:t>Keele University</w:t>
      </w:r>
    </w:p>
    <w:p w:rsidR="002978E5" w:rsidRPr="002978E5" w:rsidRDefault="002978E5" w:rsidP="002978E5">
      <w:pPr>
        <w:pStyle w:val="NoSpacing"/>
        <w:spacing w:line="480" w:lineRule="auto"/>
        <w:jc w:val="right"/>
        <w:rPr>
          <w:rFonts w:ascii="Times New Roman" w:hAnsi="Times New Roman" w:cs="Times New Roman"/>
          <w:sz w:val="24"/>
        </w:rPr>
      </w:pPr>
      <w:r w:rsidRPr="002978E5">
        <w:rPr>
          <w:rFonts w:ascii="Times New Roman" w:hAnsi="Times New Roman" w:cs="Times New Roman"/>
          <w:sz w:val="24"/>
        </w:rPr>
        <w:t>Staffordshire</w:t>
      </w:r>
    </w:p>
    <w:p w:rsidR="002978E5" w:rsidRPr="002978E5" w:rsidRDefault="002978E5" w:rsidP="002978E5">
      <w:pPr>
        <w:pStyle w:val="NoSpacing"/>
        <w:spacing w:line="480" w:lineRule="auto"/>
        <w:jc w:val="right"/>
        <w:rPr>
          <w:rFonts w:ascii="Times New Roman" w:hAnsi="Times New Roman" w:cs="Times New Roman"/>
          <w:sz w:val="24"/>
        </w:rPr>
      </w:pPr>
      <w:r w:rsidRPr="002978E5">
        <w:rPr>
          <w:rFonts w:ascii="Times New Roman" w:hAnsi="Times New Roman" w:cs="Times New Roman"/>
          <w:sz w:val="24"/>
        </w:rPr>
        <w:t>ST5 5BG</w:t>
      </w:r>
    </w:p>
    <w:p w:rsidR="002978E5" w:rsidRPr="002978E5" w:rsidRDefault="002978E5" w:rsidP="002978E5">
      <w:pPr>
        <w:pStyle w:val="NoSpacing"/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06A8" w:rsidRPr="00FC17CC" w:rsidRDefault="00C242E1" w:rsidP="00FC17CC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CC">
        <w:rPr>
          <w:rFonts w:ascii="Times New Roman" w:hAnsi="Times New Roman" w:cs="Times New Roman"/>
          <w:b/>
          <w:sz w:val="24"/>
          <w:szCs w:val="24"/>
        </w:rPr>
        <w:t>D</w:t>
      </w:r>
      <w:r w:rsidR="002978E5">
        <w:rPr>
          <w:rFonts w:ascii="Times New Roman" w:hAnsi="Times New Roman" w:cs="Times New Roman"/>
          <w:b/>
          <w:sz w:val="24"/>
          <w:szCs w:val="24"/>
        </w:rPr>
        <w:t>EFOE’S</w:t>
      </w:r>
      <w:r w:rsidRPr="00FC17CC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978E5">
        <w:rPr>
          <w:rFonts w:ascii="Times New Roman" w:hAnsi="Times New Roman" w:cs="Times New Roman"/>
          <w:b/>
          <w:sz w:val="24"/>
          <w:szCs w:val="24"/>
        </w:rPr>
        <w:t>UTHORSHIP OF</w:t>
      </w:r>
      <w:r w:rsidRPr="00FC1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3AE">
        <w:rPr>
          <w:rFonts w:ascii="Times New Roman" w:hAnsi="Times New Roman" w:cs="Times New Roman"/>
          <w:b/>
          <w:sz w:val="24"/>
          <w:szCs w:val="24"/>
          <w:u w:val="single"/>
        </w:rPr>
        <w:t>A H</w:t>
      </w:r>
      <w:r w:rsidR="002978E5">
        <w:rPr>
          <w:rFonts w:ascii="Times New Roman" w:hAnsi="Times New Roman" w:cs="Times New Roman"/>
          <w:b/>
          <w:sz w:val="24"/>
          <w:szCs w:val="24"/>
          <w:u w:val="single"/>
        </w:rPr>
        <w:t>YMN</w:t>
      </w:r>
      <w:r w:rsidRPr="00642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78E5">
        <w:rPr>
          <w:rFonts w:ascii="Times New Roman" w:hAnsi="Times New Roman" w:cs="Times New Roman"/>
          <w:b/>
          <w:sz w:val="24"/>
          <w:szCs w:val="24"/>
          <w:u w:val="single"/>
        </w:rPr>
        <w:t>TO THE MOB</w:t>
      </w:r>
      <w:r w:rsidRPr="00FC17CC">
        <w:rPr>
          <w:rFonts w:ascii="Times New Roman" w:hAnsi="Times New Roman" w:cs="Times New Roman"/>
          <w:b/>
          <w:sz w:val="24"/>
          <w:szCs w:val="24"/>
        </w:rPr>
        <w:t xml:space="preserve"> (1715)</w:t>
      </w:r>
    </w:p>
    <w:p w:rsidR="002978E5" w:rsidRDefault="002978E5" w:rsidP="00FC17C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72B81" w:rsidRDefault="00F51E74" w:rsidP="00FC17C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17CC">
        <w:rPr>
          <w:rFonts w:ascii="Times New Roman" w:hAnsi="Times New Roman" w:cs="Times New Roman"/>
          <w:sz w:val="24"/>
          <w:szCs w:val="24"/>
        </w:rPr>
        <w:t>Hitherto overlooked e</w:t>
      </w:r>
      <w:r w:rsidR="00F67A26" w:rsidRPr="00FC17CC">
        <w:rPr>
          <w:rFonts w:ascii="Times New Roman" w:hAnsi="Times New Roman" w:cs="Times New Roman"/>
          <w:sz w:val="24"/>
          <w:szCs w:val="24"/>
        </w:rPr>
        <w:t xml:space="preserve">xternal evidence for Defoe’s authorship of the 735-line poem, </w:t>
      </w:r>
      <w:r w:rsidR="00F67A26" w:rsidRPr="00FC17CC">
        <w:rPr>
          <w:rFonts w:ascii="Times New Roman" w:hAnsi="Times New Roman" w:cs="Times New Roman"/>
          <w:sz w:val="24"/>
          <w:szCs w:val="24"/>
          <w:u w:val="single"/>
        </w:rPr>
        <w:t>A Hymn to the Mob</w:t>
      </w:r>
      <w:r w:rsidR="006423AE">
        <w:rPr>
          <w:rFonts w:ascii="Times New Roman" w:hAnsi="Times New Roman" w:cs="Times New Roman"/>
          <w:sz w:val="24"/>
          <w:szCs w:val="24"/>
        </w:rPr>
        <w:t xml:space="preserve"> (July 1715), means</w:t>
      </w:r>
      <w:r w:rsidR="00F67A26" w:rsidRPr="00FC17CC">
        <w:rPr>
          <w:rFonts w:ascii="Times New Roman" w:hAnsi="Times New Roman" w:cs="Times New Roman"/>
          <w:sz w:val="24"/>
          <w:szCs w:val="24"/>
        </w:rPr>
        <w:t xml:space="preserve"> </w:t>
      </w:r>
      <w:r w:rsidRPr="00FC17CC">
        <w:rPr>
          <w:rFonts w:ascii="Times New Roman" w:hAnsi="Times New Roman" w:cs="Times New Roman"/>
          <w:sz w:val="24"/>
          <w:szCs w:val="24"/>
        </w:rPr>
        <w:t xml:space="preserve">that </w:t>
      </w:r>
      <w:r w:rsidR="00F67A26" w:rsidRPr="00FC17CC">
        <w:rPr>
          <w:rFonts w:ascii="Times New Roman" w:hAnsi="Times New Roman" w:cs="Times New Roman"/>
          <w:sz w:val="24"/>
          <w:szCs w:val="24"/>
        </w:rPr>
        <w:t xml:space="preserve">work can </w:t>
      </w:r>
      <w:r w:rsidR="006423AE">
        <w:rPr>
          <w:rFonts w:ascii="Times New Roman" w:hAnsi="Times New Roman" w:cs="Times New Roman"/>
          <w:sz w:val="24"/>
          <w:szCs w:val="24"/>
        </w:rPr>
        <w:t xml:space="preserve">now </w:t>
      </w:r>
      <w:r w:rsidR="00F67A26" w:rsidRPr="00FC17CC">
        <w:rPr>
          <w:rFonts w:ascii="Times New Roman" w:hAnsi="Times New Roman" w:cs="Times New Roman"/>
          <w:sz w:val="24"/>
          <w:szCs w:val="24"/>
        </w:rPr>
        <w:t>be treated as Defoe’s with greater certainty</w:t>
      </w:r>
      <w:r w:rsidR="00DA797B">
        <w:rPr>
          <w:rFonts w:ascii="Times New Roman" w:hAnsi="Times New Roman" w:cs="Times New Roman"/>
          <w:sz w:val="24"/>
          <w:szCs w:val="24"/>
        </w:rPr>
        <w:t xml:space="preserve">. Attributed to Defoe by a bibliographer for the first time in the nineteenth century, it was retained for the Defoe canon by </w:t>
      </w:r>
      <w:r w:rsidR="00523057">
        <w:rPr>
          <w:rFonts w:ascii="Times New Roman" w:hAnsi="Times New Roman" w:cs="Times New Roman"/>
          <w:sz w:val="24"/>
          <w:szCs w:val="24"/>
        </w:rPr>
        <w:t>Furbank and Owens</w:t>
      </w:r>
      <w:r w:rsidR="00DA797B">
        <w:rPr>
          <w:rFonts w:ascii="Times New Roman" w:hAnsi="Times New Roman" w:cs="Times New Roman"/>
          <w:sz w:val="24"/>
          <w:szCs w:val="24"/>
        </w:rPr>
        <w:t xml:space="preserve"> as ‘probable’, on the principle</w:t>
      </w:r>
      <w:r w:rsidR="00523057">
        <w:rPr>
          <w:rFonts w:ascii="Times New Roman" w:hAnsi="Times New Roman" w:cs="Times New Roman"/>
          <w:sz w:val="24"/>
          <w:szCs w:val="24"/>
        </w:rPr>
        <w:t xml:space="preserve"> that </w:t>
      </w:r>
      <w:r w:rsidR="00F67A26" w:rsidRPr="00523057">
        <w:rPr>
          <w:rFonts w:ascii="Times New Roman" w:hAnsi="Times New Roman" w:cs="Times New Roman"/>
          <w:sz w:val="24"/>
          <w:szCs w:val="24"/>
        </w:rPr>
        <w:t>external and internal evidence</w:t>
      </w:r>
      <w:r w:rsidR="00523057">
        <w:rPr>
          <w:rFonts w:ascii="Times New Roman" w:hAnsi="Times New Roman" w:cs="Times New Roman"/>
          <w:sz w:val="24"/>
          <w:szCs w:val="24"/>
        </w:rPr>
        <w:t xml:space="preserve"> together</w:t>
      </w:r>
      <w:r w:rsidR="00F67A26" w:rsidRPr="00523057">
        <w:rPr>
          <w:rFonts w:ascii="Times New Roman" w:hAnsi="Times New Roman" w:cs="Times New Roman"/>
          <w:sz w:val="24"/>
          <w:szCs w:val="24"/>
        </w:rPr>
        <w:t xml:space="preserve"> </w:t>
      </w:r>
      <w:r w:rsidRPr="00523057">
        <w:rPr>
          <w:rFonts w:ascii="Times New Roman" w:hAnsi="Times New Roman" w:cs="Times New Roman"/>
          <w:sz w:val="24"/>
          <w:szCs w:val="24"/>
        </w:rPr>
        <w:t>may</w:t>
      </w:r>
      <w:r w:rsidR="00F67A26" w:rsidRPr="00523057">
        <w:rPr>
          <w:rFonts w:ascii="Times New Roman" w:hAnsi="Times New Roman" w:cs="Times New Roman"/>
          <w:sz w:val="24"/>
          <w:szCs w:val="24"/>
        </w:rPr>
        <w:t xml:space="preserve"> </w:t>
      </w:r>
      <w:r w:rsidR="00DA797B">
        <w:rPr>
          <w:rFonts w:ascii="Times New Roman" w:hAnsi="Times New Roman" w:cs="Times New Roman"/>
          <w:sz w:val="24"/>
          <w:szCs w:val="24"/>
        </w:rPr>
        <w:t>support</w:t>
      </w:r>
      <w:r w:rsidR="00523057">
        <w:rPr>
          <w:rFonts w:ascii="Times New Roman" w:hAnsi="Times New Roman" w:cs="Times New Roman"/>
          <w:sz w:val="24"/>
          <w:szCs w:val="24"/>
        </w:rPr>
        <w:t xml:space="preserve"> a ‘certain’ attribution, but</w:t>
      </w:r>
      <w:r w:rsidR="00F67A26" w:rsidRPr="00523057">
        <w:rPr>
          <w:rFonts w:ascii="Times New Roman" w:hAnsi="Times New Roman" w:cs="Times New Roman"/>
          <w:sz w:val="24"/>
          <w:szCs w:val="24"/>
        </w:rPr>
        <w:t xml:space="preserve"> internal </w:t>
      </w:r>
      <w:r w:rsidRPr="00523057">
        <w:rPr>
          <w:rFonts w:ascii="Times New Roman" w:hAnsi="Times New Roman" w:cs="Times New Roman"/>
          <w:sz w:val="24"/>
          <w:szCs w:val="24"/>
        </w:rPr>
        <w:t xml:space="preserve">evidence </w:t>
      </w:r>
      <w:r w:rsidR="00F67A26" w:rsidRPr="00523057">
        <w:rPr>
          <w:rFonts w:ascii="Times New Roman" w:hAnsi="Times New Roman" w:cs="Times New Roman"/>
          <w:sz w:val="24"/>
          <w:szCs w:val="24"/>
        </w:rPr>
        <w:t xml:space="preserve">alone </w:t>
      </w:r>
      <w:r w:rsidRPr="00523057">
        <w:rPr>
          <w:rFonts w:ascii="Times New Roman" w:hAnsi="Times New Roman" w:cs="Times New Roman"/>
          <w:sz w:val="24"/>
          <w:szCs w:val="24"/>
        </w:rPr>
        <w:t xml:space="preserve">may </w:t>
      </w:r>
      <w:r w:rsidR="00523057">
        <w:rPr>
          <w:rFonts w:ascii="Times New Roman" w:hAnsi="Times New Roman" w:cs="Times New Roman"/>
          <w:sz w:val="24"/>
          <w:szCs w:val="24"/>
        </w:rPr>
        <w:t>produce</w:t>
      </w:r>
      <w:r w:rsidR="00DA797B">
        <w:rPr>
          <w:rFonts w:ascii="Times New Roman" w:hAnsi="Times New Roman" w:cs="Times New Roman"/>
          <w:sz w:val="24"/>
          <w:szCs w:val="24"/>
        </w:rPr>
        <w:t xml:space="preserve"> at best</w:t>
      </w:r>
      <w:r w:rsidR="00F67A26" w:rsidRPr="00523057">
        <w:rPr>
          <w:rFonts w:ascii="Times New Roman" w:hAnsi="Times New Roman" w:cs="Times New Roman"/>
          <w:sz w:val="24"/>
          <w:szCs w:val="24"/>
        </w:rPr>
        <w:t xml:space="preserve"> a ‘probable’ attribution</w:t>
      </w:r>
      <w:r w:rsidR="00F67A26" w:rsidRPr="00FC17CC">
        <w:rPr>
          <w:rFonts w:ascii="Times New Roman" w:hAnsi="Times New Roman" w:cs="Times New Roman"/>
          <w:sz w:val="24"/>
          <w:szCs w:val="24"/>
        </w:rPr>
        <w:t>.</w:t>
      </w:r>
      <w:r w:rsidR="00DA797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423AE">
        <w:rPr>
          <w:rFonts w:ascii="Times New Roman" w:hAnsi="Times New Roman" w:cs="Times New Roman"/>
          <w:sz w:val="24"/>
          <w:szCs w:val="24"/>
        </w:rPr>
        <w:t xml:space="preserve"> A letter in</w:t>
      </w:r>
      <w:r w:rsidR="00F67A26" w:rsidRPr="00FC17CC">
        <w:rPr>
          <w:rFonts w:ascii="Times New Roman" w:hAnsi="Times New Roman" w:cs="Times New Roman"/>
          <w:sz w:val="24"/>
          <w:szCs w:val="24"/>
        </w:rPr>
        <w:t xml:space="preserve"> </w:t>
      </w:r>
      <w:r w:rsidR="002978E5">
        <w:rPr>
          <w:rFonts w:ascii="Times New Roman" w:hAnsi="Times New Roman" w:cs="Times New Roman"/>
          <w:sz w:val="24"/>
          <w:szCs w:val="24"/>
          <w:u w:val="single"/>
        </w:rPr>
        <w:t>Baker’s News:</w:t>
      </w:r>
      <w:r w:rsidR="00F67A26" w:rsidRPr="00FC17CC">
        <w:rPr>
          <w:rFonts w:ascii="Times New Roman" w:hAnsi="Times New Roman" w:cs="Times New Roman"/>
          <w:sz w:val="24"/>
          <w:szCs w:val="24"/>
          <w:u w:val="single"/>
        </w:rPr>
        <w:t xml:space="preserve"> or</w:t>
      </w:r>
      <w:r w:rsidR="002978E5">
        <w:rPr>
          <w:rFonts w:ascii="Times New Roman" w:hAnsi="Times New Roman" w:cs="Times New Roman"/>
          <w:sz w:val="24"/>
          <w:szCs w:val="24"/>
          <w:u w:val="single"/>
        </w:rPr>
        <w:t>, T</w:t>
      </w:r>
      <w:r w:rsidR="00F67A26" w:rsidRPr="00FC17CC">
        <w:rPr>
          <w:rFonts w:ascii="Times New Roman" w:hAnsi="Times New Roman" w:cs="Times New Roman"/>
          <w:sz w:val="24"/>
          <w:szCs w:val="24"/>
          <w:u w:val="single"/>
        </w:rPr>
        <w:t>he Whitehall Journal</w:t>
      </w:r>
      <w:r w:rsidR="00F67A26" w:rsidRPr="00FC17CC">
        <w:rPr>
          <w:rFonts w:ascii="Times New Roman" w:hAnsi="Times New Roman" w:cs="Times New Roman"/>
          <w:sz w:val="24"/>
          <w:szCs w:val="24"/>
        </w:rPr>
        <w:t>, number XIX, for Tuesday 25 September 1722</w:t>
      </w:r>
      <w:r w:rsidRPr="00FC17CC">
        <w:rPr>
          <w:rFonts w:ascii="Times New Roman" w:hAnsi="Times New Roman" w:cs="Times New Roman"/>
          <w:sz w:val="24"/>
          <w:szCs w:val="24"/>
        </w:rPr>
        <w:t xml:space="preserve">, </w:t>
      </w:r>
      <w:r w:rsidR="006423AE">
        <w:rPr>
          <w:rFonts w:ascii="Times New Roman" w:hAnsi="Times New Roman" w:cs="Times New Roman"/>
          <w:sz w:val="24"/>
          <w:szCs w:val="24"/>
        </w:rPr>
        <w:t xml:space="preserve">invites </w:t>
      </w:r>
      <w:r w:rsidR="002D2691">
        <w:rPr>
          <w:rFonts w:ascii="Times New Roman" w:hAnsi="Times New Roman" w:cs="Times New Roman"/>
          <w:sz w:val="24"/>
          <w:szCs w:val="24"/>
        </w:rPr>
        <w:t>readers</w:t>
      </w:r>
      <w:r w:rsidR="006423AE">
        <w:rPr>
          <w:rFonts w:ascii="Times New Roman" w:hAnsi="Times New Roman" w:cs="Times New Roman"/>
          <w:sz w:val="24"/>
          <w:szCs w:val="24"/>
        </w:rPr>
        <w:t xml:space="preserve"> to ‘hear what </w:t>
      </w:r>
      <w:r w:rsidR="006423AE" w:rsidRPr="006423AE">
        <w:rPr>
          <w:rFonts w:ascii="Times New Roman" w:hAnsi="Times New Roman" w:cs="Times New Roman"/>
          <w:sz w:val="24"/>
          <w:szCs w:val="24"/>
          <w:u w:val="single"/>
        </w:rPr>
        <w:t>de Foe</w:t>
      </w:r>
      <w:r w:rsidR="006423AE">
        <w:rPr>
          <w:rFonts w:ascii="Times New Roman" w:hAnsi="Times New Roman" w:cs="Times New Roman"/>
          <w:sz w:val="24"/>
          <w:szCs w:val="24"/>
        </w:rPr>
        <w:t xml:space="preserve"> says to the </w:t>
      </w:r>
      <w:r w:rsidR="006423AE" w:rsidRPr="006423AE">
        <w:rPr>
          <w:rFonts w:ascii="Times New Roman" w:hAnsi="Times New Roman" w:cs="Times New Roman"/>
          <w:sz w:val="24"/>
          <w:szCs w:val="24"/>
          <w:u w:val="single"/>
        </w:rPr>
        <w:t>Mob</w:t>
      </w:r>
      <w:r w:rsidR="006423AE">
        <w:rPr>
          <w:rFonts w:ascii="Times New Roman" w:hAnsi="Times New Roman" w:cs="Times New Roman"/>
          <w:sz w:val="24"/>
          <w:szCs w:val="24"/>
        </w:rPr>
        <w:t>’, and quotes fou</w:t>
      </w:r>
      <w:r w:rsidR="002978E5">
        <w:rPr>
          <w:rFonts w:ascii="Times New Roman" w:hAnsi="Times New Roman" w:cs="Times New Roman"/>
          <w:sz w:val="24"/>
          <w:szCs w:val="24"/>
        </w:rPr>
        <w:t>r lines</w:t>
      </w:r>
      <w:r w:rsidR="00BB3B29">
        <w:rPr>
          <w:rFonts w:ascii="Times New Roman" w:hAnsi="Times New Roman" w:cs="Times New Roman"/>
          <w:sz w:val="24"/>
          <w:szCs w:val="24"/>
        </w:rPr>
        <w:t xml:space="preserve"> of</w:t>
      </w:r>
      <w:r w:rsidR="002978E5">
        <w:rPr>
          <w:rFonts w:ascii="Times New Roman" w:hAnsi="Times New Roman" w:cs="Times New Roman"/>
          <w:sz w:val="24"/>
          <w:szCs w:val="24"/>
        </w:rPr>
        <w:t xml:space="preserve"> </w:t>
      </w:r>
      <w:r w:rsidR="002978E5" w:rsidRPr="002978E5">
        <w:rPr>
          <w:rFonts w:ascii="Times New Roman" w:hAnsi="Times New Roman" w:cs="Times New Roman"/>
          <w:sz w:val="24"/>
          <w:szCs w:val="24"/>
          <w:u w:val="single"/>
        </w:rPr>
        <w:t>A Hymn</w:t>
      </w:r>
      <w:r w:rsidR="002978E5">
        <w:rPr>
          <w:rFonts w:ascii="Times New Roman" w:hAnsi="Times New Roman" w:cs="Times New Roman"/>
          <w:sz w:val="24"/>
          <w:szCs w:val="24"/>
        </w:rPr>
        <w:t xml:space="preserve"> without naming it</w:t>
      </w:r>
      <w:r w:rsidR="00672B81">
        <w:rPr>
          <w:rFonts w:ascii="Times New Roman" w:hAnsi="Times New Roman" w:cs="Times New Roman"/>
          <w:sz w:val="24"/>
          <w:szCs w:val="24"/>
        </w:rPr>
        <w:t>:</w:t>
      </w:r>
    </w:p>
    <w:p w:rsidR="00672B81" w:rsidRDefault="00672B81" w:rsidP="00672B81">
      <w:pPr>
        <w:pStyle w:val="NoSpacing"/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 </w:t>
      </w:r>
      <w:r w:rsidRPr="00672B81">
        <w:rPr>
          <w:rFonts w:ascii="Times New Roman" w:hAnsi="Times New Roman" w:cs="Times New Roman"/>
          <w:sz w:val="24"/>
          <w:szCs w:val="24"/>
          <w:u w:val="single"/>
        </w:rPr>
        <w:t>Senates</w:t>
      </w:r>
      <w:r>
        <w:rPr>
          <w:rFonts w:ascii="Times New Roman" w:hAnsi="Times New Roman" w:cs="Times New Roman"/>
          <w:sz w:val="24"/>
          <w:szCs w:val="24"/>
        </w:rPr>
        <w:t>, and Assemblies of the State,</w:t>
      </w:r>
    </w:p>
    <w:p w:rsidR="00672B81" w:rsidRDefault="00672B81" w:rsidP="00672B81">
      <w:pPr>
        <w:pStyle w:val="NoSpacing"/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formally usurp the Judgment-Seat;</w:t>
      </w:r>
    </w:p>
    <w:p w:rsidR="00672B81" w:rsidRDefault="00672B81" w:rsidP="00672B81">
      <w:pPr>
        <w:pStyle w:val="NoSpacing"/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72B81">
        <w:rPr>
          <w:rFonts w:ascii="Times New Roman" w:hAnsi="Times New Roman" w:cs="Times New Roman"/>
          <w:sz w:val="24"/>
          <w:szCs w:val="24"/>
          <w:u w:val="single"/>
        </w:rPr>
        <w:t>Thy Flesh and Bone</w:t>
      </w:r>
      <w:r>
        <w:rPr>
          <w:rFonts w:ascii="Times New Roman" w:hAnsi="Times New Roman" w:cs="Times New Roman"/>
          <w:sz w:val="24"/>
          <w:szCs w:val="24"/>
        </w:rPr>
        <w:t xml:space="preserve"> out of thy Loins they grew,</w:t>
      </w:r>
    </w:p>
    <w:p w:rsidR="00672B81" w:rsidRDefault="00672B81" w:rsidP="00672B81">
      <w:pPr>
        <w:pStyle w:val="NoSpacing"/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as our </w:t>
      </w:r>
      <w:r w:rsidRPr="00672B81">
        <w:rPr>
          <w:rFonts w:ascii="Times New Roman" w:hAnsi="Times New Roman" w:cs="Times New Roman"/>
          <w:sz w:val="24"/>
          <w:szCs w:val="24"/>
          <w:u w:val="single"/>
        </w:rPr>
        <w:t>Parliaments</w:t>
      </w:r>
      <w:r>
        <w:rPr>
          <w:rFonts w:ascii="Times New Roman" w:hAnsi="Times New Roman" w:cs="Times New Roman"/>
          <w:sz w:val="24"/>
          <w:szCs w:val="24"/>
        </w:rPr>
        <w:t xml:space="preserve"> do now.</w:t>
      </w:r>
      <w:r w:rsidRPr="00672B8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F67A26" w:rsidRDefault="002D2691" w:rsidP="00FC17C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external evidence of </w:t>
      </w:r>
      <w:r w:rsidR="002978E5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unknown</w:t>
      </w:r>
      <w:r w:rsidR="00F51E74" w:rsidRPr="00FC17CC">
        <w:rPr>
          <w:rFonts w:ascii="Times New Roman" w:hAnsi="Times New Roman" w:cs="Times New Roman"/>
          <w:sz w:val="24"/>
          <w:szCs w:val="24"/>
        </w:rPr>
        <w:t xml:space="preserve"> person’s casual attribution is not </w:t>
      </w:r>
      <w:r w:rsidR="002978E5">
        <w:rPr>
          <w:rFonts w:ascii="Times New Roman" w:hAnsi="Times New Roman" w:cs="Times New Roman"/>
          <w:sz w:val="24"/>
          <w:szCs w:val="24"/>
        </w:rPr>
        <w:t xml:space="preserve">by itself </w:t>
      </w:r>
      <w:r w:rsidR="00F51E74" w:rsidRPr="00FC17CC">
        <w:rPr>
          <w:rFonts w:ascii="Times New Roman" w:hAnsi="Times New Roman" w:cs="Times New Roman"/>
          <w:sz w:val="24"/>
          <w:szCs w:val="24"/>
        </w:rPr>
        <w:t xml:space="preserve">definitive, but although this comes seven years after the poem’s first publication it is within the author’s lifetime and is not a malicious act (unlike some of the first attributions of works to Defoe). In combination with </w:t>
      </w:r>
      <w:r w:rsidR="00523057">
        <w:rPr>
          <w:rFonts w:ascii="Times New Roman" w:hAnsi="Times New Roman" w:cs="Times New Roman"/>
          <w:sz w:val="24"/>
          <w:szCs w:val="24"/>
        </w:rPr>
        <w:t xml:space="preserve">the </w:t>
      </w:r>
      <w:r w:rsidR="00F51E74" w:rsidRPr="00FC17CC">
        <w:rPr>
          <w:rFonts w:ascii="Times New Roman" w:hAnsi="Times New Roman" w:cs="Times New Roman"/>
          <w:sz w:val="24"/>
          <w:szCs w:val="24"/>
        </w:rPr>
        <w:t>internal evidence</w:t>
      </w:r>
      <w:r>
        <w:rPr>
          <w:rFonts w:ascii="Times New Roman" w:hAnsi="Times New Roman" w:cs="Times New Roman"/>
          <w:sz w:val="24"/>
          <w:szCs w:val="24"/>
        </w:rPr>
        <w:t xml:space="preserve"> of parallels of phrasing, allusion or ideas offered by Furbank and Owens –</w:t>
      </w:r>
      <w:r w:rsidR="00523057">
        <w:rPr>
          <w:rFonts w:ascii="Times New Roman" w:hAnsi="Times New Roman" w:cs="Times New Roman"/>
          <w:sz w:val="24"/>
          <w:szCs w:val="24"/>
        </w:rPr>
        <w:t xml:space="preserve"> and by Owens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="00523057">
        <w:rPr>
          <w:rFonts w:ascii="Times New Roman" w:hAnsi="Times New Roman" w:cs="Times New Roman"/>
          <w:sz w:val="24"/>
          <w:szCs w:val="24"/>
        </w:rPr>
        <w:t xml:space="preserve"> notes to his edition of Defoe’</w:t>
      </w:r>
      <w:r>
        <w:rPr>
          <w:rFonts w:ascii="Times New Roman" w:hAnsi="Times New Roman" w:cs="Times New Roman"/>
          <w:sz w:val="24"/>
          <w:szCs w:val="24"/>
        </w:rPr>
        <w:t>s poetry –</w:t>
      </w:r>
      <w:r w:rsidR="00F51E74" w:rsidRPr="00FC17CC">
        <w:rPr>
          <w:rFonts w:ascii="Times New Roman" w:hAnsi="Times New Roman" w:cs="Times New Roman"/>
          <w:sz w:val="24"/>
          <w:szCs w:val="24"/>
        </w:rPr>
        <w:t xml:space="preserve"> it is trustworthy enough to upg</w:t>
      </w:r>
      <w:r w:rsidR="00523057">
        <w:rPr>
          <w:rFonts w:ascii="Times New Roman" w:hAnsi="Times New Roman" w:cs="Times New Roman"/>
          <w:sz w:val="24"/>
          <w:szCs w:val="24"/>
        </w:rPr>
        <w:t>rade the degree of certainty.</w:t>
      </w:r>
      <w:r w:rsidR="00F51E74" w:rsidRPr="00FC17CC">
        <w:rPr>
          <w:rFonts w:ascii="Times New Roman" w:hAnsi="Times New Roman" w:cs="Times New Roman"/>
          <w:sz w:val="24"/>
          <w:szCs w:val="24"/>
        </w:rPr>
        <w:t xml:space="preserve"> </w:t>
      </w:r>
      <w:r w:rsidR="00523057">
        <w:rPr>
          <w:rFonts w:ascii="Times New Roman" w:hAnsi="Times New Roman" w:cs="Times New Roman"/>
          <w:sz w:val="24"/>
          <w:szCs w:val="24"/>
        </w:rPr>
        <w:t xml:space="preserve">Item </w:t>
      </w:r>
      <w:r w:rsidR="00F51E74" w:rsidRPr="00FC17CC">
        <w:rPr>
          <w:rFonts w:ascii="Times New Roman" w:hAnsi="Times New Roman" w:cs="Times New Roman"/>
          <w:sz w:val="24"/>
          <w:szCs w:val="24"/>
        </w:rPr>
        <w:t>176</w:t>
      </w:r>
      <w:r w:rsidR="00523057">
        <w:rPr>
          <w:rFonts w:ascii="Times New Roman" w:hAnsi="Times New Roman" w:cs="Times New Roman"/>
          <w:sz w:val="24"/>
          <w:szCs w:val="24"/>
        </w:rPr>
        <w:t>(P)</w:t>
      </w:r>
      <w:r w:rsidR="00F51E74" w:rsidRPr="00FC17CC">
        <w:rPr>
          <w:rFonts w:ascii="Times New Roman" w:hAnsi="Times New Roman" w:cs="Times New Roman"/>
          <w:sz w:val="24"/>
          <w:szCs w:val="24"/>
        </w:rPr>
        <w:t xml:space="preserve"> in Furbank and Owens’s </w:t>
      </w:r>
      <w:r w:rsidR="00F51E74" w:rsidRPr="00FC17CC">
        <w:rPr>
          <w:rFonts w:ascii="Times New Roman" w:hAnsi="Times New Roman" w:cs="Times New Roman"/>
          <w:sz w:val="24"/>
          <w:szCs w:val="24"/>
          <w:u w:val="single"/>
        </w:rPr>
        <w:t>Critical Bibliography</w:t>
      </w:r>
      <w:r w:rsidR="00F51E74" w:rsidRPr="00FC17CC">
        <w:rPr>
          <w:rFonts w:ascii="Times New Roman" w:hAnsi="Times New Roman" w:cs="Times New Roman"/>
          <w:sz w:val="24"/>
          <w:szCs w:val="24"/>
        </w:rPr>
        <w:t xml:space="preserve"> should be simply 176.</w:t>
      </w:r>
      <w:r w:rsidR="00523057">
        <w:rPr>
          <w:rFonts w:ascii="Times New Roman" w:hAnsi="Times New Roman" w:cs="Times New Roman"/>
          <w:sz w:val="24"/>
          <w:szCs w:val="24"/>
        </w:rPr>
        <w:t xml:space="preserve"> Perhaps because of the idea that Defoe left off poetry after 1706, </w:t>
      </w:r>
      <w:r>
        <w:rPr>
          <w:rFonts w:ascii="Times New Roman" w:hAnsi="Times New Roman" w:cs="Times New Roman"/>
          <w:sz w:val="24"/>
          <w:szCs w:val="24"/>
        </w:rPr>
        <w:t xml:space="preserve">or that </w:t>
      </w:r>
      <w:r w:rsidRPr="002D2691">
        <w:rPr>
          <w:rFonts w:ascii="Times New Roman" w:hAnsi="Times New Roman" w:cs="Times New Roman"/>
          <w:sz w:val="24"/>
          <w:szCs w:val="24"/>
          <w:u w:val="single"/>
        </w:rPr>
        <w:t xml:space="preserve">A Hymn to the </w:t>
      </w:r>
      <w:r w:rsidR="00BB3B29">
        <w:rPr>
          <w:rFonts w:ascii="Times New Roman" w:hAnsi="Times New Roman" w:cs="Times New Roman"/>
          <w:sz w:val="24"/>
          <w:szCs w:val="24"/>
          <w:u w:val="single"/>
        </w:rPr>
        <w:t>Mob</w:t>
      </w:r>
      <w:r w:rsidR="00523057">
        <w:rPr>
          <w:rFonts w:ascii="Times New Roman" w:hAnsi="Times New Roman" w:cs="Times New Roman"/>
          <w:sz w:val="24"/>
          <w:szCs w:val="24"/>
        </w:rPr>
        <w:t xml:space="preserve"> was merely </w:t>
      </w:r>
      <w:r>
        <w:rPr>
          <w:rFonts w:ascii="Times New Roman" w:hAnsi="Times New Roman" w:cs="Times New Roman"/>
          <w:sz w:val="24"/>
          <w:szCs w:val="24"/>
        </w:rPr>
        <w:t>re-purposing</w:t>
      </w:r>
      <w:r w:rsidR="00523057">
        <w:rPr>
          <w:rFonts w:ascii="Times New Roman" w:hAnsi="Times New Roman" w:cs="Times New Roman"/>
          <w:sz w:val="24"/>
          <w:szCs w:val="24"/>
        </w:rPr>
        <w:t xml:space="preserve"> lines </w:t>
      </w:r>
      <w:r>
        <w:rPr>
          <w:rFonts w:ascii="Times New Roman" w:hAnsi="Times New Roman" w:cs="Times New Roman"/>
          <w:sz w:val="24"/>
          <w:szCs w:val="24"/>
        </w:rPr>
        <w:t xml:space="preserve">he had </w:t>
      </w:r>
      <w:r w:rsidR="00523057">
        <w:rPr>
          <w:rFonts w:ascii="Times New Roman" w:hAnsi="Times New Roman" w:cs="Times New Roman"/>
          <w:sz w:val="24"/>
          <w:szCs w:val="24"/>
        </w:rPr>
        <w:t xml:space="preserve">written in 1710, or </w:t>
      </w:r>
      <w:r>
        <w:rPr>
          <w:rFonts w:ascii="Times New Roman" w:hAnsi="Times New Roman" w:cs="Times New Roman"/>
          <w:sz w:val="24"/>
          <w:szCs w:val="24"/>
        </w:rPr>
        <w:t xml:space="preserve">else </w:t>
      </w:r>
      <w:r w:rsidR="00523057">
        <w:rPr>
          <w:rFonts w:ascii="Times New Roman" w:hAnsi="Times New Roman" w:cs="Times New Roman"/>
          <w:sz w:val="24"/>
          <w:szCs w:val="24"/>
        </w:rPr>
        <w:t xml:space="preserve">that he may not have written it, </w:t>
      </w:r>
      <w:r w:rsidR="00221927">
        <w:rPr>
          <w:rFonts w:ascii="Times New Roman" w:hAnsi="Times New Roman" w:cs="Times New Roman"/>
          <w:sz w:val="24"/>
          <w:szCs w:val="24"/>
        </w:rPr>
        <w:t>this poem</w:t>
      </w:r>
      <w:bookmarkStart w:id="0" w:name="_GoBack"/>
      <w:bookmarkEnd w:id="0"/>
      <w:r w:rsidR="00523057">
        <w:rPr>
          <w:rFonts w:ascii="Times New Roman" w:hAnsi="Times New Roman" w:cs="Times New Roman"/>
          <w:sz w:val="24"/>
          <w:szCs w:val="24"/>
        </w:rPr>
        <w:t xml:space="preserve"> attracts little </w:t>
      </w:r>
      <w:r>
        <w:rPr>
          <w:rFonts w:ascii="Times New Roman" w:hAnsi="Times New Roman" w:cs="Times New Roman"/>
          <w:sz w:val="24"/>
          <w:szCs w:val="24"/>
        </w:rPr>
        <w:t xml:space="preserve">critical </w:t>
      </w:r>
      <w:r w:rsidR="00523057">
        <w:rPr>
          <w:rFonts w:ascii="Times New Roman" w:hAnsi="Times New Roman" w:cs="Times New Roman"/>
          <w:sz w:val="24"/>
          <w:szCs w:val="24"/>
        </w:rPr>
        <w:t xml:space="preserve">attention. Hopefully it will </w:t>
      </w:r>
      <w:r>
        <w:rPr>
          <w:rFonts w:ascii="Times New Roman" w:hAnsi="Times New Roman" w:cs="Times New Roman"/>
          <w:sz w:val="24"/>
          <w:szCs w:val="24"/>
        </w:rPr>
        <w:t>attract</w:t>
      </w:r>
      <w:r w:rsidR="00523057">
        <w:rPr>
          <w:rFonts w:ascii="Times New Roman" w:hAnsi="Times New Roman" w:cs="Times New Roman"/>
          <w:sz w:val="24"/>
          <w:szCs w:val="24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 notice and hopefully further evidence will turn up to help decide issues of Defoe attribution that remain doubtful</w:t>
      </w:r>
      <w:r w:rsidR="00523057">
        <w:rPr>
          <w:rFonts w:ascii="Times New Roman" w:hAnsi="Times New Roman" w:cs="Times New Roman"/>
          <w:sz w:val="24"/>
          <w:szCs w:val="24"/>
        </w:rPr>
        <w:t>.</w:t>
      </w:r>
    </w:p>
    <w:p w:rsidR="002978E5" w:rsidRDefault="002978E5" w:rsidP="002978E5">
      <w:pPr>
        <w:pStyle w:val="NoSpacing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NICHOLAS SEAGER</w:t>
      </w:r>
    </w:p>
    <w:p w:rsidR="002978E5" w:rsidRPr="00FC17CC" w:rsidRDefault="002978E5" w:rsidP="002978E5">
      <w:pPr>
        <w:pStyle w:val="NoSpacing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Keele University</w:t>
      </w:r>
    </w:p>
    <w:sectPr w:rsidR="002978E5" w:rsidRPr="00FC1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AE" w:rsidRDefault="006423AE" w:rsidP="006423AE">
      <w:pPr>
        <w:spacing w:after="0" w:line="240" w:lineRule="auto"/>
      </w:pPr>
      <w:r>
        <w:separator/>
      </w:r>
    </w:p>
  </w:endnote>
  <w:endnote w:type="continuationSeparator" w:id="0">
    <w:p w:rsidR="006423AE" w:rsidRDefault="006423AE" w:rsidP="0064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AE" w:rsidRDefault="006423AE" w:rsidP="006423AE">
      <w:pPr>
        <w:spacing w:after="0" w:line="240" w:lineRule="auto"/>
      </w:pPr>
      <w:r>
        <w:separator/>
      </w:r>
    </w:p>
  </w:footnote>
  <w:footnote w:type="continuationSeparator" w:id="0">
    <w:p w:rsidR="006423AE" w:rsidRDefault="006423AE" w:rsidP="006423AE">
      <w:pPr>
        <w:spacing w:after="0" w:line="240" w:lineRule="auto"/>
      </w:pPr>
      <w:r>
        <w:continuationSeparator/>
      </w:r>
    </w:p>
  </w:footnote>
  <w:footnote w:id="1">
    <w:p w:rsidR="00DA797B" w:rsidRPr="00DA797B" w:rsidRDefault="00DA797B">
      <w:pPr>
        <w:pStyle w:val="FootnoteText"/>
        <w:rPr>
          <w:rFonts w:ascii="Times New Roman" w:hAnsi="Times New Roman" w:cs="Times New Roman"/>
          <w:sz w:val="24"/>
        </w:rPr>
      </w:pPr>
      <w:r w:rsidRPr="00DA797B">
        <w:rPr>
          <w:rStyle w:val="FootnoteReference"/>
          <w:rFonts w:ascii="Times New Roman" w:hAnsi="Times New Roman" w:cs="Times New Roman"/>
          <w:sz w:val="24"/>
        </w:rPr>
        <w:footnoteRef/>
      </w:r>
      <w:r w:rsidRPr="00DA797B">
        <w:rPr>
          <w:rFonts w:ascii="Times New Roman" w:hAnsi="Times New Roman" w:cs="Times New Roman"/>
          <w:sz w:val="24"/>
        </w:rPr>
        <w:t xml:space="preserve"> P. N. Furbank and W. R. Owens, </w:t>
      </w:r>
      <w:r w:rsidRPr="00DA797B">
        <w:rPr>
          <w:rFonts w:ascii="Times New Roman" w:hAnsi="Times New Roman" w:cs="Times New Roman"/>
          <w:sz w:val="24"/>
          <w:u w:val="single"/>
        </w:rPr>
        <w:t>A Critical Bibliography of Daniel Defoe</w:t>
      </w:r>
      <w:r w:rsidRPr="00DA797B">
        <w:rPr>
          <w:rFonts w:ascii="Times New Roman" w:hAnsi="Times New Roman" w:cs="Times New Roman"/>
          <w:sz w:val="24"/>
        </w:rPr>
        <w:t xml:space="preserve"> (London, 1998), 159</w:t>
      </w:r>
      <w:r>
        <w:rPr>
          <w:rFonts w:ascii="Times New Roman" w:hAnsi="Times New Roman" w:cs="Times New Roman"/>
          <w:sz w:val="24"/>
        </w:rPr>
        <w:t>.</w:t>
      </w:r>
    </w:p>
  </w:footnote>
  <w:footnote w:id="2">
    <w:p w:rsidR="00672B81" w:rsidRPr="006423AE" w:rsidRDefault="00672B81" w:rsidP="00672B8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423A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Daniel Defoe, ‘A Hymn to the Pillory’, ll. 98–101, </w:t>
      </w:r>
      <w:r w:rsidRPr="006423AE">
        <w:rPr>
          <w:rFonts w:ascii="Times New Roman" w:hAnsi="Times New Roman" w:cs="Times New Roman"/>
          <w:sz w:val="24"/>
          <w:szCs w:val="24"/>
          <w:u w:val="single"/>
        </w:rPr>
        <w:t>The True-Born Englishman and Other Poems</w:t>
      </w:r>
      <w:r>
        <w:rPr>
          <w:rFonts w:ascii="Times New Roman" w:hAnsi="Times New Roman" w:cs="Times New Roman"/>
          <w:sz w:val="24"/>
          <w:szCs w:val="24"/>
        </w:rPr>
        <w:t xml:space="preserve">, ed. W. R. Owens, </w:t>
      </w:r>
      <w:r w:rsidRPr="006423AE">
        <w:rPr>
          <w:rFonts w:ascii="Times New Roman" w:hAnsi="Times New Roman" w:cs="Times New Roman"/>
          <w:sz w:val="24"/>
          <w:szCs w:val="24"/>
          <w:u w:val="single"/>
        </w:rPr>
        <w:t>Satire, Fantasy and Writings on the Supernatural by Daniel Defoe</w:t>
      </w:r>
      <w:r>
        <w:rPr>
          <w:rFonts w:ascii="Times New Roman" w:hAnsi="Times New Roman" w:cs="Times New Roman"/>
          <w:sz w:val="24"/>
          <w:szCs w:val="24"/>
        </w:rPr>
        <w:t>, 8 vols, gen. eds P. N. Furbank and W. R. Owens (London, 2003), I, 421.</w:t>
      </w:r>
      <w:r w:rsidR="002978E5">
        <w:rPr>
          <w:rFonts w:ascii="Times New Roman" w:hAnsi="Times New Roman" w:cs="Times New Roman"/>
          <w:sz w:val="24"/>
          <w:szCs w:val="24"/>
        </w:rPr>
        <w:t xml:space="preserve"> The issue of the newspaper is available at the Bodleian Library, University of Oxford, in the Nichols Newspapers collection.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E1"/>
    <w:rsid w:val="00221927"/>
    <w:rsid w:val="002978E5"/>
    <w:rsid w:val="002D2691"/>
    <w:rsid w:val="003B14EE"/>
    <w:rsid w:val="003D6631"/>
    <w:rsid w:val="00457B9C"/>
    <w:rsid w:val="00523057"/>
    <w:rsid w:val="006423AE"/>
    <w:rsid w:val="00672B81"/>
    <w:rsid w:val="008A75D5"/>
    <w:rsid w:val="009B06A8"/>
    <w:rsid w:val="00B73739"/>
    <w:rsid w:val="00BB3B29"/>
    <w:rsid w:val="00C242E1"/>
    <w:rsid w:val="00CF2447"/>
    <w:rsid w:val="00CF74FC"/>
    <w:rsid w:val="00DA797B"/>
    <w:rsid w:val="00E8165B"/>
    <w:rsid w:val="00F51E74"/>
    <w:rsid w:val="00F67A26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C8EC"/>
  <w15:chartTrackingRefBased/>
  <w15:docId w15:val="{61350153-6D0E-42AA-8A29-DB45F17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7C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58FB-497C-45AC-AA4A-DD751429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CC5EBC74</Template>
  <TotalTime>103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Seager</dc:creator>
  <cp:keywords/>
  <dc:description/>
  <cp:lastModifiedBy>Nicholas Seager</cp:lastModifiedBy>
  <cp:revision>11</cp:revision>
  <dcterms:created xsi:type="dcterms:W3CDTF">2020-01-21T22:57:00Z</dcterms:created>
  <dcterms:modified xsi:type="dcterms:W3CDTF">2020-01-22T17:05:00Z</dcterms:modified>
</cp:coreProperties>
</file>