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5DDB8" w14:textId="3C5D3D3D" w:rsidR="00F83028" w:rsidRPr="00AB7E99" w:rsidRDefault="00F83028" w:rsidP="00425611">
      <w:pPr>
        <w:ind w:right="-241"/>
        <w:rPr>
          <w:rFonts w:asciiTheme="majorHAnsi" w:hAnsiTheme="majorHAnsi"/>
          <w:sz w:val="24"/>
          <w:szCs w:val="24"/>
        </w:rPr>
      </w:pPr>
      <w:r w:rsidRPr="00AB7E99">
        <w:rPr>
          <w:rFonts w:asciiTheme="majorHAnsi" w:hAnsiTheme="majorHAnsi"/>
          <w:sz w:val="24"/>
          <w:szCs w:val="24"/>
        </w:rPr>
        <w:t>Title:</w:t>
      </w:r>
      <w:r w:rsidR="00C41669">
        <w:rPr>
          <w:rFonts w:asciiTheme="majorHAnsi" w:hAnsiTheme="majorHAnsi"/>
          <w:sz w:val="24"/>
          <w:szCs w:val="24"/>
        </w:rPr>
        <w:t xml:space="preserve"> S</w:t>
      </w:r>
      <w:r w:rsidR="00AE1939">
        <w:rPr>
          <w:rFonts w:asciiTheme="majorHAnsi" w:hAnsiTheme="majorHAnsi"/>
          <w:sz w:val="24"/>
          <w:szCs w:val="24"/>
        </w:rPr>
        <w:t>ocial health profiles in primary consulters for common musculoskeletal conditions; oper</w:t>
      </w:r>
      <w:r w:rsidR="00063CEC">
        <w:rPr>
          <w:rFonts w:asciiTheme="majorHAnsi" w:hAnsiTheme="majorHAnsi"/>
          <w:sz w:val="24"/>
          <w:szCs w:val="24"/>
        </w:rPr>
        <w:t>a</w:t>
      </w:r>
      <w:r w:rsidR="00AE1939">
        <w:rPr>
          <w:rFonts w:asciiTheme="majorHAnsi" w:hAnsiTheme="majorHAnsi"/>
          <w:sz w:val="24"/>
          <w:szCs w:val="24"/>
        </w:rPr>
        <w:t>t</w:t>
      </w:r>
      <w:r w:rsidR="00063CEC">
        <w:rPr>
          <w:rFonts w:asciiTheme="majorHAnsi" w:hAnsiTheme="majorHAnsi"/>
          <w:sz w:val="24"/>
          <w:szCs w:val="24"/>
        </w:rPr>
        <w:t>iona</w:t>
      </w:r>
      <w:r w:rsidR="00AE1939">
        <w:rPr>
          <w:rFonts w:asciiTheme="majorHAnsi" w:hAnsiTheme="majorHAnsi"/>
          <w:sz w:val="24"/>
          <w:szCs w:val="24"/>
        </w:rPr>
        <w:t>lisation of the PROMIS short form tool</w:t>
      </w:r>
      <w:r w:rsidR="0009267B">
        <w:rPr>
          <w:rFonts w:asciiTheme="majorHAnsi" w:hAnsiTheme="majorHAnsi"/>
          <w:sz w:val="24"/>
          <w:szCs w:val="24"/>
        </w:rPr>
        <w:t xml:space="preserve"> in patients with musculoskeletal conditions</w:t>
      </w:r>
    </w:p>
    <w:p w14:paraId="70198CCB" w14:textId="30DA2F6C" w:rsidR="00F83028" w:rsidRPr="00AB7E99" w:rsidRDefault="00F83028" w:rsidP="00084BA9">
      <w:pPr>
        <w:rPr>
          <w:rFonts w:asciiTheme="majorHAnsi" w:hAnsiTheme="majorHAnsi"/>
          <w:sz w:val="24"/>
          <w:szCs w:val="24"/>
          <w:vertAlign w:val="superscript"/>
        </w:rPr>
      </w:pPr>
      <w:r w:rsidRPr="00AB7E99">
        <w:rPr>
          <w:rFonts w:asciiTheme="majorHAnsi" w:hAnsiTheme="majorHAnsi"/>
          <w:sz w:val="24"/>
          <w:szCs w:val="24"/>
        </w:rPr>
        <w:t>Yousrah Uraiby</w:t>
      </w:r>
      <w:r w:rsidRPr="00AB7E99">
        <w:rPr>
          <w:rFonts w:asciiTheme="majorHAnsi" w:hAnsiTheme="majorHAnsi"/>
          <w:sz w:val="24"/>
          <w:szCs w:val="24"/>
          <w:vertAlign w:val="superscript"/>
        </w:rPr>
        <w:t>1</w:t>
      </w:r>
      <w:r w:rsidRPr="00AB7E99">
        <w:rPr>
          <w:rFonts w:asciiTheme="majorHAnsi" w:hAnsiTheme="majorHAnsi"/>
          <w:sz w:val="24"/>
          <w:szCs w:val="24"/>
        </w:rPr>
        <w:t>, Ross Wilkie</w:t>
      </w:r>
      <w:r w:rsidRPr="00AB7E99">
        <w:rPr>
          <w:rFonts w:asciiTheme="majorHAnsi" w:hAnsiTheme="majorHAnsi"/>
          <w:sz w:val="24"/>
          <w:szCs w:val="24"/>
          <w:vertAlign w:val="superscript"/>
        </w:rPr>
        <w:t>2</w:t>
      </w:r>
    </w:p>
    <w:p w14:paraId="584462A6" w14:textId="77777777" w:rsidR="00F83028" w:rsidRPr="00AB7E99" w:rsidRDefault="00F83028" w:rsidP="00F83028">
      <w:pPr>
        <w:outlineLvl w:val="0"/>
        <w:rPr>
          <w:rFonts w:asciiTheme="majorHAnsi" w:hAnsiTheme="majorHAnsi"/>
          <w:sz w:val="24"/>
          <w:szCs w:val="24"/>
        </w:rPr>
      </w:pPr>
      <w:r w:rsidRPr="00AB7E99">
        <w:rPr>
          <w:rFonts w:asciiTheme="majorHAnsi" w:hAnsiTheme="majorHAnsi"/>
          <w:sz w:val="24"/>
          <w:szCs w:val="24"/>
          <w:vertAlign w:val="superscript"/>
        </w:rPr>
        <w:t>1</w:t>
      </w:r>
      <w:r w:rsidRPr="00AB7E99">
        <w:rPr>
          <w:rFonts w:asciiTheme="majorHAnsi" w:hAnsiTheme="majorHAnsi"/>
          <w:sz w:val="24"/>
          <w:szCs w:val="24"/>
        </w:rPr>
        <w:t xml:space="preserve"> Keele Medical School, Keele University, Staffordshire, ST5 5BG, UK.</w:t>
      </w:r>
    </w:p>
    <w:p w14:paraId="4D69E4A6" w14:textId="4219B76C" w:rsidR="00F83028" w:rsidRPr="00AB7E99" w:rsidRDefault="00F83028" w:rsidP="00F83028">
      <w:pPr>
        <w:ind w:right="-176"/>
        <w:jc w:val="both"/>
        <w:rPr>
          <w:rFonts w:asciiTheme="majorHAnsi" w:hAnsiTheme="majorHAnsi" w:cs="Calibri"/>
          <w:sz w:val="24"/>
          <w:szCs w:val="24"/>
        </w:rPr>
      </w:pPr>
      <w:r w:rsidRPr="00AB7E99">
        <w:rPr>
          <w:rFonts w:asciiTheme="majorHAnsi" w:hAnsiTheme="majorHAnsi" w:cs="Calibri"/>
          <w:sz w:val="24"/>
          <w:szCs w:val="24"/>
          <w:vertAlign w:val="superscript"/>
        </w:rPr>
        <w:t>2</w:t>
      </w:r>
      <w:r w:rsidRPr="00AB7E99">
        <w:rPr>
          <w:rFonts w:asciiTheme="majorHAnsi" w:hAnsiTheme="majorHAnsi" w:cs="Calibri"/>
          <w:sz w:val="24"/>
          <w:szCs w:val="24"/>
        </w:rPr>
        <w:t>Arthritis Research UK Primary Care Centre, Research Institute for Primary Care &amp; Health Sciences, Keele University, Keele, Staffordshire, ST5 5BG, UK.</w:t>
      </w:r>
    </w:p>
    <w:p w14:paraId="7AB2D52E" w14:textId="5DC0F28C" w:rsidR="00084BA9" w:rsidRPr="00AB7E99" w:rsidRDefault="00084BA9" w:rsidP="00084BA9">
      <w:pPr>
        <w:rPr>
          <w:rFonts w:asciiTheme="majorHAnsi" w:hAnsiTheme="majorHAnsi"/>
          <w:i/>
          <w:sz w:val="24"/>
          <w:szCs w:val="24"/>
          <w:u w:val="single"/>
        </w:rPr>
      </w:pPr>
      <w:r w:rsidRPr="00AB7E99">
        <w:rPr>
          <w:rFonts w:asciiTheme="majorHAnsi" w:hAnsiTheme="majorHAnsi"/>
          <w:i/>
          <w:sz w:val="24"/>
          <w:szCs w:val="24"/>
          <w:u w:val="single"/>
        </w:rPr>
        <w:t xml:space="preserve">  </w:t>
      </w:r>
    </w:p>
    <w:p w14:paraId="360422A1" w14:textId="77777777" w:rsidR="004F4650" w:rsidRPr="00AB7E99" w:rsidRDefault="00084BA9" w:rsidP="00084BA9">
      <w:pPr>
        <w:jc w:val="both"/>
        <w:rPr>
          <w:rFonts w:asciiTheme="majorHAnsi" w:hAnsiTheme="majorHAnsi"/>
          <w:sz w:val="24"/>
          <w:szCs w:val="24"/>
        </w:rPr>
      </w:pPr>
      <w:r w:rsidRPr="00AB7E99">
        <w:rPr>
          <w:rFonts w:asciiTheme="majorHAnsi" w:hAnsiTheme="majorHAnsi"/>
          <w:b/>
          <w:sz w:val="24"/>
          <w:szCs w:val="24"/>
        </w:rPr>
        <w:t>Background:</w:t>
      </w:r>
      <w:r w:rsidRPr="00AB7E99">
        <w:rPr>
          <w:rFonts w:asciiTheme="majorHAnsi" w:hAnsiTheme="majorHAnsi"/>
          <w:sz w:val="24"/>
          <w:szCs w:val="24"/>
        </w:rPr>
        <w:t xml:space="preserve"> </w:t>
      </w:r>
    </w:p>
    <w:p w14:paraId="2EC90B87" w14:textId="27F05150" w:rsidR="00F83028" w:rsidRDefault="00EE6243" w:rsidP="00F83028">
      <w:pPr>
        <w:jc w:val="both"/>
        <w:rPr>
          <w:rFonts w:asciiTheme="majorHAnsi" w:eastAsiaTheme="minorEastAsia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Social health in people with musculoskeletal conditions has not been investigated as much as physical or mental health. </w:t>
      </w:r>
      <w:r w:rsidR="00F83028" w:rsidRPr="00AB7E99">
        <w:rPr>
          <w:rFonts w:asciiTheme="majorHAnsi" w:hAnsiTheme="majorHAnsi"/>
          <w:sz w:val="24"/>
          <w:szCs w:val="24"/>
        </w:rPr>
        <w:t>Social health is a key target for people with musculoskeletal conditions</w:t>
      </w:r>
      <w:r>
        <w:rPr>
          <w:rFonts w:asciiTheme="majorHAnsi" w:hAnsiTheme="majorHAnsi"/>
          <w:sz w:val="24"/>
          <w:szCs w:val="24"/>
        </w:rPr>
        <w:t>; i</w:t>
      </w:r>
      <w:r w:rsidR="00F83028" w:rsidRPr="00AB7E99">
        <w:rPr>
          <w:rFonts w:asciiTheme="majorHAnsi" w:hAnsiTheme="majorHAnsi"/>
          <w:sz w:val="24"/>
          <w:szCs w:val="24"/>
        </w:rPr>
        <w:t>nvolvement in meaningful activities that fulfil aspects of an individual’s identity and roles in family and community life, are important for wellbeing and healthy ageing</w:t>
      </w:r>
      <w:r w:rsidR="004B1946" w:rsidRPr="00AB7E99">
        <w:rPr>
          <w:rFonts w:asciiTheme="majorHAnsi" w:hAnsiTheme="majorHAnsi"/>
          <w:sz w:val="24"/>
          <w:szCs w:val="24"/>
        </w:rPr>
        <w:t>.</w:t>
      </w:r>
      <w:r w:rsidR="00F83028" w:rsidRPr="00AB7E99">
        <w:rPr>
          <w:rFonts w:asciiTheme="majorHAnsi" w:hAnsiTheme="majorHAnsi"/>
          <w:sz w:val="24"/>
          <w:szCs w:val="24"/>
        </w:rPr>
        <w:t xml:space="preserve"> Low social health predicts poorer quality of life and higher social health is associated with short and long term physical and mental health benefits. </w:t>
      </w:r>
      <w:r w:rsidR="00F83028" w:rsidRPr="00AB7E99">
        <w:rPr>
          <w:rFonts w:asciiTheme="majorHAnsi" w:eastAsia="Arial" w:hAnsiTheme="majorHAnsi" w:cs="Arial"/>
          <w:sz w:val="24"/>
          <w:szCs w:val="24"/>
        </w:rPr>
        <w:t xml:space="preserve">Better intelligence in people with musculoskeletal conditions is important for directing strategies to </w:t>
      </w:r>
      <w:r w:rsidR="00AB7E99">
        <w:rPr>
          <w:rFonts w:asciiTheme="majorHAnsi" w:eastAsia="Arial" w:hAnsiTheme="majorHAnsi" w:cs="Arial"/>
          <w:sz w:val="24"/>
          <w:szCs w:val="24"/>
        </w:rPr>
        <w:t>maintain social health</w:t>
      </w:r>
      <w:r w:rsidR="00F83028" w:rsidRPr="00AB7E99">
        <w:rPr>
          <w:rFonts w:asciiTheme="majorHAnsi" w:eastAsia="Arial" w:hAnsiTheme="majorHAnsi" w:cs="Arial"/>
          <w:sz w:val="24"/>
          <w:szCs w:val="24"/>
        </w:rPr>
        <w:t xml:space="preserve">. </w:t>
      </w:r>
      <w:r>
        <w:rPr>
          <w:rFonts w:asciiTheme="majorHAnsi" w:eastAsiaTheme="minorEastAsia" w:hAnsiTheme="majorHAnsi" w:cs="Times New Roman"/>
          <w:sz w:val="24"/>
          <w:szCs w:val="24"/>
        </w:rPr>
        <w:t>The aim of this study wa</w:t>
      </w:r>
      <w:r w:rsidR="00F83028" w:rsidRPr="00AB7E99">
        <w:rPr>
          <w:rFonts w:asciiTheme="majorHAnsi" w:eastAsiaTheme="minorEastAsia" w:hAnsiTheme="majorHAnsi" w:cs="Times New Roman"/>
          <w:sz w:val="24"/>
          <w:szCs w:val="24"/>
        </w:rPr>
        <w:t xml:space="preserve">s to describe social health </w:t>
      </w:r>
      <w:r w:rsidR="00AB7E99">
        <w:rPr>
          <w:rFonts w:asciiTheme="majorHAnsi" w:eastAsiaTheme="minorEastAsia" w:hAnsiTheme="majorHAnsi" w:cs="Times New Roman"/>
          <w:sz w:val="24"/>
          <w:szCs w:val="24"/>
        </w:rPr>
        <w:t xml:space="preserve">in people who consult primary care for </w:t>
      </w:r>
      <w:r w:rsidR="000528D8">
        <w:rPr>
          <w:rFonts w:asciiTheme="majorHAnsi" w:eastAsiaTheme="minorEastAsia" w:hAnsiTheme="majorHAnsi" w:cs="Times New Roman"/>
          <w:sz w:val="24"/>
          <w:szCs w:val="24"/>
        </w:rPr>
        <w:t xml:space="preserve">common musculoskeletal conditions, overall and </w:t>
      </w:r>
      <w:r w:rsidR="006705AE">
        <w:rPr>
          <w:rFonts w:asciiTheme="majorHAnsi" w:eastAsiaTheme="minorEastAsia" w:hAnsiTheme="majorHAnsi" w:cs="Times New Roman"/>
          <w:sz w:val="24"/>
          <w:szCs w:val="24"/>
        </w:rPr>
        <w:t>by socio-demographic status, and compare with the general population</w:t>
      </w:r>
      <w:r w:rsidR="00F83028" w:rsidRPr="00AB7E99">
        <w:rPr>
          <w:rFonts w:asciiTheme="majorHAnsi" w:eastAsiaTheme="minorEastAsia" w:hAnsiTheme="majorHAnsi" w:cs="Times New Roman"/>
          <w:sz w:val="24"/>
          <w:szCs w:val="24"/>
        </w:rPr>
        <w:t xml:space="preserve">. </w:t>
      </w:r>
    </w:p>
    <w:tbl>
      <w:tblPr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622DE" w:rsidRPr="00AB7E99" w14:paraId="30820EB5" w14:textId="77777777" w:rsidTr="00F83028">
        <w:trPr>
          <w:trHeight w:val="126"/>
        </w:trPr>
        <w:tc>
          <w:tcPr>
            <w:tcW w:w="8613" w:type="dxa"/>
          </w:tcPr>
          <w:p w14:paraId="1509B56F" w14:textId="6A8BA461" w:rsidR="00A622DE" w:rsidRPr="00AB7E99" w:rsidRDefault="00090046" w:rsidP="00BE1BA3">
            <w:pPr>
              <w:pStyle w:val="Default"/>
              <w:ind w:left="-108"/>
              <w:rPr>
                <w:rFonts w:asciiTheme="majorHAnsi" w:hAnsiTheme="majorHAnsi"/>
              </w:rPr>
            </w:pPr>
            <w:r w:rsidRPr="00AB7E99">
              <w:rPr>
                <w:rFonts w:asciiTheme="majorHAnsi" w:hAnsiTheme="majorHAnsi"/>
                <w:b/>
              </w:rPr>
              <w:t>Methods:</w:t>
            </w:r>
            <w:r w:rsidRPr="00AB7E99">
              <w:rPr>
                <w:rFonts w:asciiTheme="majorHAnsi" w:hAnsiTheme="majorHAnsi"/>
              </w:rPr>
              <w:t xml:space="preserve"> Case cohort study</w:t>
            </w:r>
            <w:r>
              <w:rPr>
                <w:rFonts w:asciiTheme="majorHAnsi" w:hAnsiTheme="majorHAnsi"/>
              </w:rPr>
              <w:t xml:space="preserve"> of adults aged 35 years and over registered with on</w:t>
            </w:r>
            <w:r w:rsidR="00295567">
              <w:rPr>
                <w:rFonts w:asciiTheme="majorHAnsi" w:hAnsiTheme="majorHAnsi"/>
              </w:rPr>
              <w:t>e of eleven</w:t>
            </w:r>
            <w:r>
              <w:rPr>
                <w:rFonts w:asciiTheme="majorHAnsi" w:hAnsiTheme="majorHAnsi"/>
              </w:rPr>
              <w:t xml:space="preserve"> general practices in North Staffordshire</w:t>
            </w:r>
            <w:r w:rsidR="00BE1BA3">
              <w:rPr>
                <w:rFonts w:asciiTheme="majorHAnsi" w:hAnsiTheme="majorHAnsi"/>
              </w:rPr>
              <w:t xml:space="preserve"> or Stoke-on-Trent CCGs</w:t>
            </w:r>
            <w:r w:rsidRPr="00AB7E99">
              <w:rPr>
                <w:rFonts w:asciiTheme="majorHAnsi" w:hAnsiTheme="majorHAnsi"/>
              </w:rPr>
              <w:t>. A</w:t>
            </w:r>
            <w:r>
              <w:rPr>
                <w:rFonts w:asciiTheme="majorHAnsi" w:hAnsiTheme="majorHAnsi"/>
              </w:rPr>
              <w:t xml:space="preserve">nalysis included responders to a baseline survey who (i) had consulted </w:t>
            </w:r>
            <w:r w:rsidRPr="00AB7E99">
              <w:rPr>
                <w:rFonts w:asciiTheme="majorHAnsi" w:hAnsiTheme="majorHAnsi"/>
              </w:rPr>
              <w:t xml:space="preserve">primary care in the previous 12 months for </w:t>
            </w:r>
            <w:r w:rsidR="003410B1">
              <w:rPr>
                <w:rFonts w:asciiTheme="majorHAnsi" w:hAnsiTheme="majorHAnsi"/>
              </w:rPr>
              <w:t>back</w:t>
            </w:r>
            <w:r w:rsidR="00677E74">
              <w:rPr>
                <w:rFonts w:asciiTheme="majorHAnsi" w:hAnsiTheme="majorHAnsi"/>
              </w:rPr>
              <w:t xml:space="preserve"> (n=1220)</w:t>
            </w:r>
            <w:r w:rsidR="003410B1">
              <w:rPr>
                <w:rFonts w:asciiTheme="majorHAnsi" w:hAnsiTheme="majorHAnsi"/>
              </w:rPr>
              <w:t>, neck</w:t>
            </w:r>
            <w:r w:rsidR="00677E74">
              <w:rPr>
                <w:rFonts w:asciiTheme="majorHAnsi" w:hAnsiTheme="majorHAnsi"/>
              </w:rPr>
              <w:t xml:space="preserve"> (n=484)</w:t>
            </w:r>
            <w:r w:rsidR="003410B1">
              <w:rPr>
                <w:rFonts w:asciiTheme="majorHAnsi" w:hAnsiTheme="majorHAnsi"/>
              </w:rPr>
              <w:t>, hip</w:t>
            </w:r>
            <w:r w:rsidR="00677E74">
              <w:rPr>
                <w:rFonts w:asciiTheme="majorHAnsi" w:hAnsiTheme="majorHAnsi"/>
              </w:rPr>
              <w:t xml:space="preserve"> (n=530)</w:t>
            </w:r>
            <w:r w:rsidR="003410B1">
              <w:rPr>
                <w:rFonts w:asciiTheme="majorHAnsi" w:hAnsiTheme="majorHAnsi"/>
              </w:rPr>
              <w:t>, hand</w:t>
            </w:r>
            <w:r w:rsidR="00677E74">
              <w:rPr>
                <w:rFonts w:asciiTheme="majorHAnsi" w:hAnsiTheme="majorHAnsi"/>
              </w:rPr>
              <w:t xml:space="preserve"> (n=601)</w:t>
            </w:r>
            <w:r w:rsidR="003410B1">
              <w:rPr>
                <w:rFonts w:asciiTheme="majorHAnsi" w:hAnsiTheme="majorHAnsi"/>
              </w:rPr>
              <w:t>, knee</w:t>
            </w:r>
            <w:r w:rsidR="00677E74">
              <w:rPr>
                <w:rFonts w:asciiTheme="majorHAnsi" w:hAnsiTheme="majorHAnsi"/>
              </w:rPr>
              <w:t xml:space="preserve"> (n=1100)</w:t>
            </w:r>
            <w:r w:rsidR="003410B1">
              <w:rPr>
                <w:rFonts w:asciiTheme="majorHAnsi" w:hAnsiTheme="majorHAnsi"/>
              </w:rPr>
              <w:t xml:space="preserve"> or shoulder</w:t>
            </w:r>
            <w:r w:rsidR="00677E74">
              <w:rPr>
                <w:rFonts w:asciiTheme="majorHAnsi" w:hAnsiTheme="majorHAnsi"/>
              </w:rPr>
              <w:t xml:space="preserve"> (n=695)</w:t>
            </w:r>
            <w:r w:rsidR="003410B1">
              <w:rPr>
                <w:rFonts w:asciiTheme="majorHAnsi" w:hAnsiTheme="majorHAnsi"/>
              </w:rPr>
              <w:t xml:space="preserve"> pain or </w:t>
            </w:r>
            <w:r w:rsidRPr="00AB7E99">
              <w:rPr>
                <w:rFonts w:asciiTheme="majorHAnsi" w:hAnsiTheme="majorHAnsi"/>
              </w:rPr>
              <w:t>osteoarthritis</w:t>
            </w:r>
            <w:r w:rsidR="00677E74">
              <w:rPr>
                <w:rFonts w:asciiTheme="majorHAnsi" w:hAnsiTheme="majorHAnsi"/>
              </w:rPr>
              <w:t xml:space="preserve"> (n=1075)</w:t>
            </w:r>
            <w:r w:rsidR="00914EF4">
              <w:rPr>
                <w:rFonts w:asciiTheme="majorHAnsi" w:hAnsiTheme="majorHAnsi"/>
              </w:rPr>
              <w:t xml:space="preserve"> or</w:t>
            </w:r>
            <w:r w:rsidRPr="00AB7E9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(ii) belonged to a </w:t>
            </w:r>
            <w:r w:rsidRPr="00AB7E99">
              <w:rPr>
                <w:rFonts w:asciiTheme="majorHAnsi" w:hAnsiTheme="majorHAnsi"/>
              </w:rPr>
              <w:t>general population</w:t>
            </w:r>
            <w:r>
              <w:rPr>
                <w:rFonts w:asciiTheme="majorHAnsi" w:hAnsiTheme="majorHAnsi"/>
              </w:rPr>
              <w:t xml:space="preserve"> sample (n=3769</w:t>
            </w:r>
            <w:r w:rsidR="00BE1BA3">
              <w:rPr>
                <w:rFonts w:asciiTheme="majorHAnsi" w:hAnsiTheme="majorHAnsi"/>
              </w:rPr>
              <w:t>)</w:t>
            </w:r>
            <w:r w:rsidRPr="00AB7E99">
              <w:rPr>
                <w:rFonts w:asciiTheme="majorHAnsi" w:hAnsiTheme="majorHAnsi"/>
              </w:rPr>
              <w:t>. Social health w</w:t>
            </w:r>
            <w:r w:rsidR="00BE1BA3">
              <w:rPr>
                <w:rFonts w:asciiTheme="majorHAnsi" w:hAnsiTheme="majorHAnsi"/>
              </w:rPr>
              <w:t>as</w:t>
            </w:r>
            <w:r w:rsidRPr="00AB7E99">
              <w:rPr>
                <w:rFonts w:asciiTheme="majorHAnsi" w:hAnsiTheme="majorHAnsi"/>
              </w:rPr>
              <w:t xml:space="preserve"> measured using the </w:t>
            </w:r>
            <w:r w:rsidRPr="00AB7E99">
              <w:rPr>
                <w:rFonts w:asciiTheme="majorHAnsi" w:hAnsiTheme="majorHAnsi" w:cs="Times New Roman"/>
              </w:rPr>
              <w:t xml:space="preserve">Patient-Reported Outcomes Measurement Information System (PROMIS) </w:t>
            </w:r>
            <w:r w:rsidRPr="00AB7E99">
              <w:rPr>
                <w:rFonts w:asciiTheme="majorHAnsi" w:hAnsiTheme="majorHAnsi"/>
              </w:rPr>
              <w:t xml:space="preserve">Short Form v2.0 – Ability to Participate in Social Roles and Activities 4a. </w:t>
            </w:r>
            <w:r w:rsidRPr="00AB7E99">
              <w:rPr>
                <w:rFonts w:asciiTheme="majorHAnsi" w:hAnsiTheme="majorHAnsi"/>
                <w:shd w:val="clear" w:color="auto" w:fill="FFFFFF"/>
              </w:rPr>
              <w:t xml:space="preserve">Social health was </w:t>
            </w:r>
            <w:r>
              <w:rPr>
                <w:rFonts w:asciiTheme="majorHAnsi" w:hAnsiTheme="majorHAnsi"/>
                <w:shd w:val="clear" w:color="auto" w:fill="FFFFFF"/>
              </w:rPr>
              <w:t xml:space="preserve">compared between the </w:t>
            </w:r>
            <w:r w:rsidR="00800888">
              <w:rPr>
                <w:rFonts w:asciiTheme="majorHAnsi" w:hAnsiTheme="majorHAnsi"/>
                <w:shd w:val="clear" w:color="auto" w:fill="FFFFFF"/>
              </w:rPr>
              <w:t xml:space="preserve">each musculoskeletal </w:t>
            </w:r>
            <w:r w:rsidR="00F46E72">
              <w:rPr>
                <w:rFonts w:asciiTheme="majorHAnsi" w:hAnsiTheme="majorHAnsi"/>
                <w:shd w:val="clear" w:color="auto" w:fill="FFFFFF"/>
              </w:rPr>
              <w:t xml:space="preserve">cohort and the </w:t>
            </w:r>
            <w:r>
              <w:rPr>
                <w:rFonts w:asciiTheme="majorHAnsi" w:hAnsiTheme="majorHAnsi"/>
                <w:shd w:val="clear" w:color="auto" w:fill="FFFFFF"/>
              </w:rPr>
              <w:t xml:space="preserve">general population </w:t>
            </w:r>
            <w:r w:rsidR="00811806">
              <w:rPr>
                <w:rFonts w:asciiTheme="majorHAnsi" w:hAnsiTheme="majorHAnsi"/>
                <w:shd w:val="clear" w:color="auto" w:fill="FFFFFF"/>
              </w:rPr>
              <w:t>cohort</w:t>
            </w:r>
            <w:r w:rsidR="00F46E72">
              <w:rPr>
                <w:rFonts w:asciiTheme="majorHAnsi" w:hAnsiTheme="majorHAnsi"/>
                <w:shd w:val="clear" w:color="auto" w:fill="FFFFFF"/>
              </w:rPr>
              <w:t xml:space="preserve">. Social health was then described within each cohort </w:t>
            </w:r>
            <w:r>
              <w:rPr>
                <w:rFonts w:asciiTheme="majorHAnsi" w:hAnsiTheme="majorHAnsi"/>
                <w:shd w:val="clear" w:color="auto" w:fill="FFFFFF"/>
              </w:rPr>
              <w:t xml:space="preserve">by </w:t>
            </w:r>
            <w:r w:rsidRPr="00AB7E99">
              <w:rPr>
                <w:rFonts w:asciiTheme="majorHAnsi" w:hAnsiTheme="majorHAnsi"/>
                <w:shd w:val="clear" w:color="auto" w:fill="FFFFFF"/>
              </w:rPr>
              <w:t>age, gender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and</w:t>
            </w:r>
            <w:r w:rsidRPr="00AB7E99">
              <w:rPr>
                <w:rFonts w:asciiTheme="majorHAnsi" w:hAnsiTheme="majorHAnsi"/>
                <w:shd w:val="clear" w:color="auto" w:fill="FFFFFF"/>
              </w:rPr>
              <w:t xml:space="preserve"> deprivation (measured using the Index of multiple deprivation). </w:t>
            </w:r>
            <w:r w:rsidRPr="00AB7E99">
              <w:rPr>
                <w:rFonts w:asciiTheme="majorHAnsi" w:hAnsiTheme="majorHAnsi"/>
              </w:rPr>
              <w:t xml:space="preserve"> </w:t>
            </w:r>
          </w:p>
        </w:tc>
      </w:tr>
    </w:tbl>
    <w:p w14:paraId="4206067D" w14:textId="37E3C2C7" w:rsidR="00F46E72" w:rsidRDefault="00084BA9" w:rsidP="00084BA9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AB7E99">
        <w:rPr>
          <w:rFonts w:asciiTheme="majorHAnsi" w:hAnsiTheme="majorHAnsi"/>
          <w:b/>
          <w:sz w:val="24"/>
          <w:szCs w:val="24"/>
        </w:rPr>
        <w:t>Results:</w:t>
      </w:r>
      <w:r w:rsidR="00F83028" w:rsidRPr="00AB7E99">
        <w:rPr>
          <w:rFonts w:asciiTheme="majorHAnsi" w:hAnsiTheme="majorHAnsi"/>
          <w:b/>
          <w:sz w:val="24"/>
          <w:szCs w:val="24"/>
        </w:rPr>
        <w:t xml:space="preserve"> </w:t>
      </w:r>
      <w:r w:rsidR="000152CC" w:rsidRPr="00AB7E99">
        <w:rPr>
          <w:rFonts w:asciiTheme="majorHAnsi" w:hAnsiTheme="majorHAnsi"/>
          <w:sz w:val="24"/>
          <w:szCs w:val="24"/>
        </w:rPr>
        <w:t xml:space="preserve">In the general population, </w:t>
      </w:r>
      <w:r w:rsidR="000152CC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social health scores were characterised by </w:t>
      </w:r>
      <w:r w:rsidR="000152CC" w:rsidRPr="00AB7E9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excess ceiling scores (</w:t>
      </w:r>
      <w:r w:rsidR="000152CC" w:rsidRPr="00AB7E99">
        <w:rPr>
          <w:rFonts w:asciiTheme="majorHAnsi" w:hAnsiTheme="majorHAnsi"/>
          <w:sz w:val="24"/>
          <w:szCs w:val="24"/>
          <w:shd w:val="clear" w:color="auto" w:fill="FFFFFF"/>
        </w:rPr>
        <w:t>i.e. 45.1% had no limitation in social heath); scores were categorised to no</w:t>
      </w:r>
      <w:r w:rsidR="005530A6">
        <w:rPr>
          <w:rFonts w:asciiTheme="majorHAnsi" w:hAnsiTheme="majorHAnsi"/>
          <w:sz w:val="24"/>
          <w:szCs w:val="24"/>
          <w:shd w:val="clear" w:color="auto" w:fill="FFFFFF"/>
        </w:rPr>
        <w:t xml:space="preserve"> limitation</w:t>
      </w:r>
      <w:r w:rsidR="000152CC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 (score &gt;=58.3)</w:t>
      </w:r>
      <w:r w:rsidR="0066110F">
        <w:rPr>
          <w:rFonts w:asciiTheme="majorHAnsi" w:hAnsiTheme="majorHAnsi"/>
          <w:sz w:val="24"/>
          <w:szCs w:val="24"/>
          <w:shd w:val="clear" w:color="auto" w:fill="FFFFFF"/>
        </w:rPr>
        <w:t xml:space="preserve"> and based on </w:t>
      </w:r>
      <w:r w:rsidR="00692B6B">
        <w:rPr>
          <w:rFonts w:asciiTheme="majorHAnsi" w:hAnsiTheme="majorHAnsi"/>
          <w:sz w:val="24"/>
          <w:szCs w:val="24"/>
          <w:shd w:val="clear" w:color="auto" w:fill="FFFFFF"/>
        </w:rPr>
        <w:t xml:space="preserve">the general </w:t>
      </w:r>
      <w:r w:rsidR="0066110F">
        <w:rPr>
          <w:rFonts w:asciiTheme="majorHAnsi" w:hAnsiTheme="majorHAnsi"/>
          <w:sz w:val="24"/>
          <w:szCs w:val="24"/>
          <w:shd w:val="clear" w:color="auto" w:fill="FFFFFF"/>
        </w:rPr>
        <w:t>population distribution to</w:t>
      </w:r>
      <w:r w:rsidR="00692B6B">
        <w:rPr>
          <w:rFonts w:asciiTheme="majorHAnsi" w:hAnsiTheme="majorHAnsi"/>
          <w:sz w:val="24"/>
          <w:szCs w:val="24"/>
          <w:shd w:val="clear" w:color="auto" w:fill="FFFFFF"/>
        </w:rPr>
        <w:t xml:space="preserve"> moderate (46</w:t>
      </w:r>
      <w:r w:rsidR="000152CC" w:rsidRPr="00AB7E99">
        <w:rPr>
          <w:rFonts w:asciiTheme="majorHAnsi" w:hAnsiTheme="majorHAnsi"/>
          <w:sz w:val="24"/>
          <w:szCs w:val="24"/>
          <w:shd w:val="clear" w:color="auto" w:fill="FFFFFF"/>
        </w:rPr>
        <w:t>.2-58</w:t>
      </w:r>
      <w:r w:rsidR="00692B6B">
        <w:rPr>
          <w:rFonts w:asciiTheme="majorHAnsi" w:hAnsiTheme="majorHAnsi"/>
          <w:sz w:val="24"/>
          <w:szCs w:val="24"/>
          <w:shd w:val="clear" w:color="auto" w:fill="FFFFFF"/>
        </w:rPr>
        <w:t>.29)) and severe limitation (&lt;46</w:t>
      </w:r>
      <w:r w:rsidR="000152CC" w:rsidRPr="00AB7E99">
        <w:rPr>
          <w:rFonts w:asciiTheme="majorHAnsi" w:hAnsiTheme="majorHAnsi"/>
          <w:sz w:val="24"/>
          <w:szCs w:val="24"/>
          <w:shd w:val="clear" w:color="auto" w:fill="FFFFFF"/>
        </w:rPr>
        <w:t>.2</w:t>
      </w:r>
      <w:bookmarkStart w:id="0" w:name="_GoBack"/>
      <w:bookmarkEnd w:id="0"/>
      <w:r w:rsidR="008A273A">
        <w:rPr>
          <w:rFonts w:asciiTheme="majorHAnsi" w:hAnsiTheme="majorHAnsi"/>
          <w:sz w:val="24"/>
          <w:szCs w:val="24"/>
          <w:shd w:val="clear" w:color="auto" w:fill="FFFFFF"/>
        </w:rPr>
        <w:t xml:space="preserve">). </w:t>
      </w:r>
    </w:p>
    <w:p w14:paraId="53841F2E" w14:textId="50E83949" w:rsidR="00B75C86" w:rsidRDefault="00F46E72" w:rsidP="00084BA9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Social health was lower in each </w:t>
      </w:r>
      <w:r w:rsidR="00B50CC6">
        <w:rPr>
          <w:rFonts w:asciiTheme="majorHAnsi" w:hAnsiTheme="majorHAnsi"/>
          <w:sz w:val="24"/>
          <w:szCs w:val="24"/>
          <w:shd w:val="clear" w:color="auto" w:fill="FFFFFF"/>
        </w:rPr>
        <w:t xml:space="preserve">musculoskeletal cohort compared to the general population. </w:t>
      </w:r>
      <w:r w:rsidR="008A273A">
        <w:rPr>
          <w:rFonts w:asciiTheme="majorHAnsi" w:hAnsiTheme="majorHAnsi"/>
          <w:sz w:val="24"/>
          <w:szCs w:val="24"/>
          <w:shd w:val="clear" w:color="auto" w:fill="FFFFFF"/>
        </w:rPr>
        <w:t>Limitation in social health increased with age for those with osteoarthritis, knee, shoulder and back pain (p&lt;0.05).</w:t>
      </w:r>
      <w:r w:rsidR="008A273A" w:rsidRPr="008A273A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B8064C">
        <w:rPr>
          <w:rFonts w:asciiTheme="majorHAnsi" w:hAnsiTheme="majorHAnsi"/>
          <w:sz w:val="24"/>
          <w:szCs w:val="24"/>
          <w:shd w:val="clear" w:color="auto" w:fill="FFFFFF"/>
        </w:rPr>
        <w:t>Social health was lower in women only for knee pai</w:t>
      </w:r>
      <w:r w:rsidR="009E7209">
        <w:rPr>
          <w:rFonts w:asciiTheme="majorHAnsi" w:hAnsiTheme="majorHAnsi"/>
          <w:sz w:val="24"/>
          <w:szCs w:val="24"/>
          <w:shd w:val="clear" w:color="auto" w:fill="FFFFFF"/>
        </w:rPr>
        <w:t>n (severe limitation 44.8% cf 38.5%)</w:t>
      </w:r>
      <w:r w:rsidR="00B50CC6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  <w:r w:rsidR="008A273A">
        <w:rPr>
          <w:rFonts w:asciiTheme="majorHAnsi" w:hAnsiTheme="majorHAnsi"/>
          <w:sz w:val="24"/>
          <w:szCs w:val="24"/>
          <w:shd w:val="clear" w:color="auto" w:fill="FFFFFF"/>
        </w:rPr>
        <w:t>Social health decreased with increasing deprivation in all musculoskeletal cohorts, apart from hip pain.</w:t>
      </w:r>
    </w:p>
    <w:p w14:paraId="58EE5E8A" w14:textId="3907A7ED" w:rsidR="00084BA9" w:rsidRPr="00AB7E99" w:rsidRDefault="00822406" w:rsidP="00084BA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Taking osteoarthritis for illustrative purposes</w:t>
      </w:r>
      <w:r w:rsidR="002103C9"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>
        <w:rPr>
          <w:rFonts w:asciiTheme="majorHAnsi" w:hAnsiTheme="majorHAnsi"/>
          <w:sz w:val="24"/>
          <w:szCs w:val="24"/>
          <w:shd w:val="clear" w:color="auto" w:fill="FFFFFF"/>
        </w:rPr>
        <w:t>c</w:t>
      </w:r>
      <w:r w:rsidR="00F46049" w:rsidRPr="00AB7E99">
        <w:rPr>
          <w:rFonts w:asciiTheme="majorHAnsi" w:hAnsiTheme="majorHAnsi"/>
          <w:sz w:val="24"/>
          <w:szCs w:val="24"/>
          <w:shd w:val="clear" w:color="auto" w:fill="FFFFFF"/>
        </w:rPr>
        <w:t>ompared to th</w:t>
      </w:r>
      <w:r w:rsidR="003B7569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e general population, those who </w:t>
      </w:r>
      <w:r w:rsidR="00F46049" w:rsidRPr="00AB7E99">
        <w:rPr>
          <w:rFonts w:asciiTheme="majorHAnsi" w:hAnsiTheme="majorHAnsi"/>
          <w:sz w:val="24"/>
          <w:szCs w:val="24"/>
          <w:shd w:val="clear" w:color="auto" w:fill="FFFFFF"/>
        </w:rPr>
        <w:t>consult</w:t>
      </w:r>
      <w:r w:rsidR="003B7569" w:rsidRPr="00AB7E99">
        <w:rPr>
          <w:rFonts w:asciiTheme="majorHAnsi" w:hAnsiTheme="majorHAnsi"/>
          <w:sz w:val="24"/>
          <w:szCs w:val="24"/>
          <w:shd w:val="clear" w:color="auto" w:fill="FFFFFF"/>
        </w:rPr>
        <w:t>ed</w:t>
      </w:r>
      <w:r w:rsidR="00F46049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 for </w:t>
      </w:r>
      <w:r w:rsidR="003471AB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osteoarthritis had </w:t>
      </w:r>
      <w:r w:rsidR="007A0753">
        <w:rPr>
          <w:rFonts w:asciiTheme="majorHAnsi" w:hAnsiTheme="majorHAnsi"/>
          <w:sz w:val="24"/>
          <w:szCs w:val="24"/>
          <w:shd w:val="clear" w:color="auto" w:fill="FFFFFF"/>
        </w:rPr>
        <w:t>lower levels of no limitation</w:t>
      </w:r>
      <w:r w:rsidR="00D952D7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 (</w:t>
      </w:r>
      <w:r w:rsidR="007A0753">
        <w:rPr>
          <w:rFonts w:asciiTheme="majorHAnsi" w:hAnsiTheme="majorHAnsi"/>
          <w:sz w:val="24"/>
          <w:szCs w:val="24"/>
          <w:shd w:val="clear" w:color="auto" w:fill="FFFFFF"/>
        </w:rPr>
        <w:t>11.2</w:t>
      </w:r>
      <w:r w:rsidR="00D952D7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% cf </w:t>
      </w:r>
      <w:r w:rsidR="007F1C2B">
        <w:rPr>
          <w:rFonts w:asciiTheme="majorHAnsi" w:hAnsiTheme="majorHAnsi"/>
          <w:sz w:val="24"/>
          <w:szCs w:val="24"/>
          <w:shd w:val="clear" w:color="auto" w:fill="FFFFFF"/>
        </w:rPr>
        <w:t>38.0</w:t>
      </w:r>
      <w:r w:rsidR="00F46049" w:rsidRPr="00AB7E99">
        <w:rPr>
          <w:rFonts w:asciiTheme="majorHAnsi" w:hAnsiTheme="majorHAnsi"/>
          <w:sz w:val="24"/>
          <w:szCs w:val="24"/>
          <w:shd w:val="clear" w:color="auto" w:fill="FFFFFF"/>
        </w:rPr>
        <w:t>%)</w:t>
      </w:r>
      <w:r w:rsidR="00D952D7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 and </w:t>
      </w:r>
      <w:r w:rsidR="007A0753">
        <w:rPr>
          <w:rFonts w:asciiTheme="majorHAnsi" w:hAnsiTheme="majorHAnsi"/>
          <w:sz w:val="24"/>
          <w:szCs w:val="24"/>
          <w:shd w:val="clear" w:color="auto" w:fill="FFFFFF"/>
        </w:rPr>
        <w:t xml:space="preserve">higher level of </w:t>
      </w:r>
      <w:r w:rsidR="00D952D7" w:rsidRPr="00AB7E99">
        <w:rPr>
          <w:rFonts w:asciiTheme="majorHAnsi" w:hAnsiTheme="majorHAnsi"/>
          <w:sz w:val="24"/>
          <w:szCs w:val="24"/>
          <w:shd w:val="clear" w:color="auto" w:fill="FFFFFF"/>
        </w:rPr>
        <w:t>severe limitation (</w:t>
      </w:r>
      <w:r w:rsidR="007A0753">
        <w:rPr>
          <w:rFonts w:asciiTheme="majorHAnsi" w:hAnsiTheme="majorHAnsi"/>
          <w:sz w:val="24"/>
          <w:szCs w:val="24"/>
          <w:shd w:val="clear" w:color="auto" w:fill="FFFFFF"/>
        </w:rPr>
        <w:t>50.8</w:t>
      </w:r>
      <w:r w:rsidR="00D952D7" w:rsidRPr="00AB7E99">
        <w:rPr>
          <w:rFonts w:asciiTheme="majorHAnsi" w:hAnsiTheme="majorHAnsi"/>
          <w:sz w:val="24"/>
          <w:szCs w:val="24"/>
          <w:shd w:val="clear" w:color="auto" w:fill="FFFFFF"/>
        </w:rPr>
        <w:t>% cf</w:t>
      </w:r>
      <w:r w:rsidR="00F46049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7F1C2B">
        <w:rPr>
          <w:rFonts w:asciiTheme="majorHAnsi" w:hAnsiTheme="majorHAnsi"/>
          <w:sz w:val="24"/>
          <w:szCs w:val="24"/>
          <w:shd w:val="clear" w:color="auto" w:fill="FFFFFF"/>
        </w:rPr>
        <w:t>20</w:t>
      </w:r>
      <w:r w:rsidR="007A0753">
        <w:rPr>
          <w:rFonts w:asciiTheme="majorHAnsi" w:hAnsiTheme="majorHAnsi"/>
          <w:sz w:val="24"/>
          <w:szCs w:val="24"/>
          <w:shd w:val="clear" w:color="auto" w:fill="FFFFFF"/>
        </w:rPr>
        <w:t>.</w:t>
      </w:r>
      <w:r w:rsidR="007F1C2B">
        <w:rPr>
          <w:rFonts w:asciiTheme="majorHAnsi" w:hAnsiTheme="majorHAnsi"/>
          <w:sz w:val="24"/>
          <w:szCs w:val="24"/>
          <w:shd w:val="clear" w:color="auto" w:fill="FFFFFF"/>
        </w:rPr>
        <w:t>8</w:t>
      </w:r>
      <w:r w:rsidR="00F46049" w:rsidRPr="00AB7E99">
        <w:rPr>
          <w:rFonts w:asciiTheme="majorHAnsi" w:hAnsiTheme="majorHAnsi"/>
          <w:sz w:val="24"/>
          <w:szCs w:val="24"/>
          <w:shd w:val="clear" w:color="auto" w:fill="FFFFFF"/>
        </w:rPr>
        <w:t>%</w:t>
      </w:r>
      <w:r w:rsidR="00D952D7" w:rsidRPr="00AB7E99">
        <w:rPr>
          <w:rFonts w:asciiTheme="majorHAnsi" w:hAnsiTheme="majorHAnsi"/>
          <w:sz w:val="24"/>
          <w:szCs w:val="24"/>
          <w:shd w:val="clear" w:color="auto" w:fill="FFFFFF"/>
        </w:rPr>
        <w:t>)</w:t>
      </w:r>
      <w:r w:rsidR="009A7F0B">
        <w:rPr>
          <w:rFonts w:asciiTheme="majorHAnsi" w:hAnsiTheme="majorHAnsi"/>
          <w:sz w:val="24"/>
          <w:szCs w:val="24"/>
          <w:shd w:val="clear" w:color="auto" w:fill="FFFFFF"/>
        </w:rPr>
        <w:t xml:space="preserve"> in social health</w:t>
      </w:r>
      <w:r w:rsidR="003471AB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. In those </w:t>
      </w:r>
      <w:r w:rsidR="00CB248A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who </w:t>
      </w:r>
      <w:r w:rsidR="003471AB" w:rsidRPr="00AB7E99">
        <w:rPr>
          <w:rFonts w:asciiTheme="majorHAnsi" w:hAnsiTheme="majorHAnsi"/>
          <w:sz w:val="24"/>
          <w:szCs w:val="24"/>
          <w:shd w:val="clear" w:color="auto" w:fill="FFFFFF"/>
        </w:rPr>
        <w:t>consulted for osteoarthritis</w:t>
      </w:r>
      <w:r w:rsidR="00064238" w:rsidRPr="00AB7E99">
        <w:rPr>
          <w:rFonts w:asciiTheme="majorHAnsi" w:hAnsiTheme="majorHAnsi"/>
          <w:sz w:val="24"/>
          <w:szCs w:val="24"/>
          <w:shd w:val="clear" w:color="auto" w:fill="FFFFFF"/>
        </w:rPr>
        <w:t>, sever</w:t>
      </w:r>
      <w:r w:rsidR="004107C0" w:rsidRPr="00AB7E99">
        <w:rPr>
          <w:rFonts w:asciiTheme="majorHAnsi" w:hAnsiTheme="majorHAnsi"/>
          <w:sz w:val="24"/>
          <w:szCs w:val="24"/>
          <w:shd w:val="clear" w:color="auto" w:fill="FFFFFF"/>
        </w:rPr>
        <w:t>e</w:t>
      </w:r>
      <w:r w:rsidR="00064238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 limitation was </w:t>
      </w:r>
      <w:r w:rsidR="00CA0D45">
        <w:rPr>
          <w:rFonts w:asciiTheme="majorHAnsi" w:hAnsiTheme="majorHAnsi"/>
          <w:sz w:val="24"/>
          <w:szCs w:val="24"/>
          <w:shd w:val="clear" w:color="auto" w:fill="FFFFFF"/>
        </w:rPr>
        <w:t xml:space="preserve">similar in men and </w:t>
      </w:r>
      <w:r w:rsidR="00064238" w:rsidRPr="00AB7E99">
        <w:rPr>
          <w:rFonts w:asciiTheme="majorHAnsi" w:hAnsiTheme="majorHAnsi"/>
          <w:sz w:val="24"/>
          <w:szCs w:val="24"/>
          <w:shd w:val="clear" w:color="auto" w:fill="FFFFFF"/>
        </w:rPr>
        <w:t>women</w:t>
      </w:r>
      <w:r w:rsidR="00CA0D45">
        <w:rPr>
          <w:rFonts w:asciiTheme="majorHAnsi" w:hAnsiTheme="majorHAnsi"/>
          <w:sz w:val="24"/>
          <w:szCs w:val="24"/>
          <w:shd w:val="clear" w:color="auto" w:fill="FFFFFF"/>
        </w:rPr>
        <w:t xml:space="preserve"> (47.5%</w:t>
      </w:r>
      <w:r w:rsidR="00825670">
        <w:rPr>
          <w:rFonts w:asciiTheme="majorHAnsi" w:hAnsiTheme="majorHAnsi"/>
          <w:sz w:val="24"/>
          <w:szCs w:val="24"/>
          <w:shd w:val="clear" w:color="auto" w:fill="FFFFFF"/>
        </w:rPr>
        <w:t xml:space="preserve"> cf </w:t>
      </w:r>
      <w:r w:rsidR="00CA0D45">
        <w:rPr>
          <w:rFonts w:asciiTheme="majorHAnsi" w:hAnsiTheme="majorHAnsi"/>
          <w:sz w:val="24"/>
          <w:szCs w:val="24"/>
          <w:shd w:val="clear" w:color="auto" w:fill="FFFFFF"/>
        </w:rPr>
        <w:t>52.8%; p=0.10)</w:t>
      </w:r>
      <w:r w:rsidR="00064238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 and increased</w:t>
      </w:r>
      <w:r w:rsidR="004107C0" w:rsidRPr="00AB7E99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183CB2">
        <w:rPr>
          <w:rFonts w:asciiTheme="majorHAnsi" w:hAnsiTheme="majorHAnsi"/>
          <w:sz w:val="24"/>
          <w:szCs w:val="24"/>
          <w:shd w:val="clear" w:color="auto" w:fill="FFFFFF"/>
        </w:rPr>
        <w:t xml:space="preserve">with increasing deprivation </w:t>
      </w:r>
      <w:r w:rsidR="006638E3">
        <w:rPr>
          <w:rFonts w:asciiTheme="majorHAnsi" w:hAnsiTheme="majorHAnsi"/>
          <w:sz w:val="24"/>
          <w:szCs w:val="24"/>
          <w:shd w:val="clear" w:color="auto" w:fill="FFFFFF"/>
        </w:rPr>
        <w:t>(</w:t>
      </w:r>
      <w:r w:rsidR="00DD6279">
        <w:rPr>
          <w:rFonts w:asciiTheme="majorHAnsi" w:hAnsiTheme="majorHAnsi"/>
          <w:sz w:val="24"/>
          <w:szCs w:val="24"/>
          <w:shd w:val="clear" w:color="auto" w:fill="FFFFFF"/>
        </w:rPr>
        <w:t xml:space="preserve">richest 20% cf poorest </w:t>
      </w:r>
      <w:r w:rsidR="00324F2E">
        <w:rPr>
          <w:rFonts w:asciiTheme="majorHAnsi" w:hAnsiTheme="majorHAnsi"/>
          <w:sz w:val="24"/>
          <w:szCs w:val="24"/>
          <w:shd w:val="clear" w:color="auto" w:fill="FFFFFF"/>
        </w:rPr>
        <w:t>20%</w:t>
      </w:r>
      <w:r w:rsidR="00DD6279">
        <w:rPr>
          <w:rFonts w:asciiTheme="majorHAnsi" w:hAnsiTheme="majorHAnsi"/>
          <w:sz w:val="24"/>
          <w:szCs w:val="24"/>
          <w:shd w:val="clear" w:color="auto" w:fill="FFFFFF"/>
        </w:rPr>
        <w:t xml:space="preserve">; </w:t>
      </w:r>
      <w:r w:rsidR="00324F2E">
        <w:rPr>
          <w:rFonts w:asciiTheme="majorHAnsi" w:hAnsiTheme="majorHAnsi"/>
          <w:sz w:val="24"/>
          <w:szCs w:val="24"/>
          <w:shd w:val="clear" w:color="auto" w:fill="FFFFFF"/>
        </w:rPr>
        <w:t>45.3</w:t>
      </w:r>
      <w:r w:rsidR="00DD6279">
        <w:rPr>
          <w:rFonts w:asciiTheme="majorHAnsi" w:hAnsiTheme="majorHAnsi"/>
          <w:sz w:val="24"/>
          <w:szCs w:val="24"/>
          <w:shd w:val="clear" w:color="auto" w:fill="FFFFFF"/>
        </w:rPr>
        <w:t xml:space="preserve">% cf </w:t>
      </w:r>
      <w:r w:rsidR="00324F2E">
        <w:rPr>
          <w:rFonts w:asciiTheme="majorHAnsi" w:hAnsiTheme="majorHAnsi"/>
          <w:sz w:val="24"/>
          <w:szCs w:val="24"/>
          <w:shd w:val="clear" w:color="auto" w:fill="FFFFFF"/>
        </w:rPr>
        <w:t>62.1</w:t>
      </w:r>
      <w:r w:rsidR="00DD6279">
        <w:rPr>
          <w:rFonts w:asciiTheme="majorHAnsi" w:hAnsiTheme="majorHAnsi"/>
          <w:sz w:val="24"/>
          <w:szCs w:val="24"/>
          <w:shd w:val="clear" w:color="auto" w:fill="FFFFFF"/>
        </w:rPr>
        <w:t>%</w:t>
      </w:r>
      <w:r w:rsidR="00825670">
        <w:rPr>
          <w:rFonts w:asciiTheme="majorHAnsi" w:hAnsiTheme="majorHAnsi"/>
          <w:sz w:val="24"/>
          <w:szCs w:val="24"/>
          <w:shd w:val="clear" w:color="auto" w:fill="FFFFFF"/>
        </w:rPr>
        <w:t>)</w:t>
      </w:r>
      <w:r w:rsidR="008B4A14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14:paraId="3B671F21" w14:textId="0CEF110D" w:rsidR="00E602F9" w:rsidRPr="00AB7E99" w:rsidRDefault="00084BA9" w:rsidP="00084BA9">
      <w:pPr>
        <w:jc w:val="both"/>
        <w:rPr>
          <w:rFonts w:asciiTheme="majorHAnsi" w:hAnsiTheme="majorHAnsi"/>
          <w:sz w:val="24"/>
          <w:szCs w:val="24"/>
        </w:rPr>
      </w:pPr>
      <w:r w:rsidRPr="00AB7E99">
        <w:rPr>
          <w:rFonts w:asciiTheme="majorHAnsi" w:hAnsiTheme="majorHAnsi"/>
          <w:b/>
          <w:sz w:val="24"/>
          <w:szCs w:val="24"/>
        </w:rPr>
        <w:t xml:space="preserve">Conclusion: </w:t>
      </w:r>
      <w:r w:rsidR="007D0D51" w:rsidRPr="00AB7E99">
        <w:rPr>
          <w:rFonts w:asciiTheme="majorHAnsi" w:hAnsiTheme="majorHAnsi"/>
          <w:sz w:val="24"/>
          <w:szCs w:val="24"/>
        </w:rPr>
        <w:t>L</w:t>
      </w:r>
      <w:r w:rsidR="00247278">
        <w:rPr>
          <w:rFonts w:asciiTheme="majorHAnsi" w:hAnsiTheme="majorHAnsi"/>
          <w:sz w:val="24"/>
          <w:szCs w:val="24"/>
        </w:rPr>
        <w:t xml:space="preserve">imitation in social health is </w:t>
      </w:r>
      <w:r w:rsidR="006A6C97">
        <w:rPr>
          <w:rFonts w:asciiTheme="majorHAnsi" w:hAnsiTheme="majorHAnsi"/>
          <w:sz w:val="24"/>
          <w:szCs w:val="24"/>
        </w:rPr>
        <w:t xml:space="preserve">more </w:t>
      </w:r>
      <w:r w:rsidR="00247278">
        <w:rPr>
          <w:rFonts w:asciiTheme="majorHAnsi" w:hAnsiTheme="majorHAnsi"/>
          <w:sz w:val="24"/>
          <w:szCs w:val="24"/>
        </w:rPr>
        <w:t xml:space="preserve">common in people with </w:t>
      </w:r>
      <w:r w:rsidR="006A6C97">
        <w:rPr>
          <w:rFonts w:asciiTheme="majorHAnsi" w:hAnsiTheme="majorHAnsi"/>
          <w:sz w:val="24"/>
          <w:szCs w:val="24"/>
        </w:rPr>
        <w:t>musculoskeletal conditions</w:t>
      </w:r>
      <w:r w:rsidR="00247278">
        <w:rPr>
          <w:rFonts w:asciiTheme="majorHAnsi" w:hAnsiTheme="majorHAnsi"/>
          <w:sz w:val="24"/>
          <w:szCs w:val="24"/>
        </w:rPr>
        <w:t>. Higher levels with deprivation and in women indicate target groups for interventions and may be indicative that the pathways to limited social participation differ</w:t>
      </w:r>
      <w:r w:rsidR="004A57B0">
        <w:rPr>
          <w:rFonts w:asciiTheme="majorHAnsi" w:hAnsiTheme="majorHAnsi"/>
          <w:sz w:val="24"/>
          <w:szCs w:val="24"/>
        </w:rPr>
        <w:t xml:space="preserve"> by socio-demographic strata</w:t>
      </w:r>
      <w:r w:rsidR="00E602F9" w:rsidRPr="00AB7E99">
        <w:rPr>
          <w:rFonts w:asciiTheme="majorHAnsi" w:hAnsiTheme="majorHAnsi"/>
          <w:sz w:val="24"/>
          <w:szCs w:val="24"/>
        </w:rPr>
        <w:t xml:space="preserve">.  </w:t>
      </w:r>
    </w:p>
    <w:p w14:paraId="63EED8FC" w14:textId="77777777" w:rsidR="00084BA9" w:rsidRDefault="00084BA9" w:rsidP="00084BA9">
      <w:pPr>
        <w:jc w:val="center"/>
        <w:rPr>
          <w:rFonts w:ascii="Cambria" w:hAnsi="Cambria"/>
          <w:sz w:val="24"/>
          <w:szCs w:val="24"/>
          <w:u w:val="single"/>
        </w:rPr>
      </w:pPr>
    </w:p>
    <w:p w14:paraId="4DE8F5F9" w14:textId="77777777" w:rsidR="00F83028" w:rsidRDefault="00F83028" w:rsidP="00F83028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Courier New"/>
          <w:sz w:val="24"/>
          <w:szCs w:val="24"/>
        </w:rPr>
      </w:pPr>
    </w:p>
    <w:p w14:paraId="7D313DE0" w14:textId="77777777" w:rsidR="00F83028" w:rsidRDefault="00F83028" w:rsidP="00F83028">
      <w:pPr>
        <w:jc w:val="both"/>
        <w:rPr>
          <w:rFonts w:ascii="Cambria" w:hAnsi="Cambria"/>
          <w:sz w:val="24"/>
          <w:szCs w:val="24"/>
        </w:rPr>
      </w:pPr>
    </w:p>
    <w:p w14:paraId="0C513C95" w14:textId="77777777" w:rsidR="00F83028" w:rsidRDefault="00F83028" w:rsidP="00F83028">
      <w:pPr>
        <w:jc w:val="both"/>
        <w:rPr>
          <w:rFonts w:ascii="Cambria" w:hAnsi="Cambria"/>
          <w:sz w:val="24"/>
          <w:szCs w:val="24"/>
        </w:rPr>
      </w:pPr>
    </w:p>
    <w:p w14:paraId="238DE61D" w14:textId="77777777" w:rsidR="00F83028" w:rsidRDefault="00F83028" w:rsidP="00F83028">
      <w:pPr>
        <w:jc w:val="both"/>
        <w:rPr>
          <w:rFonts w:ascii="Cambria" w:hAnsi="Cambria"/>
          <w:sz w:val="24"/>
          <w:szCs w:val="24"/>
        </w:rPr>
      </w:pPr>
    </w:p>
    <w:p w14:paraId="15C1B30A" w14:textId="77777777" w:rsidR="00F83028" w:rsidRDefault="00F83028" w:rsidP="00F83028">
      <w:pPr>
        <w:jc w:val="both"/>
        <w:rPr>
          <w:rFonts w:ascii="Cambria" w:hAnsi="Cambria"/>
          <w:sz w:val="24"/>
          <w:szCs w:val="24"/>
        </w:rPr>
      </w:pPr>
    </w:p>
    <w:p w14:paraId="5D072D83" w14:textId="77777777" w:rsidR="00F830AE" w:rsidRDefault="00F830AE"/>
    <w:sectPr w:rsidR="00F830AE" w:rsidSect="00F41934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3E5"/>
    <w:multiLevelType w:val="hybridMultilevel"/>
    <w:tmpl w:val="D7F677F8"/>
    <w:lvl w:ilvl="0" w:tplc="D5B40B7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A9"/>
    <w:rsid w:val="00010D13"/>
    <w:rsid w:val="000152CC"/>
    <w:rsid w:val="0002397B"/>
    <w:rsid w:val="000528D8"/>
    <w:rsid w:val="0006119A"/>
    <w:rsid w:val="00063CEC"/>
    <w:rsid w:val="00064238"/>
    <w:rsid w:val="00076521"/>
    <w:rsid w:val="00084BA9"/>
    <w:rsid w:val="00090046"/>
    <w:rsid w:val="0009267B"/>
    <w:rsid w:val="000B4327"/>
    <w:rsid w:val="00115DAF"/>
    <w:rsid w:val="0012285A"/>
    <w:rsid w:val="00136A80"/>
    <w:rsid w:val="00171DB4"/>
    <w:rsid w:val="00183CB2"/>
    <w:rsid w:val="001F6884"/>
    <w:rsid w:val="002103C9"/>
    <w:rsid w:val="00213D01"/>
    <w:rsid w:val="00222567"/>
    <w:rsid w:val="00247278"/>
    <w:rsid w:val="00252E59"/>
    <w:rsid w:val="00262F62"/>
    <w:rsid w:val="002856A4"/>
    <w:rsid w:val="002870FF"/>
    <w:rsid w:val="00295567"/>
    <w:rsid w:val="00296AA4"/>
    <w:rsid w:val="002F0ADD"/>
    <w:rsid w:val="00324F2E"/>
    <w:rsid w:val="00336A56"/>
    <w:rsid w:val="003410B1"/>
    <w:rsid w:val="00344FAA"/>
    <w:rsid w:val="003471AB"/>
    <w:rsid w:val="003B10AE"/>
    <w:rsid w:val="003B15D2"/>
    <w:rsid w:val="003B7569"/>
    <w:rsid w:val="003C3DD1"/>
    <w:rsid w:val="003F6678"/>
    <w:rsid w:val="003F6FB8"/>
    <w:rsid w:val="004107C0"/>
    <w:rsid w:val="00417EE8"/>
    <w:rsid w:val="00425611"/>
    <w:rsid w:val="004607D8"/>
    <w:rsid w:val="004A57B0"/>
    <w:rsid w:val="004B1946"/>
    <w:rsid w:val="004B2E52"/>
    <w:rsid w:val="004C3DFA"/>
    <w:rsid w:val="004D2EC4"/>
    <w:rsid w:val="004F4650"/>
    <w:rsid w:val="00520209"/>
    <w:rsid w:val="00524F45"/>
    <w:rsid w:val="005530A6"/>
    <w:rsid w:val="00594275"/>
    <w:rsid w:val="00634C66"/>
    <w:rsid w:val="0066110F"/>
    <w:rsid w:val="006638E3"/>
    <w:rsid w:val="006705AE"/>
    <w:rsid w:val="00671610"/>
    <w:rsid w:val="00677E74"/>
    <w:rsid w:val="00692B6B"/>
    <w:rsid w:val="006A6C97"/>
    <w:rsid w:val="0071334A"/>
    <w:rsid w:val="00721F6D"/>
    <w:rsid w:val="00762E67"/>
    <w:rsid w:val="0078179B"/>
    <w:rsid w:val="007A0753"/>
    <w:rsid w:val="007B4A11"/>
    <w:rsid w:val="007D0D51"/>
    <w:rsid w:val="007F1C2B"/>
    <w:rsid w:val="007F5DDB"/>
    <w:rsid w:val="00800888"/>
    <w:rsid w:val="00811806"/>
    <w:rsid w:val="00822406"/>
    <w:rsid w:val="00825670"/>
    <w:rsid w:val="00895496"/>
    <w:rsid w:val="008A273A"/>
    <w:rsid w:val="008B4A14"/>
    <w:rsid w:val="008D7446"/>
    <w:rsid w:val="0090658B"/>
    <w:rsid w:val="00914EF4"/>
    <w:rsid w:val="00926E64"/>
    <w:rsid w:val="00941886"/>
    <w:rsid w:val="00956F1D"/>
    <w:rsid w:val="0098735A"/>
    <w:rsid w:val="00993551"/>
    <w:rsid w:val="00994564"/>
    <w:rsid w:val="009A7F0B"/>
    <w:rsid w:val="009B47B1"/>
    <w:rsid w:val="009B6ABD"/>
    <w:rsid w:val="009C2DD0"/>
    <w:rsid w:val="009E7209"/>
    <w:rsid w:val="009E783C"/>
    <w:rsid w:val="009F1BAF"/>
    <w:rsid w:val="009F5D41"/>
    <w:rsid w:val="00A067D2"/>
    <w:rsid w:val="00A101DE"/>
    <w:rsid w:val="00A622DE"/>
    <w:rsid w:val="00A730F5"/>
    <w:rsid w:val="00AA0AAB"/>
    <w:rsid w:val="00AB63C3"/>
    <w:rsid w:val="00AB7E99"/>
    <w:rsid w:val="00AC4991"/>
    <w:rsid w:val="00AD4A96"/>
    <w:rsid w:val="00AE1939"/>
    <w:rsid w:val="00B056CB"/>
    <w:rsid w:val="00B50CC6"/>
    <w:rsid w:val="00B75C86"/>
    <w:rsid w:val="00B8064C"/>
    <w:rsid w:val="00BD6B8C"/>
    <w:rsid w:val="00BE1BA3"/>
    <w:rsid w:val="00C41669"/>
    <w:rsid w:val="00C5725A"/>
    <w:rsid w:val="00C91BC1"/>
    <w:rsid w:val="00CA0D45"/>
    <w:rsid w:val="00CB248A"/>
    <w:rsid w:val="00CF56B8"/>
    <w:rsid w:val="00D369CB"/>
    <w:rsid w:val="00D81DAA"/>
    <w:rsid w:val="00D826CA"/>
    <w:rsid w:val="00D952D7"/>
    <w:rsid w:val="00DD6279"/>
    <w:rsid w:val="00DF48BC"/>
    <w:rsid w:val="00E0432C"/>
    <w:rsid w:val="00E212C1"/>
    <w:rsid w:val="00E602F9"/>
    <w:rsid w:val="00E8227D"/>
    <w:rsid w:val="00EA50C1"/>
    <w:rsid w:val="00ED13C7"/>
    <w:rsid w:val="00EE4D88"/>
    <w:rsid w:val="00EE6243"/>
    <w:rsid w:val="00F240F2"/>
    <w:rsid w:val="00F251B9"/>
    <w:rsid w:val="00F27CF6"/>
    <w:rsid w:val="00F41934"/>
    <w:rsid w:val="00F46049"/>
    <w:rsid w:val="00F46E72"/>
    <w:rsid w:val="00F5414E"/>
    <w:rsid w:val="00F710C9"/>
    <w:rsid w:val="00F72307"/>
    <w:rsid w:val="00F82B61"/>
    <w:rsid w:val="00F83028"/>
    <w:rsid w:val="00F830AE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C9F66"/>
  <w14:defaultImageDpi w14:val="300"/>
  <w15:docId w15:val="{CC7555B7-FFFE-479B-B1D3-3E635B1A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A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A9"/>
    <w:pPr>
      <w:ind w:left="720"/>
      <w:contextualSpacing/>
    </w:pPr>
  </w:style>
  <w:style w:type="paragraph" w:customStyle="1" w:styleId="Default">
    <w:name w:val="Default"/>
    <w:rsid w:val="00A622D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1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B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0B1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B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Yousrah Uraiby</dc:creator>
  <cp:keywords/>
  <dc:description/>
  <cp:lastModifiedBy>pra45</cp:lastModifiedBy>
  <cp:revision>2</cp:revision>
  <dcterms:created xsi:type="dcterms:W3CDTF">2020-09-01T14:22:00Z</dcterms:created>
  <dcterms:modified xsi:type="dcterms:W3CDTF">2020-09-01T14:22:00Z</dcterms:modified>
</cp:coreProperties>
</file>