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D6A74" w14:textId="0C1C58DF" w:rsidR="001018E9" w:rsidRDefault="001018E9" w:rsidP="001018E9">
      <w:pPr>
        <w:rPr>
          <w:b/>
        </w:rPr>
      </w:pPr>
      <w:bookmarkStart w:id="0" w:name="_GoBack"/>
      <w:bookmarkEnd w:id="0"/>
      <w:r w:rsidRPr="005C01DA">
        <w:rPr>
          <w:b/>
        </w:rPr>
        <w:t>Truth telling- A perspective of medical and pharmacy students</w:t>
      </w:r>
      <w:r w:rsidR="00ED1F35">
        <w:rPr>
          <w:b/>
        </w:rPr>
        <w:t xml:space="preserve"> in the UK</w:t>
      </w:r>
    </w:p>
    <w:p w14:paraId="368A149D" w14:textId="5AF4F25A" w:rsidR="00ED1F35" w:rsidRPr="005C01DA" w:rsidRDefault="00ED1F35" w:rsidP="001018E9">
      <w:pPr>
        <w:rPr>
          <w:b/>
        </w:rPr>
      </w:pPr>
    </w:p>
    <w:p w14:paraId="2CE9E5D8" w14:textId="77777777" w:rsidR="001018E9" w:rsidRDefault="001018E9" w:rsidP="001018E9">
      <w:r>
        <w:t>Authors</w:t>
      </w:r>
    </w:p>
    <w:p w14:paraId="24235322" w14:textId="77777777" w:rsidR="001018E9" w:rsidRDefault="001018E9" w:rsidP="001018E9">
      <w:pPr>
        <w:rPr>
          <w:rFonts w:ascii="Arial" w:hAnsi="Arial" w:cs="Arial"/>
          <w:sz w:val="20"/>
          <w:szCs w:val="20"/>
        </w:rPr>
      </w:pPr>
      <w:r>
        <w:rPr>
          <w:rFonts w:ascii="Arial" w:hAnsi="Arial" w:cs="Arial"/>
          <w:sz w:val="20"/>
          <w:szCs w:val="20"/>
        </w:rPr>
        <w:t>Corfield, L, School of Medicine, Keele University</w:t>
      </w:r>
    </w:p>
    <w:p w14:paraId="7A38F3A6" w14:textId="77777777" w:rsidR="001018E9" w:rsidRDefault="001018E9" w:rsidP="001018E9">
      <w:pPr>
        <w:rPr>
          <w:rFonts w:ascii="Arial" w:hAnsi="Arial" w:cs="Arial"/>
          <w:sz w:val="20"/>
          <w:szCs w:val="20"/>
        </w:rPr>
      </w:pPr>
      <w:proofErr w:type="spellStart"/>
      <w:r>
        <w:rPr>
          <w:rFonts w:ascii="Arial" w:hAnsi="Arial" w:cs="Arial"/>
          <w:sz w:val="20"/>
          <w:szCs w:val="20"/>
        </w:rPr>
        <w:t>Stibbs</w:t>
      </w:r>
      <w:proofErr w:type="spellEnd"/>
      <w:r>
        <w:rPr>
          <w:rFonts w:ascii="Arial" w:hAnsi="Arial" w:cs="Arial"/>
          <w:sz w:val="20"/>
          <w:szCs w:val="20"/>
        </w:rPr>
        <w:t>, M, School of Pharmacy, Keele University</w:t>
      </w:r>
    </w:p>
    <w:p w14:paraId="75E81F43" w14:textId="77777777" w:rsidR="001018E9" w:rsidRDefault="001018E9" w:rsidP="001018E9">
      <w:r>
        <w:t>Smith I, School of Pharmacy, Keele University</w:t>
      </w:r>
    </w:p>
    <w:p w14:paraId="65044632" w14:textId="77777777" w:rsidR="001018E9" w:rsidRDefault="001018E9" w:rsidP="001018E9">
      <w:pPr>
        <w:rPr>
          <w:rFonts w:ascii="Arial" w:hAnsi="Arial" w:cs="Arial"/>
          <w:sz w:val="20"/>
          <w:szCs w:val="20"/>
        </w:rPr>
      </w:pPr>
      <w:proofErr w:type="spellStart"/>
      <w:r>
        <w:rPr>
          <w:rFonts w:ascii="Arial" w:hAnsi="Arial" w:cs="Arial"/>
          <w:sz w:val="20"/>
          <w:szCs w:val="20"/>
        </w:rPr>
        <w:t>Allinson</w:t>
      </w:r>
      <w:proofErr w:type="spellEnd"/>
      <w:r>
        <w:rPr>
          <w:rFonts w:ascii="Arial" w:hAnsi="Arial" w:cs="Arial"/>
          <w:sz w:val="20"/>
          <w:szCs w:val="20"/>
        </w:rPr>
        <w:t>, M, School of Pharmacy, Keele University</w:t>
      </w:r>
    </w:p>
    <w:p w14:paraId="7005EBEA" w14:textId="77777777" w:rsidR="001018E9" w:rsidRDefault="001018E9" w:rsidP="001018E9">
      <w:r>
        <w:t xml:space="preserve">Presenter </w:t>
      </w:r>
    </w:p>
    <w:p w14:paraId="2E386499" w14:textId="77777777" w:rsidR="001018E9" w:rsidRDefault="001018E9" w:rsidP="001018E9">
      <w:pPr>
        <w:rPr>
          <w:rFonts w:ascii="Arial" w:hAnsi="Arial" w:cs="Arial"/>
          <w:sz w:val="20"/>
          <w:szCs w:val="20"/>
        </w:rPr>
      </w:pPr>
      <w:r>
        <w:rPr>
          <w:rFonts w:ascii="Arial" w:hAnsi="Arial" w:cs="Arial"/>
          <w:sz w:val="20"/>
          <w:szCs w:val="20"/>
        </w:rPr>
        <w:t>Corfield, L, School of Medicine, Keele University</w:t>
      </w:r>
    </w:p>
    <w:p w14:paraId="44780D56" w14:textId="77777777" w:rsidR="005C01DA" w:rsidRDefault="005C01DA" w:rsidP="001018E9">
      <w:pPr>
        <w:rPr>
          <w:b/>
        </w:rPr>
      </w:pPr>
    </w:p>
    <w:p w14:paraId="4CA46838" w14:textId="77777777" w:rsidR="001018E9" w:rsidRPr="005C01DA" w:rsidRDefault="001018E9" w:rsidP="001018E9">
      <w:pPr>
        <w:rPr>
          <w:b/>
        </w:rPr>
      </w:pPr>
      <w:r w:rsidRPr="005C01DA">
        <w:rPr>
          <w:b/>
        </w:rPr>
        <w:t>Background</w:t>
      </w:r>
    </w:p>
    <w:p w14:paraId="5A3F0D3A" w14:textId="4F34926E" w:rsidR="0090614A" w:rsidRDefault="001018E9" w:rsidP="001018E9">
      <w:r>
        <w:t xml:space="preserve">The requirement for health-care professionals (HCPs) to tell the truth is articulated in the guidance of </w:t>
      </w:r>
      <w:r w:rsidR="00BF1AAA">
        <w:t xml:space="preserve">UK </w:t>
      </w:r>
      <w:r>
        <w:t>professional bodies.</w:t>
      </w:r>
      <w:r w:rsidR="0090614A" w:rsidRPr="0090614A">
        <w:rPr>
          <w:vertAlign w:val="superscript"/>
        </w:rPr>
        <w:t>1,2</w:t>
      </w:r>
      <w:r>
        <w:t xml:space="preserve"> </w:t>
      </w:r>
      <w:r w:rsidR="0090614A">
        <w:t>This stu</w:t>
      </w:r>
      <w:r w:rsidR="009E1D22">
        <w:t>dy</w:t>
      </w:r>
      <w:r w:rsidR="0090614A">
        <w:t xml:space="preserve"> explore</w:t>
      </w:r>
      <w:r w:rsidR="009E1D22">
        <w:t>s</w:t>
      </w:r>
      <w:r w:rsidR="0090614A">
        <w:t xml:space="preserve"> undergraduate healthcare students’ views on truth telling. </w:t>
      </w:r>
    </w:p>
    <w:p w14:paraId="3FEB3E97" w14:textId="77777777" w:rsidR="0090614A" w:rsidRDefault="0090614A" w:rsidP="001018E9"/>
    <w:p w14:paraId="3ECCFC80" w14:textId="77777777" w:rsidR="001018E9" w:rsidRPr="005C01DA" w:rsidRDefault="001018E9" w:rsidP="001018E9">
      <w:pPr>
        <w:rPr>
          <w:b/>
        </w:rPr>
      </w:pPr>
      <w:r w:rsidRPr="005C01DA">
        <w:rPr>
          <w:b/>
        </w:rPr>
        <w:t>Summary of the work</w:t>
      </w:r>
    </w:p>
    <w:p w14:paraId="58FF8594" w14:textId="56225CDD" w:rsidR="001018E9" w:rsidRDefault="00FB3E98" w:rsidP="001018E9">
      <w:r>
        <w:t xml:space="preserve">Fourth year </w:t>
      </w:r>
      <w:r w:rsidR="0090614A">
        <w:t xml:space="preserve">medical and </w:t>
      </w:r>
      <w:r>
        <w:t>third year</w:t>
      </w:r>
      <w:r w:rsidR="0090614A">
        <w:t xml:space="preserve"> p</w:t>
      </w:r>
      <w:r w:rsidR="001018E9">
        <w:t>ha</w:t>
      </w:r>
      <w:r w:rsidR="0090614A">
        <w:t xml:space="preserve">rmacy students </w:t>
      </w:r>
      <w:r>
        <w:t>undertook</w:t>
      </w:r>
      <w:r w:rsidR="001018E9">
        <w:t xml:space="preserve"> an interprofessional </w:t>
      </w:r>
      <w:r w:rsidR="00815C6C">
        <w:t xml:space="preserve">on-line </w:t>
      </w:r>
      <w:r>
        <w:t xml:space="preserve">ethics </w:t>
      </w:r>
      <w:r w:rsidR="001018E9">
        <w:t xml:space="preserve">exercise.  They were faced with </w:t>
      </w:r>
      <w:r w:rsidR="009E1D22">
        <w:t>the</w:t>
      </w:r>
      <w:r w:rsidR="001018E9">
        <w:t xml:space="preserve"> dilemma of whether to tell the truth to parents about the distressing death </w:t>
      </w:r>
      <w:r w:rsidR="00815C6C">
        <w:t>of</w:t>
      </w:r>
      <w:r w:rsidR="001018E9">
        <w:t xml:space="preserve"> their daughter.  </w:t>
      </w:r>
      <w:r w:rsidR="00815C6C">
        <w:t xml:space="preserve">After </w:t>
      </w:r>
      <w:r w:rsidR="001018E9">
        <w:t xml:space="preserve">the exercise students were </w:t>
      </w:r>
      <w:r w:rsidR="009E6CA5">
        <w:t>asked</w:t>
      </w:r>
      <w:r w:rsidR="001018E9">
        <w:t xml:space="preserve"> their views on truth-telling.  Ethical approval for the study was obtained. </w:t>
      </w:r>
    </w:p>
    <w:p w14:paraId="5DB458C1" w14:textId="77777777" w:rsidR="001018E9" w:rsidRDefault="001018E9" w:rsidP="001018E9"/>
    <w:p w14:paraId="6ABDC3B8" w14:textId="77777777" w:rsidR="001018E9" w:rsidRPr="005C01DA" w:rsidRDefault="001018E9" w:rsidP="001018E9">
      <w:pPr>
        <w:rPr>
          <w:b/>
        </w:rPr>
      </w:pPr>
      <w:r w:rsidRPr="005C01DA">
        <w:rPr>
          <w:b/>
        </w:rPr>
        <w:t>Summary of results</w:t>
      </w:r>
    </w:p>
    <w:p w14:paraId="6245AF08" w14:textId="4A4F5057" w:rsidR="00D80698" w:rsidRPr="004F3561" w:rsidRDefault="00BC5326" w:rsidP="001018E9">
      <w:r>
        <w:t>67</w:t>
      </w:r>
      <w:r w:rsidR="00164C0F">
        <w:t xml:space="preserve"> m</w:t>
      </w:r>
      <w:r w:rsidR="00D80698">
        <w:t xml:space="preserve">edical students and </w:t>
      </w:r>
      <w:r w:rsidR="00164C0F">
        <w:t>90 p</w:t>
      </w:r>
      <w:r w:rsidR="00D80698">
        <w:t xml:space="preserve">harmacy students completed the questionnaire (response rate </w:t>
      </w:r>
      <w:r w:rsidR="000B622B" w:rsidRPr="000B622B">
        <w:t>69</w:t>
      </w:r>
      <w:r w:rsidR="00D80698" w:rsidRPr="000B622B">
        <w:t>%).</w:t>
      </w:r>
      <w:r w:rsidR="00D80698">
        <w:t xml:space="preserve">  Key results are presented in </w:t>
      </w:r>
      <w:r w:rsidR="004F3561">
        <w:t>the table.</w:t>
      </w:r>
    </w:p>
    <w:tbl>
      <w:tblPr>
        <w:tblStyle w:val="TableGrid"/>
        <w:tblW w:w="0" w:type="auto"/>
        <w:tblLook w:val="04A0" w:firstRow="1" w:lastRow="0" w:firstColumn="1" w:lastColumn="0" w:noHBand="0" w:noVBand="1"/>
      </w:tblPr>
      <w:tblGrid>
        <w:gridCol w:w="2263"/>
        <w:gridCol w:w="1343"/>
        <w:gridCol w:w="1803"/>
        <w:gridCol w:w="1803"/>
        <w:gridCol w:w="1804"/>
      </w:tblGrid>
      <w:tr w:rsidR="00D80698" w14:paraId="67B2A0F7" w14:textId="77777777" w:rsidTr="003D0EC9">
        <w:tc>
          <w:tcPr>
            <w:tcW w:w="2263" w:type="dxa"/>
          </w:tcPr>
          <w:p w14:paraId="2658B0FB" w14:textId="77777777" w:rsidR="00D80698" w:rsidRPr="003D0EC9" w:rsidRDefault="00D80698" w:rsidP="00D535A5">
            <w:pPr>
              <w:rPr>
                <w:rFonts w:ascii="Arial" w:hAnsi="Arial" w:cs="Arial"/>
                <w:b/>
                <w:sz w:val="20"/>
                <w:szCs w:val="20"/>
              </w:rPr>
            </w:pPr>
          </w:p>
        </w:tc>
        <w:tc>
          <w:tcPr>
            <w:tcW w:w="3146" w:type="dxa"/>
            <w:gridSpan w:val="2"/>
          </w:tcPr>
          <w:p w14:paraId="338A5651" w14:textId="77777777" w:rsidR="00D80698" w:rsidRPr="003D0EC9" w:rsidRDefault="003D0EC9" w:rsidP="00D80698">
            <w:pPr>
              <w:jc w:val="center"/>
              <w:rPr>
                <w:rFonts w:ascii="Arial" w:hAnsi="Arial" w:cs="Arial"/>
                <w:b/>
                <w:sz w:val="20"/>
                <w:szCs w:val="20"/>
              </w:rPr>
            </w:pPr>
            <w:r w:rsidRPr="003D0EC9">
              <w:rPr>
                <w:rFonts w:ascii="Arial" w:hAnsi="Arial" w:cs="Arial"/>
                <w:b/>
                <w:sz w:val="20"/>
                <w:szCs w:val="20"/>
              </w:rPr>
              <w:t>Medicine</w:t>
            </w:r>
          </w:p>
        </w:tc>
        <w:tc>
          <w:tcPr>
            <w:tcW w:w="3607" w:type="dxa"/>
            <w:gridSpan w:val="2"/>
          </w:tcPr>
          <w:p w14:paraId="5D1E1FB1" w14:textId="77777777" w:rsidR="00D80698" w:rsidRPr="003D0EC9" w:rsidRDefault="003D0EC9" w:rsidP="00D80698">
            <w:pPr>
              <w:jc w:val="center"/>
              <w:rPr>
                <w:rFonts w:ascii="Arial" w:hAnsi="Arial" w:cs="Arial"/>
                <w:b/>
                <w:sz w:val="20"/>
                <w:szCs w:val="20"/>
              </w:rPr>
            </w:pPr>
            <w:r w:rsidRPr="003D0EC9">
              <w:rPr>
                <w:rFonts w:ascii="Arial" w:hAnsi="Arial" w:cs="Arial"/>
                <w:b/>
                <w:sz w:val="20"/>
                <w:szCs w:val="20"/>
              </w:rPr>
              <w:t>Pharmacy</w:t>
            </w:r>
          </w:p>
        </w:tc>
      </w:tr>
      <w:tr w:rsidR="00D80698" w14:paraId="712C7247" w14:textId="77777777" w:rsidTr="003D0EC9">
        <w:tc>
          <w:tcPr>
            <w:tcW w:w="2263" w:type="dxa"/>
          </w:tcPr>
          <w:p w14:paraId="4AD61180" w14:textId="77777777" w:rsidR="00D80698" w:rsidRPr="003D0EC9" w:rsidRDefault="003D0EC9" w:rsidP="00D535A5">
            <w:pPr>
              <w:rPr>
                <w:rFonts w:ascii="Arial" w:hAnsi="Arial" w:cs="Arial"/>
                <w:b/>
                <w:sz w:val="20"/>
                <w:szCs w:val="20"/>
              </w:rPr>
            </w:pPr>
            <w:r w:rsidRPr="003D0EC9">
              <w:rPr>
                <w:rFonts w:ascii="Arial" w:hAnsi="Arial" w:cs="Arial"/>
                <w:b/>
                <w:sz w:val="20"/>
                <w:szCs w:val="20"/>
              </w:rPr>
              <w:t>Question</w:t>
            </w:r>
          </w:p>
        </w:tc>
        <w:tc>
          <w:tcPr>
            <w:tcW w:w="1343" w:type="dxa"/>
          </w:tcPr>
          <w:p w14:paraId="116A3950" w14:textId="77777777" w:rsidR="00D80698" w:rsidRPr="003D0EC9" w:rsidRDefault="00D80698" w:rsidP="00D80698">
            <w:pPr>
              <w:jc w:val="center"/>
              <w:rPr>
                <w:rFonts w:ascii="Arial" w:hAnsi="Arial" w:cs="Arial"/>
                <w:b/>
                <w:sz w:val="20"/>
                <w:szCs w:val="20"/>
              </w:rPr>
            </w:pPr>
            <w:r w:rsidRPr="003D0EC9">
              <w:rPr>
                <w:rFonts w:ascii="Arial" w:hAnsi="Arial" w:cs="Arial"/>
                <w:b/>
                <w:sz w:val="20"/>
                <w:szCs w:val="20"/>
              </w:rPr>
              <w:t>Yes</w:t>
            </w:r>
          </w:p>
        </w:tc>
        <w:tc>
          <w:tcPr>
            <w:tcW w:w="1803" w:type="dxa"/>
          </w:tcPr>
          <w:p w14:paraId="3325756D" w14:textId="77777777" w:rsidR="00D80698" w:rsidRPr="003D0EC9" w:rsidRDefault="00D80698" w:rsidP="00D80698">
            <w:pPr>
              <w:jc w:val="center"/>
              <w:rPr>
                <w:rFonts w:ascii="Arial" w:hAnsi="Arial" w:cs="Arial"/>
                <w:b/>
                <w:sz w:val="20"/>
                <w:szCs w:val="20"/>
              </w:rPr>
            </w:pPr>
            <w:r w:rsidRPr="003D0EC9">
              <w:rPr>
                <w:rFonts w:ascii="Arial" w:hAnsi="Arial" w:cs="Arial"/>
                <w:b/>
                <w:sz w:val="20"/>
                <w:szCs w:val="20"/>
              </w:rPr>
              <w:t>No</w:t>
            </w:r>
          </w:p>
        </w:tc>
        <w:tc>
          <w:tcPr>
            <w:tcW w:w="1803" w:type="dxa"/>
          </w:tcPr>
          <w:p w14:paraId="3F169563" w14:textId="77777777" w:rsidR="00D80698" w:rsidRPr="003D0EC9" w:rsidRDefault="00D80698" w:rsidP="00D80698">
            <w:pPr>
              <w:jc w:val="center"/>
              <w:rPr>
                <w:rFonts w:ascii="Arial" w:hAnsi="Arial" w:cs="Arial"/>
                <w:b/>
                <w:sz w:val="20"/>
                <w:szCs w:val="20"/>
              </w:rPr>
            </w:pPr>
            <w:r w:rsidRPr="003D0EC9">
              <w:rPr>
                <w:rFonts w:ascii="Arial" w:hAnsi="Arial" w:cs="Arial"/>
                <w:b/>
                <w:sz w:val="20"/>
                <w:szCs w:val="20"/>
              </w:rPr>
              <w:t>Yes</w:t>
            </w:r>
          </w:p>
        </w:tc>
        <w:tc>
          <w:tcPr>
            <w:tcW w:w="1804" w:type="dxa"/>
          </w:tcPr>
          <w:p w14:paraId="606DD90B" w14:textId="77777777" w:rsidR="00D80698" w:rsidRPr="003D0EC9" w:rsidRDefault="00D80698" w:rsidP="00D80698">
            <w:pPr>
              <w:jc w:val="center"/>
              <w:rPr>
                <w:rFonts w:ascii="Arial" w:hAnsi="Arial" w:cs="Arial"/>
                <w:b/>
                <w:sz w:val="20"/>
                <w:szCs w:val="20"/>
              </w:rPr>
            </w:pPr>
            <w:r w:rsidRPr="003D0EC9">
              <w:rPr>
                <w:rFonts w:ascii="Arial" w:hAnsi="Arial" w:cs="Arial"/>
                <w:b/>
                <w:sz w:val="20"/>
                <w:szCs w:val="20"/>
              </w:rPr>
              <w:t>No</w:t>
            </w:r>
          </w:p>
        </w:tc>
      </w:tr>
      <w:tr w:rsidR="00D80698" w14:paraId="7B99C1D1" w14:textId="77777777" w:rsidTr="003D0EC9">
        <w:tc>
          <w:tcPr>
            <w:tcW w:w="2263" w:type="dxa"/>
          </w:tcPr>
          <w:p w14:paraId="51291497" w14:textId="77777777" w:rsidR="00D80698" w:rsidRDefault="00D80698" w:rsidP="00D535A5">
            <w:pPr>
              <w:rPr>
                <w:rFonts w:ascii="Arial" w:hAnsi="Arial" w:cs="Arial"/>
                <w:sz w:val="20"/>
                <w:szCs w:val="20"/>
              </w:rPr>
            </w:pPr>
            <w:r>
              <w:rPr>
                <w:rFonts w:ascii="Arial" w:hAnsi="Arial" w:cs="Arial"/>
                <w:sz w:val="20"/>
                <w:szCs w:val="20"/>
              </w:rPr>
              <w:t>Should HCPs always tell truth to patients?</w:t>
            </w:r>
          </w:p>
        </w:tc>
        <w:tc>
          <w:tcPr>
            <w:tcW w:w="1343" w:type="dxa"/>
            <w:vAlign w:val="center"/>
          </w:tcPr>
          <w:p w14:paraId="3007B601" w14:textId="77777777" w:rsidR="000B622B" w:rsidRDefault="000B622B" w:rsidP="003D0EC9">
            <w:pPr>
              <w:jc w:val="center"/>
              <w:rPr>
                <w:rFonts w:ascii="Arial" w:hAnsi="Arial" w:cs="Arial"/>
                <w:sz w:val="20"/>
                <w:szCs w:val="20"/>
              </w:rPr>
            </w:pPr>
            <w:r>
              <w:rPr>
                <w:rFonts w:ascii="Arial" w:hAnsi="Arial" w:cs="Arial"/>
                <w:sz w:val="20"/>
                <w:szCs w:val="20"/>
              </w:rPr>
              <w:t xml:space="preserve">66 </w:t>
            </w:r>
          </w:p>
          <w:p w14:paraId="32DE1357" w14:textId="77777777" w:rsidR="00D80698" w:rsidRDefault="000B622B" w:rsidP="003D0EC9">
            <w:pPr>
              <w:jc w:val="center"/>
              <w:rPr>
                <w:rFonts w:ascii="Arial" w:hAnsi="Arial" w:cs="Arial"/>
                <w:sz w:val="20"/>
                <w:szCs w:val="20"/>
              </w:rPr>
            </w:pPr>
            <w:r>
              <w:rPr>
                <w:rFonts w:ascii="Arial" w:hAnsi="Arial" w:cs="Arial"/>
                <w:sz w:val="20"/>
                <w:szCs w:val="20"/>
              </w:rPr>
              <w:t>(98.5</w:t>
            </w:r>
            <w:r w:rsidR="003D0EC9">
              <w:rPr>
                <w:rFonts w:ascii="Arial" w:hAnsi="Arial" w:cs="Arial"/>
                <w:sz w:val="20"/>
                <w:szCs w:val="20"/>
              </w:rPr>
              <w:t>%)</w:t>
            </w:r>
          </w:p>
        </w:tc>
        <w:tc>
          <w:tcPr>
            <w:tcW w:w="1803" w:type="dxa"/>
            <w:vAlign w:val="center"/>
          </w:tcPr>
          <w:p w14:paraId="0C98B551" w14:textId="77777777" w:rsidR="000B622B" w:rsidRDefault="000B622B" w:rsidP="003D0EC9">
            <w:pPr>
              <w:jc w:val="center"/>
              <w:rPr>
                <w:rFonts w:ascii="Arial" w:hAnsi="Arial" w:cs="Arial"/>
                <w:sz w:val="20"/>
                <w:szCs w:val="20"/>
              </w:rPr>
            </w:pPr>
            <w:r>
              <w:rPr>
                <w:rFonts w:ascii="Arial" w:hAnsi="Arial" w:cs="Arial"/>
                <w:sz w:val="20"/>
                <w:szCs w:val="20"/>
              </w:rPr>
              <w:t xml:space="preserve">1 </w:t>
            </w:r>
          </w:p>
          <w:p w14:paraId="5970AD8E" w14:textId="77777777" w:rsidR="00D80698" w:rsidRDefault="000B622B" w:rsidP="003D0EC9">
            <w:pPr>
              <w:jc w:val="center"/>
              <w:rPr>
                <w:rFonts w:ascii="Arial" w:hAnsi="Arial" w:cs="Arial"/>
                <w:sz w:val="20"/>
                <w:szCs w:val="20"/>
              </w:rPr>
            </w:pPr>
            <w:r>
              <w:rPr>
                <w:rFonts w:ascii="Arial" w:hAnsi="Arial" w:cs="Arial"/>
                <w:sz w:val="20"/>
                <w:szCs w:val="20"/>
              </w:rPr>
              <w:t>(1.5</w:t>
            </w:r>
            <w:r w:rsidR="003D0EC9">
              <w:rPr>
                <w:rFonts w:ascii="Arial" w:hAnsi="Arial" w:cs="Arial"/>
                <w:sz w:val="20"/>
                <w:szCs w:val="20"/>
              </w:rPr>
              <w:t>%)</w:t>
            </w:r>
          </w:p>
        </w:tc>
        <w:tc>
          <w:tcPr>
            <w:tcW w:w="1803" w:type="dxa"/>
            <w:vAlign w:val="center"/>
          </w:tcPr>
          <w:p w14:paraId="52BF0537" w14:textId="77777777" w:rsidR="003D0EC9" w:rsidRDefault="003D0EC9" w:rsidP="003D0EC9">
            <w:pPr>
              <w:jc w:val="center"/>
              <w:rPr>
                <w:rFonts w:ascii="Arial" w:hAnsi="Arial" w:cs="Arial"/>
                <w:sz w:val="20"/>
                <w:szCs w:val="20"/>
              </w:rPr>
            </w:pPr>
            <w:r>
              <w:rPr>
                <w:rFonts w:ascii="Arial" w:hAnsi="Arial" w:cs="Arial"/>
                <w:sz w:val="20"/>
                <w:szCs w:val="20"/>
              </w:rPr>
              <w:t>64</w:t>
            </w:r>
          </w:p>
          <w:p w14:paraId="0537E6A7" w14:textId="77777777" w:rsidR="000B622B" w:rsidRDefault="000B622B" w:rsidP="003D0EC9">
            <w:pPr>
              <w:jc w:val="center"/>
              <w:rPr>
                <w:rFonts w:ascii="Arial" w:hAnsi="Arial" w:cs="Arial"/>
                <w:sz w:val="20"/>
                <w:szCs w:val="20"/>
              </w:rPr>
            </w:pPr>
            <w:r>
              <w:rPr>
                <w:rFonts w:ascii="Arial" w:hAnsi="Arial" w:cs="Arial"/>
                <w:sz w:val="20"/>
                <w:szCs w:val="20"/>
              </w:rPr>
              <w:t>(71%)</w:t>
            </w:r>
          </w:p>
        </w:tc>
        <w:tc>
          <w:tcPr>
            <w:tcW w:w="1804" w:type="dxa"/>
            <w:vAlign w:val="center"/>
          </w:tcPr>
          <w:p w14:paraId="4C9835B6" w14:textId="77777777" w:rsidR="003D0EC9" w:rsidRDefault="003D0EC9" w:rsidP="003D0EC9">
            <w:pPr>
              <w:jc w:val="center"/>
              <w:rPr>
                <w:rFonts w:ascii="Arial" w:hAnsi="Arial" w:cs="Arial"/>
                <w:sz w:val="20"/>
                <w:szCs w:val="20"/>
              </w:rPr>
            </w:pPr>
            <w:r>
              <w:rPr>
                <w:rFonts w:ascii="Arial" w:hAnsi="Arial" w:cs="Arial"/>
                <w:sz w:val="20"/>
                <w:szCs w:val="20"/>
              </w:rPr>
              <w:t>26</w:t>
            </w:r>
          </w:p>
          <w:p w14:paraId="065164EE" w14:textId="77777777" w:rsidR="000B622B" w:rsidRDefault="000B622B" w:rsidP="003D0EC9">
            <w:pPr>
              <w:jc w:val="center"/>
              <w:rPr>
                <w:rFonts w:ascii="Arial" w:hAnsi="Arial" w:cs="Arial"/>
                <w:sz w:val="20"/>
                <w:szCs w:val="20"/>
              </w:rPr>
            </w:pPr>
            <w:r>
              <w:rPr>
                <w:rFonts w:ascii="Arial" w:hAnsi="Arial" w:cs="Arial"/>
                <w:sz w:val="20"/>
                <w:szCs w:val="20"/>
              </w:rPr>
              <w:t>(29%)</w:t>
            </w:r>
          </w:p>
        </w:tc>
      </w:tr>
      <w:tr w:rsidR="00D80698" w14:paraId="1F5D9152" w14:textId="77777777" w:rsidTr="003D0EC9">
        <w:tc>
          <w:tcPr>
            <w:tcW w:w="2263" w:type="dxa"/>
          </w:tcPr>
          <w:p w14:paraId="54AD7A71" w14:textId="77777777" w:rsidR="00D80698" w:rsidRDefault="00D80698" w:rsidP="00D535A5">
            <w:pPr>
              <w:rPr>
                <w:rFonts w:ascii="Arial" w:hAnsi="Arial" w:cs="Arial"/>
                <w:sz w:val="20"/>
                <w:szCs w:val="20"/>
              </w:rPr>
            </w:pPr>
            <w:r>
              <w:rPr>
                <w:rFonts w:ascii="Arial" w:hAnsi="Arial" w:cs="Arial"/>
                <w:sz w:val="20"/>
                <w:szCs w:val="20"/>
              </w:rPr>
              <w:t>Should HCPs always tell truth to relatives?</w:t>
            </w:r>
          </w:p>
        </w:tc>
        <w:tc>
          <w:tcPr>
            <w:tcW w:w="1343" w:type="dxa"/>
            <w:vAlign w:val="center"/>
          </w:tcPr>
          <w:p w14:paraId="1E3F2349" w14:textId="77777777" w:rsidR="003D0EC9" w:rsidRDefault="003D0EC9" w:rsidP="003D0EC9">
            <w:pPr>
              <w:jc w:val="center"/>
              <w:rPr>
                <w:rFonts w:ascii="Arial" w:hAnsi="Arial" w:cs="Arial"/>
                <w:sz w:val="20"/>
                <w:szCs w:val="20"/>
              </w:rPr>
            </w:pPr>
            <w:r>
              <w:rPr>
                <w:rFonts w:ascii="Arial" w:hAnsi="Arial" w:cs="Arial"/>
                <w:sz w:val="20"/>
                <w:szCs w:val="20"/>
              </w:rPr>
              <w:t>49</w:t>
            </w:r>
          </w:p>
          <w:p w14:paraId="77396003" w14:textId="77777777" w:rsidR="000B622B" w:rsidRDefault="000B622B" w:rsidP="003D0EC9">
            <w:pPr>
              <w:jc w:val="center"/>
              <w:rPr>
                <w:rFonts w:ascii="Arial" w:hAnsi="Arial" w:cs="Arial"/>
                <w:sz w:val="20"/>
                <w:szCs w:val="20"/>
              </w:rPr>
            </w:pPr>
            <w:r>
              <w:rPr>
                <w:rFonts w:ascii="Arial" w:hAnsi="Arial" w:cs="Arial"/>
                <w:sz w:val="20"/>
                <w:szCs w:val="20"/>
              </w:rPr>
              <w:t>(73%)</w:t>
            </w:r>
          </w:p>
        </w:tc>
        <w:tc>
          <w:tcPr>
            <w:tcW w:w="1803" w:type="dxa"/>
            <w:vAlign w:val="center"/>
          </w:tcPr>
          <w:p w14:paraId="6F2551A4" w14:textId="77777777" w:rsidR="003D0EC9" w:rsidRDefault="003D0EC9" w:rsidP="003D0EC9">
            <w:pPr>
              <w:jc w:val="center"/>
              <w:rPr>
                <w:rFonts w:ascii="Arial" w:hAnsi="Arial" w:cs="Arial"/>
                <w:sz w:val="20"/>
                <w:szCs w:val="20"/>
              </w:rPr>
            </w:pPr>
            <w:r>
              <w:rPr>
                <w:rFonts w:ascii="Arial" w:hAnsi="Arial" w:cs="Arial"/>
                <w:sz w:val="20"/>
                <w:szCs w:val="20"/>
              </w:rPr>
              <w:t>18</w:t>
            </w:r>
          </w:p>
          <w:p w14:paraId="05B9F8D8" w14:textId="77777777" w:rsidR="000B622B" w:rsidRDefault="000B622B" w:rsidP="003D0EC9">
            <w:pPr>
              <w:jc w:val="center"/>
              <w:rPr>
                <w:rFonts w:ascii="Arial" w:hAnsi="Arial" w:cs="Arial"/>
                <w:sz w:val="20"/>
                <w:szCs w:val="20"/>
              </w:rPr>
            </w:pPr>
            <w:r>
              <w:rPr>
                <w:rFonts w:ascii="Arial" w:hAnsi="Arial" w:cs="Arial"/>
                <w:sz w:val="20"/>
                <w:szCs w:val="20"/>
              </w:rPr>
              <w:t>(27%)</w:t>
            </w:r>
          </w:p>
        </w:tc>
        <w:tc>
          <w:tcPr>
            <w:tcW w:w="1803" w:type="dxa"/>
            <w:vAlign w:val="center"/>
          </w:tcPr>
          <w:p w14:paraId="4A8C181C" w14:textId="77777777" w:rsidR="00D80698" w:rsidRDefault="003D0EC9" w:rsidP="003D0EC9">
            <w:pPr>
              <w:jc w:val="center"/>
              <w:rPr>
                <w:rFonts w:ascii="Arial" w:hAnsi="Arial" w:cs="Arial"/>
                <w:sz w:val="20"/>
                <w:szCs w:val="20"/>
              </w:rPr>
            </w:pPr>
            <w:r>
              <w:rPr>
                <w:rFonts w:ascii="Arial" w:hAnsi="Arial" w:cs="Arial"/>
                <w:sz w:val="20"/>
                <w:szCs w:val="20"/>
              </w:rPr>
              <w:t>50</w:t>
            </w:r>
          </w:p>
          <w:p w14:paraId="7B85D95D" w14:textId="77777777" w:rsidR="000B622B" w:rsidRDefault="000B622B" w:rsidP="003D0EC9">
            <w:pPr>
              <w:jc w:val="center"/>
              <w:rPr>
                <w:rFonts w:ascii="Arial" w:hAnsi="Arial" w:cs="Arial"/>
                <w:sz w:val="20"/>
                <w:szCs w:val="20"/>
              </w:rPr>
            </w:pPr>
            <w:r>
              <w:rPr>
                <w:rFonts w:ascii="Arial" w:hAnsi="Arial" w:cs="Arial"/>
                <w:sz w:val="20"/>
                <w:szCs w:val="20"/>
              </w:rPr>
              <w:t>(55%)</w:t>
            </w:r>
          </w:p>
        </w:tc>
        <w:tc>
          <w:tcPr>
            <w:tcW w:w="1804" w:type="dxa"/>
            <w:vAlign w:val="center"/>
          </w:tcPr>
          <w:p w14:paraId="58F0B3E7" w14:textId="77777777" w:rsidR="00D80698" w:rsidRDefault="003D0EC9" w:rsidP="003D0EC9">
            <w:pPr>
              <w:jc w:val="center"/>
              <w:rPr>
                <w:rFonts w:ascii="Arial" w:hAnsi="Arial" w:cs="Arial"/>
                <w:sz w:val="20"/>
                <w:szCs w:val="20"/>
              </w:rPr>
            </w:pPr>
            <w:r>
              <w:rPr>
                <w:rFonts w:ascii="Arial" w:hAnsi="Arial" w:cs="Arial"/>
                <w:sz w:val="20"/>
                <w:szCs w:val="20"/>
              </w:rPr>
              <w:t>40</w:t>
            </w:r>
          </w:p>
          <w:p w14:paraId="25328D25" w14:textId="77777777" w:rsidR="000B622B" w:rsidRDefault="000B622B" w:rsidP="003D0EC9">
            <w:pPr>
              <w:jc w:val="center"/>
              <w:rPr>
                <w:rFonts w:ascii="Arial" w:hAnsi="Arial" w:cs="Arial"/>
                <w:sz w:val="20"/>
                <w:szCs w:val="20"/>
              </w:rPr>
            </w:pPr>
            <w:r>
              <w:rPr>
                <w:rFonts w:ascii="Arial" w:hAnsi="Arial" w:cs="Arial"/>
                <w:sz w:val="20"/>
                <w:szCs w:val="20"/>
              </w:rPr>
              <w:t>(45%)</w:t>
            </w:r>
          </w:p>
        </w:tc>
      </w:tr>
      <w:tr w:rsidR="00D80698" w14:paraId="0C546862" w14:textId="77777777" w:rsidTr="003D0EC9">
        <w:tc>
          <w:tcPr>
            <w:tcW w:w="2263" w:type="dxa"/>
          </w:tcPr>
          <w:p w14:paraId="639CB833" w14:textId="77777777" w:rsidR="00D80698" w:rsidRDefault="00D80698" w:rsidP="00D535A5">
            <w:pPr>
              <w:rPr>
                <w:rFonts w:ascii="Arial" w:hAnsi="Arial" w:cs="Arial"/>
                <w:sz w:val="20"/>
                <w:szCs w:val="20"/>
              </w:rPr>
            </w:pPr>
            <w:r>
              <w:rPr>
                <w:rFonts w:ascii="Arial" w:hAnsi="Arial" w:cs="Arial"/>
                <w:sz w:val="20"/>
                <w:szCs w:val="20"/>
              </w:rPr>
              <w:t>Should HCPs always answer patients’ questions honestly?</w:t>
            </w:r>
          </w:p>
        </w:tc>
        <w:tc>
          <w:tcPr>
            <w:tcW w:w="1343" w:type="dxa"/>
            <w:vAlign w:val="center"/>
          </w:tcPr>
          <w:p w14:paraId="0E536C53" w14:textId="77777777" w:rsidR="00D80698" w:rsidRDefault="003D0EC9" w:rsidP="003D0EC9">
            <w:pPr>
              <w:jc w:val="center"/>
              <w:rPr>
                <w:rFonts w:ascii="Arial" w:hAnsi="Arial" w:cs="Arial"/>
                <w:sz w:val="20"/>
                <w:szCs w:val="20"/>
              </w:rPr>
            </w:pPr>
            <w:r>
              <w:rPr>
                <w:rFonts w:ascii="Arial" w:hAnsi="Arial" w:cs="Arial"/>
                <w:sz w:val="20"/>
                <w:szCs w:val="20"/>
              </w:rPr>
              <w:t>65</w:t>
            </w:r>
          </w:p>
          <w:p w14:paraId="316F5FEE" w14:textId="77777777" w:rsidR="000B622B" w:rsidRDefault="000B622B" w:rsidP="003D0EC9">
            <w:pPr>
              <w:jc w:val="center"/>
              <w:rPr>
                <w:rFonts w:ascii="Arial" w:hAnsi="Arial" w:cs="Arial"/>
                <w:sz w:val="20"/>
                <w:szCs w:val="20"/>
              </w:rPr>
            </w:pPr>
            <w:r>
              <w:rPr>
                <w:rFonts w:ascii="Arial" w:hAnsi="Arial" w:cs="Arial"/>
                <w:sz w:val="20"/>
                <w:szCs w:val="20"/>
              </w:rPr>
              <w:t>(97%)</w:t>
            </w:r>
          </w:p>
        </w:tc>
        <w:tc>
          <w:tcPr>
            <w:tcW w:w="1803" w:type="dxa"/>
            <w:vAlign w:val="center"/>
          </w:tcPr>
          <w:p w14:paraId="18BFF4A5" w14:textId="77777777" w:rsidR="00D80698" w:rsidRDefault="003D0EC9" w:rsidP="003D0EC9">
            <w:pPr>
              <w:jc w:val="center"/>
              <w:rPr>
                <w:rFonts w:ascii="Arial" w:hAnsi="Arial" w:cs="Arial"/>
                <w:sz w:val="20"/>
                <w:szCs w:val="20"/>
              </w:rPr>
            </w:pPr>
            <w:r>
              <w:rPr>
                <w:rFonts w:ascii="Arial" w:hAnsi="Arial" w:cs="Arial"/>
                <w:sz w:val="20"/>
                <w:szCs w:val="20"/>
              </w:rPr>
              <w:t>2</w:t>
            </w:r>
          </w:p>
          <w:p w14:paraId="171926D9" w14:textId="77777777" w:rsidR="000B622B" w:rsidRDefault="000B622B" w:rsidP="003D0EC9">
            <w:pPr>
              <w:jc w:val="center"/>
              <w:rPr>
                <w:rFonts w:ascii="Arial" w:hAnsi="Arial" w:cs="Arial"/>
                <w:sz w:val="20"/>
                <w:szCs w:val="20"/>
              </w:rPr>
            </w:pPr>
            <w:r>
              <w:rPr>
                <w:rFonts w:ascii="Arial" w:hAnsi="Arial" w:cs="Arial"/>
                <w:sz w:val="20"/>
                <w:szCs w:val="20"/>
              </w:rPr>
              <w:t>(3%)</w:t>
            </w:r>
          </w:p>
        </w:tc>
        <w:tc>
          <w:tcPr>
            <w:tcW w:w="1803" w:type="dxa"/>
            <w:vAlign w:val="center"/>
          </w:tcPr>
          <w:p w14:paraId="3AF4228E" w14:textId="77777777" w:rsidR="00D80698" w:rsidRDefault="003D0EC9" w:rsidP="003D0EC9">
            <w:pPr>
              <w:jc w:val="center"/>
              <w:rPr>
                <w:rFonts w:ascii="Arial" w:hAnsi="Arial" w:cs="Arial"/>
                <w:sz w:val="20"/>
                <w:szCs w:val="20"/>
              </w:rPr>
            </w:pPr>
            <w:r>
              <w:rPr>
                <w:rFonts w:ascii="Arial" w:hAnsi="Arial" w:cs="Arial"/>
                <w:sz w:val="20"/>
                <w:szCs w:val="20"/>
              </w:rPr>
              <w:t>76</w:t>
            </w:r>
          </w:p>
          <w:p w14:paraId="42DE859E" w14:textId="77777777" w:rsidR="000B622B" w:rsidRDefault="000B622B" w:rsidP="003D0EC9">
            <w:pPr>
              <w:jc w:val="center"/>
              <w:rPr>
                <w:rFonts w:ascii="Arial" w:hAnsi="Arial" w:cs="Arial"/>
                <w:sz w:val="20"/>
                <w:szCs w:val="20"/>
              </w:rPr>
            </w:pPr>
            <w:r>
              <w:rPr>
                <w:rFonts w:ascii="Arial" w:hAnsi="Arial" w:cs="Arial"/>
                <w:sz w:val="20"/>
                <w:szCs w:val="20"/>
              </w:rPr>
              <w:t>(85%)</w:t>
            </w:r>
          </w:p>
        </w:tc>
        <w:tc>
          <w:tcPr>
            <w:tcW w:w="1804" w:type="dxa"/>
            <w:vAlign w:val="center"/>
          </w:tcPr>
          <w:p w14:paraId="6DB8C4AE" w14:textId="77777777" w:rsidR="00D80698" w:rsidRDefault="003D0EC9" w:rsidP="003D0EC9">
            <w:pPr>
              <w:jc w:val="center"/>
              <w:rPr>
                <w:rFonts w:ascii="Arial" w:hAnsi="Arial" w:cs="Arial"/>
                <w:sz w:val="20"/>
                <w:szCs w:val="20"/>
              </w:rPr>
            </w:pPr>
            <w:r>
              <w:rPr>
                <w:rFonts w:ascii="Arial" w:hAnsi="Arial" w:cs="Arial"/>
                <w:sz w:val="20"/>
                <w:szCs w:val="20"/>
              </w:rPr>
              <w:t>13*</w:t>
            </w:r>
          </w:p>
          <w:p w14:paraId="645E2F96" w14:textId="77777777" w:rsidR="000B622B" w:rsidRDefault="000B622B" w:rsidP="003D0EC9">
            <w:pPr>
              <w:jc w:val="center"/>
              <w:rPr>
                <w:rFonts w:ascii="Arial" w:hAnsi="Arial" w:cs="Arial"/>
                <w:sz w:val="20"/>
                <w:szCs w:val="20"/>
              </w:rPr>
            </w:pPr>
            <w:r>
              <w:rPr>
                <w:rFonts w:ascii="Arial" w:hAnsi="Arial" w:cs="Arial"/>
                <w:sz w:val="20"/>
                <w:szCs w:val="20"/>
              </w:rPr>
              <w:t>(15%)</w:t>
            </w:r>
          </w:p>
        </w:tc>
      </w:tr>
    </w:tbl>
    <w:p w14:paraId="101BB415" w14:textId="77777777" w:rsidR="00D80698" w:rsidRDefault="003D0EC9" w:rsidP="001018E9">
      <w:r>
        <w:t>*1 no response</w:t>
      </w:r>
    </w:p>
    <w:p w14:paraId="11D837DD" w14:textId="3EC2E78E" w:rsidR="00C106F1" w:rsidRDefault="00356DE8" w:rsidP="001018E9">
      <w:r>
        <w:t>There was a significant difference between</w:t>
      </w:r>
      <w:r w:rsidR="004F3561">
        <w:t xml:space="preserve"> all 3</w:t>
      </w:r>
      <w:r>
        <w:t xml:space="preserve"> pharmacy and medical student</w:t>
      </w:r>
      <w:r w:rsidR="00731A7B">
        <w:t xml:space="preserve"> answers</w:t>
      </w:r>
      <w:r w:rsidR="004F3561">
        <w:t xml:space="preserve"> </w:t>
      </w:r>
      <w:r>
        <w:t>(p&lt;0.05)</w:t>
      </w:r>
      <w:r w:rsidR="00511265">
        <w:t>. T</w:t>
      </w:r>
      <w:r>
        <w:t>he medical students almost universally stat</w:t>
      </w:r>
      <w:r w:rsidR="00511265">
        <w:t>ed</w:t>
      </w:r>
      <w:r>
        <w:t xml:space="preserve"> they would tell the truth to patients</w:t>
      </w:r>
      <w:r w:rsidR="00CA1431">
        <w:t xml:space="preserve">. 30% of pharmacy students felt that it </w:t>
      </w:r>
      <w:r w:rsidR="00511265">
        <w:t>is</w:t>
      </w:r>
      <w:r w:rsidR="00CA1431">
        <w:t xml:space="preserve"> acceptable to withhold the truth in some situations. </w:t>
      </w:r>
      <w:r w:rsidR="00140EEE">
        <w:t xml:space="preserve">The medical students </w:t>
      </w:r>
      <w:r w:rsidR="0063266D">
        <w:t>commonly gave the importance of maintaining trust as key, with professional duty being the next most commonly given reason</w:t>
      </w:r>
      <w:r w:rsidR="008A48EC">
        <w:t xml:space="preserve"> for telling the truth</w:t>
      </w:r>
      <w:r w:rsidR="0063266D">
        <w:t xml:space="preserve">. The pharmacists most frequently cited </w:t>
      </w:r>
      <w:r w:rsidR="0063266D">
        <w:lastRenderedPageBreak/>
        <w:t xml:space="preserve">patient rights as a reason the tell the truth, with following professional standards being the next most common reason. Pharmacy students who would not always tell the truth usually gave concerns about doing more harm than good as their reason. </w:t>
      </w:r>
    </w:p>
    <w:p w14:paraId="2EE3CF89" w14:textId="77777777" w:rsidR="00D80698" w:rsidRDefault="00D80698" w:rsidP="001018E9"/>
    <w:p w14:paraId="749D81B9" w14:textId="77777777" w:rsidR="00D80698" w:rsidRPr="005C01DA" w:rsidRDefault="00D80698" w:rsidP="001018E9">
      <w:pPr>
        <w:rPr>
          <w:b/>
        </w:rPr>
      </w:pPr>
      <w:r w:rsidRPr="005C01DA">
        <w:rPr>
          <w:b/>
        </w:rPr>
        <w:t>Discussion and conclusions</w:t>
      </w:r>
    </w:p>
    <w:p w14:paraId="598696EF" w14:textId="719F6A89" w:rsidR="00D80698" w:rsidRDefault="006D3210" w:rsidP="001018E9">
      <w:r>
        <w:t>Most</w:t>
      </w:r>
      <w:r w:rsidR="00184BF7">
        <w:t xml:space="preserve"> pharmacy and medical students would tell the truth to patients. </w:t>
      </w:r>
      <w:r>
        <w:t>However, many more p</w:t>
      </w:r>
      <w:r w:rsidR="00937A6C">
        <w:t xml:space="preserve">harmacy students </w:t>
      </w:r>
      <w:r w:rsidR="00164C0F">
        <w:t xml:space="preserve">than medical students </w:t>
      </w:r>
      <w:r>
        <w:t>stated they would</w:t>
      </w:r>
      <w:r w:rsidR="00937A6C">
        <w:t xml:space="preserve"> withhold the truth </w:t>
      </w:r>
      <w:r>
        <w:t>on occasion</w:t>
      </w:r>
      <w:r w:rsidR="00937A6C">
        <w:t xml:space="preserve">.  </w:t>
      </w:r>
      <w:r w:rsidR="001939A2">
        <w:t>T</w:t>
      </w:r>
      <w:r w:rsidR="007C7DB7">
        <w:t>he difference was seen despite discussing truth-telling in an on-line interprofessional exercise</w:t>
      </w:r>
      <w:r w:rsidR="00E07310">
        <w:t>.</w:t>
      </w:r>
    </w:p>
    <w:p w14:paraId="1B592B10" w14:textId="77777777" w:rsidR="005C01DA" w:rsidRDefault="005C01DA" w:rsidP="001018E9"/>
    <w:p w14:paraId="46D5CF4B" w14:textId="77777777" w:rsidR="00D80698" w:rsidRDefault="00D80698" w:rsidP="001018E9">
      <w:pPr>
        <w:rPr>
          <w:b/>
        </w:rPr>
      </w:pPr>
      <w:r w:rsidRPr="005C01DA">
        <w:rPr>
          <w:b/>
        </w:rPr>
        <w:t>Take home messages</w:t>
      </w:r>
    </w:p>
    <w:p w14:paraId="137E38DB" w14:textId="0AB465E6" w:rsidR="00661A91" w:rsidRDefault="00DD4B4B" w:rsidP="001018E9">
      <w:r>
        <w:t>There is a difference between pharmacy and medical student approaches to truth-tellin</w:t>
      </w:r>
      <w:r w:rsidR="00184BF7">
        <w:t>g.</w:t>
      </w:r>
      <w:r>
        <w:t xml:space="preserve"> </w:t>
      </w:r>
      <w:r w:rsidR="00ED1F35">
        <w:t>This supports the importance of interprofessional learning</w:t>
      </w:r>
      <w:r w:rsidR="001050A5">
        <w:t xml:space="preserve"> as a method of challen</w:t>
      </w:r>
      <w:r w:rsidR="001D725A">
        <w:t>g</w:t>
      </w:r>
      <w:r w:rsidR="001050A5">
        <w:t>ing and sharing views.</w:t>
      </w:r>
    </w:p>
    <w:p w14:paraId="01D5D34D" w14:textId="77777777" w:rsidR="00347AB5" w:rsidRDefault="00347AB5" w:rsidP="001018E9">
      <w:pPr>
        <w:rPr>
          <w:b/>
          <w:color w:val="FF0000"/>
        </w:rPr>
      </w:pPr>
    </w:p>
    <w:p w14:paraId="0317CF79" w14:textId="77777777" w:rsidR="001018E9" w:rsidRPr="008C248C" w:rsidRDefault="0090614A" w:rsidP="001018E9">
      <w:pPr>
        <w:rPr>
          <w:b/>
        </w:rPr>
      </w:pPr>
      <w:r w:rsidRPr="008C248C">
        <w:rPr>
          <w:b/>
        </w:rPr>
        <w:t>References</w:t>
      </w:r>
    </w:p>
    <w:p w14:paraId="437F05AA" w14:textId="77777777" w:rsidR="0090614A" w:rsidRDefault="00997F89" w:rsidP="00997F89">
      <w:pPr>
        <w:pStyle w:val="ListParagraph"/>
        <w:numPr>
          <w:ilvl w:val="0"/>
          <w:numId w:val="1"/>
        </w:numPr>
      </w:pPr>
      <w:r>
        <w:t>General Medical Council (2014</w:t>
      </w:r>
      <w:r w:rsidR="0090614A">
        <w:t xml:space="preserve">). </w:t>
      </w:r>
      <w:r w:rsidR="0090614A" w:rsidRPr="00997F89">
        <w:rPr>
          <w:i/>
        </w:rPr>
        <w:t xml:space="preserve">Good </w:t>
      </w:r>
      <w:r w:rsidRPr="00997F89">
        <w:rPr>
          <w:i/>
        </w:rPr>
        <w:t xml:space="preserve">medical practice. </w:t>
      </w:r>
      <w:r>
        <w:t xml:space="preserve">Available at: </w:t>
      </w:r>
      <w:hyperlink r:id="rId6" w:history="1">
        <w:r w:rsidRPr="00877994">
          <w:rPr>
            <w:rStyle w:val="Hyperlink"/>
          </w:rPr>
          <w:t>https://www.gmc-uk.org/-/media/documents/good-medical-practice---english-1215_pdf-51527435.pdf</w:t>
        </w:r>
      </w:hyperlink>
    </w:p>
    <w:p w14:paraId="7B0917C7" w14:textId="77777777" w:rsidR="00997F89" w:rsidRDefault="00997F89" w:rsidP="00997F89">
      <w:pPr>
        <w:pStyle w:val="ListParagraph"/>
      </w:pPr>
      <w:r>
        <w:t>&lt;Accessed 26/01/19&gt;</w:t>
      </w:r>
    </w:p>
    <w:p w14:paraId="26E21B5D" w14:textId="77777777" w:rsidR="00997F89" w:rsidRDefault="00997F89" w:rsidP="00997F89">
      <w:pPr>
        <w:pStyle w:val="ListParagraph"/>
        <w:numPr>
          <w:ilvl w:val="0"/>
          <w:numId w:val="1"/>
        </w:numPr>
      </w:pPr>
      <w:r>
        <w:t xml:space="preserve">General Pharmaceutical Council (2017). </w:t>
      </w:r>
      <w:r w:rsidRPr="00997F89">
        <w:rPr>
          <w:i/>
        </w:rPr>
        <w:t>Standards for pharmacy professionals.</w:t>
      </w:r>
      <w:r>
        <w:t xml:space="preserve"> Available at:</w:t>
      </w:r>
      <w:r w:rsidRPr="00997F89">
        <w:t xml:space="preserve"> </w:t>
      </w:r>
      <w:hyperlink r:id="rId7" w:history="1">
        <w:r w:rsidRPr="00877994">
          <w:rPr>
            <w:rStyle w:val="Hyperlink"/>
          </w:rPr>
          <w:t>https://www.pharmacyregulation.org/sites/default/files/standards_for_pharmacy_professionals_may_2017_0.pdf</w:t>
        </w:r>
      </w:hyperlink>
      <w:r>
        <w:t xml:space="preserve">  &lt;Accessed 26/01/19&gt;</w:t>
      </w:r>
    </w:p>
    <w:p w14:paraId="4B40922E" w14:textId="77777777" w:rsidR="00997F89" w:rsidRDefault="00997F89" w:rsidP="00997F89">
      <w:pPr>
        <w:pStyle w:val="ListParagraph"/>
      </w:pPr>
    </w:p>
    <w:p w14:paraId="0734CEEC" w14:textId="77777777" w:rsidR="00347AB5" w:rsidRDefault="00347AB5" w:rsidP="001018E9"/>
    <w:p w14:paraId="3770EF97" w14:textId="77777777" w:rsidR="008A440F" w:rsidRDefault="00166EAA"/>
    <w:p w14:paraId="02A44741" w14:textId="77777777" w:rsidR="00997F89" w:rsidRDefault="00997F89">
      <w:r>
        <w:t>Chi-square tests:</w:t>
      </w:r>
    </w:p>
    <w:p w14:paraId="734E4275" w14:textId="77777777" w:rsidR="00997F89" w:rsidRDefault="00997F89">
      <w:r>
        <w:t>Q1 – Chi-square stat 20.244</w:t>
      </w:r>
      <w:r w:rsidR="008C248C">
        <w:t xml:space="preserve"> </w:t>
      </w:r>
      <w:r w:rsidR="008C248C">
        <w:rPr>
          <w:i/>
        </w:rPr>
        <w:t>p</w:t>
      </w:r>
      <w:r w:rsidR="008C248C">
        <w:t xml:space="preserve"> = 0.000007</w:t>
      </w:r>
    </w:p>
    <w:p w14:paraId="1C58650A" w14:textId="77777777" w:rsidR="008C248C" w:rsidRDefault="008C248C">
      <w:r>
        <w:t xml:space="preserve">Q2 – Chi-square stat 5.0948 </w:t>
      </w:r>
      <w:r>
        <w:rPr>
          <w:i/>
        </w:rPr>
        <w:t>p</w:t>
      </w:r>
      <w:r>
        <w:t xml:space="preserve"> = 0.023997</w:t>
      </w:r>
    </w:p>
    <w:p w14:paraId="0628F5A5" w14:textId="77777777" w:rsidR="008C248C" w:rsidRDefault="008C248C">
      <w:r>
        <w:t xml:space="preserve">Q3 – Chi-square stat 5.9404 </w:t>
      </w:r>
      <w:r>
        <w:rPr>
          <w:i/>
        </w:rPr>
        <w:t xml:space="preserve">p </w:t>
      </w:r>
      <w:r>
        <w:t>= 0.0147</w:t>
      </w:r>
    </w:p>
    <w:p w14:paraId="6C647994" w14:textId="77777777" w:rsidR="008C248C" w:rsidRPr="008C248C" w:rsidRDefault="008C248C">
      <w:r>
        <w:t xml:space="preserve">Q4 – chi-square stat 10.1733 </w:t>
      </w:r>
      <w:r>
        <w:rPr>
          <w:i/>
        </w:rPr>
        <w:t xml:space="preserve">p </w:t>
      </w:r>
      <w:r>
        <w:t xml:space="preserve">= </w:t>
      </w:r>
      <w:r w:rsidR="005B5B25">
        <w:t>0.00</w:t>
      </w:r>
      <w:r>
        <w:t>1425</w:t>
      </w:r>
    </w:p>
    <w:p w14:paraId="65991D45" w14:textId="77777777" w:rsidR="008C248C" w:rsidRPr="008C248C" w:rsidRDefault="008C248C"/>
    <w:sectPr w:rsidR="008C248C" w:rsidRPr="008C2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62CD6"/>
    <w:multiLevelType w:val="hybridMultilevel"/>
    <w:tmpl w:val="3F305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E9"/>
    <w:rsid w:val="000B622B"/>
    <w:rsid w:val="001018E9"/>
    <w:rsid w:val="001050A5"/>
    <w:rsid w:val="00122330"/>
    <w:rsid w:val="00127058"/>
    <w:rsid w:val="00140EEE"/>
    <w:rsid w:val="00164C0F"/>
    <w:rsid w:val="00166EAA"/>
    <w:rsid w:val="00184BF7"/>
    <w:rsid w:val="001939A2"/>
    <w:rsid w:val="001D725A"/>
    <w:rsid w:val="002B22BC"/>
    <w:rsid w:val="00347AB5"/>
    <w:rsid w:val="00355A93"/>
    <w:rsid w:val="00356DE8"/>
    <w:rsid w:val="003D0EC9"/>
    <w:rsid w:val="003D1200"/>
    <w:rsid w:val="004F3561"/>
    <w:rsid w:val="005100D3"/>
    <w:rsid w:val="00511265"/>
    <w:rsid w:val="005B5B25"/>
    <w:rsid w:val="005C01DA"/>
    <w:rsid w:val="005E19BC"/>
    <w:rsid w:val="0063266D"/>
    <w:rsid w:val="00661A91"/>
    <w:rsid w:val="006D3210"/>
    <w:rsid w:val="00731A7B"/>
    <w:rsid w:val="007C422C"/>
    <w:rsid w:val="007C7DB7"/>
    <w:rsid w:val="00815C6C"/>
    <w:rsid w:val="008700D7"/>
    <w:rsid w:val="008A48EC"/>
    <w:rsid w:val="008C248C"/>
    <w:rsid w:val="008C7B3D"/>
    <w:rsid w:val="0090614A"/>
    <w:rsid w:val="00937A6C"/>
    <w:rsid w:val="00997F89"/>
    <w:rsid w:val="009D40E1"/>
    <w:rsid w:val="009E1D22"/>
    <w:rsid w:val="009E6CA5"/>
    <w:rsid w:val="00A12C46"/>
    <w:rsid w:val="00B7488D"/>
    <w:rsid w:val="00BC5326"/>
    <w:rsid w:val="00BD6B2E"/>
    <w:rsid w:val="00BF1AAA"/>
    <w:rsid w:val="00C106F1"/>
    <w:rsid w:val="00CA1431"/>
    <w:rsid w:val="00D331BC"/>
    <w:rsid w:val="00D80698"/>
    <w:rsid w:val="00DC4811"/>
    <w:rsid w:val="00DD4B4B"/>
    <w:rsid w:val="00E07310"/>
    <w:rsid w:val="00E85CC6"/>
    <w:rsid w:val="00ED1F35"/>
    <w:rsid w:val="00F8531F"/>
    <w:rsid w:val="00F95F7E"/>
    <w:rsid w:val="00FB3E98"/>
    <w:rsid w:val="00FC0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589C5"/>
  <w15:chartTrackingRefBased/>
  <w15:docId w15:val="{C686D440-0A1D-44A4-935D-ED6B59B9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14A"/>
    <w:pPr>
      <w:ind w:left="720"/>
      <w:contextualSpacing/>
    </w:pPr>
  </w:style>
  <w:style w:type="character" w:styleId="Hyperlink">
    <w:name w:val="Hyperlink"/>
    <w:basedOn w:val="DefaultParagraphFont"/>
    <w:uiPriority w:val="99"/>
    <w:unhideWhenUsed/>
    <w:rsid w:val="00997F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harmacyregulation.org/sites/default/files/standards_for_pharmacy_professionals_may_2017_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mc-uk.org/-/media/documents/good-medical-practice---english-1215_pdf-51527435.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73E4E-46D1-4176-AF92-CB812099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pya02</dc:creator>
  <cp:keywords/>
  <dc:description/>
  <cp:lastModifiedBy>pya02</cp:lastModifiedBy>
  <cp:revision>2</cp:revision>
  <dcterms:created xsi:type="dcterms:W3CDTF">2019-01-29T10:29:00Z</dcterms:created>
  <dcterms:modified xsi:type="dcterms:W3CDTF">2019-01-29T10:29:00Z</dcterms:modified>
</cp:coreProperties>
</file>