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8C69" w14:textId="77777777" w:rsidR="00343C49" w:rsidRDefault="00343C4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Authors</w:t>
      </w:r>
    </w:p>
    <w:p w14:paraId="4ED84720" w14:textId="77777777" w:rsidR="00343C49" w:rsidRDefault="00343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Corfield, L, School of Medicine, Keele University</w:t>
      </w:r>
    </w:p>
    <w:p w14:paraId="5A2D6C31" w14:textId="77777777" w:rsidR="00343C49" w:rsidRDefault="00343C4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Stibbs</w:t>
      </w:r>
      <w:proofErr w:type="spellEnd"/>
      <w:r>
        <w:rPr>
          <w:rFonts w:ascii="Arial" w:hAnsi="Arial" w:cs="Arial"/>
          <w:sz w:val="20"/>
          <w:szCs w:val="20"/>
        </w:rPr>
        <w:t>, M, School of Pharmacy, Keele University</w:t>
      </w:r>
    </w:p>
    <w:p w14:paraId="1B9C7E47" w14:textId="77777777" w:rsidR="00343C49" w:rsidRDefault="00343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Watkins, C, School of Health &amp; Rehabilitation, Keele University</w:t>
      </w:r>
    </w:p>
    <w:p w14:paraId="5DA5218A" w14:textId="77777777" w:rsidR="00343C49" w:rsidRPr="00343C49" w:rsidRDefault="00343C4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Baggley</w:t>
      </w:r>
      <w:proofErr w:type="spellEnd"/>
      <w:r>
        <w:rPr>
          <w:rFonts w:ascii="Arial" w:hAnsi="Arial" w:cs="Arial"/>
          <w:sz w:val="20"/>
          <w:szCs w:val="20"/>
        </w:rPr>
        <w:t>, J, School of Nursing &amp; Midwifery, Keele University</w:t>
      </w:r>
    </w:p>
    <w:p w14:paraId="23048A5E" w14:textId="77777777" w:rsidR="002A758E" w:rsidRDefault="002A758E" w:rsidP="002A758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Allinson</w:t>
      </w:r>
      <w:proofErr w:type="spellEnd"/>
      <w:r>
        <w:rPr>
          <w:rFonts w:ascii="Arial" w:hAnsi="Arial" w:cs="Arial"/>
          <w:sz w:val="20"/>
          <w:szCs w:val="20"/>
        </w:rPr>
        <w:t>, M, School of Pharmacy, Keele University</w:t>
      </w:r>
    </w:p>
    <w:p w14:paraId="003D0CD2" w14:textId="77777777" w:rsidR="00B10CF4" w:rsidRDefault="00F124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</w:p>
    <w:p w14:paraId="41219181" w14:textId="77777777" w:rsidR="00F124ED" w:rsidRDefault="00F12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evaluation of an online inter-professional ethics learning tool</w:t>
      </w:r>
    </w:p>
    <w:p w14:paraId="3FD7EB10" w14:textId="0DAC2537" w:rsidR="00393B00" w:rsidRDefault="00393B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Objectives</w:t>
      </w:r>
    </w:p>
    <w:p w14:paraId="135AA3F6" w14:textId="286D23BD" w:rsidR="00340622" w:rsidRPr="00340622" w:rsidRDefault="00340622" w:rsidP="00340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Multi-disciplinary/inter-professional working is viewed by the NHS as an important means of achieving person-centred care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="002A758E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 xml:space="preserve">o promote inter-professional </w:t>
      </w:r>
      <w:r w:rsidR="00515C84">
        <w:rPr>
          <w:rFonts w:ascii="Arial" w:hAnsi="Arial" w:cs="Arial"/>
          <w:sz w:val="20"/>
          <w:szCs w:val="20"/>
        </w:rPr>
        <w:t xml:space="preserve">learning and </w:t>
      </w:r>
      <w:r>
        <w:rPr>
          <w:rFonts w:ascii="Arial" w:hAnsi="Arial" w:cs="Arial"/>
          <w:sz w:val="20"/>
          <w:szCs w:val="20"/>
        </w:rPr>
        <w:t>working, undergraduate pharmacy, physiotherapy, nursing, midwifery and medical students complete inter-professional education task</w:t>
      </w:r>
      <w:r w:rsidR="002A758E">
        <w:rPr>
          <w:rFonts w:ascii="Arial" w:hAnsi="Arial" w:cs="Arial"/>
          <w:sz w:val="20"/>
          <w:szCs w:val="20"/>
        </w:rPr>
        <w:t>s throughout their</w:t>
      </w:r>
      <w:r>
        <w:rPr>
          <w:rFonts w:ascii="Arial" w:hAnsi="Arial" w:cs="Arial"/>
          <w:sz w:val="20"/>
          <w:szCs w:val="20"/>
        </w:rPr>
        <w:t xml:space="preserve"> degree</w:t>
      </w:r>
      <w:r w:rsidR="002A758E">
        <w:rPr>
          <w:rFonts w:ascii="Arial" w:hAnsi="Arial" w:cs="Arial"/>
          <w:sz w:val="20"/>
          <w:szCs w:val="20"/>
        </w:rPr>
        <w:t>s</w:t>
      </w:r>
      <w:r w:rsidR="00515C84">
        <w:rPr>
          <w:rFonts w:ascii="Arial" w:hAnsi="Arial" w:cs="Arial"/>
          <w:sz w:val="20"/>
          <w:szCs w:val="20"/>
        </w:rPr>
        <w:t xml:space="preserve"> at the University of Keele</w:t>
      </w:r>
      <w:r>
        <w:rPr>
          <w:rFonts w:ascii="Arial" w:hAnsi="Arial" w:cs="Arial"/>
          <w:sz w:val="20"/>
          <w:szCs w:val="20"/>
        </w:rPr>
        <w:t>. This study reports on s</w:t>
      </w:r>
      <w:r w:rsidR="00FB4F64">
        <w:rPr>
          <w:rFonts w:ascii="Arial" w:hAnsi="Arial" w:cs="Arial"/>
          <w:sz w:val="20"/>
          <w:szCs w:val="20"/>
        </w:rPr>
        <w:t>tudent feedback</w:t>
      </w:r>
      <w:r w:rsidR="00892B8A">
        <w:rPr>
          <w:rFonts w:ascii="Arial" w:hAnsi="Arial" w:cs="Arial"/>
          <w:sz w:val="20"/>
          <w:szCs w:val="20"/>
        </w:rPr>
        <w:t xml:space="preserve"> for one of these exercises</w:t>
      </w:r>
      <w:r w:rsidR="00515C84">
        <w:rPr>
          <w:rFonts w:ascii="Arial" w:hAnsi="Arial" w:cs="Arial"/>
          <w:sz w:val="20"/>
          <w:szCs w:val="20"/>
        </w:rPr>
        <w:t xml:space="preserve"> which uses </w:t>
      </w:r>
      <w:r w:rsidR="00FB4F64">
        <w:rPr>
          <w:rFonts w:ascii="Arial" w:hAnsi="Arial" w:cs="Arial"/>
          <w:sz w:val="20"/>
          <w:szCs w:val="20"/>
        </w:rPr>
        <w:t>a commercially available</w:t>
      </w:r>
      <w:r>
        <w:rPr>
          <w:rFonts w:ascii="Arial" w:hAnsi="Arial" w:cs="Arial"/>
          <w:sz w:val="20"/>
          <w:szCs w:val="20"/>
        </w:rPr>
        <w:t xml:space="preserve"> online ethics learning tool, known as </w:t>
      </w:r>
      <w:r w:rsidR="00892B8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Values Exchange</w:t>
      </w:r>
      <w:r w:rsidR="006963DA">
        <w:rPr>
          <w:rFonts w:ascii="Arial" w:hAnsi="Arial" w:cs="Arial"/>
          <w:sz w:val="20"/>
          <w:szCs w:val="20"/>
          <w:vertAlign w:val="superscript"/>
        </w:rPr>
        <w:t>2</w:t>
      </w:r>
      <w:r w:rsidR="00515C84">
        <w:rPr>
          <w:rFonts w:ascii="Arial" w:hAnsi="Arial" w:cs="Arial"/>
          <w:sz w:val="20"/>
          <w:szCs w:val="20"/>
        </w:rPr>
        <w:t xml:space="preserve">. </w:t>
      </w:r>
      <w:r w:rsidR="0097314E">
        <w:rPr>
          <w:rFonts w:ascii="Arial" w:hAnsi="Arial" w:cs="Arial"/>
          <w:sz w:val="20"/>
          <w:szCs w:val="20"/>
        </w:rPr>
        <w:t xml:space="preserve">The online tool consists of an ethical case which the student works through individually followed by participation with an inter-professional group discussion board, on which the student discusses the issues raised, and group completion of a </w:t>
      </w:r>
      <w:r w:rsidR="00C93951">
        <w:rPr>
          <w:rFonts w:ascii="Arial" w:hAnsi="Arial" w:cs="Arial"/>
          <w:sz w:val="20"/>
          <w:szCs w:val="20"/>
        </w:rPr>
        <w:t>summary of their discussion</w:t>
      </w:r>
      <w:r w:rsidR="0097314E">
        <w:rPr>
          <w:rFonts w:ascii="Arial" w:hAnsi="Arial" w:cs="Arial"/>
          <w:sz w:val="20"/>
          <w:szCs w:val="20"/>
        </w:rPr>
        <w:t xml:space="preserve">. </w:t>
      </w:r>
      <w:r w:rsidR="00515C84">
        <w:rPr>
          <w:rFonts w:ascii="Arial" w:hAnsi="Arial" w:cs="Arial"/>
          <w:sz w:val="20"/>
          <w:szCs w:val="20"/>
        </w:rPr>
        <w:t>Th</w:t>
      </w:r>
      <w:r w:rsidR="0097314E">
        <w:rPr>
          <w:rFonts w:ascii="Arial" w:hAnsi="Arial" w:cs="Arial"/>
          <w:sz w:val="20"/>
          <w:szCs w:val="20"/>
        </w:rPr>
        <w:t>e aim of using the tool is</w:t>
      </w:r>
      <w:r>
        <w:rPr>
          <w:rFonts w:ascii="Arial" w:hAnsi="Arial" w:cs="Arial"/>
          <w:sz w:val="20"/>
          <w:szCs w:val="20"/>
        </w:rPr>
        <w:t xml:space="preserve"> to </w:t>
      </w:r>
      <w:r w:rsidR="000A3153">
        <w:rPr>
          <w:rFonts w:ascii="Arial" w:hAnsi="Arial" w:cs="Arial"/>
          <w:sz w:val="20"/>
          <w:szCs w:val="20"/>
        </w:rPr>
        <w:t xml:space="preserve">enable </w:t>
      </w:r>
      <w:r>
        <w:rPr>
          <w:rFonts w:ascii="Arial" w:hAnsi="Arial" w:cs="Arial"/>
          <w:sz w:val="20"/>
          <w:szCs w:val="20"/>
        </w:rPr>
        <w:t>students</w:t>
      </w:r>
      <w:r w:rsidR="000A3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develop their ethical problem-solving skills</w:t>
      </w:r>
      <w:r w:rsidR="00A06258">
        <w:rPr>
          <w:rFonts w:ascii="Arial" w:hAnsi="Arial" w:cs="Arial"/>
          <w:sz w:val="20"/>
          <w:szCs w:val="20"/>
        </w:rPr>
        <w:t>,</w:t>
      </w:r>
      <w:r w:rsidR="00515C84">
        <w:rPr>
          <w:rFonts w:ascii="Arial" w:hAnsi="Arial" w:cs="Arial"/>
          <w:sz w:val="20"/>
          <w:szCs w:val="20"/>
        </w:rPr>
        <w:t xml:space="preserve"> </w:t>
      </w:r>
      <w:r w:rsidR="000A3153">
        <w:rPr>
          <w:rFonts w:ascii="Arial" w:hAnsi="Arial" w:cs="Arial"/>
          <w:sz w:val="20"/>
          <w:szCs w:val="20"/>
        </w:rPr>
        <w:t xml:space="preserve">communicate </w:t>
      </w:r>
      <w:r w:rsidR="00515C84">
        <w:rPr>
          <w:rFonts w:ascii="Arial" w:hAnsi="Arial" w:cs="Arial"/>
          <w:sz w:val="20"/>
          <w:szCs w:val="20"/>
        </w:rPr>
        <w:t xml:space="preserve">with students outside their immediate </w:t>
      </w:r>
      <w:r w:rsidR="000A3153">
        <w:rPr>
          <w:rFonts w:ascii="Arial" w:hAnsi="Arial" w:cs="Arial"/>
          <w:sz w:val="20"/>
          <w:szCs w:val="20"/>
        </w:rPr>
        <w:t>profession</w:t>
      </w:r>
      <w:r w:rsidR="00A06258">
        <w:rPr>
          <w:rFonts w:ascii="Arial" w:hAnsi="Arial" w:cs="Arial"/>
          <w:sz w:val="20"/>
          <w:szCs w:val="20"/>
        </w:rPr>
        <w:t xml:space="preserve"> and</w:t>
      </w:r>
      <w:r w:rsidR="000A3153">
        <w:rPr>
          <w:rFonts w:ascii="Arial" w:hAnsi="Arial" w:cs="Arial"/>
          <w:sz w:val="20"/>
          <w:szCs w:val="20"/>
        </w:rPr>
        <w:t xml:space="preserve"> to promote</w:t>
      </w:r>
      <w:r w:rsidR="00A06258">
        <w:rPr>
          <w:rFonts w:ascii="Arial" w:hAnsi="Arial" w:cs="Arial"/>
          <w:sz w:val="20"/>
          <w:szCs w:val="20"/>
        </w:rPr>
        <w:t xml:space="preserve"> t</w:t>
      </w:r>
      <w:r w:rsidR="000A3153">
        <w:rPr>
          <w:rFonts w:ascii="Arial" w:hAnsi="Arial" w:cs="Arial"/>
          <w:sz w:val="20"/>
          <w:szCs w:val="20"/>
        </w:rPr>
        <w:t>eam and</w:t>
      </w:r>
      <w:r w:rsidR="00A06258">
        <w:rPr>
          <w:rFonts w:ascii="Arial" w:hAnsi="Arial" w:cs="Arial"/>
          <w:sz w:val="20"/>
          <w:szCs w:val="20"/>
        </w:rPr>
        <w:t xml:space="preserve"> inter-professional working</w:t>
      </w:r>
      <w:r>
        <w:rPr>
          <w:rFonts w:ascii="Arial" w:hAnsi="Arial" w:cs="Arial"/>
          <w:sz w:val="20"/>
          <w:szCs w:val="20"/>
        </w:rPr>
        <w:t>.</w:t>
      </w:r>
    </w:p>
    <w:p w14:paraId="117CB63B" w14:textId="77777777" w:rsidR="00343C49" w:rsidRDefault="00343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aim of this evaluation was to determine whether use of the online learning tool helped to:</w:t>
      </w:r>
    </w:p>
    <w:p w14:paraId="7867A54F" w14:textId="77777777" w:rsidR="00343C49" w:rsidRDefault="00343C49" w:rsidP="00343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develop students’ ethical reasoning skills through completion of an ethical case</w:t>
      </w:r>
    </w:p>
    <w:p w14:paraId="3B3DCA86" w14:textId="0A3FAE0C" w:rsidR="00343C49" w:rsidRPr="00343C49" w:rsidRDefault="00343C49" w:rsidP="00343C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 awareness of the ethical viewpoints of different professional group</w:t>
      </w:r>
      <w:r w:rsidR="00114D65">
        <w:rPr>
          <w:rFonts w:ascii="Arial" w:hAnsi="Arial" w:cs="Arial"/>
          <w:sz w:val="20"/>
          <w:szCs w:val="20"/>
        </w:rPr>
        <w:t>s</w:t>
      </w:r>
    </w:p>
    <w:p w14:paraId="4C8F5636" w14:textId="607CECF8" w:rsidR="00F124ED" w:rsidRDefault="00393B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Methods</w:t>
      </w:r>
    </w:p>
    <w:p w14:paraId="31EB4629" w14:textId="05FAEACF" w:rsidR="00CF3C02" w:rsidRDefault="00CF3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retrospective review of student evaluations of the learning experience from </w:t>
      </w:r>
      <w:r w:rsidR="0097314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2015, 2016 and 2017</w:t>
      </w:r>
      <w:r w:rsidR="0097314E">
        <w:rPr>
          <w:rFonts w:ascii="Arial" w:hAnsi="Arial" w:cs="Arial"/>
          <w:sz w:val="20"/>
          <w:szCs w:val="20"/>
        </w:rPr>
        <w:t xml:space="preserve"> student</w:t>
      </w:r>
      <w:r>
        <w:rPr>
          <w:rFonts w:ascii="Arial" w:hAnsi="Arial" w:cs="Arial"/>
          <w:sz w:val="20"/>
          <w:szCs w:val="20"/>
        </w:rPr>
        <w:t xml:space="preserve"> cohorts. </w:t>
      </w:r>
    </w:p>
    <w:p w14:paraId="29EF65FE" w14:textId="22CC71B9" w:rsidR="008E0CBF" w:rsidRDefault="00CF3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evaluation </w:t>
      </w:r>
      <w:r w:rsidR="00A06258">
        <w:rPr>
          <w:rFonts w:ascii="Arial" w:hAnsi="Arial" w:cs="Arial"/>
          <w:sz w:val="20"/>
          <w:szCs w:val="20"/>
        </w:rPr>
        <w:t>questionnaire</w:t>
      </w:r>
      <w:r>
        <w:rPr>
          <w:rFonts w:ascii="Arial" w:hAnsi="Arial" w:cs="Arial"/>
          <w:sz w:val="20"/>
          <w:szCs w:val="20"/>
        </w:rPr>
        <w:t xml:space="preserve"> composed of statements about the online learning tool and the learning experience was circulated to students</w:t>
      </w:r>
      <w:r w:rsidR="005B1C7A">
        <w:rPr>
          <w:rFonts w:ascii="Arial" w:hAnsi="Arial" w:cs="Arial"/>
          <w:sz w:val="20"/>
          <w:szCs w:val="20"/>
        </w:rPr>
        <w:t xml:space="preserve"> following completion of the </w:t>
      </w:r>
      <w:r w:rsidR="00C93951">
        <w:rPr>
          <w:rFonts w:ascii="Arial" w:hAnsi="Arial" w:cs="Arial"/>
          <w:sz w:val="20"/>
          <w:szCs w:val="20"/>
        </w:rPr>
        <w:t>exercise</w:t>
      </w:r>
      <w:r w:rsidR="005B1C7A">
        <w:rPr>
          <w:rFonts w:ascii="Arial" w:hAnsi="Arial" w:cs="Arial"/>
          <w:sz w:val="20"/>
          <w:szCs w:val="20"/>
        </w:rPr>
        <w:t>. Students</w:t>
      </w:r>
      <w:r>
        <w:rPr>
          <w:rFonts w:ascii="Arial" w:hAnsi="Arial" w:cs="Arial"/>
          <w:sz w:val="20"/>
          <w:szCs w:val="20"/>
        </w:rPr>
        <w:t xml:space="preserve"> were asked to indicate their opinion of </w:t>
      </w:r>
      <w:r w:rsidR="005B1C7A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statement using a 5 point Likert rating scale</w:t>
      </w:r>
      <w:r w:rsidR="005B1C7A">
        <w:rPr>
          <w:rFonts w:ascii="Arial" w:hAnsi="Arial" w:cs="Arial"/>
          <w:sz w:val="20"/>
          <w:szCs w:val="20"/>
        </w:rPr>
        <w:t xml:space="preserve">. </w:t>
      </w:r>
      <w:r w:rsidR="00A06258">
        <w:rPr>
          <w:rFonts w:ascii="Arial" w:hAnsi="Arial" w:cs="Arial"/>
          <w:sz w:val="20"/>
          <w:szCs w:val="20"/>
        </w:rPr>
        <w:t>F</w:t>
      </w:r>
      <w:r w:rsidR="005B1C7A">
        <w:rPr>
          <w:rFonts w:ascii="Arial" w:hAnsi="Arial" w:cs="Arial"/>
          <w:sz w:val="20"/>
          <w:szCs w:val="20"/>
        </w:rPr>
        <w:t xml:space="preserve">ree text </w:t>
      </w:r>
      <w:r w:rsidR="00A06258">
        <w:rPr>
          <w:rFonts w:ascii="Arial" w:hAnsi="Arial" w:cs="Arial"/>
          <w:sz w:val="20"/>
          <w:szCs w:val="20"/>
        </w:rPr>
        <w:t xml:space="preserve">comment fields </w:t>
      </w:r>
      <w:r w:rsidR="005B1C7A">
        <w:rPr>
          <w:rFonts w:ascii="Arial" w:hAnsi="Arial" w:cs="Arial"/>
          <w:sz w:val="20"/>
          <w:szCs w:val="20"/>
        </w:rPr>
        <w:t>w</w:t>
      </w:r>
      <w:r w:rsidR="00A06258">
        <w:rPr>
          <w:rFonts w:ascii="Arial" w:hAnsi="Arial" w:cs="Arial"/>
          <w:sz w:val="20"/>
          <w:szCs w:val="20"/>
        </w:rPr>
        <w:t>ere</w:t>
      </w:r>
      <w:r w:rsidR="005B1C7A">
        <w:rPr>
          <w:rFonts w:ascii="Arial" w:hAnsi="Arial" w:cs="Arial"/>
          <w:sz w:val="20"/>
          <w:szCs w:val="20"/>
        </w:rPr>
        <w:t xml:space="preserve"> included to allow students to expand on their views</w:t>
      </w:r>
      <w:r>
        <w:rPr>
          <w:rFonts w:ascii="Arial" w:hAnsi="Arial" w:cs="Arial"/>
          <w:sz w:val="20"/>
          <w:szCs w:val="20"/>
        </w:rPr>
        <w:t>.</w:t>
      </w:r>
      <w:r w:rsidR="008E0CBF" w:rsidRPr="008E0CBF">
        <w:rPr>
          <w:rFonts w:ascii="Arial" w:hAnsi="Arial" w:cs="Arial"/>
          <w:sz w:val="20"/>
          <w:szCs w:val="20"/>
        </w:rPr>
        <w:t xml:space="preserve"> </w:t>
      </w:r>
    </w:p>
    <w:p w14:paraId="6028859B" w14:textId="77777777" w:rsidR="00CF3C02" w:rsidRPr="00CF3C02" w:rsidRDefault="008E0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Responses </w:t>
      </w:r>
      <w:r w:rsidR="005B1C7A">
        <w:rPr>
          <w:rFonts w:ascii="Arial" w:hAnsi="Arial" w:cs="Arial"/>
          <w:sz w:val="20"/>
          <w:szCs w:val="20"/>
        </w:rPr>
        <w:t xml:space="preserve">to the evaluation questionnaire </w:t>
      </w:r>
      <w:r>
        <w:rPr>
          <w:rFonts w:ascii="Arial" w:hAnsi="Arial" w:cs="Arial"/>
          <w:sz w:val="20"/>
          <w:szCs w:val="20"/>
        </w:rPr>
        <w:t xml:space="preserve">were compared using </w:t>
      </w:r>
      <w:r w:rsidR="00A0625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chi-squared test</w:t>
      </w:r>
      <w:r w:rsidR="005B1C7A">
        <w:rPr>
          <w:rFonts w:ascii="Arial" w:hAnsi="Arial" w:cs="Arial"/>
          <w:sz w:val="20"/>
          <w:szCs w:val="20"/>
        </w:rPr>
        <w:t>, and free text comments analysed using basic thematic analysis</w:t>
      </w:r>
      <w:r>
        <w:rPr>
          <w:rFonts w:ascii="Arial" w:hAnsi="Arial" w:cs="Arial"/>
          <w:sz w:val="20"/>
          <w:szCs w:val="20"/>
        </w:rPr>
        <w:t>.</w:t>
      </w:r>
    </w:p>
    <w:p w14:paraId="0D9A7E54" w14:textId="77777777" w:rsidR="00F124ED" w:rsidRDefault="00F124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Results</w:t>
      </w:r>
    </w:p>
    <w:p w14:paraId="7AED0905" w14:textId="77777777" w:rsidR="00CF3C02" w:rsidRDefault="00CF3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Across the 3 years, 1313 students were asked to complete the online exercise as part of their ethics learning. 1051 (80%) completed the online ethics case, with 581 students (55% of the total who completed the case - 218 pharmacy, 136 medicine, 128 physiotherapy and 99 nursing/midwifery) providing feedback on their experience. Table 1 shows responses to the evaluation statements:</w:t>
      </w:r>
    </w:p>
    <w:p w14:paraId="728000F8" w14:textId="77777777" w:rsidR="00CF3C02" w:rsidRDefault="00CF3C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Table 1: Percentage response to evaluation statement</w:t>
      </w:r>
      <w:r w:rsidR="008E0CBF">
        <w:rPr>
          <w:rFonts w:ascii="Arial" w:hAnsi="Arial" w:cs="Arial"/>
          <w:i/>
          <w:sz w:val="20"/>
          <w:szCs w:val="20"/>
        </w:rPr>
        <w:t xml:space="preserve"> (2015, 2016 and 2017 combined)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23"/>
        <w:gridCol w:w="2699"/>
      </w:tblGrid>
      <w:tr w:rsidR="00343C49" w14:paraId="43A2B6F3" w14:textId="77777777" w:rsidTr="00343C49">
        <w:tc>
          <w:tcPr>
            <w:tcW w:w="3194" w:type="dxa"/>
          </w:tcPr>
          <w:p w14:paraId="33B2298C" w14:textId="77777777" w:rsidR="00343C49" w:rsidRPr="00CF3C02" w:rsidRDefault="00343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3123" w:type="dxa"/>
          </w:tcPr>
          <w:p w14:paraId="54F0B8A6" w14:textId="300167B4" w:rsidR="00343C49" w:rsidRPr="00CF3C02" w:rsidRDefault="003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C02">
              <w:rPr>
                <w:rFonts w:ascii="Arial" w:hAnsi="Arial" w:cs="Arial"/>
                <w:b/>
                <w:sz w:val="20"/>
                <w:szCs w:val="20"/>
              </w:rPr>
              <w:t>% Response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positive agreement (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‘A</w:t>
            </w:r>
            <w:r>
              <w:rPr>
                <w:rFonts w:ascii="Arial" w:hAnsi="Arial" w:cs="Arial"/>
                <w:b/>
                <w:sz w:val="20"/>
                <w:szCs w:val="20"/>
              </w:rPr>
              <w:t>gree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9" w:type="dxa"/>
          </w:tcPr>
          <w:p w14:paraId="31E89B83" w14:textId="554C6134" w:rsidR="00343C49" w:rsidRPr="00CF3C02" w:rsidRDefault="00343C49" w:rsidP="003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C02">
              <w:rPr>
                <w:rFonts w:ascii="Arial" w:hAnsi="Arial" w:cs="Arial"/>
                <w:b/>
                <w:sz w:val="20"/>
                <w:szCs w:val="20"/>
              </w:rPr>
              <w:t>% Response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neutral or disagreement (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sz w:val="20"/>
                <w:szCs w:val="20"/>
              </w:rPr>
              <w:t>Neutral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  <w:r w:rsidR="005A69A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43C49" w14:paraId="71131890" w14:textId="77777777" w:rsidTr="00343C49">
        <w:tc>
          <w:tcPr>
            <w:tcW w:w="3194" w:type="dxa"/>
          </w:tcPr>
          <w:p w14:paraId="54515142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online learning resource adds an additional dimension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developing ethical reasoning skills</w:t>
            </w:r>
          </w:p>
        </w:tc>
        <w:tc>
          <w:tcPr>
            <w:tcW w:w="3123" w:type="dxa"/>
          </w:tcPr>
          <w:p w14:paraId="4EA727AB" w14:textId="77777777" w:rsidR="00343C49" w:rsidRDefault="00343C49" w:rsidP="00CF3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72%</w:t>
            </w:r>
          </w:p>
        </w:tc>
        <w:tc>
          <w:tcPr>
            <w:tcW w:w="2699" w:type="dxa"/>
          </w:tcPr>
          <w:p w14:paraId="7DA9AB07" w14:textId="77777777" w:rsidR="00343C49" w:rsidRDefault="00343C49" w:rsidP="00CF3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343C49" w14:paraId="37B03A43" w14:textId="77777777" w:rsidTr="00343C49">
        <w:tc>
          <w:tcPr>
            <w:tcW w:w="3194" w:type="dxa"/>
          </w:tcPr>
          <w:p w14:paraId="04A2313F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the case helped me to explore the ethical issues in depth</w:t>
            </w:r>
          </w:p>
        </w:tc>
        <w:tc>
          <w:tcPr>
            <w:tcW w:w="3123" w:type="dxa"/>
          </w:tcPr>
          <w:p w14:paraId="5D47E4C6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2699" w:type="dxa"/>
          </w:tcPr>
          <w:p w14:paraId="2A20642F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343C49" w14:paraId="77AAF052" w14:textId="77777777" w:rsidTr="00343C49">
        <w:tc>
          <w:tcPr>
            <w:tcW w:w="3194" w:type="dxa"/>
          </w:tcPr>
          <w:p w14:paraId="7EB7F859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discussion board allowed me to explore the ethical issues in depth</w:t>
            </w:r>
          </w:p>
        </w:tc>
        <w:tc>
          <w:tcPr>
            <w:tcW w:w="3123" w:type="dxa"/>
          </w:tcPr>
          <w:p w14:paraId="72BF70A1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2699" w:type="dxa"/>
          </w:tcPr>
          <w:p w14:paraId="3550CBE5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343C49" w14:paraId="255CF5F4" w14:textId="77777777" w:rsidTr="00343C49">
        <w:tc>
          <w:tcPr>
            <w:tcW w:w="3194" w:type="dxa"/>
          </w:tcPr>
          <w:p w14:paraId="73D27BB6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online tool is a suitable format to learn alongside students from other disciplines</w:t>
            </w:r>
          </w:p>
        </w:tc>
        <w:tc>
          <w:tcPr>
            <w:tcW w:w="3123" w:type="dxa"/>
          </w:tcPr>
          <w:p w14:paraId="6CE0F41E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2699" w:type="dxa"/>
          </w:tcPr>
          <w:p w14:paraId="0D021E9C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343C49" w14:paraId="7E7594ED" w14:textId="77777777" w:rsidTr="00343C49">
        <w:tc>
          <w:tcPr>
            <w:tcW w:w="3194" w:type="dxa"/>
          </w:tcPr>
          <w:p w14:paraId="7A545CB7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the online IPE process has raised my awareness of the views of other professionals</w:t>
            </w:r>
          </w:p>
        </w:tc>
        <w:tc>
          <w:tcPr>
            <w:tcW w:w="3123" w:type="dxa"/>
          </w:tcPr>
          <w:p w14:paraId="1175D8D6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2699" w:type="dxa"/>
          </w:tcPr>
          <w:p w14:paraId="710C430F" w14:textId="77777777" w:rsidR="00343C49" w:rsidRDefault="003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</w:tbl>
    <w:p w14:paraId="7FDF3950" w14:textId="77777777" w:rsidR="008E0CBF" w:rsidRDefault="008E0CBF">
      <w:pPr>
        <w:rPr>
          <w:rFonts w:ascii="Arial" w:hAnsi="Arial" w:cs="Arial"/>
          <w:sz w:val="20"/>
          <w:szCs w:val="20"/>
        </w:rPr>
      </w:pPr>
    </w:p>
    <w:p w14:paraId="31A69D96" w14:textId="0D09EB0B" w:rsidR="000A1AAB" w:rsidRPr="00CF3C02" w:rsidRDefault="008E0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Chi-squared analysis </w:t>
      </w:r>
      <w:r w:rsidR="007F5344">
        <w:rPr>
          <w:rFonts w:ascii="Arial" w:hAnsi="Arial" w:cs="Arial"/>
          <w:sz w:val="20"/>
          <w:szCs w:val="20"/>
        </w:rPr>
        <w:t xml:space="preserve">of the responses from 2015 and 2017 </w:t>
      </w:r>
      <w:r>
        <w:rPr>
          <w:rFonts w:ascii="Arial" w:hAnsi="Arial" w:cs="Arial"/>
          <w:sz w:val="20"/>
          <w:szCs w:val="20"/>
        </w:rPr>
        <w:t>demonstrated</w:t>
      </w:r>
      <w:r w:rsidR="000A1AAB">
        <w:rPr>
          <w:rFonts w:ascii="Arial" w:hAnsi="Arial" w:cs="Arial"/>
          <w:sz w:val="20"/>
          <w:szCs w:val="20"/>
        </w:rPr>
        <w:t xml:space="preserve"> a significant increase in the number of students reporting that the discussion board allowed in-depth consideration of the ethical issues (p&lt;0.05) and in the number of students who felt that the online tool was a suitable format to learn alongside students from other disciplines (p&lt;0.05).</w:t>
      </w:r>
    </w:p>
    <w:p w14:paraId="5FF85024" w14:textId="6438705A" w:rsidR="00F124ED" w:rsidRDefault="00F124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Conclusion </w:t>
      </w:r>
    </w:p>
    <w:p w14:paraId="54276E50" w14:textId="643B070F" w:rsidR="000A1AAB" w:rsidRDefault="000A1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two thirds of students felt that the online tool enhanced their ethical reasoning and was a valuable inter-professional learning experience. The percentage of students giving positive feedback has increased over the 3 years of the study and this increase was significant for two of the key evaluation statements. This could be a result of our experience allowing us to refine the use of the online tool.</w:t>
      </w:r>
    </w:p>
    <w:p w14:paraId="478AA689" w14:textId="62CC7312" w:rsidR="00393B00" w:rsidRDefault="00393B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Keywords</w:t>
      </w:r>
    </w:p>
    <w:p w14:paraId="5867595F" w14:textId="7F209972" w:rsidR="00393B00" w:rsidRPr="00393B00" w:rsidRDefault="00046A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Values Exchange; Interprofessional learning; Ethics</w:t>
      </w:r>
    </w:p>
    <w:p w14:paraId="07BFC8DC" w14:textId="77777777" w:rsidR="00340622" w:rsidRDefault="00F124ED" w:rsidP="00340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14:paraId="63895292" w14:textId="1BDC08BA" w:rsidR="00340622" w:rsidRDefault="00340622" w:rsidP="003406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England, 2015, MDT Development – Working toward an effective multidisciplinary/multiagency team [online], </w:t>
      </w:r>
      <w:r w:rsidRPr="00340622">
        <w:rPr>
          <w:rFonts w:ascii="Arial" w:hAnsi="Arial" w:cs="Arial"/>
          <w:i/>
          <w:sz w:val="20"/>
          <w:szCs w:val="20"/>
        </w:rPr>
        <w:t>NHS England</w:t>
      </w:r>
      <w:r>
        <w:rPr>
          <w:rFonts w:ascii="Arial" w:hAnsi="Arial" w:cs="Arial"/>
          <w:sz w:val="20"/>
          <w:szCs w:val="20"/>
        </w:rPr>
        <w:t xml:space="preserve">, [Accessed 28-09-2018]. Available from </w:t>
      </w:r>
      <w:hyperlink r:id="rId5" w:history="1">
        <w:r w:rsidRPr="00936724">
          <w:rPr>
            <w:rStyle w:val="Hyperlink"/>
            <w:rFonts w:ascii="Arial" w:hAnsi="Arial" w:cs="Arial"/>
            <w:sz w:val="20"/>
            <w:szCs w:val="20"/>
          </w:rPr>
          <w:t>https://www.england.nhs.uk/wp-content/uploads/2015/01/mdt-dev-guid-flat-fin.pdf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47884E" w14:textId="2D400657" w:rsidR="006963DA" w:rsidRPr="00340622" w:rsidRDefault="006963DA" w:rsidP="003406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www.vxcommunity</w:t>
      </w:r>
      <w:r w:rsidR="009E064D">
        <w:rPr>
          <w:rFonts w:ascii="Arial" w:hAnsi="Arial" w:cs="Arial"/>
          <w:sz w:val="20"/>
          <w:szCs w:val="20"/>
        </w:rPr>
        <w:t>.com</w:t>
      </w:r>
    </w:p>
    <w:p w14:paraId="2631A327" w14:textId="77777777" w:rsidR="00F124ED" w:rsidRPr="00F124ED" w:rsidRDefault="00F124ED">
      <w:pPr>
        <w:rPr>
          <w:rFonts w:ascii="Arial" w:hAnsi="Arial" w:cs="Arial"/>
          <w:b/>
          <w:sz w:val="20"/>
          <w:szCs w:val="20"/>
        </w:rPr>
      </w:pPr>
    </w:p>
    <w:sectPr w:rsidR="00F124ED" w:rsidRPr="00F12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6A3"/>
    <w:multiLevelType w:val="hybridMultilevel"/>
    <w:tmpl w:val="99D04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B1B"/>
    <w:multiLevelType w:val="hybridMultilevel"/>
    <w:tmpl w:val="F868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3D45"/>
    <w:multiLevelType w:val="hybridMultilevel"/>
    <w:tmpl w:val="3FAE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D"/>
    <w:rsid w:val="00046A45"/>
    <w:rsid w:val="000A1AAB"/>
    <w:rsid w:val="000A3153"/>
    <w:rsid w:val="00103D05"/>
    <w:rsid w:val="00114D65"/>
    <w:rsid w:val="002A758E"/>
    <w:rsid w:val="00340622"/>
    <w:rsid w:val="00343C49"/>
    <w:rsid w:val="00393B00"/>
    <w:rsid w:val="003F660A"/>
    <w:rsid w:val="004B4B2B"/>
    <w:rsid w:val="00515C84"/>
    <w:rsid w:val="005A69AD"/>
    <w:rsid w:val="005B1C7A"/>
    <w:rsid w:val="006963DA"/>
    <w:rsid w:val="007F5344"/>
    <w:rsid w:val="00892B8A"/>
    <w:rsid w:val="008E0CBF"/>
    <w:rsid w:val="008E3213"/>
    <w:rsid w:val="0097314E"/>
    <w:rsid w:val="009E064D"/>
    <w:rsid w:val="00A06258"/>
    <w:rsid w:val="00B10CF4"/>
    <w:rsid w:val="00C93951"/>
    <w:rsid w:val="00CF3C02"/>
    <w:rsid w:val="00E15C68"/>
    <w:rsid w:val="00F124ED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3276"/>
  <w15:docId w15:val="{700174AD-7E81-4B74-AD13-3F5D929D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wp-content/uploads/2015/01/mdt-dev-guid-flat-f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Stibbs</dc:creator>
  <cp:lastModifiedBy>pya02</cp:lastModifiedBy>
  <cp:revision>2</cp:revision>
  <dcterms:created xsi:type="dcterms:W3CDTF">2019-05-03T12:41:00Z</dcterms:created>
  <dcterms:modified xsi:type="dcterms:W3CDTF">2019-05-03T12:41:00Z</dcterms:modified>
</cp:coreProperties>
</file>