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65CA" w14:textId="300CC64F" w:rsidR="00B8460F" w:rsidRDefault="007D1BA3">
      <w:r>
        <w:t>Table 2 Illustrative quotes to support main themes</w:t>
      </w:r>
    </w:p>
    <w:tbl>
      <w:tblPr>
        <w:tblStyle w:val="TableGrid"/>
        <w:tblW w:w="0" w:type="auto"/>
        <w:tblLook w:val="04A0" w:firstRow="1" w:lastRow="0" w:firstColumn="1" w:lastColumn="0" w:noHBand="0" w:noVBand="1"/>
      </w:tblPr>
      <w:tblGrid>
        <w:gridCol w:w="2263"/>
        <w:gridCol w:w="6753"/>
      </w:tblGrid>
      <w:tr w:rsidR="00B8460F" w14:paraId="45695098" w14:textId="77777777" w:rsidTr="00B8460F">
        <w:tc>
          <w:tcPr>
            <w:tcW w:w="2263" w:type="dxa"/>
          </w:tcPr>
          <w:p w14:paraId="06D1E62E" w14:textId="77777777" w:rsidR="00B8460F" w:rsidRDefault="00B8460F">
            <w:r>
              <w:t>Theme</w:t>
            </w:r>
          </w:p>
        </w:tc>
        <w:tc>
          <w:tcPr>
            <w:tcW w:w="6753" w:type="dxa"/>
          </w:tcPr>
          <w:p w14:paraId="3D78267D" w14:textId="77777777" w:rsidR="00B8460F" w:rsidRDefault="00B8460F">
            <w:r>
              <w:t>Illustrative quote</w:t>
            </w:r>
          </w:p>
        </w:tc>
      </w:tr>
      <w:tr w:rsidR="00B8460F" w14:paraId="43617563" w14:textId="77777777" w:rsidTr="00B8460F">
        <w:tc>
          <w:tcPr>
            <w:tcW w:w="2263" w:type="dxa"/>
          </w:tcPr>
          <w:p w14:paraId="7445A01F" w14:textId="77777777" w:rsidR="00B8460F" w:rsidRPr="00346FA2" w:rsidRDefault="00346FA2">
            <w:pPr>
              <w:rPr>
                <w:b/>
              </w:rPr>
            </w:pPr>
            <w:r>
              <w:rPr>
                <w:b/>
              </w:rPr>
              <w:t xml:space="preserve">The </w:t>
            </w:r>
            <w:r w:rsidR="00B8460F" w:rsidRPr="00346FA2">
              <w:rPr>
                <w:b/>
              </w:rPr>
              <w:t>Vx</w:t>
            </w:r>
            <w:r w:rsidR="005D1954">
              <w:rPr>
                <w:b/>
              </w:rPr>
              <w:t xml:space="preserve"> learning envi</w:t>
            </w:r>
            <w:r>
              <w:rPr>
                <w:b/>
              </w:rPr>
              <w:t>r</w:t>
            </w:r>
            <w:r w:rsidR="005D1954">
              <w:rPr>
                <w:b/>
              </w:rPr>
              <w:t>o</w:t>
            </w:r>
            <w:r>
              <w:rPr>
                <w:b/>
              </w:rPr>
              <w:t>nment</w:t>
            </w:r>
            <w:r w:rsidR="00B8460F" w:rsidRPr="00346FA2">
              <w:rPr>
                <w:b/>
              </w:rPr>
              <w:t xml:space="preserve">      </w:t>
            </w:r>
          </w:p>
          <w:p w14:paraId="2E1CBB5A" w14:textId="77777777" w:rsidR="00B8460F" w:rsidRDefault="00B8460F"/>
          <w:p w14:paraId="1F4C295D" w14:textId="7D3C0685" w:rsidR="00B8460F" w:rsidRDefault="007D1BA3">
            <w:r>
              <w:t>S</w:t>
            </w:r>
            <w:r w:rsidR="00B8460F">
              <w:t>afe environment</w:t>
            </w:r>
          </w:p>
          <w:p w14:paraId="47DB9B11" w14:textId="77777777" w:rsidR="00B8460F" w:rsidRDefault="00B8460F">
            <w:r>
              <w:t xml:space="preserve"> </w:t>
            </w:r>
          </w:p>
          <w:p w14:paraId="4ED8C38D" w14:textId="77777777" w:rsidR="00B8460F" w:rsidRDefault="00B8460F"/>
          <w:p w14:paraId="6CD2D309" w14:textId="69BFBA2D" w:rsidR="00B8460F" w:rsidRDefault="007D1BA3">
            <w:r>
              <w:t>B</w:t>
            </w:r>
            <w:bookmarkStart w:id="0" w:name="_GoBack"/>
            <w:bookmarkEnd w:id="0"/>
            <w:r w:rsidR="00B8460F">
              <w:t>enefits with hindsight</w:t>
            </w:r>
          </w:p>
        </w:tc>
        <w:tc>
          <w:tcPr>
            <w:tcW w:w="6753" w:type="dxa"/>
          </w:tcPr>
          <w:p w14:paraId="6EF6DFCD" w14:textId="77777777" w:rsidR="00B8460F" w:rsidRDefault="00B8460F" w:rsidP="00B8460F">
            <w:pPr>
              <w:autoSpaceDE w:val="0"/>
              <w:autoSpaceDN w:val="0"/>
              <w:adjustRightInd w:val="0"/>
              <w:spacing w:line="360" w:lineRule="auto"/>
              <w:rPr>
                <w:rFonts w:ascii="Arial" w:hAnsi="Arial" w:cs="Arial"/>
              </w:rPr>
            </w:pPr>
          </w:p>
          <w:p w14:paraId="0FF4AC18" w14:textId="77777777" w:rsidR="00B8460F" w:rsidRPr="00B8460F" w:rsidRDefault="00B8460F" w:rsidP="00B8460F">
            <w:pPr>
              <w:autoSpaceDE w:val="0"/>
              <w:autoSpaceDN w:val="0"/>
              <w:adjustRightInd w:val="0"/>
              <w:rPr>
                <w:rFonts w:cstheme="minorHAnsi"/>
                <w:i/>
                <w:iCs/>
              </w:rPr>
            </w:pPr>
            <w:r w:rsidRPr="00B8460F">
              <w:rPr>
                <w:rFonts w:cstheme="minorHAnsi"/>
                <w:i/>
                <w:iCs/>
              </w:rPr>
              <w:t>“It was quite a safe environment to say what you think and to look at what other people think without any comeback.” (Pharmacist 8)</w:t>
            </w:r>
          </w:p>
          <w:p w14:paraId="387AC87F" w14:textId="77777777" w:rsidR="00B8460F" w:rsidRPr="00B8460F" w:rsidRDefault="00B8460F" w:rsidP="00B8460F">
            <w:pPr>
              <w:autoSpaceDE w:val="0"/>
              <w:autoSpaceDN w:val="0"/>
              <w:adjustRightInd w:val="0"/>
              <w:rPr>
                <w:rFonts w:cstheme="minorHAnsi"/>
              </w:rPr>
            </w:pPr>
          </w:p>
          <w:p w14:paraId="596A7751" w14:textId="77777777" w:rsidR="00B8460F" w:rsidRPr="00B8460F" w:rsidRDefault="00B8460F" w:rsidP="00B8460F">
            <w:pPr>
              <w:autoSpaceDE w:val="0"/>
              <w:autoSpaceDN w:val="0"/>
              <w:adjustRightInd w:val="0"/>
              <w:rPr>
                <w:rFonts w:cstheme="minorHAnsi"/>
              </w:rPr>
            </w:pPr>
            <w:r w:rsidRPr="00B8460F">
              <w:rPr>
                <w:rFonts w:cstheme="minorHAnsi"/>
              </w:rPr>
              <w:t>“</w:t>
            </w:r>
            <w:r w:rsidRPr="00B8460F">
              <w:rPr>
                <w:rFonts w:cstheme="minorHAnsi"/>
                <w:i/>
                <w:iCs/>
              </w:rPr>
              <w:t xml:space="preserve">I think it took up more time than we were expecting it to take up </w:t>
            </w:r>
            <w:r w:rsidRPr="00B8460F">
              <w:rPr>
                <w:rFonts w:cstheme="minorHAnsi"/>
              </w:rPr>
              <w:t xml:space="preserve">[during the MPharm course] </w:t>
            </w:r>
            <w:r w:rsidRPr="00B8460F">
              <w:rPr>
                <w:rFonts w:cstheme="minorHAnsi"/>
                <w:i/>
                <w:iCs/>
              </w:rPr>
              <w:t xml:space="preserve">and I think that was why I hated it, but actually looking back on it, it was a really good way of learning ...” </w:t>
            </w:r>
            <w:r w:rsidRPr="00B8460F">
              <w:rPr>
                <w:rFonts w:cstheme="minorHAnsi"/>
              </w:rPr>
              <w:t>(PRT2)</w:t>
            </w:r>
          </w:p>
          <w:p w14:paraId="64704DB1" w14:textId="77777777" w:rsidR="00B8460F" w:rsidRDefault="00B8460F"/>
        </w:tc>
      </w:tr>
      <w:tr w:rsidR="00B8460F" w14:paraId="4B2C19EB" w14:textId="77777777" w:rsidTr="00B8460F">
        <w:tc>
          <w:tcPr>
            <w:tcW w:w="2263" w:type="dxa"/>
          </w:tcPr>
          <w:p w14:paraId="0CE13AFF" w14:textId="77777777" w:rsidR="00B8460F" w:rsidRDefault="00B8460F">
            <w:r>
              <w:t>The technology:</w:t>
            </w:r>
          </w:p>
          <w:p w14:paraId="37A10EEC" w14:textId="77777777" w:rsidR="00B8460F" w:rsidRDefault="00B8460F">
            <w:r>
              <w:t>User-friendly and intuitive</w:t>
            </w:r>
          </w:p>
          <w:p w14:paraId="38C635BF" w14:textId="77777777" w:rsidR="00B8460F" w:rsidRDefault="00B8460F"/>
          <w:p w14:paraId="2708BB34" w14:textId="77777777" w:rsidR="00B8460F" w:rsidRDefault="00B8460F">
            <w:r>
              <w:t>Need time to get used to it</w:t>
            </w:r>
          </w:p>
        </w:tc>
        <w:tc>
          <w:tcPr>
            <w:tcW w:w="6753" w:type="dxa"/>
          </w:tcPr>
          <w:p w14:paraId="15027310" w14:textId="77777777" w:rsidR="00346FA2" w:rsidRDefault="00346FA2" w:rsidP="00B8460F">
            <w:pPr>
              <w:autoSpaceDE w:val="0"/>
              <w:autoSpaceDN w:val="0"/>
              <w:adjustRightInd w:val="0"/>
              <w:rPr>
                <w:rFonts w:cstheme="minorHAnsi"/>
                <w:i/>
                <w:iCs/>
              </w:rPr>
            </w:pPr>
          </w:p>
          <w:p w14:paraId="1A04F6FF" w14:textId="77777777" w:rsidR="00B8460F" w:rsidRPr="00B8460F" w:rsidRDefault="00B8460F" w:rsidP="00B8460F">
            <w:pPr>
              <w:autoSpaceDE w:val="0"/>
              <w:autoSpaceDN w:val="0"/>
              <w:adjustRightInd w:val="0"/>
              <w:rPr>
                <w:rFonts w:cstheme="minorHAnsi"/>
                <w:i/>
                <w:iCs/>
              </w:rPr>
            </w:pPr>
            <w:r w:rsidRPr="00B8460F">
              <w:rPr>
                <w:rFonts w:cstheme="minorHAnsi"/>
                <w:i/>
                <w:iCs/>
              </w:rPr>
              <w:t xml:space="preserve">“I think it was very user-friendly, I think the interface was really nice </w:t>
            </w:r>
            <w:r w:rsidRPr="00B8460F">
              <w:rPr>
                <w:rFonts w:cstheme="minorHAnsi"/>
              </w:rPr>
              <w:t xml:space="preserve">[…] </w:t>
            </w:r>
            <w:r w:rsidRPr="00B8460F">
              <w:rPr>
                <w:rFonts w:cstheme="minorHAnsi"/>
                <w:i/>
                <w:iCs/>
              </w:rPr>
              <w:t xml:space="preserve">I think it was just very useful, easy to manoeuvre...” </w:t>
            </w:r>
            <w:r w:rsidRPr="00B8460F">
              <w:rPr>
                <w:rFonts w:cstheme="minorHAnsi"/>
              </w:rPr>
              <w:t>(PRT7)</w:t>
            </w:r>
          </w:p>
          <w:p w14:paraId="4B84415E" w14:textId="77777777" w:rsidR="00B8460F" w:rsidRPr="00B8460F" w:rsidRDefault="00B8460F" w:rsidP="00B8460F">
            <w:pPr>
              <w:autoSpaceDE w:val="0"/>
              <w:autoSpaceDN w:val="0"/>
              <w:adjustRightInd w:val="0"/>
              <w:rPr>
                <w:rFonts w:cstheme="minorHAnsi"/>
              </w:rPr>
            </w:pPr>
          </w:p>
          <w:p w14:paraId="2BCC9DD9" w14:textId="77777777" w:rsidR="00B8460F" w:rsidRPr="00B8460F" w:rsidRDefault="00B8460F" w:rsidP="00B8460F">
            <w:pPr>
              <w:autoSpaceDE w:val="0"/>
              <w:autoSpaceDN w:val="0"/>
              <w:adjustRightInd w:val="0"/>
              <w:rPr>
                <w:rFonts w:cstheme="minorHAnsi"/>
              </w:rPr>
            </w:pPr>
            <w:r w:rsidRPr="00B8460F">
              <w:rPr>
                <w:rFonts w:cstheme="minorHAnsi"/>
                <w:i/>
                <w:iCs/>
              </w:rPr>
              <w:t xml:space="preserve">“The problem with it is it’s not always the most user-friendly </w:t>
            </w:r>
            <w:r w:rsidRPr="00B8460F">
              <w:rPr>
                <w:rFonts w:cstheme="minorHAnsi"/>
              </w:rPr>
              <w:t xml:space="preserve">[…] </w:t>
            </w:r>
            <w:r w:rsidRPr="00B8460F">
              <w:rPr>
                <w:rFonts w:cstheme="minorHAnsi"/>
                <w:i/>
                <w:iCs/>
              </w:rPr>
              <w:t xml:space="preserve">I don’t think I started to get the benefit from it until quite a lot later, until I got quite used to using it.” </w:t>
            </w:r>
            <w:r w:rsidRPr="00B8460F">
              <w:rPr>
                <w:rFonts w:cstheme="minorHAnsi"/>
              </w:rPr>
              <w:t>(PRT2)</w:t>
            </w:r>
          </w:p>
          <w:p w14:paraId="63D05A7B" w14:textId="77777777" w:rsidR="00B8460F" w:rsidRDefault="00B8460F"/>
        </w:tc>
      </w:tr>
      <w:tr w:rsidR="00B8460F" w14:paraId="2E58E34E" w14:textId="77777777" w:rsidTr="00B8460F">
        <w:tc>
          <w:tcPr>
            <w:tcW w:w="2263" w:type="dxa"/>
          </w:tcPr>
          <w:p w14:paraId="75EB2229" w14:textId="77777777" w:rsidR="00B8460F" w:rsidRDefault="00B8460F">
            <w:pPr>
              <w:rPr>
                <w:b/>
              </w:rPr>
            </w:pPr>
            <w:r w:rsidRPr="00B8460F">
              <w:rPr>
                <w:b/>
              </w:rPr>
              <w:t>Learning and reflection</w:t>
            </w:r>
          </w:p>
          <w:p w14:paraId="588A7E45" w14:textId="77777777" w:rsidR="00B8460F" w:rsidRDefault="00B8460F">
            <w:pPr>
              <w:rPr>
                <w:b/>
              </w:rPr>
            </w:pPr>
          </w:p>
          <w:p w14:paraId="541B152D" w14:textId="77777777" w:rsidR="00B8460F" w:rsidRPr="00B8460F" w:rsidRDefault="00B8460F">
            <w:r w:rsidRPr="00B8460F">
              <w:t>Deep approach to learning</w:t>
            </w:r>
          </w:p>
          <w:p w14:paraId="2E083FB5" w14:textId="77777777" w:rsidR="00B8460F" w:rsidRPr="00B8460F" w:rsidRDefault="00B8460F">
            <w:pPr>
              <w:rPr>
                <w:b/>
              </w:rPr>
            </w:pPr>
          </w:p>
        </w:tc>
        <w:tc>
          <w:tcPr>
            <w:tcW w:w="6753" w:type="dxa"/>
          </w:tcPr>
          <w:p w14:paraId="0D80CCDD" w14:textId="77777777" w:rsidR="00346FA2" w:rsidRDefault="00346FA2" w:rsidP="00346FA2">
            <w:pPr>
              <w:autoSpaceDE w:val="0"/>
              <w:autoSpaceDN w:val="0"/>
              <w:adjustRightInd w:val="0"/>
              <w:rPr>
                <w:rFonts w:cstheme="minorHAnsi"/>
                <w:i/>
                <w:iCs/>
              </w:rPr>
            </w:pPr>
          </w:p>
          <w:p w14:paraId="213FE00D" w14:textId="77777777" w:rsidR="00346FA2" w:rsidRDefault="00346FA2" w:rsidP="00346FA2">
            <w:pPr>
              <w:autoSpaceDE w:val="0"/>
              <w:autoSpaceDN w:val="0"/>
              <w:adjustRightInd w:val="0"/>
              <w:rPr>
                <w:rFonts w:cstheme="minorHAnsi"/>
                <w:i/>
                <w:iCs/>
              </w:rPr>
            </w:pPr>
          </w:p>
          <w:p w14:paraId="2A831B2E" w14:textId="77777777" w:rsidR="00B8460F" w:rsidRPr="00B8460F" w:rsidRDefault="00B8460F" w:rsidP="00346FA2">
            <w:pPr>
              <w:autoSpaceDE w:val="0"/>
              <w:autoSpaceDN w:val="0"/>
              <w:adjustRightInd w:val="0"/>
              <w:rPr>
                <w:rFonts w:cstheme="minorHAnsi"/>
              </w:rPr>
            </w:pPr>
            <w:r w:rsidRPr="00B8460F">
              <w:rPr>
                <w:rFonts w:cstheme="minorHAnsi"/>
                <w:i/>
                <w:iCs/>
              </w:rPr>
              <w:t xml:space="preserve">“It did make me think a lot deeper into the scenario. Rather than just like face value of, ‘oh I think this is what I would like to do’.” </w:t>
            </w:r>
            <w:r w:rsidRPr="00B8460F">
              <w:rPr>
                <w:rFonts w:cstheme="minorHAnsi"/>
              </w:rPr>
              <w:t>(PRT5)</w:t>
            </w:r>
          </w:p>
          <w:p w14:paraId="02B67FFE" w14:textId="77777777" w:rsidR="00B8460F" w:rsidRDefault="00B8460F"/>
        </w:tc>
      </w:tr>
      <w:tr w:rsidR="00B8460F" w14:paraId="4D13EF69" w14:textId="77777777" w:rsidTr="00B8460F">
        <w:tc>
          <w:tcPr>
            <w:tcW w:w="2263" w:type="dxa"/>
          </w:tcPr>
          <w:p w14:paraId="2314EB60" w14:textId="77777777" w:rsidR="00B8460F" w:rsidRPr="00B8460F" w:rsidRDefault="00B8460F" w:rsidP="00B8460F">
            <w:r w:rsidRPr="00B8460F">
              <w:t>Approaches to decision-making</w:t>
            </w:r>
            <w:r w:rsidR="00346FA2">
              <w:t>:</w:t>
            </w:r>
          </w:p>
          <w:p w14:paraId="749689A7" w14:textId="77777777" w:rsidR="00B8460F" w:rsidRDefault="00B8460F"/>
          <w:p w14:paraId="4E2BCC52" w14:textId="77777777" w:rsidR="00346FA2" w:rsidRDefault="00346FA2">
            <w:r>
              <w:t>Consider other’s views/perspectives</w:t>
            </w:r>
          </w:p>
          <w:p w14:paraId="014A3AFD" w14:textId="77777777" w:rsidR="00346FA2" w:rsidRDefault="00346FA2"/>
          <w:p w14:paraId="17C59D2E" w14:textId="77777777" w:rsidR="00346FA2" w:rsidRDefault="00346FA2"/>
          <w:p w14:paraId="132BBA11" w14:textId="77777777" w:rsidR="00346FA2" w:rsidRDefault="00346FA2">
            <w:r>
              <w:t>Reflective approach</w:t>
            </w:r>
          </w:p>
          <w:p w14:paraId="0F8DE0AE" w14:textId="77777777" w:rsidR="00346FA2" w:rsidRDefault="00346FA2"/>
          <w:p w14:paraId="50F11B69" w14:textId="77777777" w:rsidR="00346FA2" w:rsidRDefault="00346FA2"/>
          <w:p w14:paraId="4CB56313" w14:textId="77777777" w:rsidR="00346FA2" w:rsidRDefault="00346FA2"/>
          <w:p w14:paraId="65A69C7A" w14:textId="77777777" w:rsidR="00346FA2" w:rsidRDefault="00346FA2"/>
          <w:p w14:paraId="43CDE696" w14:textId="77777777" w:rsidR="00346FA2" w:rsidRDefault="00346FA2">
            <w:r>
              <w:t>Weigh up pros and cons</w:t>
            </w:r>
          </w:p>
          <w:p w14:paraId="4D13E268" w14:textId="77777777" w:rsidR="00346FA2" w:rsidRDefault="00346FA2"/>
        </w:tc>
        <w:tc>
          <w:tcPr>
            <w:tcW w:w="6753" w:type="dxa"/>
          </w:tcPr>
          <w:p w14:paraId="0EE1886D" w14:textId="77777777" w:rsidR="00346FA2" w:rsidRDefault="00346FA2" w:rsidP="00346FA2">
            <w:pPr>
              <w:tabs>
                <w:tab w:val="left" w:pos="3420"/>
              </w:tabs>
              <w:rPr>
                <w:rFonts w:cstheme="minorHAnsi"/>
                <w:i/>
              </w:rPr>
            </w:pPr>
          </w:p>
          <w:p w14:paraId="7D3B6C80" w14:textId="77777777" w:rsidR="00346FA2" w:rsidRPr="00346FA2" w:rsidRDefault="00346FA2" w:rsidP="00346FA2">
            <w:pPr>
              <w:tabs>
                <w:tab w:val="left" w:pos="3420"/>
              </w:tabs>
              <w:rPr>
                <w:rFonts w:eastAsia="Times New Roman" w:cstheme="minorHAnsi"/>
              </w:rPr>
            </w:pPr>
            <w:r w:rsidRPr="00346FA2">
              <w:rPr>
                <w:rFonts w:cstheme="minorHAnsi"/>
                <w:i/>
              </w:rPr>
              <w:t>“So it would allow you to kind of see from their perspective where they were coming from.  So that was quite useful I think.  Yes, so rather than having a blinkered view, you could at least – even if you didn’t agree with somebody - have a look and see what they were thinking about</w:t>
            </w:r>
            <w:r w:rsidRPr="00346FA2">
              <w:rPr>
                <w:rFonts w:eastAsia="Times New Roman" w:cstheme="minorHAnsi"/>
                <w:i/>
              </w:rPr>
              <w:t xml:space="preserve">.”  </w:t>
            </w:r>
            <w:r w:rsidRPr="00346FA2">
              <w:rPr>
                <w:rFonts w:eastAsia="Times New Roman" w:cstheme="minorHAnsi"/>
              </w:rPr>
              <w:t>(Pharmacist 3)</w:t>
            </w:r>
          </w:p>
          <w:p w14:paraId="6BBE5F76" w14:textId="77777777" w:rsidR="00B8460F" w:rsidRDefault="00B8460F"/>
          <w:p w14:paraId="0161208A" w14:textId="77777777" w:rsidR="00346FA2" w:rsidRPr="00346FA2" w:rsidRDefault="00346FA2" w:rsidP="00346FA2">
            <w:pPr>
              <w:autoSpaceDE w:val="0"/>
              <w:autoSpaceDN w:val="0"/>
              <w:adjustRightInd w:val="0"/>
              <w:rPr>
                <w:rFonts w:cstheme="minorHAnsi"/>
              </w:rPr>
            </w:pPr>
            <w:r w:rsidRPr="00346FA2">
              <w:rPr>
                <w:rFonts w:cstheme="minorHAnsi"/>
                <w:i/>
                <w:iCs/>
              </w:rPr>
              <w:t xml:space="preserve">“…it just taught me to think about things a little bit more, not just to rush my decisions. </w:t>
            </w:r>
            <w:r w:rsidRPr="00346FA2">
              <w:rPr>
                <w:rFonts w:cstheme="minorHAnsi"/>
              </w:rPr>
              <w:t xml:space="preserve">[…] </w:t>
            </w:r>
            <w:r w:rsidRPr="00346FA2">
              <w:rPr>
                <w:rFonts w:cstheme="minorHAnsi"/>
                <w:i/>
                <w:iCs/>
              </w:rPr>
              <w:t xml:space="preserve">to just look at the bigger picture and to take everything I can into consideration, and not just focus on one aspect of it.” </w:t>
            </w:r>
            <w:r w:rsidRPr="00346FA2">
              <w:rPr>
                <w:rFonts w:cstheme="minorHAnsi"/>
              </w:rPr>
              <w:t>(Pharmacist 6)</w:t>
            </w:r>
          </w:p>
          <w:p w14:paraId="062A0C8D" w14:textId="77777777" w:rsidR="00346FA2" w:rsidRDefault="00346FA2"/>
          <w:p w14:paraId="16303C77" w14:textId="77777777" w:rsidR="00346FA2" w:rsidRPr="00346FA2" w:rsidRDefault="00346FA2" w:rsidP="00346FA2">
            <w:pPr>
              <w:autoSpaceDE w:val="0"/>
              <w:autoSpaceDN w:val="0"/>
              <w:adjustRightInd w:val="0"/>
              <w:rPr>
                <w:rFonts w:cstheme="minorHAnsi"/>
              </w:rPr>
            </w:pPr>
            <w:r w:rsidRPr="00346FA2">
              <w:rPr>
                <w:rFonts w:cstheme="minorHAnsi"/>
                <w:i/>
              </w:rPr>
              <w:t>“So we have to weigh out the pros and cons of the decisions that we make and how they might impact – not just us, but the patient first.”</w:t>
            </w:r>
            <w:r w:rsidRPr="00346FA2">
              <w:rPr>
                <w:rFonts w:cstheme="minorHAnsi"/>
                <w:i/>
                <w:iCs/>
              </w:rPr>
              <w:t xml:space="preserve"> </w:t>
            </w:r>
            <w:r w:rsidRPr="00346FA2">
              <w:rPr>
                <w:rFonts w:cstheme="minorHAnsi"/>
              </w:rPr>
              <w:t>(Pharmacist 6)</w:t>
            </w:r>
          </w:p>
          <w:p w14:paraId="538C6BE4" w14:textId="77777777" w:rsidR="00346FA2" w:rsidRDefault="00346FA2"/>
        </w:tc>
      </w:tr>
      <w:tr w:rsidR="00B8460F" w14:paraId="1687B425" w14:textId="77777777" w:rsidTr="00B8460F">
        <w:tc>
          <w:tcPr>
            <w:tcW w:w="2263" w:type="dxa"/>
          </w:tcPr>
          <w:p w14:paraId="10D47C8B" w14:textId="77777777" w:rsidR="00B8460F" w:rsidRDefault="00B8460F">
            <w:r w:rsidRPr="00B8460F">
              <w:t>Exposure to cases in preparation for practice</w:t>
            </w:r>
          </w:p>
          <w:p w14:paraId="42BA9B77" w14:textId="77777777" w:rsidR="00346FA2" w:rsidRDefault="00346FA2"/>
          <w:p w14:paraId="0BEAFC33" w14:textId="77777777" w:rsidR="00346FA2" w:rsidRDefault="005D1954">
            <w:r>
              <w:t>Timing n</w:t>
            </w:r>
            <w:r w:rsidR="00346FA2">
              <w:t>ot reflective of dealing with dilemmas in real life</w:t>
            </w:r>
            <w:r>
              <w:t xml:space="preserve"> but additional time necessary</w:t>
            </w:r>
          </w:p>
        </w:tc>
        <w:tc>
          <w:tcPr>
            <w:tcW w:w="6753" w:type="dxa"/>
          </w:tcPr>
          <w:p w14:paraId="50D9ED71" w14:textId="77777777" w:rsidR="00346FA2" w:rsidRDefault="00346FA2" w:rsidP="00346FA2">
            <w:pPr>
              <w:autoSpaceDE w:val="0"/>
              <w:autoSpaceDN w:val="0"/>
              <w:adjustRightInd w:val="0"/>
              <w:rPr>
                <w:rFonts w:cstheme="minorHAnsi"/>
                <w:i/>
                <w:iCs/>
              </w:rPr>
            </w:pPr>
          </w:p>
          <w:p w14:paraId="5376FBBD" w14:textId="77777777" w:rsidR="00346FA2" w:rsidRDefault="00346FA2" w:rsidP="00346FA2">
            <w:pPr>
              <w:autoSpaceDE w:val="0"/>
              <w:autoSpaceDN w:val="0"/>
              <w:adjustRightInd w:val="0"/>
              <w:rPr>
                <w:rFonts w:cstheme="minorHAnsi"/>
                <w:i/>
                <w:iCs/>
              </w:rPr>
            </w:pPr>
          </w:p>
          <w:p w14:paraId="16A46CE3" w14:textId="77777777" w:rsidR="00346FA2" w:rsidRDefault="00346FA2" w:rsidP="00346FA2">
            <w:pPr>
              <w:autoSpaceDE w:val="0"/>
              <w:autoSpaceDN w:val="0"/>
              <w:adjustRightInd w:val="0"/>
              <w:rPr>
                <w:rFonts w:cstheme="minorHAnsi"/>
                <w:i/>
                <w:iCs/>
              </w:rPr>
            </w:pPr>
          </w:p>
          <w:p w14:paraId="3CF1F12B" w14:textId="77777777" w:rsidR="00346FA2" w:rsidRPr="00346FA2" w:rsidRDefault="00346FA2" w:rsidP="00346FA2">
            <w:pPr>
              <w:autoSpaceDE w:val="0"/>
              <w:autoSpaceDN w:val="0"/>
              <w:adjustRightInd w:val="0"/>
              <w:rPr>
                <w:rFonts w:cstheme="minorHAnsi"/>
              </w:rPr>
            </w:pPr>
            <w:r w:rsidRPr="00346FA2">
              <w:rPr>
                <w:rFonts w:cstheme="minorHAnsi"/>
                <w:i/>
                <w:iCs/>
              </w:rPr>
              <w:t xml:space="preserve">“… it’s important to make sure you learn everything first, so I’d rather have the time to learn it, rather than just doing it quickly </w:t>
            </w:r>
            <w:r w:rsidRPr="00346FA2">
              <w:rPr>
                <w:rFonts w:cstheme="minorHAnsi"/>
              </w:rPr>
              <w:t>[completing a case on</w:t>
            </w:r>
            <w:r w:rsidRPr="00346FA2">
              <w:rPr>
                <w:rFonts w:cstheme="minorHAnsi"/>
                <w:i/>
                <w:iCs/>
              </w:rPr>
              <w:t xml:space="preserve"> </w:t>
            </w:r>
            <w:r w:rsidRPr="00346FA2">
              <w:rPr>
                <w:rFonts w:cstheme="minorHAnsi"/>
              </w:rPr>
              <w:t xml:space="preserve">Values Exchange™] </w:t>
            </w:r>
            <w:r w:rsidRPr="00346FA2">
              <w:rPr>
                <w:rFonts w:cstheme="minorHAnsi"/>
                <w:i/>
                <w:iCs/>
              </w:rPr>
              <w:t xml:space="preserve">‘cos I wanna think about everything.” </w:t>
            </w:r>
            <w:r w:rsidRPr="00346FA2">
              <w:rPr>
                <w:rFonts w:cstheme="minorHAnsi"/>
              </w:rPr>
              <w:t>(PRT3)</w:t>
            </w:r>
          </w:p>
          <w:p w14:paraId="28BDDB02" w14:textId="77777777" w:rsidR="00B8460F" w:rsidRDefault="00B8460F"/>
        </w:tc>
      </w:tr>
      <w:tr w:rsidR="00B8460F" w14:paraId="126AE6A7" w14:textId="77777777" w:rsidTr="00B8460F">
        <w:tc>
          <w:tcPr>
            <w:tcW w:w="2263" w:type="dxa"/>
          </w:tcPr>
          <w:p w14:paraId="6F16AFCD" w14:textId="77777777" w:rsidR="005D1954" w:rsidRPr="005D1954" w:rsidRDefault="005D1954">
            <w:pPr>
              <w:rPr>
                <w:b/>
              </w:rPr>
            </w:pPr>
            <w:r w:rsidRPr="005D1954">
              <w:rPr>
                <w:b/>
              </w:rPr>
              <w:lastRenderedPageBreak/>
              <w:t>Potential enhancements for learning:</w:t>
            </w:r>
          </w:p>
          <w:p w14:paraId="54634CCC" w14:textId="77777777" w:rsidR="005D1954" w:rsidRDefault="005D1954"/>
          <w:p w14:paraId="00861BBC" w14:textId="77777777" w:rsidR="005D1954" w:rsidRDefault="005D1954">
            <w:r>
              <w:t>A blended approach to teaching</w:t>
            </w:r>
          </w:p>
        </w:tc>
        <w:tc>
          <w:tcPr>
            <w:tcW w:w="6753" w:type="dxa"/>
          </w:tcPr>
          <w:p w14:paraId="33E2A4CF" w14:textId="77777777" w:rsidR="005D1954" w:rsidRDefault="005D1954" w:rsidP="005D1954">
            <w:pPr>
              <w:autoSpaceDE w:val="0"/>
              <w:autoSpaceDN w:val="0"/>
              <w:adjustRightInd w:val="0"/>
              <w:rPr>
                <w:rFonts w:cstheme="minorHAnsi"/>
              </w:rPr>
            </w:pPr>
          </w:p>
          <w:p w14:paraId="18D964CE" w14:textId="77777777" w:rsidR="005D1954" w:rsidRPr="005D1954" w:rsidRDefault="005D1954" w:rsidP="005D1954">
            <w:pPr>
              <w:autoSpaceDE w:val="0"/>
              <w:autoSpaceDN w:val="0"/>
              <w:adjustRightInd w:val="0"/>
              <w:rPr>
                <w:rFonts w:cstheme="minorHAnsi"/>
                <w:color w:val="FF0000"/>
              </w:rPr>
            </w:pPr>
            <w:r w:rsidRPr="005D1954">
              <w:rPr>
                <w:rFonts w:cstheme="minorHAnsi"/>
              </w:rPr>
              <w:t>“</w:t>
            </w:r>
            <w:r w:rsidRPr="005D1954">
              <w:rPr>
                <w:rFonts w:cstheme="minorHAnsi"/>
                <w:i/>
              </w:rPr>
              <w:t xml:space="preserve">… so whether you did turn it into real life debates so then people can you know, they have to do it online but then, if people want to voice their opinions out loud then they can do, and then it gets a bit more engaging and a bit more active.” </w:t>
            </w:r>
            <w:r w:rsidRPr="005D1954">
              <w:rPr>
                <w:rFonts w:cstheme="minorHAnsi"/>
              </w:rPr>
              <w:t xml:space="preserve">(Pharmacist 4)  </w:t>
            </w:r>
          </w:p>
          <w:p w14:paraId="66FCFC60" w14:textId="77777777" w:rsidR="00B8460F" w:rsidRPr="005D1954" w:rsidRDefault="00B8460F" w:rsidP="005D1954">
            <w:pPr>
              <w:rPr>
                <w:rFonts w:cstheme="minorHAnsi"/>
              </w:rPr>
            </w:pPr>
          </w:p>
        </w:tc>
      </w:tr>
      <w:tr w:rsidR="005D1954" w14:paraId="544A0D1D" w14:textId="77777777" w:rsidTr="00B8460F">
        <w:tc>
          <w:tcPr>
            <w:tcW w:w="2263" w:type="dxa"/>
          </w:tcPr>
          <w:p w14:paraId="2A1F4287" w14:textId="77777777" w:rsidR="005D1954" w:rsidRDefault="005D1954">
            <w:r>
              <w:t>Resolution of cases</w:t>
            </w:r>
          </w:p>
        </w:tc>
        <w:tc>
          <w:tcPr>
            <w:tcW w:w="6753" w:type="dxa"/>
          </w:tcPr>
          <w:p w14:paraId="0C47EED1" w14:textId="77777777" w:rsidR="005D1954" w:rsidRPr="005D1954" w:rsidRDefault="005D1954" w:rsidP="005D1954">
            <w:pPr>
              <w:autoSpaceDE w:val="0"/>
              <w:autoSpaceDN w:val="0"/>
              <w:adjustRightInd w:val="0"/>
              <w:rPr>
                <w:rFonts w:cstheme="minorHAnsi"/>
              </w:rPr>
            </w:pPr>
            <w:r w:rsidRPr="005D1954">
              <w:rPr>
                <w:rFonts w:cstheme="minorHAnsi"/>
                <w:i/>
                <w:iCs/>
              </w:rPr>
              <w:t xml:space="preserve">“Some examples of some interesting and challenging cases and how they were resolved in practice might be useful, as there are no right or wrong ways of answering some of these difficult problems.” </w:t>
            </w:r>
            <w:r w:rsidRPr="005D1954">
              <w:rPr>
                <w:rFonts w:cstheme="minorHAnsi"/>
              </w:rPr>
              <w:t>(Pharmacist 3)</w:t>
            </w:r>
          </w:p>
          <w:p w14:paraId="3EA17D20" w14:textId="77777777" w:rsidR="005D1954" w:rsidRPr="005D1954" w:rsidRDefault="005D1954" w:rsidP="005D1954">
            <w:pPr>
              <w:rPr>
                <w:rFonts w:cstheme="minorHAnsi"/>
              </w:rPr>
            </w:pPr>
          </w:p>
        </w:tc>
      </w:tr>
    </w:tbl>
    <w:p w14:paraId="37E5FF3B" w14:textId="77777777" w:rsidR="00A36E73" w:rsidRDefault="007D1BA3"/>
    <w:sectPr w:rsidR="00A36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F"/>
    <w:rsid w:val="000C12FF"/>
    <w:rsid w:val="00346D74"/>
    <w:rsid w:val="00346FA2"/>
    <w:rsid w:val="005D1954"/>
    <w:rsid w:val="007D1BA3"/>
    <w:rsid w:val="00B8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AF8F"/>
  <w15:chartTrackingRefBased/>
  <w15:docId w15:val="{79F51E1D-16C2-4F28-851D-00466705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Allinson</dc:creator>
  <cp:keywords/>
  <dc:description/>
  <cp:lastModifiedBy>Maria Allinson</cp:lastModifiedBy>
  <cp:revision>2</cp:revision>
  <dcterms:created xsi:type="dcterms:W3CDTF">2020-09-04T14:12:00Z</dcterms:created>
  <dcterms:modified xsi:type="dcterms:W3CDTF">2020-12-06T18:45:00Z</dcterms:modified>
</cp:coreProperties>
</file>