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F740E" w14:textId="7739EA6B" w:rsidR="00C910E2" w:rsidRPr="001E55DD" w:rsidRDefault="00C910E2" w:rsidP="001E55DD">
      <w:pPr>
        <w:pStyle w:val="NormalWeb"/>
        <w:spacing w:before="0" w:beforeAutospacing="0" w:after="0" w:afterAutospacing="0"/>
        <w:jc w:val="center"/>
        <w:rPr>
          <w:rFonts w:ascii="Calibri" w:hAnsi="Calibri" w:cs="Calibri"/>
          <w:b/>
          <w:bCs/>
          <w:sz w:val="22"/>
          <w:szCs w:val="22"/>
        </w:rPr>
      </w:pPr>
      <w:r w:rsidRPr="001E55DD">
        <w:rPr>
          <w:rFonts w:ascii="Calibri" w:hAnsi="Calibri" w:cs="Calibri"/>
          <w:b/>
          <w:bCs/>
          <w:sz w:val="22"/>
          <w:szCs w:val="22"/>
        </w:rPr>
        <w:t>GREAT BRITAIN'S OLYMPIANS WITH GENERALISED JOINT HYPERMOBILITY HAVE A HIGHER PREVALENCE OF KNEE OSTEOARTHRITIS</w:t>
      </w:r>
    </w:p>
    <w:p w14:paraId="1071AE3E" w14:textId="229CBE5B" w:rsidR="001E55DD" w:rsidRPr="001E55DD" w:rsidRDefault="001E55DD" w:rsidP="001E55DD">
      <w:pPr>
        <w:pStyle w:val="p1"/>
        <w:shd w:val="clear" w:color="auto" w:fill="FFFFFF"/>
        <w:spacing w:before="0" w:beforeAutospacing="0" w:after="0" w:afterAutospacing="0"/>
        <w:rPr>
          <w:rFonts w:ascii="Calibri" w:hAnsi="Calibri" w:cs="Calibri"/>
          <w:color w:val="000000"/>
          <w:sz w:val="22"/>
          <w:szCs w:val="22"/>
        </w:rPr>
      </w:pPr>
      <w:r w:rsidRPr="001E55DD">
        <w:rPr>
          <w:rStyle w:val="it4"/>
          <w:rFonts w:ascii="Calibri" w:hAnsi="Calibri" w:cs="Calibri"/>
          <w:color w:val="000000"/>
          <w:sz w:val="22"/>
          <w:szCs w:val="22"/>
        </w:rPr>
        <w:t>D. Cooper</w:t>
      </w:r>
      <w:r w:rsidRPr="001E55DD">
        <w:rPr>
          <w:rStyle w:val="it5"/>
          <w:rFonts w:ascii="Calibri" w:hAnsi="Calibri" w:cs="Calibri"/>
          <w:color w:val="000000"/>
          <w:sz w:val="22"/>
          <w:szCs w:val="22"/>
          <w:vertAlign w:val="superscript"/>
        </w:rPr>
        <w:t>1,3</w:t>
      </w:r>
      <w:r w:rsidRPr="001E55DD">
        <w:rPr>
          <w:rStyle w:val="it4"/>
          <w:rFonts w:ascii="Calibri" w:hAnsi="Calibri" w:cs="Calibri"/>
          <w:color w:val="000000"/>
          <w:sz w:val="22"/>
          <w:szCs w:val="22"/>
        </w:rPr>
        <w:t>, B. E. Scammell</w:t>
      </w:r>
      <w:r w:rsidRPr="001E55DD">
        <w:rPr>
          <w:rStyle w:val="it5"/>
          <w:rFonts w:ascii="Calibri" w:hAnsi="Calibri" w:cs="Calibri"/>
          <w:color w:val="000000"/>
          <w:sz w:val="22"/>
          <w:szCs w:val="22"/>
          <w:vertAlign w:val="superscript"/>
        </w:rPr>
        <w:t>1,3</w:t>
      </w:r>
      <w:r w:rsidRPr="001E55DD">
        <w:rPr>
          <w:rStyle w:val="it4"/>
          <w:rFonts w:ascii="Calibri" w:hAnsi="Calibri" w:cs="Calibri"/>
          <w:color w:val="000000"/>
          <w:sz w:val="22"/>
          <w:szCs w:val="22"/>
        </w:rPr>
        <w:t>, M. E. Batt</w:t>
      </w:r>
      <w:proofErr w:type="gramStart"/>
      <w:r w:rsidRPr="001E55DD">
        <w:rPr>
          <w:rStyle w:val="it5"/>
          <w:rFonts w:ascii="Calibri" w:hAnsi="Calibri" w:cs="Calibri"/>
          <w:color w:val="000000"/>
          <w:sz w:val="22"/>
          <w:szCs w:val="22"/>
          <w:vertAlign w:val="superscript"/>
        </w:rPr>
        <w:t>2,3,</w:t>
      </w:r>
      <w:r w:rsidRPr="001E55DD">
        <w:rPr>
          <w:rStyle w:val="it4"/>
          <w:rFonts w:ascii="Calibri" w:hAnsi="Calibri" w:cs="Calibri"/>
          <w:color w:val="000000"/>
          <w:sz w:val="22"/>
          <w:szCs w:val="22"/>
        </w:rPr>
        <w:t>,</w:t>
      </w:r>
      <w:proofErr w:type="gramEnd"/>
      <w:r w:rsidRPr="001E55DD">
        <w:rPr>
          <w:rStyle w:val="it4"/>
          <w:rFonts w:ascii="Calibri" w:hAnsi="Calibri" w:cs="Calibri"/>
          <w:color w:val="000000"/>
          <w:sz w:val="22"/>
          <w:szCs w:val="22"/>
        </w:rPr>
        <w:t xml:space="preserve"> D. Palmer-Green</w:t>
      </w:r>
      <w:r w:rsidRPr="001E55DD">
        <w:rPr>
          <w:rStyle w:val="it5"/>
          <w:rFonts w:ascii="Calibri" w:hAnsi="Calibri" w:cs="Calibri"/>
          <w:color w:val="000000"/>
          <w:sz w:val="22"/>
          <w:szCs w:val="22"/>
          <w:vertAlign w:val="superscript"/>
        </w:rPr>
        <w:t>1,3</w:t>
      </w:r>
      <w:r w:rsidRPr="001E55DD">
        <w:rPr>
          <w:rStyle w:val="it4"/>
          <w:rFonts w:ascii="Calibri" w:hAnsi="Calibri" w:cs="Calibri"/>
          <w:color w:val="000000"/>
          <w:sz w:val="22"/>
          <w:szCs w:val="22"/>
        </w:rPr>
        <w:t>,</w:t>
      </w:r>
      <w:r w:rsidRPr="001E55DD">
        <w:rPr>
          <w:rStyle w:val="apple-converted-space"/>
          <w:rFonts w:ascii="Calibri" w:hAnsi="Calibri" w:cs="Calibri"/>
          <w:color w:val="000000"/>
          <w:sz w:val="22"/>
          <w:szCs w:val="22"/>
        </w:rPr>
        <w:t> </w:t>
      </w:r>
    </w:p>
    <w:p w14:paraId="74364B4D" w14:textId="77777777" w:rsidR="001E55DD" w:rsidRPr="001E55DD" w:rsidRDefault="001E55DD" w:rsidP="001E55DD">
      <w:pPr>
        <w:pStyle w:val="p1"/>
        <w:shd w:val="clear" w:color="auto" w:fill="FFFFFF"/>
        <w:spacing w:before="0" w:beforeAutospacing="0" w:after="0" w:afterAutospacing="0"/>
        <w:rPr>
          <w:rFonts w:ascii="Calibri" w:hAnsi="Calibri" w:cs="Calibri"/>
          <w:color w:val="000000"/>
          <w:sz w:val="22"/>
          <w:szCs w:val="22"/>
        </w:rPr>
      </w:pPr>
      <w:r w:rsidRPr="001E55DD">
        <w:rPr>
          <w:rStyle w:val="it6"/>
          <w:rFonts w:ascii="Calibri" w:hAnsi="Calibri" w:cs="Calibri"/>
          <w:i/>
          <w:iCs/>
          <w:color w:val="000000"/>
          <w:sz w:val="22"/>
          <w:szCs w:val="22"/>
          <w:vertAlign w:val="superscript"/>
        </w:rPr>
        <w:t>1</w:t>
      </w:r>
      <w:r w:rsidRPr="001E55DD">
        <w:rPr>
          <w:rStyle w:val="it7"/>
          <w:rFonts w:ascii="Calibri" w:hAnsi="Calibri" w:cs="Calibri"/>
          <w:i/>
          <w:iCs/>
          <w:color w:val="000000"/>
          <w:sz w:val="22"/>
          <w:szCs w:val="22"/>
        </w:rPr>
        <w:t>Division of Rheumatology, Orthopaedics and Dermatology, School of Medicine, University of Nottingham,</w:t>
      </w:r>
      <w:r w:rsidRPr="001E55DD">
        <w:rPr>
          <w:rStyle w:val="apple-converted-space"/>
          <w:rFonts w:ascii="Calibri" w:hAnsi="Calibri" w:cs="Calibri"/>
          <w:i/>
          <w:iCs/>
          <w:color w:val="000000"/>
          <w:sz w:val="22"/>
          <w:szCs w:val="22"/>
        </w:rPr>
        <w:t> </w:t>
      </w:r>
      <w:r w:rsidRPr="001E55DD">
        <w:rPr>
          <w:rStyle w:val="it5"/>
          <w:rFonts w:ascii="Calibri" w:hAnsi="Calibri" w:cs="Calibri"/>
          <w:color w:val="000000"/>
          <w:sz w:val="22"/>
          <w:szCs w:val="22"/>
          <w:vertAlign w:val="superscript"/>
        </w:rPr>
        <w:t>2</w:t>
      </w:r>
      <w:r w:rsidRPr="001E55DD">
        <w:rPr>
          <w:rStyle w:val="apple-converted-space"/>
          <w:rFonts w:ascii="Calibri" w:hAnsi="Calibri" w:cs="Calibri"/>
          <w:color w:val="000000"/>
          <w:sz w:val="22"/>
          <w:szCs w:val="22"/>
          <w:vertAlign w:val="superscript"/>
        </w:rPr>
        <w:t> </w:t>
      </w:r>
      <w:r w:rsidRPr="001E55DD">
        <w:rPr>
          <w:rStyle w:val="it4"/>
          <w:rFonts w:ascii="Calibri" w:hAnsi="Calibri" w:cs="Calibri"/>
          <w:color w:val="000000"/>
          <w:sz w:val="22"/>
          <w:szCs w:val="22"/>
        </w:rPr>
        <w:t>Nottingham University Hospitals NHS Trust,</w:t>
      </w:r>
      <w:r w:rsidRPr="001E55DD">
        <w:rPr>
          <w:rStyle w:val="apple-converted-space"/>
          <w:rFonts w:ascii="Calibri" w:hAnsi="Calibri" w:cs="Calibri"/>
          <w:color w:val="000000"/>
          <w:sz w:val="22"/>
          <w:szCs w:val="22"/>
        </w:rPr>
        <w:t> </w:t>
      </w:r>
      <w:r w:rsidRPr="001E55DD">
        <w:rPr>
          <w:rStyle w:val="it5"/>
          <w:rFonts w:ascii="Calibri" w:hAnsi="Calibri" w:cs="Calibri"/>
          <w:color w:val="000000"/>
          <w:sz w:val="22"/>
          <w:szCs w:val="22"/>
          <w:vertAlign w:val="superscript"/>
        </w:rPr>
        <w:t>3</w:t>
      </w:r>
      <w:r w:rsidRPr="001E55DD">
        <w:rPr>
          <w:rStyle w:val="apple-converted-space"/>
          <w:rFonts w:ascii="Calibri" w:hAnsi="Calibri" w:cs="Calibri"/>
          <w:color w:val="000000"/>
          <w:sz w:val="22"/>
          <w:szCs w:val="22"/>
          <w:vertAlign w:val="superscript"/>
        </w:rPr>
        <w:t> </w:t>
      </w:r>
      <w:r w:rsidRPr="001E55DD">
        <w:rPr>
          <w:rStyle w:val="it4"/>
          <w:rFonts w:ascii="Calibri" w:hAnsi="Calibri" w:cs="Calibri"/>
          <w:color w:val="000000"/>
          <w:sz w:val="22"/>
          <w:szCs w:val="22"/>
        </w:rPr>
        <w:t>Arthritis Research UK Centre for Sport, Exercise and Osteoarthritis</w:t>
      </w:r>
    </w:p>
    <w:p w14:paraId="62758AE9" w14:textId="77777777" w:rsidR="001E55DD" w:rsidRPr="001E55DD" w:rsidRDefault="001E55DD" w:rsidP="001E55DD">
      <w:pPr>
        <w:pStyle w:val="NormalWeb"/>
        <w:spacing w:before="0" w:beforeAutospacing="0" w:after="0" w:afterAutospacing="0"/>
        <w:rPr>
          <w:rFonts w:ascii="Calibri" w:hAnsi="Calibri" w:cs="Calibri"/>
          <w:sz w:val="22"/>
          <w:szCs w:val="22"/>
        </w:rPr>
      </w:pPr>
    </w:p>
    <w:p w14:paraId="14DFC766" w14:textId="77777777" w:rsidR="001E55DD" w:rsidRPr="001E55DD" w:rsidRDefault="00C910E2" w:rsidP="001E55DD">
      <w:pPr>
        <w:rPr>
          <w:rFonts w:ascii="Calibri" w:eastAsia="Times New Roman" w:hAnsi="Calibri" w:cs="Calibri"/>
          <w:sz w:val="22"/>
          <w:szCs w:val="22"/>
          <w:lang w:eastAsia="en-GB"/>
        </w:rPr>
      </w:pPr>
      <w:r w:rsidRPr="001E55DD">
        <w:rPr>
          <w:rFonts w:ascii="Calibri" w:hAnsi="Calibri" w:cs="Calibri"/>
          <w:b/>
          <w:bCs/>
          <w:sz w:val="22"/>
          <w:szCs w:val="22"/>
        </w:rPr>
        <w:t>Purpose:</w:t>
      </w:r>
      <w:r w:rsidRPr="001E55DD">
        <w:rPr>
          <w:rFonts w:ascii="Calibri" w:hAnsi="Calibri" w:cs="Calibri"/>
          <w:sz w:val="22"/>
          <w:szCs w:val="22"/>
        </w:rPr>
        <w:t xml:space="preserve"> </w:t>
      </w:r>
      <w:r w:rsidR="001E55DD" w:rsidRPr="001E55DD">
        <w:rPr>
          <w:rFonts w:ascii="Calibri" w:eastAsia="Times New Roman" w:hAnsi="Calibri" w:cs="Calibri"/>
          <w:color w:val="000000"/>
          <w:sz w:val="22"/>
          <w:szCs w:val="22"/>
          <w:shd w:val="clear" w:color="auto" w:fill="FFFFFF"/>
          <w:lang w:eastAsia="en-GB"/>
        </w:rPr>
        <w:t>Individuals with generalized joint hypermobility (GJH) are reported, in the clinical setting, to be at greater risk of developing musculoskeletal related joint pain, joint dislocations and tendinopathies. It is hypothesized that impaired static and dynamic neuromuscular movement control in those with GJH is responsible for contributing to an increased risk of injury and subsequent knee osteoarthritis (OA). Yet, to date, it remains unproven if there is an association between GJH and knee OA. Whilst GJH is a known risk factor for injury in elite athletes, there is virtually no evidence to determine the long-term sequelae including the risk of developing knee OA in later life. This study aimed to determine in Great Britain’s (GB) Olympians, aged 40-years and older, (1) the individual risk factors associated with the onset of knee OA, and (2) if GJH is a risk factor or protector for the onset of knee OA.  </w:t>
      </w:r>
    </w:p>
    <w:p w14:paraId="1F3E2364" w14:textId="77777777" w:rsidR="001E55DD" w:rsidRPr="001E55DD" w:rsidRDefault="001E55DD" w:rsidP="001E55DD">
      <w:pPr>
        <w:pStyle w:val="NormalWeb"/>
        <w:spacing w:before="0" w:beforeAutospacing="0" w:after="0" w:afterAutospacing="0"/>
        <w:rPr>
          <w:rFonts w:ascii="Calibri" w:hAnsi="Calibri" w:cs="Calibri"/>
          <w:sz w:val="22"/>
          <w:szCs w:val="22"/>
        </w:rPr>
      </w:pPr>
    </w:p>
    <w:p w14:paraId="68D97F5C" w14:textId="284DE32C" w:rsidR="001E55DD" w:rsidRPr="001E55DD" w:rsidRDefault="00C910E2" w:rsidP="001E55DD">
      <w:pPr>
        <w:rPr>
          <w:rFonts w:ascii="Calibri" w:eastAsia="Times New Roman" w:hAnsi="Calibri" w:cs="Calibri"/>
          <w:sz w:val="22"/>
          <w:szCs w:val="22"/>
          <w:lang w:eastAsia="en-GB"/>
        </w:rPr>
      </w:pPr>
      <w:r w:rsidRPr="001E55DD">
        <w:rPr>
          <w:rFonts w:ascii="Calibri" w:hAnsi="Calibri" w:cs="Calibri"/>
          <w:b/>
          <w:bCs/>
          <w:sz w:val="22"/>
          <w:szCs w:val="22"/>
        </w:rPr>
        <w:t>Methods:</w:t>
      </w:r>
      <w:r w:rsidRPr="001E55DD">
        <w:rPr>
          <w:rFonts w:ascii="Calibri" w:hAnsi="Calibri" w:cs="Calibri"/>
          <w:sz w:val="22"/>
          <w:szCs w:val="22"/>
        </w:rPr>
        <w:t xml:space="preserve"> </w:t>
      </w:r>
      <w:r w:rsidR="001E55DD" w:rsidRPr="001E55DD">
        <w:rPr>
          <w:rFonts w:ascii="Calibri" w:eastAsia="Times New Roman" w:hAnsi="Calibri" w:cs="Calibri"/>
          <w:color w:val="000000"/>
          <w:sz w:val="22"/>
          <w:szCs w:val="22"/>
          <w:lang w:eastAsia="en-GB"/>
        </w:rPr>
        <w:t xml:space="preserve">A cross-sectional study. A web-based and paper questionnaire was used to collect data on putative risk factors associated with the onset of OA. The presence of OA was defined by a self-reported clinician-diagnosis, whereby GB Olympians </w:t>
      </w:r>
      <w:r w:rsidR="001E55DD" w:rsidRPr="00072ECC">
        <w:rPr>
          <w:rFonts w:ascii="Calibri" w:eastAsia="Times New Roman" w:hAnsi="Calibri" w:cs="Calibri"/>
          <w:color w:val="000000" w:themeColor="text1"/>
          <w:sz w:val="22"/>
          <w:szCs w:val="22"/>
          <w:lang w:eastAsia="en-GB"/>
        </w:rPr>
        <w:t xml:space="preserve">confirmed that a physician </w:t>
      </w:r>
      <w:r w:rsidR="001E55DD" w:rsidRPr="001E55DD">
        <w:rPr>
          <w:rFonts w:ascii="Calibri" w:eastAsia="Times New Roman" w:hAnsi="Calibri" w:cs="Calibri"/>
          <w:color w:val="000000"/>
          <w:sz w:val="22"/>
          <w:szCs w:val="22"/>
          <w:lang w:eastAsia="en-GB"/>
        </w:rPr>
        <w:t>or a healthcare professional had previously diagnosed them with the condition. The most severe knee was selected as the index joint for data analysis. GJH was determined by a self-examination revised Beighton score of </w:t>
      </w:r>
      <w:r w:rsidR="001E55DD" w:rsidRPr="001E55DD">
        <w:rPr>
          <w:rFonts w:ascii="Calibri" w:eastAsia="Times New Roman" w:hAnsi="Calibri" w:cs="Calibri"/>
          <w:color w:val="000000"/>
          <w:sz w:val="22"/>
          <w:szCs w:val="22"/>
          <w:u w:val="single"/>
          <w:lang w:eastAsia="en-GB"/>
        </w:rPr>
        <w:t>&gt;</w:t>
      </w:r>
      <w:r w:rsidR="001E55DD" w:rsidRPr="001E55DD">
        <w:rPr>
          <w:rFonts w:ascii="Calibri" w:eastAsia="Times New Roman" w:hAnsi="Calibri" w:cs="Calibri"/>
          <w:color w:val="000000"/>
          <w:sz w:val="22"/>
          <w:szCs w:val="22"/>
          <w:lang w:eastAsia="en-GB"/>
        </w:rPr>
        <w:t> 4/9. The modified Beighton score was recorded using</w:t>
      </w:r>
      <w:r w:rsidR="001E55DD" w:rsidRPr="001E55DD">
        <w:rPr>
          <w:rFonts w:ascii="Calibri" w:eastAsia="Times New Roman" w:hAnsi="Calibri" w:cs="Calibri"/>
          <w:color w:val="FE4940"/>
          <w:sz w:val="22"/>
          <w:szCs w:val="22"/>
          <w:lang w:eastAsia="en-GB"/>
        </w:rPr>
        <w:t> </w:t>
      </w:r>
      <w:r w:rsidR="001E55DD" w:rsidRPr="001E55DD">
        <w:rPr>
          <w:rFonts w:ascii="Calibri" w:eastAsia="Times New Roman" w:hAnsi="Calibri" w:cs="Calibri"/>
          <w:color w:val="000000"/>
          <w:sz w:val="22"/>
          <w:szCs w:val="22"/>
          <w:lang w:eastAsia="en-GB"/>
        </w:rPr>
        <w:t>an original, self-reported electronic joint hypermobility instrument that was validated and shown</w:t>
      </w:r>
      <w:r w:rsidR="001E55DD" w:rsidRPr="001E55DD">
        <w:rPr>
          <w:rStyle w:val="NormalWeb"/>
          <w:rFonts w:ascii="Calibri" w:hAnsi="Calibri" w:cs="Calibri"/>
          <w:color w:val="000000"/>
          <w:sz w:val="22"/>
          <w:szCs w:val="22"/>
        </w:rPr>
        <w:t xml:space="preserve"> </w:t>
      </w:r>
      <w:r w:rsidR="001E55DD" w:rsidRPr="001E55DD">
        <w:rPr>
          <w:rFonts w:ascii="Calibri" w:eastAsia="Times New Roman" w:hAnsi="Calibri" w:cs="Calibri"/>
          <w:color w:val="000000"/>
          <w:sz w:val="22"/>
          <w:szCs w:val="22"/>
          <w:lang w:eastAsia="en-GB"/>
        </w:rPr>
        <w:t>to be highly sensitive, specific, and comparable to expert clinical assessment.</w:t>
      </w:r>
      <w:r w:rsidR="00072ECC">
        <w:rPr>
          <w:rFonts w:ascii="Calibri" w:eastAsia="Times New Roman" w:hAnsi="Calibri" w:cs="Calibri"/>
          <w:color w:val="000000"/>
          <w:sz w:val="22"/>
          <w:szCs w:val="22"/>
          <w:lang w:eastAsia="en-GB"/>
        </w:rPr>
        <w:t xml:space="preserve"> </w:t>
      </w:r>
      <w:r w:rsidR="001E55DD" w:rsidRPr="001E55DD">
        <w:rPr>
          <w:rFonts w:ascii="Calibri" w:eastAsia="Times New Roman" w:hAnsi="Calibri" w:cs="Calibri"/>
          <w:color w:val="000000"/>
          <w:sz w:val="22"/>
          <w:szCs w:val="22"/>
          <w:lang w:eastAsia="en-GB"/>
        </w:rPr>
        <w:t>Relative risk (RR) was estimated using odds ratio (OR) and confounding factors were adjusted (</w:t>
      </w:r>
      <w:proofErr w:type="spellStart"/>
      <w:r w:rsidR="001E55DD" w:rsidRPr="001E55DD">
        <w:rPr>
          <w:rFonts w:ascii="Calibri" w:eastAsia="Times New Roman" w:hAnsi="Calibri" w:cs="Calibri"/>
          <w:color w:val="000000"/>
          <w:sz w:val="22"/>
          <w:szCs w:val="22"/>
          <w:lang w:eastAsia="en-GB"/>
        </w:rPr>
        <w:t>aOR</w:t>
      </w:r>
      <w:proofErr w:type="spellEnd"/>
      <w:r w:rsidR="001E55DD" w:rsidRPr="001E55DD">
        <w:rPr>
          <w:rFonts w:ascii="Calibri" w:eastAsia="Times New Roman" w:hAnsi="Calibri" w:cs="Calibri"/>
          <w:color w:val="000000"/>
          <w:sz w:val="22"/>
          <w:szCs w:val="22"/>
          <w:lang w:eastAsia="en-GB"/>
        </w:rPr>
        <w:t>) using logistic regression. The Faculty of Medicine and Health Sciences Research Ethics Committee at the University of Nottingham approved the study.</w:t>
      </w:r>
    </w:p>
    <w:p w14:paraId="183E9732" w14:textId="77777777" w:rsidR="001E55DD" w:rsidRPr="001E55DD" w:rsidRDefault="001E55DD" w:rsidP="001E55DD">
      <w:pPr>
        <w:pStyle w:val="NormalWeb"/>
        <w:spacing w:before="0" w:beforeAutospacing="0" w:after="0" w:afterAutospacing="0"/>
        <w:rPr>
          <w:rFonts w:ascii="Calibri" w:hAnsi="Calibri" w:cs="Calibri"/>
          <w:sz w:val="22"/>
          <w:szCs w:val="22"/>
        </w:rPr>
      </w:pPr>
    </w:p>
    <w:p w14:paraId="1379794A" w14:textId="4F10E0CE" w:rsidR="001E55DD" w:rsidRPr="001E55DD" w:rsidRDefault="00C910E2" w:rsidP="001E55DD">
      <w:pPr>
        <w:rPr>
          <w:rFonts w:ascii="Calibri" w:eastAsia="Times New Roman" w:hAnsi="Calibri" w:cs="Calibri"/>
          <w:sz w:val="22"/>
          <w:szCs w:val="22"/>
          <w:lang w:eastAsia="en-GB"/>
        </w:rPr>
      </w:pPr>
      <w:r w:rsidRPr="001E55DD">
        <w:rPr>
          <w:rFonts w:ascii="Calibri" w:hAnsi="Calibri" w:cs="Calibri"/>
          <w:b/>
          <w:bCs/>
          <w:sz w:val="22"/>
          <w:szCs w:val="22"/>
        </w:rPr>
        <w:t>Results:</w:t>
      </w:r>
      <w:r w:rsidRPr="001E55DD">
        <w:rPr>
          <w:rFonts w:ascii="Calibri" w:hAnsi="Calibri" w:cs="Calibri"/>
          <w:sz w:val="22"/>
          <w:szCs w:val="22"/>
        </w:rPr>
        <w:t xml:space="preserve"> </w:t>
      </w:r>
      <w:r w:rsidR="00072ECC">
        <w:rPr>
          <w:rFonts w:ascii="Calibri" w:hAnsi="Calibri" w:cs="Calibri"/>
          <w:sz w:val="22"/>
          <w:szCs w:val="22"/>
        </w:rPr>
        <w:t>T</w:t>
      </w:r>
      <w:r w:rsidR="001E55DD" w:rsidRPr="001E55DD">
        <w:rPr>
          <w:rFonts w:ascii="Calibri" w:eastAsia="Times New Roman" w:hAnsi="Calibri" w:cs="Calibri"/>
          <w:color w:val="000000"/>
          <w:sz w:val="22"/>
          <w:szCs w:val="22"/>
          <w:lang w:eastAsia="en-GB"/>
        </w:rPr>
        <w:t>he response rate was 32%, with 605 returns achieved from GB Olympians (40-97 years), between the 22</w:t>
      </w:r>
      <w:r w:rsidR="001E55DD" w:rsidRPr="001E55DD">
        <w:rPr>
          <w:rFonts w:ascii="Calibri" w:eastAsia="Times New Roman" w:hAnsi="Calibri" w:cs="Calibri"/>
          <w:color w:val="000000"/>
          <w:sz w:val="22"/>
          <w:szCs w:val="22"/>
          <w:vertAlign w:val="superscript"/>
          <w:lang w:eastAsia="en-GB"/>
        </w:rPr>
        <w:t>nd</w:t>
      </w:r>
      <w:r w:rsidR="001E55DD" w:rsidRPr="001E55DD">
        <w:rPr>
          <w:rFonts w:ascii="Calibri" w:eastAsia="Times New Roman" w:hAnsi="Calibri" w:cs="Calibri"/>
          <w:color w:val="000000"/>
          <w:sz w:val="22"/>
          <w:szCs w:val="22"/>
          <w:lang w:eastAsia="en-GB"/>
        </w:rPr>
        <w:t> of May 2014 and the 31</w:t>
      </w:r>
      <w:r w:rsidR="001E55DD" w:rsidRPr="001E55DD">
        <w:rPr>
          <w:rFonts w:ascii="Calibri" w:eastAsia="Times New Roman" w:hAnsi="Calibri" w:cs="Calibri"/>
          <w:color w:val="000000"/>
          <w:sz w:val="22"/>
          <w:szCs w:val="22"/>
          <w:vertAlign w:val="superscript"/>
          <w:lang w:eastAsia="en-GB"/>
        </w:rPr>
        <w:t>st</w:t>
      </w:r>
      <w:r w:rsidR="001E55DD" w:rsidRPr="001E55DD">
        <w:rPr>
          <w:rFonts w:ascii="Calibri" w:eastAsia="Times New Roman" w:hAnsi="Calibri" w:cs="Calibri"/>
          <w:color w:val="000000"/>
          <w:sz w:val="22"/>
          <w:szCs w:val="22"/>
          <w:lang w:eastAsia="en-GB"/>
        </w:rPr>
        <w:t> January 2015. Questionnaires with missing data were excluded from the data analysis. The prevalence of knee OA was 14.2% (</w:t>
      </w:r>
      <w:r w:rsidR="001E55DD" w:rsidRPr="001E55DD">
        <w:rPr>
          <w:rFonts w:ascii="Calibri" w:eastAsia="Times New Roman" w:hAnsi="Calibri" w:cs="Calibri"/>
          <w:i/>
          <w:iCs/>
          <w:color w:val="000000"/>
          <w:sz w:val="22"/>
          <w:szCs w:val="22"/>
          <w:lang w:eastAsia="en-GB"/>
        </w:rPr>
        <w:t>n</w:t>
      </w:r>
      <w:r w:rsidR="001E55DD" w:rsidRPr="001E55DD">
        <w:rPr>
          <w:rFonts w:ascii="Calibri" w:eastAsia="Times New Roman" w:hAnsi="Calibri" w:cs="Calibri"/>
          <w:color w:val="000000"/>
          <w:sz w:val="22"/>
          <w:szCs w:val="22"/>
          <w:lang w:eastAsia="en-GB"/>
        </w:rPr>
        <w:t> = 85/597) and GJH 13.8% (</w:t>
      </w:r>
      <w:r w:rsidR="001E55DD" w:rsidRPr="001E55DD">
        <w:rPr>
          <w:rFonts w:ascii="Calibri" w:eastAsia="Times New Roman" w:hAnsi="Calibri" w:cs="Calibri"/>
          <w:i/>
          <w:iCs/>
          <w:color w:val="000000"/>
          <w:sz w:val="22"/>
          <w:szCs w:val="22"/>
          <w:lang w:eastAsia="en-GB"/>
        </w:rPr>
        <w:t>n</w:t>
      </w:r>
      <w:r w:rsidR="001E55DD" w:rsidRPr="001E55DD">
        <w:rPr>
          <w:rFonts w:ascii="Calibri" w:eastAsia="Times New Roman" w:hAnsi="Calibri" w:cs="Calibri"/>
          <w:color w:val="000000"/>
          <w:sz w:val="22"/>
          <w:szCs w:val="22"/>
          <w:lang w:eastAsia="en-GB"/>
        </w:rPr>
        <w:t xml:space="preserve"> = 70/509). A Pearson’s chi-square test </w:t>
      </w:r>
      <w:r w:rsidR="001E55DD" w:rsidRPr="00072ECC">
        <w:rPr>
          <w:rFonts w:ascii="Calibri" w:eastAsia="Times New Roman" w:hAnsi="Calibri" w:cs="Calibri"/>
          <w:color w:val="000000" w:themeColor="text1"/>
          <w:sz w:val="22"/>
          <w:szCs w:val="22"/>
          <w:lang w:eastAsia="en-GB"/>
        </w:rPr>
        <w:t xml:space="preserve">indicated that GB </w:t>
      </w:r>
      <w:r w:rsidR="001E55DD" w:rsidRPr="001E55DD">
        <w:rPr>
          <w:rFonts w:ascii="Calibri" w:eastAsia="Times New Roman" w:hAnsi="Calibri" w:cs="Calibri"/>
          <w:color w:val="000000"/>
          <w:sz w:val="22"/>
          <w:szCs w:val="22"/>
          <w:lang w:eastAsia="en-GB"/>
        </w:rPr>
        <w:t>Olympians with GJH during their twenties were more likely to develop knee OA </w:t>
      </w:r>
      <w:r w:rsidR="001E55DD" w:rsidRPr="001E55DD">
        <w:rPr>
          <w:rFonts w:ascii="Calibri" w:eastAsia="Times New Roman" w:hAnsi="Calibri" w:cs="Calibri"/>
          <w:i/>
          <w:iCs/>
          <w:color w:val="000000"/>
          <w:sz w:val="22"/>
          <w:szCs w:val="22"/>
          <w:lang w:eastAsia="en-GB"/>
        </w:rPr>
        <w:t>X</w:t>
      </w:r>
      <w:r w:rsidR="001E55DD" w:rsidRPr="001E55DD">
        <w:rPr>
          <w:rFonts w:ascii="Calibri" w:eastAsia="Times New Roman" w:hAnsi="Calibri" w:cs="Calibri"/>
          <w:color w:val="000000"/>
          <w:sz w:val="22"/>
          <w:szCs w:val="22"/>
          <w:vertAlign w:val="superscript"/>
          <w:lang w:eastAsia="en-GB"/>
        </w:rPr>
        <w:t>2</w:t>
      </w:r>
      <w:r w:rsidR="001E55DD" w:rsidRPr="001E55DD">
        <w:rPr>
          <w:rFonts w:ascii="Calibri" w:eastAsia="Times New Roman" w:hAnsi="Calibri" w:cs="Calibri"/>
          <w:color w:val="000000"/>
          <w:sz w:val="22"/>
          <w:szCs w:val="22"/>
          <w:lang w:eastAsia="en-GB"/>
        </w:rPr>
        <w:t>(1) = 4.95,</w:t>
      </w:r>
      <w:r w:rsidR="001E55DD" w:rsidRPr="001E55DD">
        <w:rPr>
          <w:rFonts w:ascii="Calibri" w:eastAsia="Times New Roman" w:hAnsi="Calibri" w:cs="Calibri"/>
          <w:i/>
          <w:iCs/>
          <w:color w:val="000000"/>
          <w:sz w:val="22"/>
          <w:szCs w:val="22"/>
          <w:lang w:eastAsia="en-GB"/>
        </w:rPr>
        <w:t> p</w:t>
      </w:r>
      <w:r w:rsidR="001E55DD" w:rsidRPr="001E55DD">
        <w:rPr>
          <w:rFonts w:ascii="Calibri" w:eastAsia="Times New Roman" w:hAnsi="Calibri" w:cs="Calibri"/>
          <w:color w:val="000000"/>
          <w:sz w:val="22"/>
          <w:szCs w:val="22"/>
          <w:lang w:eastAsia="en-GB"/>
        </w:rPr>
        <w:t xml:space="preserve"> &lt; .05 (OR, 2.05; 95% CI, 1.08, 3.89). Logistic regression analysis using five predictors (age, </w:t>
      </w:r>
      <w:r w:rsidR="001E55DD" w:rsidRPr="00072ECC">
        <w:rPr>
          <w:rFonts w:ascii="Calibri" w:eastAsia="Times New Roman" w:hAnsi="Calibri" w:cs="Calibri"/>
          <w:color w:val="000000" w:themeColor="text1"/>
          <w:sz w:val="22"/>
          <w:szCs w:val="22"/>
          <w:lang w:eastAsia="en-GB"/>
        </w:rPr>
        <w:t>body mass index</w:t>
      </w:r>
      <w:r w:rsidR="001E55DD" w:rsidRPr="001E55DD">
        <w:rPr>
          <w:rFonts w:ascii="Calibri" w:eastAsia="Times New Roman" w:hAnsi="Calibri" w:cs="Calibri"/>
          <w:color w:val="000000"/>
          <w:sz w:val="22"/>
          <w:szCs w:val="22"/>
          <w:lang w:eastAsia="en-GB"/>
        </w:rPr>
        <w:t xml:space="preserve">, gender, previous knee injury and GJH) was able to correctly classify 87% of cases. The chi-square value for the Hosmer and </w:t>
      </w:r>
      <w:proofErr w:type="spellStart"/>
      <w:r w:rsidR="001E55DD" w:rsidRPr="001E55DD">
        <w:rPr>
          <w:rFonts w:ascii="Calibri" w:eastAsia="Times New Roman" w:hAnsi="Calibri" w:cs="Calibri"/>
          <w:color w:val="000000"/>
          <w:sz w:val="22"/>
          <w:szCs w:val="22"/>
          <w:lang w:eastAsia="en-GB"/>
        </w:rPr>
        <w:t>Lemeshow</w:t>
      </w:r>
      <w:proofErr w:type="spellEnd"/>
      <w:r w:rsidR="001E55DD" w:rsidRPr="001E55DD">
        <w:rPr>
          <w:rFonts w:ascii="Calibri" w:eastAsia="Times New Roman" w:hAnsi="Calibri" w:cs="Calibri"/>
          <w:color w:val="000000"/>
          <w:sz w:val="22"/>
          <w:szCs w:val="22"/>
          <w:lang w:eastAsia="en-GB"/>
        </w:rPr>
        <w:t xml:space="preserve"> Test indicated support for the fit of the multivariable regression model </w:t>
      </w:r>
      <w:r w:rsidR="001E55DD" w:rsidRPr="001E55DD">
        <w:rPr>
          <w:rFonts w:ascii="Calibri" w:eastAsia="Times New Roman" w:hAnsi="Calibri" w:cs="Calibri"/>
          <w:i/>
          <w:iCs/>
          <w:color w:val="000000"/>
          <w:sz w:val="22"/>
          <w:szCs w:val="22"/>
          <w:lang w:eastAsia="en-GB"/>
        </w:rPr>
        <w:t>p</w:t>
      </w:r>
      <w:r w:rsidR="001E55DD" w:rsidRPr="001E55DD">
        <w:rPr>
          <w:rFonts w:ascii="Calibri" w:eastAsia="Times New Roman" w:hAnsi="Calibri" w:cs="Calibri"/>
          <w:color w:val="000000"/>
          <w:sz w:val="22"/>
          <w:szCs w:val="22"/>
          <w:lang w:eastAsia="en-GB"/>
        </w:rPr>
        <w:t> &gt; .05. </w:t>
      </w:r>
    </w:p>
    <w:p w14:paraId="007AD108" w14:textId="362ED8FC" w:rsidR="00C910E2" w:rsidRPr="001E55DD" w:rsidRDefault="00C910E2" w:rsidP="001E55DD">
      <w:pPr>
        <w:pStyle w:val="NormalWeb"/>
        <w:spacing w:before="0" w:beforeAutospacing="0" w:after="0" w:afterAutospacing="0"/>
        <w:rPr>
          <w:rFonts w:ascii="Calibri" w:hAnsi="Calibri" w:cs="Calibri"/>
          <w:sz w:val="22"/>
          <w:szCs w:val="22"/>
        </w:rPr>
      </w:pPr>
    </w:p>
    <w:p w14:paraId="69C447A7" w14:textId="77777777" w:rsidR="001E55DD" w:rsidRPr="001E55DD" w:rsidRDefault="001E55DD" w:rsidP="001E55DD">
      <w:pPr>
        <w:shd w:val="clear" w:color="auto" w:fill="FFFFFF"/>
        <w:rPr>
          <w:rFonts w:ascii="Calibri" w:eastAsia="Times New Roman" w:hAnsi="Calibri" w:cs="Calibri"/>
          <w:color w:val="000000"/>
          <w:sz w:val="22"/>
          <w:szCs w:val="22"/>
          <w:lang w:eastAsia="en-GB"/>
        </w:rPr>
      </w:pPr>
      <w:r w:rsidRPr="001E55DD">
        <w:rPr>
          <w:rFonts w:ascii="Calibri" w:eastAsia="Times New Roman" w:hAnsi="Calibri" w:cs="Calibri"/>
          <w:color w:val="000000"/>
          <w:sz w:val="22"/>
          <w:szCs w:val="22"/>
          <w:lang w:eastAsia="en-GB"/>
        </w:rPr>
        <w:t>The strongest predictor of knee OA was a history of a previous significant knee injury [</w:t>
      </w:r>
      <w:proofErr w:type="spellStart"/>
      <w:r w:rsidRPr="001E55DD">
        <w:rPr>
          <w:rFonts w:ascii="Calibri" w:eastAsia="Times New Roman" w:hAnsi="Calibri" w:cs="Calibri"/>
          <w:color w:val="000000"/>
          <w:sz w:val="22"/>
          <w:szCs w:val="22"/>
          <w:lang w:eastAsia="en-GB"/>
        </w:rPr>
        <w:t>aOR</w:t>
      </w:r>
      <w:proofErr w:type="spellEnd"/>
      <w:r w:rsidRPr="001E55DD">
        <w:rPr>
          <w:rFonts w:ascii="Calibri" w:eastAsia="Times New Roman" w:hAnsi="Calibri" w:cs="Calibri"/>
          <w:color w:val="000000"/>
          <w:sz w:val="22"/>
          <w:szCs w:val="22"/>
          <w:lang w:eastAsia="en-GB"/>
        </w:rPr>
        <w:t>, 4.95; 95% CI 2.68, 9.13]. The odds of GB Olympians reporting knee OA was significantly higher with a one-unit increase in body mass index (Kg/m2) [</w:t>
      </w:r>
      <w:proofErr w:type="spellStart"/>
      <w:r w:rsidRPr="001E55DD">
        <w:rPr>
          <w:rFonts w:ascii="Calibri" w:eastAsia="Times New Roman" w:hAnsi="Calibri" w:cs="Calibri"/>
          <w:color w:val="000000"/>
          <w:sz w:val="22"/>
          <w:szCs w:val="22"/>
          <w:lang w:eastAsia="en-GB"/>
        </w:rPr>
        <w:t>aOR</w:t>
      </w:r>
      <w:proofErr w:type="spellEnd"/>
      <w:r w:rsidRPr="001E55DD">
        <w:rPr>
          <w:rFonts w:ascii="Calibri" w:eastAsia="Times New Roman" w:hAnsi="Calibri" w:cs="Calibri"/>
          <w:color w:val="000000"/>
          <w:sz w:val="22"/>
          <w:szCs w:val="22"/>
          <w:lang w:eastAsia="en-GB"/>
        </w:rPr>
        <w:t>, 1.07; 95% CI 1.01, 1.14], and a one-unit increase in age [</w:t>
      </w:r>
      <w:proofErr w:type="spellStart"/>
      <w:r w:rsidRPr="001E55DD">
        <w:rPr>
          <w:rFonts w:ascii="Calibri" w:eastAsia="Times New Roman" w:hAnsi="Calibri" w:cs="Calibri"/>
          <w:color w:val="000000"/>
          <w:sz w:val="22"/>
          <w:szCs w:val="22"/>
          <w:lang w:eastAsia="en-GB"/>
        </w:rPr>
        <w:t>aOR</w:t>
      </w:r>
      <w:proofErr w:type="spellEnd"/>
      <w:r w:rsidRPr="001E55DD">
        <w:rPr>
          <w:rFonts w:ascii="Calibri" w:eastAsia="Times New Roman" w:hAnsi="Calibri" w:cs="Calibri"/>
          <w:color w:val="000000"/>
          <w:sz w:val="22"/>
          <w:szCs w:val="22"/>
          <w:lang w:eastAsia="en-GB"/>
        </w:rPr>
        <w:t>, 1.06; 95% CI 1.03, 1.08]. GB Olympians who reported early-life (20-29 years) GJH (Beighton </w:t>
      </w:r>
      <w:r w:rsidRPr="001E55DD">
        <w:rPr>
          <w:rFonts w:ascii="Calibri" w:eastAsia="Times New Roman" w:hAnsi="Calibri" w:cs="Calibri"/>
          <w:color w:val="000000"/>
          <w:sz w:val="22"/>
          <w:szCs w:val="22"/>
          <w:u w:val="single"/>
          <w:lang w:eastAsia="en-GB"/>
        </w:rPr>
        <w:t>&gt;</w:t>
      </w:r>
      <w:r w:rsidRPr="001E55DD">
        <w:rPr>
          <w:rFonts w:ascii="Calibri" w:eastAsia="Times New Roman" w:hAnsi="Calibri" w:cs="Calibri"/>
          <w:color w:val="000000"/>
          <w:sz w:val="22"/>
          <w:szCs w:val="22"/>
          <w:lang w:eastAsia="en-GB"/>
        </w:rPr>
        <w:t> 4/9) were more likely to report knee OA [</w:t>
      </w:r>
      <w:proofErr w:type="spellStart"/>
      <w:r w:rsidRPr="001E55DD">
        <w:rPr>
          <w:rFonts w:ascii="Calibri" w:eastAsia="Times New Roman" w:hAnsi="Calibri" w:cs="Calibri"/>
          <w:color w:val="000000"/>
          <w:sz w:val="22"/>
          <w:szCs w:val="22"/>
          <w:lang w:eastAsia="en-GB"/>
        </w:rPr>
        <w:t>aOR</w:t>
      </w:r>
      <w:proofErr w:type="spellEnd"/>
      <w:r w:rsidRPr="001E55DD">
        <w:rPr>
          <w:rFonts w:ascii="Calibri" w:eastAsia="Times New Roman" w:hAnsi="Calibri" w:cs="Calibri"/>
          <w:color w:val="000000"/>
          <w:sz w:val="22"/>
          <w:szCs w:val="22"/>
          <w:lang w:eastAsia="en-GB"/>
        </w:rPr>
        <w:t>, 2.32; 95% CI 1.11, 4.84]. Furthermore, female athletes with GJH were more vulnerable [OR, 2.53; 95% CI 1.06, 6.00] to knee OA than their male counterparts [OR 1.69; 95% CI 0.60, 4.80]. </w:t>
      </w:r>
    </w:p>
    <w:p w14:paraId="5A496B43" w14:textId="77777777" w:rsidR="001E55DD" w:rsidRPr="001E55DD" w:rsidRDefault="001E55DD" w:rsidP="001E55DD">
      <w:pPr>
        <w:pStyle w:val="NormalWeb"/>
        <w:spacing w:before="0" w:beforeAutospacing="0" w:after="0" w:afterAutospacing="0"/>
        <w:rPr>
          <w:rFonts w:ascii="Calibri" w:hAnsi="Calibri" w:cs="Calibri"/>
          <w:sz w:val="22"/>
          <w:szCs w:val="22"/>
        </w:rPr>
      </w:pPr>
    </w:p>
    <w:p w14:paraId="360A27EA" w14:textId="77777777" w:rsidR="001E55DD" w:rsidRPr="001E55DD" w:rsidRDefault="00C910E2" w:rsidP="001E55DD">
      <w:pPr>
        <w:rPr>
          <w:rFonts w:ascii="Calibri" w:eastAsia="Times New Roman" w:hAnsi="Calibri" w:cs="Calibri"/>
          <w:sz w:val="22"/>
          <w:szCs w:val="22"/>
          <w:lang w:eastAsia="en-GB"/>
        </w:rPr>
      </w:pPr>
      <w:r w:rsidRPr="001E55DD">
        <w:rPr>
          <w:rFonts w:ascii="Calibri" w:hAnsi="Calibri" w:cs="Calibri"/>
          <w:b/>
          <w:bCs/>
          <w:sz w:val="22"/>
          <w:szCs w:val="22"/>
        </w:rPr>
        <w:t>Conclusions:</w:t>
      </w:r>
      <w:r w:rsidRPr="001E55DD">
        <w:rPr>
          <w:rFonts w:ascii="Calibri" w:hAnsi="Calibri" w:cs="Calibri"/>
          <w:sz w:val="22"/>
          <w:szCs w:val="22"/>
        </w:rPr>
        <w:t xml:space="preserve"> </w:t>
      </w:r>
      <w:r w:rsidR="001E55DD" w:rsidRPr="001E55DD">
        <w:rPr>
          <w:rFonts w:ascii="Calibri" w:eastAsia="Times New Roman" w:hAnsi="Calibri" w:cs="Calibri"/>
          <w:b/>
          <w:bCs/>
          <w:color w:val="000000"/>
          <w:sz w:val="22"/>
          <w:szCs w:val="22"/>
          <w:lang w:eastAsia="en-GB"/>
        </w:rPr>
        <w:t> </w:t>
      </w:r>
      <w:r w:rsidR="001E55DD" w:rsidRPr="001E55DD">
        <w:rPr>
          <w:rFonts w:ascii="Calibri" w:eastAsia="Times New Roman" w:hAnsi="Calibri" w:cs="Calibri"/>
          <w:color w:val="000000"/>
          <w:sz w:val="22"/>
          <w:szCs w:val="22"/>
          <w:lang w:eastAsia="en-GB"/>
        </w:rPr>
        <w:t xml:space="preserve">Implications for the prevention of knee OA include a reduction in body mass index and protection from knee injury. Future research should </w:t>
      </w:r>
      <w:r w:rsidR="001E55DD" w:rsidRPr="00072ECC">
        <w:rPr>
          <w:rFonts w:ascii="Calibri" w:eastAsia="Times New Roman" w:hAnsi="Calibri" w:cs="Calibri"/>
          <w:color w:val="000000" w:themeColor="text1"/>
          <w:sz w:val="22"/>
          <w:szCs w:val="22"/>
          <w:lang w:eastAsia="en-GB"/>
        </w:rPr>
        <w:t>determine whether GJH is a risk factor associated with the onset of knee OA in the general population, particularly among females. </w:t>
      </w:r>
    </w:p>
    <w:p w14:paraId="61928DC2" w14:textId="77777777" w:rsidR="00013C0E" w:rsidRPr="00C910E2" w:rsidRDefault="00013C0E" w:rsidP="00C910E2"/>
    <w:sectPr w:rsidR="00013C0E" w:rsidRPr="00C910E2" w:rsidSect="00063F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E2"/>
    <w:rsid w:val="00013C0E"/>
    <w:rsid w:val="00063FFC"/>
    <w:rsid w:val="00072ECC"/>
    <w:rsid w:val="001E55DD"/>
    <w:rsid w:val="006A0175"/>
    <w:rsid w:val="009A28C4"/>
    <w:rsid w:val="00C910E2"/>
    <w:rsid w:val="00D75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00A984"/>
  <w15:chartTrackingRefBased/>
  <w15:docId w15:val="{C0F350CC-03E6-0F41-83AC-130219BC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0E2"/>
    <w:pPr>
      <w:spacing w:before="100" w:beforeAutospacing="1" w:after="100" w:afterAutospacing="1"/>
    </w:pPr>
    <w:rPr>
      <w:rFonts w:ascii="Times New Roman" w:eastAsia="Times New Roman" w:hAnsi="Times New Roman" w:cs="Times New Roman"/>
      <w:lang w:eastAsia="en-GB"/>
    </w:rPr>
  </w:style>
  <w:style w:type="paragraph" w:customStyle="1" w:styleId="p1">
    <w:name w:val="p1"/>
    <w:basedOn w:val="Normal"/>
    <w:rsid w:val="001E55DD"/>
    <w:pPr>
      <w:spacing w:before="100" w:beforeAutospacing="1" w:after="100" w:afterAutospacing="1"/>
    </w:pPr>
    <w:rPr>
      <w:rFonts w:ascii="Times New Roman" w:eastAsia="Times New Roman" w:hAnsi="Times New Roman" w:cs="Times New Roman"/>
      <w:lang w:eastAsia="en-GB"/>
    </w:rPr>
  </w:style>
  <w:style w:type="character" w:customStyle="1" w:styleId="it4">
    <w:name w:val="it4"/>
    <w:basedOn w:val="DefaultParagraphFont"/>
    <w:rsid w:val="001E55DD"/>
  </w:style>
  <w:style w:type="character" w:customStyle="1" w:styleId="it5">
    <w:name w:val="it5"/>
    <w:basedOn w:val="DefaultParagraphFont"/>
    <w:rsid w:val="001E55DD"/>
  </w:style>
  <w:style w:type="character" w:customStyle="1" w:styleId="apple-converted-space">
    <w:name w:val="apple-converted-space"/>
    <w:basedOn w:val="DefaultParagraphFont"/>
    <w:rsid w:val="001E55DD"/>
  </w:style>
  <w:style w:type="character" w:customStyle="1" w:styleId="it6">
    <w:name w:val="it6"/>
    <w:basedOn w:val="DefaultParagraphFont"/>
    <w:rsid w:val="001E55DD"/>
  </w:style>
  <w:style w:type="character" w:customStyle="1" w:styleId="it7">
    <w:name w:val="it7"/>
    <w:basedOn w:val="DefaultParagraphFont"/>
    <w:rsid w:val="001E55DD"/>
  </w:style>
  <w:style w:type="character" w:customStyle="1" w:styleId="it11">
    <w:name w:val="it11"/>
    <w:basedOn w:val="DefaultParagraphFont"/>
    <w:rsid w:val="001E55DD"/>
  </w:style>
  <w:style w:type="character" w:customStyle="1" w:styleId="it14">
    <w:name w:val="it14"/>
    <w:basedOn w:val="DefaultParagraphFont"/>
    <w:rsid w:val="001E55DD"/>
  </w:style>
  <w:style w:type="character" w:customStyle="1" w:styleId="it15">
    <w:name w:val="it15"/>
    <w:basedOn w:val="DefaultParagraphFont"/>
    <w:rsid w:val="001E55DD"/>
  </w:style>
  <w:style w:type="character" w:customStyle="1" w:styleId="it16">
    <w:name w:val="it16"/>
    <w:basedOn w:val="DefaultParagraphFont"/>
    <w:rsid w:val="001E55DD"/>
  </w:style>
  <w:style w:type="character" w:customStyle="1" w:styleId="it17">
    <w:name w:val="it17"/>
    <w:basedOn w:val="DefaultParagraphFont"/>
    <w:rsid w:val="001E55DD"/>
  </w:style>
  <w:style w:type="character" w:customStyle="1" w:styleId="it18">
    <w:name w:val="it18"/>
    <w:basedOn w:val="DefaultParagraphFont"/>
    <w:rsid w:val="001E55DD"/>
  </w:style>
  <w:style w:type="character" w:customStyle="1" w:styleId="it21">
    <w:name w:val="it21"/>
    <w:basedOn w:val="DefaultParagraphFont"/>
    <w:rsid w:val="001E55DD"/>
  </w:style>
  <w:style w:type="character" w:customStyle="1" w:styleId="it22">
    <w:name w:val="it22"/>
    <w:basedOn w:val="DefaultParagraphFont"/>
    <w:rsid w:val="001E55DD"/>
  </w:style>
  <w:style w:type="character" w:customStyle="1" w:styleId="it23">
    <w:name w:val="it23"/>
    <w:basedOn w:val="DefaultParagraphFont"/>
    <w:rsid w:val="001E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10562">
      <w:bodyDiv w:val="1"/>
      <w:marLeft w:val="0"/>
      <w:marRight w:val="0"/>
      <w:marTop w:val="0"/>
      <w:marBottom w:val="0"/>
      <w:divBdr>
        <w:top w:val="none" w:sz="0" w:space="0" w:color="auto"/>
        <w:left w:val="none" w:sz="0" w:space="0" w:color="auto"/>
        <w:bottom w:val="none" w:sz="0" w:space="0" w:color="auto"/>
        <w:right w:val="none" w:sz="0" w:space="0" w:color="auto"/>
      </w:divBdr>
    </w:div>
    <w:div w:id="660544049">
      <w:bodyDiv w:val="1"/>
      <w:marLeft w:val="0"/>
      <w:marRight w:val="0"/>
      <w:marTop w:val="0"/>
      <w:marBottom w:val="0"/>
      <w:divBdr>
        <w:top w:val="none" w:sz="0" w:space="0" w:color="auto"/>
        <w:left w:val="none" w:sz="0" w:space="0" w:color="auto"/>
        <w:bottom w:val="none" w:sz="0" w:space="0" w:color="auto"/>
        <w:right w:val="none" w:sz="0" w:space="0" w:color="auto"/>
      </w:divBdr>
    </w:div>
    <w:div w:id="748888276">
      <w:bodyDiv w:val="1"/>
      <w:marLeft w:val="0"/>
      <w:marRight w:val="0"/>
      <w:marTop w:val="0"/>
      <w:marBottom w:val="0"/>
      <w:divBdr>
        <w:top w:val="none" w:sz="0" w:space="0" w:color="auto"/>
        <w:left w:val="none" w:sz="0" w:space="0" w:color="auto"/>
        <w:bottom w:val="none" w:sz="0" w:space="0" w:color="auto"/>
        <w:right w:val="none" w:sz="0" w:space="0" w:color="auto"/>
      </w:divBdr>
    </w:div>
    <w:div w:id="889420812">
      <w:bodyDiv w:val="1"/>
      <w:marLeft w:val="0"/>
      <w:marRight w:val="0"/>
      <w:marTop w:val="0"/>
      <w:marBottom w:val="0"/>
      <w:divBdr>
        <w:top w:val="none" w:sz="0" w:space="0" w:color="auto"/>
        <w:left w:val="none" w:sz="0" w:space="0" w:color="auto"/>
        <w:bottom w:val="none" w:sz="0" w:space="0" w:color="auto"/>
        <w:right w:val="none" w:sz="0" w:space="0" w:color="auto"/>
      </w:divBdr>
      <w:divsChild>
        <w:div w:id="1966615103">
          <w:marLeft w:val="0"/>
          <w:marRight w:val="0"/>
          <w:marTop w:val="0"/>
          <w:marBottom w:val="0"/>
          <w:divBdr>
            <w:top w:val="none" w:sz="0" w:space="0" w:color="auto"/>
            <w:left w:val="none" w:sz="0" w:space="0" w:color="auto"/>
            <w:bottom w:val="none" w:sz="0" w:space="0" w:color="auto"/>
            <w:right w:val="none" w:sz="0" w:space="0" w:color="auto"/>
          </w:divBdr>
          <w:divsChild>
            <w:div w:id="118887972">
              <w:marLeft w:val="0"/>
              <w:marRight w:val="0"/>
              <w:marTop w:val="0"/>
              <w:marBottom w:val="0"/>
              <w:divBdr>
                <w:top w:val="none" w:sz="0" w:space="0" w:color="auto"/>
                <w:left w:val="none" w:sz="0" w:space="0" w:color="auto"/>
                <w:bottom w:val="none" w:sz="0" w:space="0" w:color="auto"/>
                <w:right w:val="none" w:sz="0" w:space="0" w:color="auto"/>
              </w:divBdr>
              <w:divsChild>
                <w:div w:id="17299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01361">
      <w:bodyDiv w:val="1"/>
      <w:marLeft w:val="0"/>
      <w:marRight w:val="0"/>
      <w:marTop w:val="0"/>
      <w:marBottom w:val="0"/>
      <w:divBdr>
        <w:top w:val="none" w:sz="0" w:space="0" w:color="auto"/>
        <w:left w:val="none" w:sz="0" w:space="0" w:color="auto"/>
        <w:bottom w:val="none" w:sz="0" w:space="0" w:color="auto"/>
        <w:right w:val="none" w:sz="0" w:space="0" w:color="auto"/>
      </w:divBdr>
    </w:div>
    <w:div w:id="1024093054">
      <w:bodyDiv w:val="1"/>
      <w:marLeft w:val="0"/>
      <w:marRight w:val="0"/>
      <w:marTop w:val="0"/>
      <w:marBottom w:val="0"/>
      <w:divBdr>
        <w:top w:val="none" w:sz="0" w:space="0" w:color="auto"/>
        <w:left w:val="none" w:sz="0" w:space="0" w:color="auto"/>
        <w:bottom w:val="none" w:sz="0" w:space="0" w:color="auto"/>
        <w:right w:val="none" w:sz="0" w:space="0" w:color="auto"/>
      </w:divBdr>
      <w:divsChild>
        <w:div w:id="1202983969">
          <w:marLeft w:val="0"/>
          <w:marRight w:val="0"/>
          <w:marTop w:val="0"/>
          <w:marBottom w:val="0"/>
          <w:divBdr>
            <w:top w:val="none" w:sz="0" w:space="0" w:color="auto"/>
            <w:left w:val="none" w:sz="0" w:space="0" w:color="auto"/>
            <w:bottom w:val="none" w:sz="0" w:space="0" w:color="auto"/>
            <w:right w:val="none" w:sz="0" w:space="0" w:color="auto"/>
          </w:divBdr>
          <w:divsChild>
            <w:div w:id="812874619">
              <w:marLeft w:val="0"/>
              <w:marRight w:val="0"/>
              <w:marTop w:val="0"/>
              <w:marBottom w:val="0"/>
              <w:divBdr>
                <w:top w:val="none" w:sz="0" w:space="0" w:color="auto"/>
                <w:left w:val="none" w:sz="0" w:space="0" w:color="auto"/>
                <w:bottom w:val="none" w:sz="0" w:space="0" w:color="auto"/>
                <w:right w:val="none" w:sz="0" w:space="0" w:color="auto"/>
              </w:divBdr>
              <w:divsChild>
                <w:div w:id="20355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79202">
      <w:bodyDiv w:val="1"/>
      <w:marLeft w:val="0"/>
      <w:marRight w:val="0"/>
      <w:marTop w:val="0"/>
      <w:marBottom w:val="0"/>
      <w:divBdr>
        <w:top w:val="none" w:sz="0" w:space="0" w:color="auto"/>
        <w:left w:val="none" w:sz="0" w:space="0" w:color="auto"/>
        <w:bottom w:val="none" w:sz="0" w:space="0" w:color="auto"/>
        <w:right w:val="none" w:sz="0" w:space="0" w:color="auto"/>
      </w:divBdr>
    </w:div>
    <w:div w:id="1532837852">
      <w:bodyDiv w:val="1"/>
      <w:marLeft w:val="0"/>
      <w:marRight w:val="0"/>
      <w:marTop w:val="0"/>
      <w:marBottom w:val="0"/>
      <w:divBdr>
        <w:top w:val="none" w:sz="0" w:space="0" w:color="auto"/>
        <w:left w:val="none" w:sz="0" w:space="0" w:color="auto"/>
        <w:bottom w:val="none" w:sz="0" w:space="0" w:color="auto"/>
        <w:right w:val="none" w:sz="0" w:space="0" w:color="auto"/>
      </w:divBdr>
    </w:div>
    <w:div w:id="18950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Dale</dc:creator>
  <cp:keywords/>
  <dc:description/>
  <cp:lastModifiedBy>Cooper, Dale</cp:lastModifiedBy>
  <cp:revision>2</cp:revision>
  <dcterms:created xsi:type="dcterms:W3CDTF">2020-06-02T07:46:00Z</dcterms:created>
  <dcterms:modified xsi:type="dcterms:W3CDTF">2020-06-02T07:46:00Z</dcterms:modified>
</cp:coreProperties>
</file>