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75AB0" w14:textId="77777777" w:rsidR="00C9315C" w:rsidRPr="00C9315C" w:rsidRDefault="00C9315C" w:rsidP="00C9315C">
      <w:pPr>
        <w:pStyle w:val="p1"/>
        <w:shd w:val="clear" w:color="auto" w:fill="FFFFFF"/>
        <w:spacing w:before="0" w:beforeAutospacing="0" w:after="0" w:afterAutospacing="0"/>
        <w:jc w:val="center"/>
        <w:rPr>
          <w:rFonts w:ascii="Calibri" w:hAnsi="Calibri" w:cs="Calibri"/>
          <w:color w:val="000000"/>
          <w:sz w:val="22"/>
          <w:szCs w:val="22"/>
        </w:rPr>
      </w:pPr>
      <w:r w:rsidRPr="00C9315C">
        <w:rPr>
          <w:rStyle w:val="it2"/>
          <w:rFonts w:ascii="Calibri" w:hAnsi="Calibri" w:cs="Calibri"/>
          <w:b/>
          <w:bCs/>
          <w:color w:val="000000"/>
          <w:sz w:val="22"/>
          <w:szCs w:val="22"/>
        </w:rPr>
        <w:t>The Prevalence and Factors Associated with Knee Pain in Great Britain’s Olympians Aged 40 Years and Older</w:t>
      </w:r>
    </w:p>
    <w:p w14:paraId="497EB574" w14:textId="3288E90F" w:rsidR="00C9315C" w:rsidRPr="00C9315C" w:rsidRDefault="00C9315C" w:rsidP="00C9315C">
      <w:pPr>
        <w:pStyle w:val="p1"/>
        <w:shd w:val="clear" w:color="auto" w:fill="FFFFFF"/>
        <w:spacing w:before="0" w:beforeAutospacing="0" w:after="0" w:afterAutospacing="0"/>
        <w:rPr>
          <w:rFonts w:ascii="Calibri" w:hAnsi="Calibri" w:cs="Calibri"/>
          <w:color w:val="000000" w:themeColor="text1"/>
          <w:sz w:val="22"/>
          <w:szCs w:val="22"/>
        </w:rPr>
      </w:pPr>
      <w:r w:rsidRPr="00C9315C">
        <w:rPr>
          <w:rStyle w:val="it4"/>
          <w:rFonts w:ascii="Calibri" w:hAnsi="Calibri" w:cs="Calibri"/>
          <w:color w:val="000000" w:themeColor="text1"/>
          <w:sz w:val="22"/>
          <w:szCs w:val="22"/>
        </w:rPr>
        <w:t>D. Cooper</w:t>
      </w:r>
      <w:r w:rsidRPr="00C9315C">
        <w:rPr>
          <w:rStyle w:val="it5"/>
          <w:rFonts w:ascii="Calibri" w:hAnsi="Calibri" w:cs="Calibri"/>
          <w:color w:val="000000" w:themeColor="text1"/>
          <w:sz w:val="22"/>
          <w:szCs w:val="22"/>
          <w:vertAlign w:val="superscript"/>
        </w:rPr>
        <w:t>1,3</w:t>
      </w:r>
      <w:r w:rsidRPr="00C9315C">
        <w:rPr>
          <w:rStyle w:val="it4"/>
          <w:rFonts w:ascii="Calibri" w:hAnsi="Calibri" w:cs="Calibri"/>
          <w:color w:val="000000" w:themeColor="text1"/>
          <w:sz w:val="22"/>
          <w:szCs w:val="22"/>
        </w:rPr>
        <w:t>, B. E. Scammell</w:t>
      </w:r>
      <w:r w:rsidRPr="00C9315C">
        <w:rPr>
          <w:rStyle w:val="it5"/>
          <w:rFonts w:ascii="Calibri" w:hAnsi="Calibri" w:cs="Calibri"/>
          <w:color w:val="000000" w:themeColor="text1"/>
          <w:sz w:val="22"/>
          <w:szCs w:val="22"/>
          <w:vertAlign w:val="superscript"/>
        </w:rPr>
        <w:t>1,3</w:t>
      </w:r>
      <w:r w:rsidRPr="00C9315C">
        <w:rPr>
          <w:rStyle w:val="it4"/>
          <w:rFonts w:ascii="Calibri" w:hAnsi="Calibri" w:cs="Calibri"/>
          <w:color w:val="000000" w:themeColor="text1"/>
          <w:sz w:val="22"/>
          <w:szCs w:val="22"/>
        </w:rPr>
        <w:t>, M. E. Batt</w:t>
      </w:r>
      <w:proofErr w:type="gramStart"/>
      <w:r w:rsidRPr="00C9315C">
        <w:rPr>
          <w:rStyle w:val="it5"/>
          <w:rFonts w:ascii="Calibri" w:hAnsi="Calibri" w:cs="Calibri"/>
          <w:color w:val="000000" w:themeColor="text1"/>
          <w:sz w:val="22"/>
          <w:szCs w:val="22"/>
          <w:vertAlign w:val="superscript"/>
        </w:rPr>
        <w:t>2,3,</w:t>
      </w:r>
      <w:r w:rsidRPr="00C9315C">
        <w:rPr>
          <w:rStyle w:val="it4"/>
          <w:rFonts w:ascii="Calibri" w:hAnsi="Calibri" w:cs="Calibri"/>
          <w:color w:val="000000" w:themeColor="text1"/>
          <w:sz w:val="22"/>
          <w:szCs w:val="22"/>
        </w:rPr>
        <w:t>,</w:t>
      </w:r>
      <w:proofErr w:type="gramEnd"/>
      <w:r w:rsidRPr="00C9315C">
        <w:rPr>
          <w:rStyle w:val="it4"/>
          <w:rFonts w:ascii="Calibri" w:hAnsi="Calibri" w:cs="Calibri"/>
          <w:color w:val="000000" w:themeColor="text1"/>
          <w:sz w:val="22"/>
          <w:szCs w:val="22"/>
        </w:rPr>
        <w:t xml:space="preserve"> D. Palmer-Green</w:t>
      </w:r>
      <w:r w:rsidRPr="00C9315C">
        <w:rPr>
          <w:rStyle w:val="it5"/>
          <w:rFonts w:ascii="Calibri" w:hAnsi="Calibri" w:cs="Calibri"/>
          <w:color w:val="000000" w:themeColor="text1"/>
          <w:sz w:val="22"/>
          <w:szCs w:val="22"/>
          <w:vertAlign w:val="superscript"/>
        </w:rPr>
        <w:t>1,3</w:t>
      </w:r>
      <w:r w:rsidRPr="00C9315C">
        <w:rPr>
          <w:rStyle w:val="it4"/>
          <w:rFonts w:ascii="Calibri" w:hAnsi="Calibri" w:cs="Calibri"/>
          <w:color w:val="000000" w:themeColor="text1"/>
          <w:sz w:val="22"/>
          <w:szCs w:val="22"/>
        </w:rPr>
        <w:t>,</w:t>
      </w:r>
      <w:r w:rsidRPr="00C9315C">
        <w:rPr>
          <w:rStyle w:val="apple-converted-space"/>
          <w:rFonts w:ascii="Calibri" w:hAnsi="Calibri" w:cs="Calibri"/>
          <w:color w:val="000000" w:themeColor="text1"/>
          <w:sz w:val="22"/>
          <w:szCs w:val="22"/>
        </w:rPr>
        <w:t> </w:t>
      </w:r>
    </w:p>
    <w:p w14:paraId="1D0400BB" w14:textId="77777777" w:rsidR="00C9315C" w:rsidRPr="00C9315C" w:rsidRDefault="00C9315C" w:rsidP="00C9315C">
      <w:pPr>
        <w:pStyle w:val="p1"/>
        <w:shd w:val="clear" w:color="auto" w:fill="FFFFFF"/>
        <w:spacing w:before="0" w:beforeAutospacing="0" w:after="0" w:afterAutospacing="0"/>
        <w:rPr>
          <w:rFonts w:ascii="Calibri" w:hAnsi="Calibri" w:cs="Calibri"/>
          <w:color w:val="000000" w:themeColor="text1"/>
          <w:sz w:val="22"/>
          <w:szCs w:val="22"/>
        </w:rPr>
      </w:pPr>
      <w:r w:rsidRPr="00C9315C">
        <w:rPr>
          <w:rStyle w:val="it6"/>
          <w:rFonts w:ascii="Calibri" w:hAnsi="Calibri" w:cs="Calibri"/>
          <w:i/>
          <w:iCs/>
          <w:color w:val="000000" w:themeColor="text1"/>
          <w:sz w:val="22"/>
          <w:szCs w:val="22"/>
          <w:vertAlign w:val="superscript"/>
        </w:rPr>
        <w:t>1</w:t>
      </w:r>
      <w:r w:rsidRPr="00C9315C">
        <w:rPr>
          <w:rStyle w:val="it7"/>
          <w:rFonts w:ascii="Calibri" w:hAnsi="Calibri" w:cs="Calibri"/>
          <w:i/>
          <w:iCs/>
          <w:color w:val="000000" w:themeColor="text1"/>
          <w:sz w:val="22"/>
          <w:szCs w:val="22"/>
        </w:rPr>
        <w:t>Division of Rheumatology, Orthopaedics and Dermatology, School of Medicine, University of Nottingham,</w:t>
      </w:r>
      <w:r w:rsidRPr="00C9315C">
        <w:rPr>
          <w:rStyle w:val="apple-converted-space"/>
          <w:rFonts w:ascii="Calibri" w:hAnsi="Calibri" w:cs="Calibri"/>
          <w:i/>
          <w:iCs/>
          <w:color w:val="000000" w:themeColor="text1"/>
          <w:sz w:val="22"/>
          <w:szCs w:val="22"/>
        </w:rPr>
        <w:t> </w:t>
      </w:r>
      <w:r w:rsidRPr="00C9315C">
        <w:rPr>
          <w:rStyle w:val="it5"/>
          <w:rFonts w:ascii="Calibri" w:hAnsi="Calibri" w:cs="Calibri"/>
          <w:color w:val="000000" w:themeColor="text1"/>
          <w:sz w:val="22"/>
          <w:szCs w:val="22"/>
          <w:vertAlign w:val="superscript"/>
        </w:rPr>
        <w:t>2</w:t>
      </w:r>
      <w:r w:rsidRPr="00C9315C">
        <w:rPr>
          <w:rStyle w:val="apple-converted-space"/>
          <w:rFonts w:ascii="Calibri" w:hAnsi="Calibri" w:cs="Calibri"/>
          <w:color w:val="000000" w:themeColor="text1"/>
          <w:sz w:val="22"/>
          <w:szCs w:val="22"/>
          <w:vertAlign w:val="superscript"/>
        </w:rPr>
        <w:t> </w:t>
      </w:r>
      <w:r w:rsidRPr="00C9315C">
        <w:rPr>
          <w:rStyle w:val="it4"/>
          <w:rFonts w:ascii="Calibri" w:hAnsi="Calibri" w:cs="Calibri"/>
          <w:color w:val="000000" w:themeColor="text1"/>
          <w:sz w:val="22"/>
          <w:szCs w:val="22"/>
        </w:rPr>
        <w:t>Nottingham University Hospitals NHS Trust,</w:t>
      </w:r>
      <w:r w:rsidRPr="00C9315C">
        <w:rPr>
          <w:rStyle w:val="apple-converted-space"/>
          <w:rFonts w:ascii="Calibri" w:hAnsi="Calibri" w:cs="Calibri"/>
          <w:color w:val="000000" w:themeColor="text1"/>
          <w:sz w:val="22"/>
          <w:szCs w:val="22"/>
        </w:rPr>
        <w:t> </w:t>
      </w:r>
      <w:r w:rsidRPr="00C9315C">
        <w:rPr>
          <w:rStyle w:val="it5"/>
          <w:rFonts w:ascii="Calibri" w:hAnsi="Calibri" w:cs="Calibri"/>
          <w:color w:val="000000" w:themeColor="text1"/>
          <w:sz w:val="22"/>
          <w:szCs w:val="22"/>
          <w:vertAlign w:val="superscript"/>
        </w:rPr>
        <w:t>3</w:t>
      </w:r>
      <w:r w:rsidRPr="00C9315C">
        <w:rPr>
          <w:rStyle w:val="apple-converted-space"/>
          <w:rFonts w:ascii="Calibri" w:hAnsi="Calibri" w:cs="Calibri"/>
          <w:color w:val="000000" w:themeColor="text1"/>
          <w:sz w:val="22"/>
          <w:szCs w:val="22"/>
          <w:vertAlign w:val="superscript"/>
        </w:rPr>
        <w:t> </w:t>
      </w:r>
      <w:r w:rsidRPr="00C9315C">
        <w:rPr>
          <w:rStyle w:val="it4"/>
          <w:rFonts w:ascii="Calibri" w:hAnsi="Calibri" w:cs="Calibri"/>
          <w:color w:val="000000" w:themeColor="text1"/>
          <w:sz w:val="22"/>
          <w:szCs w:val="22"/>
        </w:rPr>
        <w:t>Arthritis Research UK Centre for Sport, Exercise and Osteoarthritis</w:t>
      </w:r>
    </w:p>
    <w:p w14:paraId="3D9CBFDB" w14:textId="77777777" w:rsidR="00C9315C" w:rsidRPr="00C9315C" w:rsidRDefault="00C9315C" w:rsidP="00C9315C">
      <w:pPr>
        <w:pStyle w:val="p1"/>
        <w:shd w:val="clear" w:color="auto" w:fill="FFFFFF"/>
        <w:spacing w:before="0" w:beforeAutospacing="0" w:after="0" w:afterAutospacing="0"/>
        <w:rPr>
          <w:rFonts w:ascii="Calibri" w:hAnsi="Calibri" w:cs="Calibri"/>
          <w:b/>
          <w:bCs/>
          <w:color w:val="000000"/>
          <w:sz w:val="22"/>
          <w:szCs w:val="22"/>
        </w:rPr>
      </w:pPr>
    </w:p>
    <w:p w14:paraId="4178F7B2" w14:textId="09282557" w:rsidR="00C9315C" w:rsidRPr="00C9315C" w:rsidRDefault="00C9315C" w:rsidP="00C9315C">
      <w:pPr>
        <w:pStyle w:val="p1"/>
        <w:shd w:val="clear" w:color="auto" w:fill="FFFFFF"/>
        <w:spacing w:before="0" w:beforeAutospacing="0" w:after="0" w:afterAutospacing="0"/>
        <w:rPr>
          <w:rFonts w:ascii="Calibri" w:hAnsi="Calibri" w:cs="Calibri"/>
          <w:color w:val="000000"/>
          <w:sz w:val="22"/>
          <w:szCs w:val="22"/>
        </w:rPr>
      </w:pPr>
      <w:r w:rsidRPr="00C9315C">
        <w:rPr>
          <w:rStyle w:val="it10"/>
          <w:rFonts w:ascii="Calibri" w:hAnsi="Calibri" w:cs="Calibri"/>
          <w:b/>
          <w:bCs/>
          <w:color w:val="000000"/>
          <w:sz w:val="22"/>
          <w:szCs w:val="22"/>
        </w:rPr>
        <w:t>Purpose:</w:t>
      </w:r>
      <w:r w:rsidRPr="00C9315C">
        <w:rPr>
          <w:rStyle w:val="apple-converted-space"/>
          <w:rFonts w:ascii="Calibri" w:hAnsi="Calibri" w:cs="Calibri"/>
          <w:b/>
          <w:bCs/>
          <w:color w:val="000000"/>
          <w:sz w:val="22"/>
          <w:szCs w:val="22"/>
        </w:rPr>
        <w:t> </w:t>
      </w:r>
      <w:r w:rsidRPr="00C9315C">
        <w:rPr>
          <w:rStyle w:val="it11"/>
          <w:rFonts w:ascii="Calibri" w:hAnsi="Calibri" w:cs="Calibri"/>
          <w:color w:val="000000" w:themeColor="text1"/>
          <w:sz w:val="22"/>
          <w:szCs w:val="22"/>
        </w:rPr>
        <w:t>Affecting approximately one in four adults over the age of 40 years in the UK, knee pain is the commonest presenting feature of osteoarthritis (OA).</w:t>
      </w:r>
      <w:r w:rsidRPr="00C9315C">
        <w:rPr>
          <w:rStyle w:val="apple-converted-space"/>
          <w:rFonts w:ascii="Calibri" w:hAnsi="Calibri" w:cs="Calibri"/>
          <w:color w:val="000000" w:themeColor="text1"/>
          <w:sz w:val="22"/>
          <w:szCs w:val="22"/>
        </w:rPr>
        <w:t> </w:t>
      </w:r>
      <w:r w:rsidRPr="00C9315C">
        <w:rPr>
          <w:rStyle w:val="it12"/>
          <w:rFonts w:ascii="Calibri" w:hAnsi="Calibri" w:cs="Calibri"/>
          <w:color w:val="000000" w:themeColor="text1"/>
          <w:sz w:val="22"/>
          <w:szCs w:val="22"/>
        </w:rPr>
        <w:t>Despite the plethora of studies that have investigated the factors associated with the onset of knee pain in the sedentary population, relatively little is known about the prevalence and occupational factors associated with knee pain in an athletic sporting population.</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This study aimed to determine in Great Britain’s (GB) Olympians, aged 40 years and older, (1) the individual factors associated with knee pain, and (2) the effects of occupational sporting activity on the prevalence of knee pain.</w:t>
      </w:r>
      <w:r w:rsidRPr="00C9315C">
        <w:rPr>
          <w:rStyle w:val="apple-converted-space"/>
          <w:rFonts w:ascii="Calibri" w:hAnsi="Calibri" w:cs="Calibri"/>
          <w:color w:val="000000" w:themeColor="text1"/>
          <w:sz w:val="22"/>
          <w:szCs w:val="22"/>
        </w:rPr>
        <w:t> </w:t>
      </w:r>
    </w:p>
    <w:p w14:paraId="58C337E9" w14:textId="77777777" w:rsidR="00C9315C" w:rsidRPr="00C9315C" w:rsidRDefault="00C9315C" w:rsidP="00C9315C">
      <w:pPr>
        <w:pStyle w:val="p1"/>
        <w:shd w:val="clear" w:color="auto" w:fill="FFFFFF"/>
        <w:spacing w:before="0" w:beforeAutospacing="0" w:after="0" w:afterAutospacing="0"/>
        <w:rPr>
          <w:rFonts w:ascii="Calibri" w:hAnsi="Calibri" w:cs="Calibri"/>
          <w:b/>
          <w:bCs/>
          <w:color w:val="000000"/>
          <w:sz w:val="22"/>
          <w:szCs w:val="22"/>
        </w:rPr>
      </w:pPr>
    </w:p>
    <w:p w14:paraId="3F621B8B" w14:textId="396AC9CB" w:rsidR="00C9315C" w:rsidRPr="00C9315C" w:rsidRDefault="00C9315C" w:rsidP="00C9315C">
      <w:pPr>
        <w:pStyle w:val="p1"/>
        <w:shd w:val="clear" w:color="auto" w:fill="FFFFFF"/>
        <w:spacing w:before="0" w:beforeAutospacing="0" w:after="0" w:afterAutospacing="0"/>
        <w:rPr>
          <w:rFonts w:ascii="Calibri" w:hAnsi="Calibri" w:cs="Calibri"/>
          <w:color w:val="000000" w:themeColor="text1"/>
          <w:sz w:val="22"/>
          <w:szCs w:val="22"/>
        </w:rPr>
      </w:pPr>
      <w:r w:rsidRPr="00C9315C">
        <w:rPr>
          <w:rStyle w:val="it10"/>
          <w:rFonts w:ascii="Calibri" w:hAnsi="Calibri" w:cs="Calibri"/>
          <w:b/>
          <w:bCs/>
          <w:color w:val="000000"/>
          <w:sz w:val="22"/>
          <w:szCs w:val="22"/>
        </w:rPr>
        <w:t>Methods:</w:t>
      </w:r>
      <w:r w:rsidRPr="00C9315C">
        <w:rPr>
          <w:rStyle w:val="apple-converted-space"/>
          <w:rFonts w:ascii="Calibri" w:hAnsi="Calibri" w:cs="Calibri"/>
          <w:b/>
          <w:bCs/>
          <w:color w:val="000000"/>
          <w:sz w:val="22"/>
          <w:szCs w:val="22"/>
        </w:rPr>
        <w:t> </w:t>
      </w:r>
      <w:r w:rsidRPr="00C9315C">
        <w:rPr>
          <w:rStyle w:val="it13"/>
          <w:rFonts w:ascii="Calibri" w:hAnsi="Calibri" w:cs="Calibri"/>
          <w:color w:val="000000"/>
          <w:sz w:val="22"/>
          <w:szCs w:val="22"/>
        </w:rPr>
        <w:t xml:space="preserve">This was a cross-sectional study. A web-based and paper questionnaire was used to collect data on putative risk factors associated with knee pain. The most severe knee was selected as the index joint for data analysis. Knee pain was defined by recent pain reported in or around the knee on </w:t>
      </w:r>
      <w:r w:rsidRPr="00C9315C">
        <w:rPr>
          <w:rStyle w:val="it13"/>
          <w:rFonts w:ascii="Calibri" w:hAnsi="Calibri" w:cs="Calibri"/>
          <w:color w:val="000000" w:themeColor="text1"/>
          <w:sz w:val="22"/>
          <w:szCs w:val="22"/>
        </w:rPr>
        <w:t>most days for at least one month. The Short Form-12 Health Survey was used to record physical and mental</w:t>
      </w:r>
      <w:r w:rsidRPr="00C9315C">
        <w:rPr>
          <w:rStyle w:val="apple-converted-space"/>
          <w:rFonts w:ascii="Calibri" w:hAnsi="Calibri" w:cs="Calibri"/>
          <w:color w:val="000000" w:themeColor="text1"/>
          <w:sz w:val="22"/>
          <w:szCs w:val="22"/>
        </w:rPr>
        <w:t> </w:t>
      </w:r>
      <w:r w:rsidRPr="00C9315C">
        <w:rPr>
          <w:rStyle w:val="it14"/>
          <w:rFonts w:ascii="Calibri" w:hAnsi="Calibri" w:cs="Calibri"/>
          <w:color w:val="000000" w:themeColor="text1"/>
          <w:sz w:val="22"/>
          <w:szCs w:val="22"/>
        </w:rPr>
        <w:t>well-being</w:t>
      </w:r>
      <w:r w:rsidRPr="00C9315C">
        <w:rPr>
          <w:rStyle w:val="it13"/>
          <w:rFonts w:ascii="Calibri" w:hAnsi="Calibri" w:cs="Calibri"/>
          <w:color w:val="000000" w:themeColor="text1"/>
          <w:sz w:val="22"/>
          <w:szCs w:val="22"/>
        </w:rPr>
        <w:t>. Widespread pain was reported on a manikin and defined by axial pain plus pain in at least two sections of each of two contralateral quadrants of the body. Fourteen covariates were identified for analysis, and those that were significantly associated with knee pain at the 25% level were purposefully fitted into a multivariable regression model. The final multivariable regression model was constructed by refitting, one at a time, the covariates that</w:t>
      </w:r>
      <w:r w:rsidRPr="00C9315C">
        <w:rPr>
          <w:rStyle w:val="apple-converted-space"/>
          <w:rFonts w:ascii="Calibri" w:hAnsi="Calibri" w:cs="Calibri"/>
          <w:color w:val="000000" w:themeColor="text1"/>
          <w:sz w:val="22"/>
          <w:szCs w:val="22"/>
        </w:rPr>
        <w:t> </w:t>
      </w:r>
      <w:r w:rsidRPr="00C9315C">
        <w:rPr>
          <w:rStyle w:val="it15"/>
          <w:rFonts w:ascii="Calibri" w:hAnsi="Calibri" w:cs="Calibri"/>
          <w:color w:val="000000" w:themeColor="text1"/>
          <w:sz w:val="22"/>
          <w:szCs w:val="22"/>
        </w:rPr>
        <w:t>had previously been</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excluded until all</w:t>
      </w:r>
      <w:r w:rsidRPr="00C9315C">
        <w:rPr>
          <w:rStyle w:val="apple-converted-space"/>
          <w:rFonts w:ascii="Calibri" w:hAnsi="Calibri" w:cs="Calibri"/>
          <w:color w:val="000000" w:themeColor="text1"/>
          <w:sz w:val="22"/>
          <w:szCs w:val="22"/>
        </w:rPr>
        <w:t> </w:t>
      </w:r>
      <w:r w:rsidRPr="00C9315C">
        <w:rPr>
          <w:rStyle w:val="it14"/>
          <w:rFonts w:ascii="Calibri" w:hAnsi="Calibri" w:cs="Calibri"/>
          <w:color w:val="000000" w:themeColor="text1"/>
          <w:sz w:val="22"/>
          <w:szCs w:val="22"/>
        </w:rPr>
        <w:t>of</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the covariates</w:t>
      </w:r>
      <w:r w:rsidRPr="00C9315C">
        <w:rPr>
          <w:rFonts w:ascii="Calibri" w:hAnsi="Calibri" w:cs="Calibri"/>
          <w:color w:val="000000" w:themeColor="text1"/>
          <w:sz w:val="22"/>
          <w:szCs w:val="22"/>
        </w:rPr>
        <w:t xml:space="preserve"> </w:t>
      </w:r>
      <w:r w:rsidRPr="00C9315C">
        <w:rPr>
          <w:rStyle w:val="it13"/>
          <w:rFonts w:ascii="Calibri" w:hAnsi="Calibri" w:cs="Calibri"/>
          <w:color w:val="000000" w:themeColor="text1"/>
          <w:sz w:val="22"/>
          <w:szCs w:val="22"/>
        </w:rPr>
        <w:t>and interactions that were clinically relevant or significant at traditional levels</w:t>
      </w:r>
      <w:r w:rsidRPr="00C9315C">
        <w:rPr>
          <w:rStyle w:val="apple-converted-space"/>
          <w:rFonts w:ascii="Calibri" w:hAnsi="Calibri" w:cs="Calibri"/>
          <w:color w:val="000000" w:themeColor="text1"/>
          <w:sz w:val="22"/>
          <w:szCs w:val="22"/>
        </w:rPr>
        <w:t> </w:t>
      </w:r>
      <w:r w:rsidRPr="00C9315C">
        <w:rPr>
          <w:rStyle w:val="it16"/>
          <w:rFonts w:ascii="Calibri" w:hAnsi="Calibri" w:cs="Calibri"/>
          <w:i/>
          <w:iCs/>
          <w:color w:val="000000" w:themeColor="text1"/>
          <w:sz w:val="22"/>
          <w:szCs w:val="22"/>
        </w:rPr>
        <w:t>p</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&gt; 0.05 were included. Relative risk (RR) was estimated using odds ratio (OR), and confounding factors were adjusted (</w:t>
      </w:r>
      <w:proofErr w:type="spellStart"/>
      <w:r w:rsidRPr="00C9315C">
        <w:rPr>
          <w:rStyle w:val="it13"/>
          <w:rFonts w:ascii="Calibri" w:hAnsi="Calibri" w:cs="Calibri"/>
          <w:color w:val="000000" w:themeColor="text1"/>
          <w:sz w:val="22"/>
          <w:szCs w:val="22"/>
        </w:rPr>
        <w:t>aOR</w:t>
      </w:r>
      <w:proofErr w:type="spellEnd"/>
      <w:r w:rsidRPr="00C9315C">
        <w:rPr>
          <w:rStyle w:val="it13"/>
          <w:rFonts w:ascii="Calibri" w:hAnsi="Calibri" w:cs="Calibri"/>
          <w:color w:val="000000" w:themeColor="text1"/>
          <w:sz w:val="22"/>
          <w:szCs w:val="22"/>
        </w:rPr>
        <w:t>) using logistic regression. The Faculty of Medicine and Health Sciences Research Ethics Committee at the University of Nottingham approved the study.</w:t>
      </w:r>
    </w:p>
    <w:p w14:paraId="31C77BC3" w14:textId="77777777" w:rsidR="00C9315C" w:rsidRPr="00C9315C" w:rsidRDefault="00C9315C" w:rsidP="00C9315C">
      <w:pPr>
        <w:pStyle w:val="p1"/>
        <w:shd w:val="clear" w:color="auto" w:fill="FFFFFF"/>
        <w:spacing w:before="0" w:beforeAutospacing="0" w:after="0" w:afterAutospacing="0"/>
        <w:rPr>
          <w:rFonts w:ascii="Calibri" w:hAnsi="Calibri" w:cs="Calibri"/>
          <w:b/>
          <w:bCs/>
          <w:color w:val="000000"/>
          <w:sz w:val="22"/>
          <w:szCs w:val="22"/>
        </w:rPr>
      </w:pPr>
    </w:p>
    <w:p w14:paraId="399D4A06" w14:textId="7FDAEE52" w:rsidR="00C9315C" w:rsidRPr="00C9315C" w:rsidRDefault="00C9315C" w:rsidP="00C9315C">
      <w:pPr>
        <w:pStyle w:val="p1"/>
        <w:shd w:val="clear" w:color="auto" w:fill="FFFFFF"/>
        <w:spacing w:before="0" w:beforeAutospacing="0" w:after="0" w:afterAutospacing="0"/>
        <w:rPr>
          <w:rFonts w:ascii="Calibri" w:hAnsi="Calibri" w:cs="Calibri"/>
          <w:color w:val="000000" w:themeColor="text1"/>
          <w:sz w:val="22"/>
          <w:szCs w:val="22"/>
        </w:rPr>
      </w:pPr>
      <w:r w:rsidRPr="00C9315C">
        <w:rPr>
          <w:rStyle w:val="it10"/>
          <w:rFonts w:ascii="Calibri" w:hAnsi="Calibri" w:cs="Calibri"/>
          <w:b/>
          <w:bCs/>
          <w:color w:val="000000"/>
          <w:sz w:val="22"/>
          <w:szCs w:val="22"/>
        </w:rPr>
        <w:t>Results:</w:t>
      </w:r>
      <w:r w:rsidRPr="00C9315C">
        <w:rPr>
          <w:rStyle w:val="apple-converted-space"/>
          <w:rFonts w:ascii="Calibri" w:hAnsi="Calibri" w:cs="Calibri"/>
          <w:b/>
          <w:bCs/>
          <w:color w:val="000000"/>
          <w:sz w:val="22"/>
          <w:szCs w:val="22"/>
        </w:rPr>
        <w:t> </w:t>
      </w:r>
      <w:r w:rsidRPr="00C9315C">
        <w:rPr>
          <w:rStyle w:val="it13"/>
          <w:rFonts w:ascii="Calibri" w:hAnsi="Calibri" w:cs="Calibri"/>
          <w:color w:val="000000"/>
          <w:sz w:val="22"/>
          <w:szCs w:val="22"/>
        </w:rPr>
        <w:t>The questionnaire response rate was 32%, with 605 returns achieved from GB Olympians (40-97 years), between the 22</w:t>
      </w:r>
      <w:r w:rsidRPr="00C9315C">
        <w:rPr>
          <w:rStyle w:val="it17"/>
          <w:rFonts w:ascii="Calibri" w:hAnsi="Calibri" w:cs="Calibri"/>
          <w:color w:val="000000"/>
          <w:sz w:val="22"/>
          <w:szCs w:val="22"/>
          <w:vertAlign w:val="superscript"/>
        </w:rPr>
        <w:t>nd</w:t>
      </w:r>
      <w:r w:rsidRPr="00C9315C">
        <w:rPr>
          <w:rStyle w:val="apple-converted-space"/>
          <w:rFonts w:ascii="Calibri" w:hAnsi="Calibri" w:cs="Calibri"/>
          <w:color w:val="000000"/>
          <w:sz w:val="22"/>
          <w:szCs w:val="22"/>
        </w:rPr>
        <w:t> </w:t>
      </w:r>
      <w:r w:rsidRPr="00C9315C">
        <w:rPr>
          <w:rStyle w:val="it13"/>
          <w:rFonts w:ascii="Calibri" w:hAnsi="Calibri" w:cs="Calibri"/>
          <w:color w:val="000000"/>
          <w:sz w:val="22"/>
          <w:szCs w:val="22"/>
        </w:rPr>
        <w:t>May 2014 and the 31</w:t>
      </w:r>
      <w:r w:rsidRPr="00C9315C">
        <w:rPr>
          <w:rStyle w:val="it17"/>
          <w:rFonts w:ascii="Calibri" w:hAnsi="Calibri" w:cs="Calibri"/>
          <w:color w:val="000000"/>
          <w:sz w:val="22"/>
          <w:szCs w:val="22"/>
          <w:vertAlign w:val="superscript"/>
        </w:rPr>
        <w:t>st</w:t>
      </w:r>
      <w:r w:rsidRPr="00C9315C">
        <w:rPr>
          <w:rStyle w:val="it13"/>
          <w:rFonts w:ascii="Calibri" w:hAnsi="Calibri" w:cs="Calibri"/>
          <w:color w:val="000000"/>
          <w:sz w:val="22"/>
          <w:szCs w:val="22"/>
        </w:rPr>
        <w:t>January 2015. Questionnaires with missing data (</w:t>
      </w:r>
      <w:r w:rsidRPr="00C9315C">
        <w:rPr>
          <w:rStyle w:val="it16"/>
          <w:rFonts w:ascii="Calibri" w:hAnsi="Calibri" w:cs="Calibri"/>
          <w:i/>
          <w:iCs/>
          <w:color w:val="000000"/>
          <w:sz w:val="22"/>
          <w:szCs w:val="22"/>
        </w:rPr>
        <w:t>n</w:t>
      </w:r>
      <w:r w:rsidRPr="00C9315C">
        <w:rPr>
          <w:rStyle w:val="apple-converted-space"/>
          <w:rFonts w:ascii="Calibri" w:hAnsi="Calibri" w:cs="Calibri"/>
          <w:color w:val="000000"/>
          <w:sz w:val="22"/>
          <w:szCs w:val="22"/>
        </w:rPr>
        <w:t> </w:t>
      </w:r>
      <w:r w:rsidRPr="00C9315C">
        <w:rPr>
          <w:rStyle w:val="it13"/>
          <w:rFonts w:ascii="Calibri" w:hAnsi="Calibri" w:cs="Calibri"/>
          <w:color w:val="000000"/>
          <w:sz w:val="22"/>
          <w:szCs w:val="22"/>
        </w:rPr>
        <w:t>= 41) were excluded from the data analysis. The prevalence of knee pain was 26% (</w:t>
      </w:r>
      <w:r w:rsidRPr="00C9315C">
        <w:rPr>
          <w:rStyle w:val="it16"/>
          <w:rFonts w:ascii="Calibri" w:hAnsi="Calibri" w:cs="Calibri"/>
          <w:i/>
          <w:iCs/>
          <w:color w:val="000000"/>
          <w:sz w:val="22"/>
          <w:szCs w:val="22"/>
        </w:rPr>
        <w:t>n</w:t>
      </w:r>
      <w:r w:rsidRPr="00C9315C">
        <w:rPr>
          <w:rStyle w:val="apple-converted-space"/>
          <w:rFonts w:ascii="Calibri" w:hAnsi="Calibri" w:cs="Calibri"/>
          <w:color w:val="000000"/>
          <w:sz w:val="22"/>
          <w:szCs w:val="22"/>
        </w:rPr>
        <w:t> </w:t>
      </w:r>
      <w:r w:rsidRPr="00C9315C">
        <w:rPr>
          <w:rStyle w:val="it13"/>
          <w:rFonts w:ascii="Calibri" w:hAnsi="Calibri" w:cs="Calibri"/>
          <w:color w:val="000000"/>
          <w:sz w:val="22"/>
          <w:szCs w:val="22"/>
        </w:rPr>
        <w:t>= 147/564).</w:t>
      </w:r>
      <w:r w:rsidRPr="00C9315C">
        <w:rPr>
          <w:rStyle w:val="apple-converted-space"/>
          <w:rFonts w:ascii="Calibri" w:hAnsi="Calibri" w:cs="Calibri"/>
          <w:color w:val="0000FF"/>
          <w:sz w:val="22"/>
          <w:szCs w:val="22"/>
        </w:rPr>
        <w:t> </w:t>
      </w:r>
      <w:r w:rsidRPr="00C9315C">
        <w:rPr>
          <w:rStyle w:val="it13"/>
          <w:rFonts w:ascii="Calibri" w:hAnsi="Calibri" w:cs="Calibri"/>
          <w:color w:val="000000"/>
          <w:sz w:val="22"/>
          <w:szCs w:val="22"/>
        </w:rPr>
        <w:t xml:space="preserve">Logistic regression </w:t>
      </w:r>
      <w:r w:rsidRPr="00C9315C">
        <w:rPr>
          <w:rStyle w:val="it13"/>
          <w:rFonts w:ascii="Calibri" w:hAnsi="Calibri" w:cs="Calibri"/>
          <w:color w:val="000000" w:themeColor="text1"/>
          <w:sz w:val="22"/>
          <w:szCs w:val="22"/>
        </w:rPr>
        <w:t>analysis using eight predictors was able to</w:t>
      </w:r>
      <w:r w:rsidRPr="00C9315C">
        <w:rPr>
          <w:rStyle w:val="apple-converted-space"/>
          <w:rFonts w:ascii="Calibri" w:hAnsi="Calibri" w:cs="Calibri"/>
          <w:color w:val="000000" w:themeColor="text1"/>
          <w:sz w:val="22"/>
          <w:szCs w:val="22"/>
        </w:rPr>
        <w:t> </w:t>
      </w:r>
      <w:r w:rsidRPr="00C9315C">
        <w:rPr>
          <w:rStyle w:val="it14"/>
          <w:rFonts w:ascii="Calibri" w:hAnsi="Calibri" w:cs="Calibri"/>
          <w:color w:val="000000" w:themeColor="text1"/>
          <w:sz w:val="22"/>
          <w:szCs w:val="22"/>
        </w:rPr>
        <w:t>classify correctly</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 xml:space="preserve">78% of cases. The chi-square value for the Hosmer and </w:t>
      </w:r>
      <w:proofErr w:type="spellStart"/>
      <w:r w:rsidRPr="00C9315C">
        <w:rPr>
          <w:rStyle w:val="it13"/>
          <w:rFonts w:ascii="Calibri" w:hAnsi="Calibri" w:cs="Calibri"/>
          <w:color w:val="000000" w:themeColor="text1"/>
          <w:sz w:val="22"/>
          <w:szCs w:val="22"/>
        </w:rPr>
        <w:t>Lemeshow</w:t>
      </w:r>
      <w:proofErr w:type="spellEnd"/>
      <w:r w:rsidRPr="00C9315C">
        <w:rPr>
          <w:rStyle w:val="it13"/>
          <w:rFonts w:ascii="Calibri" w:hAnsi="Calibri" w:cs="Calibri"/>
          <w:color w:val="000000" w:themeColor="text1"/>
          <w:sz w:val="22"/>
          <w:szCs w:val="22"/>
        </w:rPr>
        <w:t xml:space="preserve"> Test indicated support for the fit of the multivariable regression model</w:t>
      </w:r>
      <w:r w:rsidRPr="00C9315C">
        <w:rPr>
          <w:rStyle w:val="apple-converted-space"/>
          <w:rFonts w:ascii="Calibri" w:hAnsi="Calibri" w:cs="Calibri"/>
          <w:color w:val="000000" w:themeColor="text1"/>
          <w:sz w:val="22"/>
          <w:szCs w:val="22"/>
        </w:rPr>
        <w:t> </w:t>
      </w:r>
      <w:r w:rsidRPr="00C9315C">
        <w:rPr>
          <w:rStyle w:val="it16"/>
          <w:rFonts w:ascii="Calibri" w:hAnsi="Calibri" w:cs="Calibri"/>
          <w:i/>
          <w:iCs/>
          <w:color w:val="000000" w:themeColor="text1"/>
          <w:sz w:val="22"/>
          <w:szCs w:val="22"/>
        </w:rPr>
        <w:t>p</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&gt; .05.</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sz w:val="22"/>
          <w:szCs w:val="22"/>
        </w:rPr>
        <w:t>The strongest factor associated with knee pain was a prior significant knee injury [</w:t>
      </w:r>
      <w:proofErr w:type="spellStart"/>
      <w:r w:rsidRPr="00C9315C">
        <w:rPr>
          <w:rStyle w:val="it13"/>
          <w:rFonts w:ascii="Calibri" w:hAnsi="Calibri" w:cs="Calibri"/>
          <w:color w:val="000000"/>
          <w:sz w:val="22"/>
          <w:szCs w:val="22"/>
        </w:rPr>
        <w:t>aOR</w:t>
      </w:r>
      <w:proofErr w:type="spellEnd"/>
      <w:r w:rsidRPr="00C9315C">
        <w:rPr>
          <w:rStyle w:val="it13"/>
          <w:rFonts w:ascii="Calibri" w:hAnsi="Calibri" w:cs="Calibri"/>
          <w:color w:val="000000"/>
          <w:sz w:val="22"/>
          <w:szCs w:val="22"/>
        </w:rPr>
        <w:t>, 2.86; 95% CI 1.66, 4.94], early-life (20-29 years) varus knee alignment [</w:t>
      </w:r>
      <w:proofErr w:type="spellStart"/>
      <w:r w:rsidRPr="00C9315C">
        <w:rPr>
          <w:rStyle w:val="it13"/>
          <w:rFonts w:ascii="Calibri" w:hAnsi="Calibri" w:cs="Calibri"/>
          <w:color w:val="000000"/>
          <w:sz w:val="22"/>
          <w:szCs w:val="22"/>
        </w:rPr>
        <w:t>aOR</w:t>
      </w:r>
      <w:proofErr w:type="spellEnd"/>
      <w:r w:rsidRPr="00C9315C">
        <w:rPr>
          <w:rStyle w:val="it13"/>
          <w:rFonts w:ascii="Calibri" w:hAnsi="Calibri" w:cs="Calibri"/>
          <w:color w:val="000000"/>
          <w:sz w:val="22"/>
          <w:szCs w:val="22"/>
        </w:rPr>
        <w:t>, 2.23; 95% CI 1.08, 4.64], competing in weight bearing loading sports [</w:t>
      </w:r>
      <w:proofErr w:type="spellStart"/>
      <w:r w:rsidRPr="00C9315C">
        <w:rPr>
          <w:rStyle w:val="it13"/>
          <w:rFonts w:ascii="Calibri" w:hAnsi="Calibri" w:cs="Calibri"/>
          <w:color w:val="000000"/>
          <w:sz w:val="22"/>
          <w:szCs w:val="22"/>
        </w:rPr>
        <w:t>aOR</w:t>
      </w:r>
      <w:proofErr w:type="spellEnd"/>
      <w:r w:rsidRPr="00C9315C">
        <w:rPr>
          <w:rStyle w:val="it13"/>
          <w:rFonts w:ascii="Calibri" w:hAnsi="Calibri" w:cs="Calibri"/>
          <w:color w:val="000000"/>
          <w:sz w:val="22"/>
          <w:szCs w:val="22"/>
        </w:rPr>
        <w:t xml:space="preserve">, 1.85; 95% CI 1.16, </w:t>
      </w:r>
      <w:r w:rsidRPr="00C9315C">
        <w:rPr>
          <w:rStyle w:val="it13"/>
          <w:rFonts w:ascii="Calibri" w:hAnsi="Calibri" w:cs="Calibri"/>
          <w:color w:val="000000" w:themeColor="text1"/>
          <w:sz w:val="22"/>
          <w:szCs w:val="22"/>
        </w:rPr>
        <w:t>2.97] and widespread pain [</w:t>
      </w:r>
      <w:proofErr w:type="spellStart"/>
      <w:r w:rsidRPr="00C9315C">
        <w:rPr>
          <w:rStyle w:val="it13"/>
          <w:rFonts w:ascii="Calibri" w:hAnsi="Calibri" w:cs="Calibri"/>
          <w:color w:val="000000" w:themeColor="text1"/>
          <w:sz w:val="22"/>
          <w:szCs w:val="22"/>
        </w:rPr>
        <w:t>aOR</w:t>
      </w:r>
      <w:proofErr w:type="spellEnd"/>
      <w:r w:rsidRPr="00C9315C">
        <w:rPr>
          <w:rStyle w:val="it13"/>
          <w:rFonts w:ascii="Calibri" w:hAnsi="Calibri" w:cs="Calibri"/>
          <w:color w:val="000000" w:themeColor="text1"/>
          <w:sz w:val="22"/>
          <w:szCs w:val="22"/>
        </w:rPr>
        <w:t xml:space="preserve"> 1.74; 95% CI 1.08, 2.80]. The odds of GB Olympians reporting knee pain </w:t>
      </w:r>
      <w:r w:rsidRPr="00C9315C">
        <w:rPr>
          <w:rStyle w:val="it14"/>
          <w:rFonts w:ascii="Calibri" w:hAnsi="Calibri" w:cs="Calibri"/>
          <w:color w:val="000000" w:themeColor="text1"/>
          <w:sz w:val="22"/>
          <w:szCs w:val="22"/>
        </w:rPr>
        <w:t>was</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significantly associated with a one-unit increase in body mass index (Kg/m2) [</w:t>
      </w:r>
      <w:proofErr w:type="spellStart"/>
      <w:r w:rsidRPr="00C9315C">
        <w:rPr>
          <w:rStyle w:val="it13"/>
          <w:rFonts w:ascii="Calibri" w:hAnsi="Calibri" w:cs="Calibri"/>
          <w:color w:val="000000" w:themeColor="text1"/>
          <w:sz w:val="22"/>
          <w:szCs w:val="22"/>
        </w:rPr>
        <w:t>aOR</w:t>
      </w:r>
      <w:proofErr w:type="spellEnd"/>
      <w:r w:rsidRPr="00C9315C">
        <w:rPr>
          <w:rStyle w:val="it13"/>
          <w:rFonts w:ascii="Calibri" w:hAnsi="Calibri" w:cs="Calibri"/>
          <w:color w:val="000000" w:themeColor="text1"/>
          <w:sz w:val="22"/>
          <w:szCs w:val="22"/>
        </w:rPr>
        <w:t>, 1.09; 95% CI 1.03, 1.15] and a one-unit decrease in physical</w:t>
      </w:r>
      <w:r w:rsidRPr="00C9315C">
        <w:rPr>
          <w:rStyle w:val="apple-converted-space"/>
          <w:rFonts w:ascii="Calibri" w:hAnsi="Calibri" w:cs="Calibri"/>
          <w:color w:val="000000" w:themeColor="text1"/>
          <w:sz w:val="22"/>
          <w:szCs w:val="22"/>
        </w:rPr>
        <w:t> </w:t>
      </w:r>
      <w:r w:rsidRPr="00C9315C">
        <w:rPr>
          <w:rStyle w:val="it15"/>
          <w:rFonts w:ascii="Calibri" w:hAnsi="Calibri" w:cs="Calibri"/>
          <w:color w:val="000000" w:themeColor="text1"/>
          <w:sz w:val="22"/>
          <w:szCs w:val="22"/>
        </w:rPr>
        <w:t>well-being</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w:t>
      </w:r>
      <w:proofErr w:type="spellStart"/>
      <w:r w:rsidRPr="00C9315C">
        <w:rPr>
          <w:rStyle w:val="it13"/>
          <w:rFonts w:ascii="Calibri" w:hAnsi="Calibri" w:cs="Calibri"/>
          <w:color w:val="000000" w:themeColor="text1"/>
          <w:sz w:val="22"/>
          <w:szCs w:val="22"/>
        </w:rPr>
        <w:t>aOR</w:t>
      </w:r>
      <w:proofErr w:type="spellEnd"/>
      <w:r w:rsidRPr="00C9315C">
        <w:rPr>
          <w:rStyle w:val="it13"/>
          <w:rFonts w:ascii="Calibri" w:hAnsi="Calibri" w:cs="Calibri"/>
          <w:color w:val="000000" w:themeColor="text1"/>
          <w:sz w:val="22"/>
          <w:szCs w:val="22"/>
        </w:rPr>
        <w:t xml:space="preserve"> 0.95; 95% CI 0.93, 0.97]. Mental</w:t>
      </w:r>
      <w:r w:rsidRPr="00C9315C">
        <w:rPr>
          <w:rStyle w:val="apple-converted-space"/>
          <w:rFonts w:ascii="Calibri" w:hAnsi="Calibri" w:cs="Calibri"/>
          <w:color w:val="000000" w:themeColor="text1"/>
          <w:sz w:val="22"/>
          <w:szCs w:val="22"/>
        </w:rPr>
        <w:t> </w:t>
      </w:r>
      <w:r w:rsidRPr="00C9315C">
        <w:rPr>
          <w:rStyle w:val="it14"/>
          <w:rFonts w:ascii="Calibri" w:hAnsi="Calibri" w:cs="Calibri"/>
          <w:color w:val="000000" w:themeColor="text1"/>
          <w:sz w:val="22"/>
          <w:szCs w:val="22"/>
        </w:rPr>
        <w:t>well-being</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was not detected to be significant and was excluded from the model [OR 1.00; 95% CI 0.98, 1.02]. No association was detected between the sexes [</w:t>
      </w:r>
      <w:proofErr w:type="spellStart"/>
      <w:r w:rsidRPr="00C9315C">
        <w:rPr>
          <w:rStyle w:val="it13"/>
          <w:rFonts w:ascii="Calibri" w:hAnsi="Calibri" w:cs="Calibri"/>
          <w:color w:val="000000" w:themeColor="text1"/>
          <w:sz w:val="22"/>
          <w:szCs w:val="22"/>
        </w:rPr>
        <w:t>aOR</w:t>
      </w:r>
      <w:proofErr w:type="spellEnd"/>
      <w:r w:rsidRPr="00C9315C">
        <w:rPr>
          <w:rStyle w:val="it13"/>
          <w:rFonts w:ascii="Calibri" w:hAnsi="Calibri" w:cs="Calibri"/>
          <w:color w:val="000000" w:themeColor="text1"/>
          <w:sz w:val="22"/>
          <w:szCs w:val="22"/>
        </w:rPr>
        <w:t>, 1.63; 95% CI 0.99, 2.66] and there was no association detected between knee pain and a one-unit increase in age</w:t>
      </w:r>
      <w:r w:rsidRPr="00C9315C">
        <w:rPr>
          <w:rStyle w:val="apple-converted-space"/>
          <w:rFonts w:ascii="Calibri" w:hAnsi="Calibri" w:cs="Calibri"/>
          <w:color w:val="000000" w:themeColor="text1"/>
          <w:sz w:val="22"/>
          <w:szCs w:val="22"/>
        </w:rPr>
        <w:t> </w:t>
      </w:r>
      <w:bookmarkStart w:id="0" w:name="_GoBack"/>
      <w:bookmarkEnd w:id="0"/>
      <w:r w:rsidRPr="00C9315C">
        <w:rPr>
          <w:rStyle w:val="it13"/>
          <w:rFonts w:ascii="Calibri" w:hAnsi="Calibri" w:cs="Calibri"/>
          <w:color w:val="000000" w:themeColor="text1"/>
          <w:sz w:val="22"/>
          <w:szCs w:val="22"/>
        </w:rPr>
        <w:t>[</w:t>
      </w:r>
      <w:proofErr w:type="spellStart"/>
      <w:r w:rsidRPr="00C9315C">
        <w:rPr>
          <w:rStyle w:val="it13"/>
          <w:rFonts w:ascii="Calibri" w:hAnsi="Calibri" w:cs="Calibri"/>
          <w:color w:val="000000" w:themeColor="text1"/>
          <w:sz w:val="22"/>
          <w:szCs w:val="22"/>
        </w:rPr>
        <w:t>aOR</w:t>
      </w:r>
      <w:proofErr w:type="spellEnd"/>
      <w:r w:rsidRPr="00C9315C">
        <w:rPr>
          <w:rStyle w:val="it13"/>
          <w:rFonts w:ascii="Calibri" w:hAnsi="Calibri" w:cs="Calibri"/>
          <w:color w:val="000000" w:themeColor="text1"/>
          <w:sz w:val="22"/>
          <w:szCs w:val="22"/>
        </w:rPr>
        <w:t>, 1.01; 95% CI 0.99, 1.03].</w:t>
      </w:r>
      <w:r w:rsidRPr="00C9315C">
        <w:rPr>
          <w:rStyle w:val="apple-converted-space"/>
          <w:rFonts w:ascii="Calibri" w:hAnsi="Calibri" w:cs="Calibri"/>
          <w:color w:val="000000" w:themeColor="text1"/>
          <w:sz w:val="22"/>
          <w:szCs w:val="22"/>
        </w:rPr>
        <w:t> </w:t>
      </w:r>
    </w:p>
    <w:p w14:paraId="622D9128" w14:textId="77777777" w:rsidR="00C9315C" w:rsidRPr="00C9315C" w:rsidRDefault="00C9315C" w:rsidP="00C9315C">
      <w:pPr>
        <w:pStyle w:val="p1"/>
        <w:shd w:val="clear" w:color="auto" w:fill="FFFFFF"/>
        <w:spacing w:before="0" w:beforeAutospacing="0" w:after="0" w:afterAutospacing="0"/>
        <w:rPr>
          <w:rFonts w:ascii="Calibri" w:hAnsi="Calibri" w:cs="Calibri"/>
          <w:b/>
          <w:bCs/>
          <w:color w:val="000000" w:themeColor="text1"/>
          <w:sz w:val="22"/>
          <w:szCs w:val="22"/>
        </w:rPr>
      </w:pPr>
    </w:p>
    <w:p w14:paraId="5367071E" w14:textId="1A2E3472" w:rsidR="00C9315C" w:rsidRPr="00C9315C" w:rsidRDefault="00C9315C" w:rsidP="00C9315C">
      <w:pPr>
        <w:pStyle w:val="p1"/>
        <w:shd w:val="clear" w:color="auto" w:fill="FFFFFF"/>
        <w:spacing w:before="0" w:beforeAutospacing="0" w:after="0" w:afterAutospacing="0"/>
        <w:rPr>
          <w:rFonts w:ascii="Calibri" w:hAnsi="Calibri" w:cs="Calibri"/>
          <w:color w:val="000000" w:themeColor="text1"/>
          <w:sz w:val="22"/>
          <w:szCs w:val="22"/>
        </w:rPr>
      </w:pPr>
      <w:r w:rsidRPr="00C9315C">
        <w:rPr>
          <w:rStyle w:val="it10"/>
          <w:rFonts w:ascii="Calibri" w:hAnsi="Calibri" w:cs="Calibri"/>
          <w:b/>
          <w:bCs/>
          <w:color w:val="000000" w:themeColor="text1"/>
          <w:sz w:val="22"/>
          <w:szCs w:val="22"/>
        </w:rPr>
        <w:t>Conclusions:</w:t>
      </w:r>
      <w:r w:rsidRPr="00C9315C">
        <w:rPr>
          <w:rStyle w:val="apple-converted-space"/>
          <w:rFonts w:ascii="Calibri" w:hAnsi="Calibri" w:cs="Calibri"/>
          <w:b/>
          <w:bCs/>
          <w:color w:val="000000" w:themeColor="text1"/>
          <w:sz w:val="22"/>
          <w:szCs w:val="22"/>
        </w:rPr>
        <w:t> </w:t>
      </w:r>
      <w:r w:rsidRPr="00C9315C">
        <w:rPr>
          <w:rStyle w:val="it13"/>
          <w:rFonts w:ascii="Calibri" w:hAnsi="Calibri" w:cs="Calibri"/>
          <w:color w:val="000000" w:themeColor="text1"/>
          <w:sz w:val="22"/>
          <w:szCs w:val="22"/>
        </w:rPr>
        <w:t xml:space="preserve">Protection from knee injury and a healthy body mass index are important factors </w:t>
      </w:r>
      <w:r w:rsidRPr="00C9315C">
        <w:rPr>
          <w:rStyle w:val="it14"/>
          <w:rFonts w:ascii="Calibri" w:hAnsi="Calibri" w:cs="Calibri"/>
          <w:color w:val="000000" w:themeColor="text1"/>
          <w:sz w:val="22"/>
          <w:szCs w:val="22"/>
        </w:rPr>
        <w:t>in reducing</w:t>
      </w:r>
      <w:r w:rsidRPr="00C9315C">
        <w:rPr>
          <w:rStyle w:val="apple-converted-space"/>
          <w:rFonts w:ascii="Calibri" w:hAnsi="Calibri" w:cs="Calibri"/>
          <w:color w:val="000000" w:themeColor="text1"/>
          <w:sz w:val="22"/>
          <w:szCs w:val="22"/>
        </w:rPr>
        <w:t> </w:t>
      </w:r>
      <w:r w:rsidRPr="00C9315C">
        <w:rPr>
          <w:rStyle w:val="it13"/>
          <w:rFonts w:ascii="Calibri" w:hAnsi="Calibri" w:cs="Calibri"/>
          <w:color w:val="000000" w:themeColor="text1"/>
          <w:sz w:val="22"/>
          <w:szCs w:val="22"/>
        </w:rPr>
        <w:t>knee pain. Future research should</w:t>
      </w:r>
      <w:r w:rsidRPr="00C9315C">
        <w:rPr>
          <w:rStyle w:val="it13"/>
          <w:rFonts w:ascii="Calibri" w:hAnsi="Calibri" w:cs="Calibri"/>
          <w:color w:val="000000" w:themeColor="text1"/>
          <w:sz w:val="22"/>
          <w:szCs w:val="22"/>
        </w:rPr>
        <w:t xml:space="preserve"> </w:t>
      </w:r>
      <w:r w:rsidRPr="00C9315C">
        <w:rPr>
          <w:rFonts w:ascii="Calibri" w:hAnsi="Calibri" w:cs="Calibri"/>
          <w:color w:val="000000" w:themeColor="text1"/>
          <w:sz w:val="22"/>
          <w:szCs w:val="22"/>
        </w:rPr>
        <w:t>determine what type of physical activity is capable of reducing knee pain in the general population.</w:t>
      </w:r>
    </w:p>
    <w:p w14:paraId="0055312B" w14:textId="77777777" w:rsidR="00C9315C" w:rsidRPr="00C9315C" w:rsidRDefault="00C9315C" w:rsidP="00C9315C">
      <w:pPr>
        <w:rPr>
          <w:rFonts w:ascii="Calibri" w:hAnsi="Calibri" w:cs="Calibri"/>
          <w:sz w:val="22"/>
          <w:szCs w:val="22"/>
        </w:rPr>
      </w:pPr>
    </w:p>
    <w:sectPr w:rsidR="00C9315C" w:rsidRPr="00C9315C" w:rsidSect="00063F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CF"/>
    <w:rsid w:val="00013C0E"/>
    <w:rsid w:val="00063FFC"/>
    <w:rsid w:val="00AE03CF"/>
    <w:rsid w:val="00C93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93E068"/>
  <w15:chartTrackingRefBased/>
  <w15:docId w15:val="{55B5E37A-1DF4-4C47-925F-EBB65DA1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3CF"/>
    <w:pPr>
      <w:spacing w:before="100" w:beforeAutospacing="1" w:after="100" w:afterAutospacing="1"/>
    </w:pPr>
    <w:rPr>
      <w:rFonts w:ascii="Times New Roman" w:eastAsia="Times New Roman" w:hAnsi="Times New Roman" w:cs="Times New Roman"/>
      <w:lang w:eastAsia="en-GB"/>
    </w:rPr>
  </w:style>
  <w:style w:type="paragraph" w:customStyle="1" w:styleId="p1">
    <w:name w:val="p1"/>
    <w:basedOn w:val="Normal"/>
    <w:rsid w:val="00C9315C"/>
    <w:pPr>
      <w:spacing w:before="100" w:beforeAutospacing="1" w:after="100" w:afterAutospacing="1"/>
    </w:pPr>
    <w:rPr>
      <w:rFonts w:ascii="Times New Roman" w:eastAsia="Times New Roman" w:hAnsi="Times New Roman" w:cs="Times New Roman"/>
      <w:lang w:eastAsia="en-GB"/>
    </w:rPr>
  </w:style>
  <w:style w:type="character" w:customStyle="1" w:styleId="it2">
    <w:name w:val="it2"/>
    <w:basedOn w:val="DefaultParagraphFont"/>
    <w:rsid w:val="00C9315C"/>
  </w:style>
  <w:style w:type="character" w:customStyle="1" w:styleId="it4">
    <w:name w:val="it4"/>
    <w:basedOn w:val="DefaultParagraphFont"/>
    <w:rsid w:val="00C9315C"/>
  </w:style>
  <w:style w:type="character" w:customStyle="1" w:styleId="it5">
    <w:name w:val="it5"/>
    <w:basedOn w:val="DefaultParagraphFont"/>
    <w:rsid w:val="00C9315C"/>
  </w:style>
  <w:style w:type="character" w:customStyle="1" w:styleId="apple-converted-space">
    <w:name w:val="apple-converted-space"/>
    <w:basedOn w:val="DefaultParagraphFont"/>
    <w:rsid w:val="00C9315C"/>
  </w:style>
  <w:style w:type="character" w:customStyle="1" w:styleId="it6">
    <w:name w:val="it6"/>
    <w:basedOn w:val="DefaultParagraphFont"/>
    <w:rsid w:val="00C9315C"/>
  </w:style>
  <w:style w:type="character" w:customStyle="1" w:styleId="it7">
    <w:name w:val="it7"/>
    <w:basedOn w:val="DefaultParagraphFont"/>
    <w:rsid w:val="00C9315C"/>
  </w:style>
  <w:style w:type="character" w:customStyle="1" w:styleId="it10">
    <w:name w:val="it10"/>
    <w:basedOn w:val="DefaultParagraphFont"/>
    <w:rsid w:val="00C9315C"/>
  </w:style>
  <w:style w:type="character" w:customStyle="1" w:styleId="it11">
    <w:name w:val="it11"/>
    <w:basedOn w:val="DefaultParagraphFont"/>
    <w:rsid w:val="00C9315C"/>
  </w:style>
  <w:style w:type="character" w:customStyle="1" w:styleId="it12">
    <w:name w:val="it12"/>
    <w:basedOn w:val="DefaultParagraphFont"/>
    <w:rsid w:val="00C9315C"/>
  </w:style>
  <w:style w:type="character" w:customStyle="1" w:styleId="it13">
    <w:name w:val="it13"/>
    <w:basedOn w:val="DefaultParagraphFont"/>
    <w:rsid w:val="00C9315C"/>
  </w:style>
  <w:style w:type="character" w:customStyle="1" w:styleId="it14">
    <w:name w:val="it14"/>
    <w:basedOn w:val="DefaultParagraphFont"/>
    <w:rsid w:val="00C9315C"/>
  </w:style>
  <w:style w:type="character" w:customStyle="1" w:styleId="it15">
    <w:name w:val="it15"/>
    <w:basedOn w:val="DefaultParagraphFont"/>
    <w:rsid w:val="00C9315C"/>
  </w:style>
  <w:style w:type="character" w:customStyle="1" w:styleId="it16">
    <w:name w:val="it16"/>
    <w:basedOn w:val="DefaultParagraphFont"/>
    <w:rsid w:val="00C9315C"/>
  </w:style>
  <w:style w:type="character" w:customStyle="1" w:styleId="it17">
    <w:name w:val="it17"/>
    <w:basedOn w:val="DefaultParagraphFont"/>
    <w:rsid w:val="00C9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64092">
      <w:bodyDiv w:val="1"/>
      <w:marLeft w:val="0"/>
      <w:marRight w:val="0"/>
      <w:marTop w:val="0"/>
      <w:marBottom w:val="0"/>
      <w:divBdr>
        <w:top w:val="none" w:sz="0" w:space="0" w:color="auto"/>
        <w:left w:val="none" w:sz="0" w:space="0" w:color="auto"/>
        <w:bottom w:val="none" w:sz="0" w:space="0" w:color="auto"/>
        <w:right w:val="none" w:sz="0" w:space="0" w:color="auto"/>
      </w:divBdr>
    </w:div>
    <w:div w:id="277881425">
      <w:bodyDiv w:val="1"/>
      <w:marLeft w:val="0"/>
      <w:marRight w:val="0"/>
      <w:marTop w:val="0"/>
      <w:marBottom w:val="0"/>
      <w:divBdr>
        <w:top w:val="none" w:sz="0" w:space="0" w:color="auto"/>
        <w:left w:val="none" w:sz="0" w:space="0" w:color="auto"/>
        <w:bottom w:val="none" w:sz="0" w:space="0" w:color="auto"/>
        <w:right w:val="none" w:sz="0" w:space="0" w:color="auto"/>
      </w:divBdr>
      <w:divsChild>
        <w:div w:id="1078332994">
          <w:marLeft w:val="0"/>
          <w:marRight w:val="0"/>
          <w:marTop w:val="0"/>
          <w:marBottom w:val="0"/>
          <w:divBdr>
            <w:top w:val="none" w:sz="0" w:space="0" w:color="auto"/>
            <w:left w:val="none" w:sz="0" w:space="0" w:color="auto"/>
            <w:bottom w:val="none" w:sz="0" w:space="0" w:color="auto"/>
            <w:right w:val="none" w:sz="0" w:space="0" w:color="auto"/>
          </w:divBdr>
          <w:divsChild>
            <w:div w:id="2126921327">
              <w:marLeft w:val="0"/>
              <w:marRight w:val="0"/>
              <w:marTop w:val="0"/>
              <w:marBottom w:val="0"/>
              <w:divBdr>
                <w:top w:val="none" w:sz="0" w:space="0" w:color="auto"/>
                <w:left w:val="none" w:sz="0" w:space="0" w:color="auto"/>
                <w:bottom w:val="none" w:sz="0" w:space="0" w:color="auto"/>
                <w:right w:val="none" w:sz="0" w:space="0" w:color="auto"/>
              </w:divBdr>
              <w:divsChild>
                <w:div w:id="16299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1026">
      <w:bodyDiv w:val="1"/>
      <w:marLeft w:val="0"/>
      <w:marRight w:val="0"/>
      <w:marTop w:val="0"/>
      <w:marBottom w:val="0"/>
      <w:divBdr>
        <w:top w:val="none" w:sz="0" w:space="0" w:color="auto"/>
        <w:left w:val="none" w:sz="0" w:space="0" w:color="auto"/>
        <w:bottom w:val="none" w:sz="0" w:space="0" w:color="auto"/>
        <w:right w:val="none" w:sz="0" w:space="0" w:color="auto"/>
      </w:divBdr>
    </w:div>
    <w:div w:id="1170294525">
      <w:bodyDiv w:val="1"/>
      <w:marLeft w:val="0"/>
      <w:marRight w:val="0"/>
      <w:marTop w:val="0"/>
      <w:marBottom w:val="0"/>
      <w:divBdr>
        <w:top w:val="none" w:sz="0" w:space="0" w:color="auto"/>
        <w:left w:val="none" w:sz="0" w:space="0" w:color="auto"/>
        <w:bottom w:val="none" w:sz="0" w:space="0" w:color="auto"/>
        <w:right w:val="none" w:sz="0" w:space="0" w:color="auto"/>
      </w:divBdr>
    </w:div>
    <w:div w:id="1514224791">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5">
          <w:marLeft w:val="0"/>
          <w:marRight w:val="0"/>
          <w:marTop w:val="0"/>
          <w:marBottom w:val="0"/>
          <w:divBdr>
            <w:top w:val="none" w:sz="0" w:space="0" w:color="auto"/>
            <w:left w:val="none" w:sz="0" w:space="0" w:color="auto"/>
            <w:bottom w:val="none" w:sz="0" w:space="0" w:color="auto"/>
            <w:right w:val="none" w:sz="0" w:space="0" w:color="auto"/>
          </w:divBdr>
          <w:divsChild>
            <w:div w:id="286202093">
              <w:marLeft w:val="0"/>
              <w:marRight w:val="0"/>
              <w:marTop w:val="0"/>
              <w:marBottom w:val="0"/>
              <w:divBdr>
                <w:top w:val="none" w:sz="0" w:space="0" w:color="auto"/>
                <w:left w:val="none" w:sz="0" w:space="0" w:color="auto"/>
                <w:bottom w:val="none" w:sz="0" w:space="0" w:color="auto"/>
                <w:right w:val="none" w:sz="0" w:space="0" w:color="auto"/>
              </w:divBdr>
              <w:divsChild>
                <w:div w:id="1345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61415">
      <w:bodyDiv w:val="1"/>
      <w:marLeft w:val="0"/>
      <w:marRight w:val="0"/>
      <w:marTop w:val="0"/>
      <w:marBottom w:val="0"/>
      <w:divBdr>
        <w:top w:val="none" w:sz="0" w:space="0" w:color="auto"/>
        <w:left w:val="none" w:sz="0" w:space="0" w:color="auto"/>
        <w:bottom w:val="none" w:sz="0" w:space="0" w:color="auto"/>
        <w:right w:val="none" w:sz="0" w:space="0" w:color="auto"/>
      </w:divBdr>
      <w:divsChild>
        <w:div w:id="1970160031">
          <w:marLeft w:val="0"/>
          <w:marRight w:val="0"/>
          <w:marTop w:val="0"/>
          <w:marBottom w:val="0"/>
          <w:divBdr>
            <w:top w:val="none" w:sz="0" w:space="0" w:color="auto"/>
            <w:left w:val="none" w:sz="0" w:space="0" w:color="auto"/>
            <w:bottom w:val="none" w:sz="0" w:space="0" w:color="auto"/>
            <w:right w:val="none" w:sz="0" w:space="0" w:color="auto"/>
          </w:divBdr>
          <w:divsChild>
            <w:div w:id="2017001819">
              <w:marLeft w:val="0"/>
              <w:marRight w:val="0"/>
              <w:marTop w:val="0"/>
              <w:marBottom w:val="0"/>
              <w:divBdr>
                <w:top w:val="none" w:sz="0" w:space="0" w:color="auto"/>
                <w:left w:val="none" w:sz="0" w:space="0" w:color="auto"/>
                <w:bottom w:val="none" w:sz="0" w:space="0" w:color="auto"/>
                <w:right w:val="none" w:sz="0" w:space="0" w:color="auto"/>
              </w:divBdr>
              <w:divsChild>
                <w:div w:id="4646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9B009-93B9-6A49-8655-EF9EFF47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Dale</dc:creator>
  <cp:keywords/>
  <dc:description/>
  <cp:lastModifiedBy>Cooper, Dale</cp:lastModifiedBy>
  <cp:revision>2</cp:revision>
  <dcterms:created xsi:type="dcterms:W3CDTF">2020-06-02T07:22:00Z</dcterms:created>
  <dcterms:modified xsi:type="dcterms:W3CDTF">2020-06-02T07:51:00Z</dcterms:modified>
</cp:coreProperties>
</file>