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FAF7" w14:textId="77777777" w:rsidR="00EC4F60" w:rsidRPr="00EB4461" w:rsidRDefault="00EC4F60" w:rsidP="00EC4F60">
      <w:pPr>
        <w:spacing w:after="0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1FE3920D" w14:textId="77777777" w:rsidR="00EC4F60" w:rsidRPr="00EB4461" w:rsidRDefault="00EC4F60" w:rsidP="00EC4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>Table 1.</w:t>
      </w:r>
      <w:r w:rsidRPr="00EB4461">
        <w:rPr>
          <w:rFonts w:ascii="Times New Roman" w:hAnsi="Times New Roman" w:cs="Times New Roman"/>
          <w:sz w:val="24"/>
          <w:szCs w:val="24"/>
        </w:rPr>
        <w:t xml:space="preserve"> Data source and interviews schedule table.</w:t>
      </w:r>
    </w:p>
    <w:p w14:paraId="7866B8AA" w14:textId="77777777" w:rsidR="00EC4F60" w:rsidRPr="00EB4461" w:rsidRDefault="00EC4F60" w:rsidP="00EC4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4"/>
        <w:gridCol w:w="992"/>
        <w:gridCol w:w="1418"/>
        <w:gridCol w:w="2693"/>
      </w:tblGrid>
      <w:tr w:rsidR="00EC4F60" w:rsidRPr="00EB4461" w14:paraId="5ED6D699" w14:textId="77777777" w:rsidTr="00726E31">
        <w:trPr>
          <w:trHeight w:val="132"/>
          <w:jc w:val="center"/>
        </w:trPr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17C73797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Organisation</w:t>
            </w:r>
          </w:p>
          <w:p w14:paraId="50AC49A3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(Industries)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14:paraId="7C91CB60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Interviewee</w:t>
            </w:r>
          </w:p>
          <w:p w14:paraId="003427ED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(Positions)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6BEC60EC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Length</w:t>
            </w:r>
          </w:p>
          <w:p w14:paraId="664F35EB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(Minutes)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D46E16" w14:textId="77777777" w:rsidR="00EC4F60" w:rsidRPr="00EB4461" w:rsidRDefault="00EC4F60" w:rsidP="0072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Type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90032D" w14:textId="77777777" w:rsidR="00EC4F60" w:rsidRPr="00EB4461" w:rsidRDefault="00EC4F60" w:rsidP="0072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Date</w:t>
            </w:r>
          </w:p>
        </w:tc>
      </w:tr>
      <w:tr w:rsidR="00EC4F60" w:rsidRPr="00EB4461" w14:paraId="4E1A3815" w14:textId="77777777" w:rsidTr="00726E31">
        <w:trPr>
          <w:trHeight w:val="132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72F39228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Industrials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14:paraId="053AFBED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CFO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5C15" w14:textId="77777777" w:rsidR="00EC4F60" w:rsidRPr="00EB4461" w:rsidRDefault="00EC4F60" w:rsidP="0072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792F" w14:textId="77777777" w:rsidR="00EC4F60" w:rsidRPr="00EB4461" w:rsidRDefault="00EC4F60" w:rsidP="0072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14:paraId="5E21B499" w14:textId="77777777" w:rsidR="00EC4F60" w:rsidRPr="00EB4461" w:rsidRDefault="00EC4F60" w:rsidP="00726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Friday 12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th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June 2015, at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 xml:space="preserve"> 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00 pm–4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05 pm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</w:p>
        </w:tc>
      </w:tr>
      <w:tr w:rsidR="00EC4F60" w:rsidRPr="00EB4461" w14:paraId="6F77DFE5" w14:textId="77777777" w:rsidTr="00726E31">
        <w:trPr>
          <w:trHeight w:val="132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EE66A0C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Industrials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87F4831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Investor Relations Director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166FA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8633C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E63A32E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Thursday 2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nd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June 2016,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 xml:space="preserve"> 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at 4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00 pm–5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33 pm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</w:p>
        </w:tc>
      </w:tr>
      <w:tr w:rsidR="00EC4F60" w:rsidRPr="00EB4461" w14:paraId="08818940" w14:textId="77777777" w:rsidTr="00726E31">
        <w:trPr>
          <w:trHeight w:val="132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4D53945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Telecommunications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302E741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Investor Relations Director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E84A1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2CA11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26E9CC9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Thursday 18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th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June 2016, at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 xml:space="preserve"> 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00 pm–2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03 pm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</w:p>
        </w:tc>
      </w:tr>
      <w:tr w:rsidR="00EC4F60" w:rsidRPr="00EB4461" w14:paraId="665480DB" w14:textId="77777777" w:rsidTr="00726E31">
        <w:trPr>
          <w:trHeight w:val="132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C7B1D3F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Industrials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A1DFCE6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Director of Corporate Finance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BE149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EB6A3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A3174A3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Thursday 21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st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April 2016, at 12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00 pm–12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48 pm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</w:p>
        </w:tc>
      </w:tr>
      <w:tr w:rsidR="00EC4F60" w:rsidRPr="00EB4461" w14:paraId="71A3F5A4" w14:textId="77777777" w:rsidTr="00726E31">
        <w:trPr>
          <w:trHeight w:val="132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2E04420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Utilities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0A24F0E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Group Director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F6DE0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72781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5E37248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Wednesday 27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th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April 2016, at 12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00 pm–12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37 pm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</w:p>
        </w:tc>
      </w:tr>
      <w:tr w:rsidR="00EC4F60" w:rsidRPr="00EB4461" w14:paraId="20B6BF39" w14:textId="77777777" w:rsidTr="00726E31">
        <w:trPr>
          <w:trHeight w:val="132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A138B57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Telecommunications</w:t>
            </w:r>
          </w:p>
          <w:p w14:paraId="1AD55EB3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69EC78E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Group Director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45A53DA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684F8DB0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EFB7B51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Tuesday 31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st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May 2016, at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 xml:space="preserve"> 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00 pm–2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05 pm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</w:p>
        </w:tc>
      </w:tr>
      <w:tr w:rsidR="00EC4F60" w:rsidRPr="00EB4461" w14:paraId="1C77020B" w14:textId="77777777" w:rsidTr="00726E31">
        <w:trPr>
          <w:trHeight w:val="130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DD2BDA8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Industrials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8C2A89A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Group Treasurer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AFC3B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B2691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4437F4A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Thursday 2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nd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 xml:space="preserve"> 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June 2016, at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 xml:space="preserve"> 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: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00 pm–3.21 pm.</w:t>
            </w:r>
          </w:p>
        </w:tc>
      </w:tr>
      <w:tr w:rsidR="00EC4F60" w:rsidRPr="00EB4461" w14:paraId="677620DC" w14:textId="77777777" w:rsidTr="00726E31">
        <w:trPr>
          <w:trHeight w:val="130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C961067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Financial services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3FFFFEE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Managing Director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A365C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44CA6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C8D655B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Wednesday 22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nd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June 2016, at 10.00 am-10.40 am.</w:t>
            </w:r>
          </w:p>
        </w:tc>
      </w:tr>
      <w:tr w:rsidR="00EC4F60" w:rsidRPr="00EB4461" w14:paraId="440BC8D5" w14:textId="77777777" w:rsidTr="00726E31">
        <w:trPr>
          <w:trHeight w:val="130"/>
          <w:jc w:val="center"/>
        </w:trPr>
        <w:tc>
          <w:tcPr>
            <w:tcW w:w="2268" w:type="dxa"/>
            <w:tcBorders>
              <w:top w:val="nil"/>
              <w:bottom w:val="double" w:sz="4" w:space="0" w:color="auto"/>
            </w:tcBorders>
            <w:vAlign w:val="center"/>
          </w:tcPr>
          <w:p w14:paraId="39D778BB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Oil &amp; gas</w:t>
            </w: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  <w:vAlign w:val="center"/>
          </w:tcPr>
          <w:p w14:paraId="1A3F6B7D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Group Treasurer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0B4DD0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B4EF44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Face to face</w:t>
            </w:r>
          </w:p>
        </w:tc>
        <w:tc>
          <w:tcPr>
            <w:tcW w:w="2693" w:type="dxa"/>
            <w:tcBorders>
              <w:top w:val="nil"/>
              <w:bottom w:val="double" w:sz="4" w:space="0" w:color="auto"/>
            </w:tcBorders>
            <w:vAlign w:val="center"/>
          </w:tcPr>
          <w:p w14:paraId="524BE136" w14:textId="77777777" w:rsidR="00EC4F60" w:rsidRPr="00EB4461" w:rsidRDefault="00EC4F60" w:rsidP="0072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Friday 17th June 2016, at 9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00 am–10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  <w:r w:rsidRPr="00EB44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28 am</w:t>
            </w:r>
            <w:r w:rsidRPr="00EB4461">
              <w:rPr>
                <w:rFonts w:ascii="Times New Roman" w:hAnsi="Times New Roman" w:cs="Angsana New"/>
                <w:color w:val="000000"/>
                <w:sz w:val="24"/>
                <w:szCs w:val="24"/>
                <w:cs/>
                <w:lang w:eastAsia="et-EE" w:bidi="th-TH"/>
              </w:rPr>
              <w:t>.</w:t>
            </w:r>
          </w:p>
        </w:tc>
      </w:tr>
    </w:tbl>
    <w:p w14:paraId="132462A8" w14:textId="77777777" w:rsidR="00EC4F60" w:rsidRPr="00EB4461" w:rsidRDefault="00EC4F60" w:rsidP="00EC4F60">
      <w:pPr>
        <w:spacing w:after="0"/>
        <w:jc w:val="thaiDistribute"/>
        <w:rPr>
          <w:rFonts w:ascii="Times New Roman" w:hAnsi="Times New Roman" w:cs="Times New Roman"/>
          <w:color w:val="000000" w:themeColor="text1"/>
          <w:sz w:val="24"/>
          <w:szCs w:val="24"/>
          <w:lang w:bidi="th-TH"/>
        </w:rPr>
      </w:pPr>
    </w:p>
    <w:p w14:paraId="75E9813F" w14:textId="77777777" w:rsidR="00EC4F60" w:rsidRPr="00EB4461" w:rsidRDefault="00EC4F60" w:rsidP="00EC4F60">
      <w:pPr>
        <w:spacing w:after="160" w:line="259" w:lineRule="auto"/>
      </w:pPr>
    </w:p>
    <w:p w14:paraId="1A105343" w14:textId="77777777" w:rsidR="00EC4F60" w:rsidRPr="005426B6" w:rsidRDefault="00EC4F60" w:rsidP="00EC4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6B6">
        <w:rPr>
          <w:rFonts w:ascii="Times New Roman" w:hAnsi="Times New Roman" w:cs="Times New Roman"/>
          <w:b/>
          <w:bCs/>
          <w:sz w:val="24"/>
          <w:szCs w:val="24"/>
        </w:rPr>
        <w:t xml:space="preserve">Table 2. </w:t>
      </w:r>
      <w:r w:rsidRPr="005426B6">
        <w:rPr>
          <w:rFonts w:ascii="Times New Roman" w:hAnsi="Times New Roman" w:cs="Times New Roman"/>
          <w:sz w:val="24"/>
          <w:szCs w:val="24"/>
        </w:rPr>
        <w:t>Phases of the thematic analysis.</w:t>
      </w:r>
    </w:p>
    <w:tbl>
      <w:tblPr>
        <w:tblStyle w:val="TableGrid"/>
        <w:tblW w:w="993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601"/>
      </w:tblGrid>
      <w:tr w:rsidR="00EC4F60" w:rsidRPr="00EB4461" w14:paraId="6A075830" w14:textId="77777777" w:rsidTr="00726E31"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F56F11A" w14:textId="77777777" w:rsidR="00EC4F60" w:rsidRPr="005426B6" w:rsidRDefault="00EC4F60" w:rsidP="00726E31">
            <w:pPr>
              <w:spacing w:after="0"/>
              <w:jc w:val="center"/>
              <w:rPr>
                <w:b/>
                <w:bCs/>
                <w:sz w:val="22"/>
                <w:szCs w:val="24"/>
              </w:rPr>
            </w:pPr>
            <w:r w:rsidRPr="005426B6">
              <w:rPr>
                <w:b/>
                <w:bCs/>
                <w:szCs w:val="24"/>
              </w:rPr>
              <w:t>Phase</w:t>
            </w:r>
          </w:p>
        </w:tc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14:paraId="456C6263" w14:textId="77777777" w:rsidR="00EC4F60" w:rsidRPr="005426B6" w:rsidRDefault="00EC4F60" w:rsidP="00726E31">
            <w:pPr>
              <w:spacing w:after="0"/>
              <w:jc w:val="center"/>
              <w:rPr>
                <w:b/>
                <w:bCs/>
                <w:sz w:val="22"/>
                <w:szCs w:val="24"/>
              </w:rPr>
            </w:pPr>
            <w:r w:rsidRPr="005426B6">
              <w:rPr>
                <w:b/>
                <w:bCs/>
                <w:szCs w:val="24"/>
              </w:rPr>
              <w:t>Description of the process</w:t>
            </w:r>
          </w:p>
        </w:tc>
      </w:tr>
      <w:tr w:rsidR="00EC4F60" w:rsidRPr="00EB4461" w14:paraId="1000C38F" w14:textId="77777777" w:rsidTr="00726E31">
        <w:tc>
          <w:tcPr>
            <w:tcW w:w="3330" w:type="dxa"/>
            <w:tcBorders>
              <w:top w:val="single" w:sz="4" w:space="0" w:color="auto"/>
            </w:tcBorders>
          </w:tcPr>
          <w:p w14:paraId="36CF1CAE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 xml:space="preserve">1. </w:t>
            </w:r>
            <w:r w:rsidRPr="00EB4461">
              <w:rPr>
                <w:sz w:val="22"/>
                <w:szCs w:val="24"/>
              </w:rPr>
              <w:t>Reviewing data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14:paraId="428C00A0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Reading through all transcriptions and identifying relevant ideas.</w:t>
            </w:r>
          </w:p>
        </w:tc>
      </w:tr>
      <w:tr w:rsidR="00EC4F60" w:rsidRPr="00EB4461" w14:paraId="4216BB05" w14:textId="77777777" w:rsidTr="00726E31">
        <w:tc>
          <w:tcPr>
            <w:tcW w:w="3330" w:type="dxa"/>
          </w:tcPr>
          <w:p w14:paraId="085AF8BA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2. Creating relevant idea codes</w:t>
            </w:r>
          </w:p>
        </w:tc>
        <w:tc>
          <w:tcPr>
            <w:tcW w:w="6601" w:type="dxa"/>
          </w:tcPr>
          <w:p w14:paraId="2504BEC1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Creating relevant ideas to each code.</w:t>
            </w:r>
          </w:p>
        </w:tc>
      </w:tr>
      <w:tr w:rsidR="00EC4F60" w:rsidRPr="00EB4461" w14:paraId="10B3099E" w14:textId="77777777" w:rsidTr="00726E31">
        <w:tc>
          <w:tcPr>
            <w:tcW w:w="3330" w:type="dxa"/>
          </w:tcPr>
          <w:p w14:paraId="7D117E89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3. Preparing for themes</w:t>
            </w:r>
          </w:p>
        </w:tc>
        <w:tc>
          <w:tcPr>
            <w:tcW w:w="6601" w:type="dxa"/>
          </w:tcPr>
          <w:p w14:paraId="2330582A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 xml:space="preserve">Organising codes into potential themes, collecting all data related to each potential theme. </w:t>
            </w:r>
          </w:p>
        </w:tc>
      </w:tr>
      <w:tr w:rsidR="00EC4F60" w:rsidRPr="00EB4461" w14:paraId="6681E05E" w14:textId="77777777" w:rsidTr="00726E31">
        <w:tc>
          <w:tcPr>
            <w:tcW w:w="3330" w:type="dxa"/>
          </w:tcPr>
          <w:p w14:paraId="3F84BB61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4. Reviewing themes</w:t>
            </w:r>
          </w:p>
        </w:tc>
        <w:tc>
          <w:tcPr>
            <w:tcW w:w="6601" w:type="dxa"/>
          </w:tcPr>
          <w:p w14:paraId="62154EEE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 xml:space="preserve">Checking across the thematic map to see whether all themes are </w:t>
            </w:r>
            <w:proofErr w:type="gramStart"/>
            <w:r w:rsidRPr="005426B6">
              <w:rPr>
                <w:szCs w:val="24"/>
              </w:rPr>
              <w:t>coordinated</w:t>
            </w:r>
            <w:proofErr w:type="gramEnd"/>
            <w:r w:rsidRPr="005426B6">
              <w:rPr>
                <w:szCs w:val="24"/>
              </w:rPr>
              <w:t xml:space="preserve"> and they supported by relevant codes and data.</w:t>
            </w:r>
          </w:p>
        </w:tc>
      </w:tr>
      <w:tr w:rsidR="00EC4F60" w:rsidRPr="00EB4461" w14:paraId="5DDF0787" w14:textId="77777777" w:rsidTr="00726E31">
        <w:tc>
          <w:tcPr>
            <w:tcW w:w="3330" w:type="dxa"/>
            <w:tcBorders>
              <w:bottom w:val="nil"/>
            </w:tcBorders>
          </w:tcPr>
          <w:p w14:paraId="1F89632C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5. Naming themes</w:t>
            </w:r>
          </w:p>
        </w:tc>
        <w:tc>
          <w:tcPr>
            <w:tcW w:w="6601" w:type="dxa"/>
            <w:tcBorders>
              <w:bottom w:val="nil"/>
            </w:tcBorders>
          </w:tcPr>
          <w:p w14:paraId="74AE4D79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Refining the specifics of each theme and naming themes.</w:t>
            </w:r>
          </w:p>
        </w:tc>
      </w:tr>
      <w:tr w:rsidR="00EC4F60" w:rsidRPr="00EB4461" w14:paraId="55B8202A" w14:textId="77777777" w:rsidTr="00726E31"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030A786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6. Generating analysis report</w:t>
            </w:r>
          </w:p>
        </w:tc>
        <w:tc>
          <w:tcPr>
            <w:tcW w:w="6601" w:type="dxa"/>
            <w:tcBorders>
              <w:top w:val="nil"/>
              <w:bottom w:val="single" w:sz="4" w:space="0" w:color="auto"/>
            </w:tcBorders>
          </w:tcPr>
          <w:p w14:paraId="7597A594" w14:textId="77777777" w:rsidR="00EC4F60" w:rsidRPr="005426B6" w:rsidRDefault="00EC4F60" w:rsidP="00726E31">
            <w:pPr>
              <w:spacing w:after="0"/>
              <w:rPr>
                <w:sz w:val="22"/>
                <w:szCs w:val="24"/>
              </w:rPr>
            </w:pPr>
            <w:r w:rsidRPr="005426B6">
              <w:rPr>
                <w:szCs w:val="24"/>
              </w:rPr>
              <w:t>Analysing, and compelling extract examples relating back to the analysis of the research question and the literature, producing an analysis report.</w:t>
            </w:r>
          </w:p>
        </w:tc>
      </w:tr>
    </w:tbl>
    <w:p w14:paraId="13B6DFC6" w14:textId="77777777" w:rsidR="00EC4F60" w:rsidRPr="00EB4461" w:rsidRDefault="00EC4F60" w:rsidP="00EC4F60"/>
    <w:p w14:paraId="69B373B6" w14:textId="77777777" w:rsidR="00EC4F60" w:rsidRPr="00EB4461" w:rsidRDefault="00EC4F60" w:rsidP="00EC4F60">
      <w:pPr>
        <w:spacing w:after="160" w:line="259" w:lineRule="auto"/>
      </w:pPr>
      <w:r w:rsidRPr="00EB4461">
        <w:br w:type="page"/>
      </w:r>
    </w:p>
    <w:p w14:paraId="246B0395" w14:textId="77777777" w:rsidR="00EC4F60" w:rsidRPr="005426B6" w:rsidRDefault="00EC4F60" w:rsidP="00EC4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3.</w:t>
      </w:r>
      <w:r w:rsidRPr="005426B6">
        <w:rPr>
          <w:rFonts w:ascii="Times New Roman" w:hAnsi="Times New Roman" w:cs="Times New Roman"/>
          <w:sz w:val="24"/>
          <w:szCs w:val="24"/>
        </w:rPr>
        <w:t xml:space="preserve"> Main themes and sub-themes developed from thematic analysis approach.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5103"/>
      </w:tblGrid>
      <w:tr w:rsidR="00EC4F60" w:rsidRPr="00EB4461" w14:paraId="13A8CEAE" w14:textId="77777777" w:rsidTr="00726E3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752546" w14:textId="77777777" w:rsidR="00EC4F60" w:rsidRPr="005426B6" w:rsidRDefault="00EC4F60" w:rsidP="00726E31">
            <w:pPr>
              <w:spacing w:after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426B6">
              <w:rPr>
                <w:b/>
                <w:bCs/>
                <w:color w:val="000000" w:themeColor="text1"/>
              </w:rPr>
              <w:t>Main themes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23C679" w14:textId="77777777" w:rsidR="00EC4F60" w:rsidRPr="005426B6" w:rsidRDefault="00EC4F60" w:rsidP="00726E31">
            <w:pPr>
              <w:spacing w:after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426B6">
              <w:rPr>
                <w:b/>
                <w:bCs/>
                <w:color w:val="000000" w:themeColor="text1"/>
              </w:rPr>
              <w:t>Sub-themes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81D3D7" w14:textId="77777777" w:rsidR="00EC4F60" w:rsidRPr="005426B6" w:rsidRDefault="00EC4F60" w:rsidP="00726E31">
            <w:pPr>
              <w:spacing w:after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5426B6">
              <w:rPr>
                <w:b/>
                <w:bCs/>
                <w:color w:val="000000" w:themeColor="text1"/>
              </w:rPr>
              <w:t>Other variables</w:t>
            </w:r>
          </w:p>
        </w:tc>
      </w:tr>
      <w:tr w:rsidR="00EC4F60" w:rsidRPr="00EB4461" w14:paraId="18D84751" w14:textId="77777777" w:rsidTr="00726E31">
        <w:tc>
          <w:tcPr>
            <w:tcW w:w="1843" w:type="dxa"/>
            <w:tcBorders>
              <w:top w:val="single" w:sz="4" w:space="0" w:color="auto"/>
            </w:tcBorders>
          </w:tcPr>
          <w:p w14:paraId="4E0D938B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Financial factors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E22D62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Financial structure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F40C66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External sources of financing (</w:t>
            </w:r>
            <w:r w:rsidRPr="00EB4461">
              <w:rPr>
                <w:sz w:val="22"/>
              </w:rPr>
              <w:t xml:space="preserve">equity issues, </w:t>
            </w:r>
            <w:r w:rsidRPr="005426B6">
              <w:rPr>
                <w:color w:val="000000" w:themeColor="text1"/>
              </w:rPr>
              <w:t xml:space="preserve">debt financing, </w:t>
            </w:r>
            <w:r w:rsidRPr="00EB4461">
              <w:rPr>
                <w:sz w:val="22"/>
              </w:rPr>
              <w:t>repurchases, and leveraging</w:t>
            </w:r>
            <w:r w:rsidRPr="005426B6">
              <w:rPr>
                <w:color w:val="000000" w:themeColor="text1"/>
              </w:rPr>
              <w:t>).</w:t>
            </w:r>
          </w:p>
          <w:p w14:paraId="518C9260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Internal sources of financing (</w:t>
            </w:r>
            <w:r w:rsidRPr="00EB4461">
              <w:rPr>
                <w:sz w:val="22"/>
              </w:rPr>
              <w:t>higher or lower earnings retention, and size adjustment</w:t>
            </w:r>
            <w:r w:rsidRPr="005426B6">
              <w:rPr>
                <w:color w:val="000000" w:themeColor="text1"/>
              </w:rPr>
              <w:t>).</w:t>
            </w:r>
          </w:p>
        </w:tc>
      </w:tr>
      <w:tr w:rsidR="00EC4F60" w:rsidRPr="00EB4461" w14:paraId="7C17E7AC" w14:textId="77777777" w:rsidTr="00726E31">
        <w:tc>
          <w:tcPr>
            <w:tcW w:w="1843" w:type="dxa"/>
          </w:tcPr>
          <w:p w14:paraId="3C34AB1E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4B957CAF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Excess cash flows</w:t>
            </w:r>
          </w:p>
        </w:tc>
        <w:tc>
          <w:tcPr>
            <w:tcW w:w="5103" w:type="dxa"/>
          </w:tcPr>
          <w:p w14:paraId="40DD16CC" w14:textId="77777777" w:rsidR="00EC4F60" w:rsidRPr="005426B6" w:rsidRDefault="00EC4F60" w:rsidP="00726E31">
            <w:pPr>
              <w:spacing w:after="0"/>
              <w:ind w:left="176" w:hanging="176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Sources of cash flow (operating, investing, and financing cash flows).</w:t>
            </w:r>
          </w:p>
          <w:p w14:paraId="7CC0660C" w14:textId="77777777" w:rsidR="00EC4F60" w:rsidRPr="005426B6" w:rsidRDefault="00EC4F60" w:rsidP="00726E31">
            <w:pPr>
              <w:spacing w:after="0"/>
              <w:ind w:left="176" w:hanging="176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Persistency (temporary and permanent excess cash flow).</w:t>
            </w:r>
          </w:p>
        </w:tc>
      </w:tr>
      <w:tr w:rsidR="00EC4F60" w:rsidRPr="00EB4461" w14:paraId="7048C7E2" w14:textId="77777777" w:rsidTr="00726E31">
        <w:tc>
          <w:tcPr>
            <w:tcW w:w="1843" w:type="dxa"/>
          </w:tcPr>
          <w:p w14:paraId="3C1FA181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4839A9F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Financial strategy and performance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7CF878C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Short-term strategy (dividends payment, and shares buyback).</w:t>
            </w:r>
          </w:p>
          <w:p w14:paraId="1F8FF222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Long-term strategy (M&amp;A activity, growth strategy, internationalisation, and R&amp;D investment).</w:t>
            </w:r>
          </w:p>
        </w:tc>
      </w:tr>
      <w:tr w:rsidR="00EC4F60" w:rsidRPr="00EB4461" w14:paraId="02F6C68C" w14:textId="77777777" w:rsidTr="00726E31">
        <w:tc>
          <w:tcPr>
            <w:tcW w:w="1843" w:type="dxa"/>
          </w:tcPr>
          <w:p w14:paraId="33291885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4A9E840D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 xml:space="preserve">Share price </w:t>
            </w:r>
            <w:r w:rsidRPr="00EB4461">
              <w:rPr>
                <w:color w:val="000000" w:themeColor="text1"/>
                <w:sz w:val="22"/>
              </w:rPr>
              <w:t>signalling</w:t>
            </w:r>
          </w:p>
        </w:tc>
        <w:tc>
          <w:tcPr>
            <w:tcW w:w="5103" w:type="dxa"/>
          </w:tcPr>
          <w:p w14:paraId="3E3CC97B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Information asymmetry.</w:t>
            </w:r>
          </w:p>
          <w:p w14:paraId="3D0A3698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Undervalued/overvalued share prices.</w:t>
            </w:r>
          </w:p>
          <w:p w14:paraId="4BDD46ED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Improvement of share prices and EPS.</w:t>
            </w:r>
          </w:p>
        </w:tc>
      </w:tr>
      <w:tr w:rsidR="00EC4F60" w:rsidRPr="00EB4461" w14:paraId="7F9A7BC7" w14:textId="77777777" w:rsidTr="00726E31">
        <w:tc>
          <w:tcPr>
            <w:tcW w:w="1843" w:type="dxa"/>
          </w:tcPr>
          <w:p w14:paraId="502B912C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26D1430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Agency problem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DAC3FB2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Transparency.</w:t>
            </w:r>
          </w:p>
          <w:p w14:paraId="7414435D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Accountability (CSR strategy, ESG disclosures, and ethics).</w:t>
            </w:r>
          </w:p>
          <w:p w14:paraId="48692D5D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Remuneration to management (ESOP, and SDP).</w:t>
            </w:r>
          </w:p>
          <w:p w14:paraId="05FE15E4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Return to shareholders (dividend payment and share buyback).</w:t>
            </w:r>
          </w:p>
        </w:tc>
      </w:tr>
      <w:tr w:rsidR="00EC4F60" w:rsidRPr="00EB4461" w14:paraId="026B1FD2" w14:textId="77777777" w:rsidTr="00726E31">
        <w:tc>
          <w:tcPr>
            <w:tcW w:w="1843" w:type="dxa"/>
          </w:tcPr>
          <w:p w14:paraId="648B8B16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Non-financial factors</w:t>
            </w:r>
          </w:p>
        </w:tc>
        <w:tc>
          <w:tcPr>
            <w:tcW w:w="2126" w:type="dxa"/>
          </w:tcPr>
          <w:p w14:paraId="5863A654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Regulatory requirements</w:t>
            </w:r>
          </w:p>
        </w:tc>
        <w:tc>
          <w:tcPr>
            <w:tcW w:w="5103" w:type="dxa"/>
          </w:tcPr>
          <w:p w14:paraId="01F0CE78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Compliance with regulations (Company Act 2006, accounting standards, UK tax pay-out code 1997, and stock exchange regulations regarding different offers</w:t>
            </w:r>
            <w:r w:rsidRPr="00EB4461">
              <w:rPr>
                <w:color w:val="000000" w:themeColor="text1"/>
                <w:sz w:val="22"/>
                <w:lang w:bidi="th-TH"/>
              </w:rPr>
              <w:t xml:space="preserve"> to share buybacks</w:t>
            </w:r>
            <w:r w:rsidRPr="005426B6">
              <w:rPr>
                <w:color w:val="000000" w:themeColor="text1"/>
              </w:rPr>
              <w:t>).</w:t>
            </w:r>
          </w:p>
          <w:p w14:paraId="0E2D7EEE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Credit ratings.</w:t>
            </w:r>
          </w:p>
        </w:tc>
      </w:tr>
      <w:tr w:rsidR="00EC4F60" w:rsidRPr="00EB4461" w14:paraId="4DC492CE" w14:textId="77777777" w:rsidTr="00726E31">
        <w:tc>
          <w:tcPr>
            <w:tcW w:w="1843" w:type="dxa"/>
          </w:tcPr>
          <w:p w14:paraId="62B07DF9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7DDACA0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Relationships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E344792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Communication channels to stakeholders (internal channels, and external channels).</w:t>
            </w:r>
          </w:p>
          <w:p w14:paraId="36AA96E3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Coordination (internal and external coordination between units)</w:t>
            </w:r>
          </w:p>
          <w:p w14:paraId="496B5D34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Trust and loyalty.</w:t>
            </w:r>
          </w:p>
          <w:p w14:paraId="36E36C75" w14:textId="77777777" w:rsidR="00EC4F60" w:rsidRPr="005426B6" w:rsidRDefault="00EC4F60" w:rsidP="00726E31">
            <w:pPr>
              <w:spacing w:after="0"/>
              <w:ind w:left="176" w:hanging="176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Responsibility.</w:t>
            </w:r>
          </w:p>
        </w:tc>
      </w:tr>
      <w:tr w:rsidR="00EC4F60" w:rsidRPr="00EB4461" w14:paraId="2AF6ECE2" w14:textId="77777777" w:rsidTr="00726E31">
        <w:tc>
          <w:tcPr>
            <w:tcW w:w="1843" w:type="dxa"/>
          </w:tcPr>
          <w:p w14:paraId="0940BB8F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136824CF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Market and industry</w:t>
            </w:r>
          </w:p>
        </w:tc>
        <w:tc>
          <w:tcPr>
            <w:tcW w:w="5103" w:type="dxa"/>
          </w:tcPr>
          <w:p w14:paraId="1D58D418" w14:textId="77777777" w:rsidR="00EC4F60" w:rsidRPr="005426B6" w:rsidRDefault="00EC4F60" w:rsidP="00726E31">
            <w:pPr>
              <w:spacing w:after="0"/>
              <w:ind w:left="176" w:hanging="176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Market cycle (introduction, growth, mature, and decline stages)</w:t>
            </w:r>
          </w:p>
          <w:p w14:paraId="73CD6DB7" w14:textId="77777777" w:rsidR="00EC4F60" w:rsidRPr="005426B6" w:rsidRDefault="00EC4F60" w:rsidP="00726E31">
            <w:pPr>
              <w:spacing w:after="0"/>
              <w:ind w:left="176" w:hanging="176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Types/natures of industry.</w:t>
            </w:r>
          </w:p>
        </w:tc>
      </w:tr>
      <w:tr w:rsidR="00EC4F60" w:rsidRPr="00EB4461" w14:paraId="7AB2E46E" w14:textId="77777777" w:rsidTr="00726E31">
        <w:trPr>
          <w:trHeight w:val="325"/>
        </w:trPr>
        <w:tc>
          <w:tcPr>
            <w:tcW w:w="1843" w:type="dxa"/>
          </w:tcPr>
          <w:p w14:paraId="5DEA670D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4804C78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Competition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9025CE7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Level of competition.</w:t>
            </w:r>
          </w:p>
        </w:tc>
      </w:tr>
      <w:tr w:rsidR="00EC4F60" w:rsidRPr="00EB4461" w14:paraId="46815EE5" w14:textId="77777777" w:rsidTr="00726E31">
        <w:tc>
          <w:tcPr>
            <w:tcW w:w="1843" w:type="dxa"/>
          </w:tcPr>
          <w:p w14:paraId="3BF239FC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56A75349" w14:textId="77777777" w:rsidR="00EC4F60" w:rsidRPr="005426B6" w:rsidRDefault="00EC4F60" w:rsidP="00726E31">
            <w:pPr>
              <w:spacing w:after="0"/>
              <w:jc w:val="thaiDistribute"/>
              <w:rPr>
                <w:color w:val="000000" w:themeColor="text1"/>
                <w:sz w:val="22"/>
              </w:rPr>
            </w:pPr>
            <w:r w:rsidRPr="00EB4461">
              <w:rPr>
                <w:color w:val="000000" w:themeColor="text1"/>
                <w:sz w:val="22"/>
              </w:rPr>
              <w:t>Organisational</w:t>
            </w:r>
            <w:r w:rsidRPr="005426B6">
              <w:rPr>
                <w:color w:val="000000" w:themeColor="text1"/>
              </w:rPr>
              <w:t xml:space="preserve"> structure</w:t>
            </w:r>
          </w:p>
        </w:tc>
        <w:tc>
          <w:tcPr>
            <w:tcW w:w="5103" w:type="dxa"/>
          </w:tcPr>
          <w:p w14:paraId="6C32F015" w14:textId="77777777" w:rsidR="00EC4F60" w:rsidRPr="005426B6" w:rsidRDefault="00EC4F60" w:rsidP="00726E31">
            <w:pPr>
              <w:spacing w:after="0"/>
              <w:ind w:left="176" w:hanging="176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 Hierarchy (</w:t>
            </w:r>
            <w:r w:rsidRPr="00EB4461">
              <w:rPr>
                <w:color w:val="000000" w:themeColor="text1"/>
                <w:sz w:val="22"/>
              </w:rPr>
              <w:t>centralised or decentralised</w:t>
            </w:r>
            <w:r w:rsidRPr="005426B6">
              <w:rPr>
                <w:color w:val="000000" w:themeColor="text1"/>
              </w:rPr>
              <w:t xml:space="preserve"> organisational structure).</w:t>
            </w:r>
          </w:p>
          <w:p w14:paraId="79314A4A" w14:textId="77777777" w:rsidR="00EC4F60" w:rsidRPr="005426B6" w:rsidRDefault="00EC4F60" w:rsidP="00726E31">
            <w:pPr>
              <w:spacing w:after="0"/>
              <w:ind w:left="176" w:hanging="176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</w:t>
            </w:r>
            <w:r w:rsidRPr="00EB4461">
              <w:rPr>
                <w:sz w:val="22"/>
              </w:rPr>
              <w:t xml:space="preserve"> </w:t>
            </w:r>
            <w:r w:rsidRPr="005426B6">
              <w:rPr>
                <w:color w:val="000000" w:themeColor="text1"/>
              </w:rPr>
              <w:t>Ownership structure and changes</w:t>
            </w:r>
            <w:r w:rsidRPr="00EB4461">
              <w:rPr>
                <w:sz w:val="22"/>
              </w:rPr>
              <w:t>.</w:t>
            </w:r>
          </w:p>
          <w:p w14:paraId="72FBF20A" w14:textId="77777777" w:rsidR="00EC4F60" w:rsidRPr="005426B6" w:rsidRDefault="00EC4F60" w:rsidP="00726E31">
            <w:pPr>
              <w:spacing w:after="0"/>
              <w:ind w:left="176" w:hanging="176"/>
              <w:jc w:val="thaiDistribute"/>
              <w:rPr>
                <w:color w:val="000000" w:themeColor="text1"/>
                <w:sz w:val="22"/>
              </w:rPr>
            </w:pPr>
            <w:r w:rsidRPr="005426B6">
              <w:rPr>
                <w:color w:val="000000" w:themeColor="text1"/>
              </w:rPr>
              <w:t>-</w:t>
            </w:r>
            <w:r w:rsidRPr="00EB4461">
              <w:rPr>
                <w:sz w:val="22"/>
              </w:rPr>
              <w:t xml:space="preserve"> </w:t>
            </w:r>
            <w:r w:rsidRPr="005426B6">
              <w:rPr>
                <w:color w:val="000000" w:themeColor="text1"/>
              </w:rPr>
              <w:t>Control chain (</w:t>
            </w:r>
            <w:r w:rsidRPr="00EB4461">
              <w:rPr>
                <w:sz w:val="22"/>
              </w:rPr>
              <w:t>control rights, cash flow rights, exc</w:t>
            </w:r>
            <w:r w:rsidRPr="00EB4461">
              <w:t xml:space="preserve">ess control rights, and </w:t>
            </w:r>
            <w:r w:rsidRPr="005426B6">
              <w:rPr>
                <w:color w:val="000000" w:themeColor="text1"/>
              </w:rPr>
              <w:t>pyramidal structures</w:t>
            </w:r>
            <w:r w:rsidRPr="00EB4461">
              <w:rPr>
                <w:sz w:val="22"/>
              </w:rPr>
              <w:t>).</w:t>
            </w:r>
          </w:p>
        </w:tc>
      </w:tr>
    </w:tbl>
    <w:p w14:paraId="6C225B5E" w14:textId="77777777" w:rsidR="00EC4F60" w:rsidRPr="00EB4461" w:rsidRDefault="00EC4F60" w:rsidP="00EC4F60"/>
    <w:p w14:paraId="487060FB" w14:textId="4A1BD54F" w:rsidR="005A59B2" w:rsidRDefault="005A59B2" w:rsidP="00EC4F60"/>
    <w:sectPr w:rsidR="005A5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E0"/>
    <w:rsid w:val="005A59B2"/>
    <w:rsid w:val="008139E0"/>
    <w:rsid w:val="00E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4A92"/>
  <w15:chartTrackingRefBased/>
  <w15:docId w15:val="{9FCF75AE-AB48-471A-B87B-8518905F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F6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Thanamas Kungwal</dc:creator>
  <cp:keywords/>
  <dc:description/>
  <cp:lastModifiedBy>Thanamas Kungwal</cp:lastModifiedBy>
  <cp:revision>2</cp:revision>
  <dcterms:created xsi:type="dcterms:W3CDTF">2021-07-11T11:39:00Z</dcterms:created>
  <dcterms:modified xsi:type="dcterms:W3CDTF">2021-07-11T11:40:00Z</dcterms:modified>
</cp:coreProperties>
</file>