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A45B" w14:textId="77777777" w:rsidR="003C20B5" w:rsidRPr="003C20B5" w:rsidRDefault="003C20B5" w:rsidP="003C20B5">
      <w:pPr>
        <w:pStyle w:val="NormalWeb"/>
        <w:spacing w:line="360" w:lineRule="auto"/>
        <w:rPr>
          <w:rFonts w:ascii="Helvetica" w:hAnsi="Helvetica"/>
          <w:b/>
          <w:bCs/>
          <w:sz w:val="22"/>
          <w:szCs w:val="22"/>
        </w:rPr>
      </w:pPr>
      <w:r w:rsidRPr="003C20B5">
        <w:rPr>
          <w:rFonts w:ascii="Helvetica" w:hAnsi="Helvetica"/>
          <w:b/>
          <w:bCs/>
          <w:sz w:val="22"/>
          <w:szCs w:val="22"/>
        </w:rPr>
        <w:t xml:space="preserve">Modelling the population distribution of patient- reported outcomes using electronic health records: a UK study </w:t>
      </w:r>
    </w:p>
    <w:p w14:paraId="5AD90A61" w14:textId="74988CE4" w:rsidR="003C20B5" w:rsidRPr="008C2C0D" w:rsidRDefault="003C20B5" w:rsidP="003C20B5">
      <w:pPr>
        <w:pStyle w:val="NormalWeb"/>
        <w:spacing w:line="360" w:lineRule="auto"/>
        <w:rPr>
          <w:rFonts w:ascii="Helvetica" w:hAnsi="Helvetica"/>
          <w:position w:val="8"/>
          <w:sz w:val="22"/>
          <w:szCs w:val="22"/>
          <w:vertAlign w:val="superscript"/>
        </w:rPr>
      </w:pPr>
      <w:proofErr w:type="spellStart"/>
      <w:r w:rsidRPr="003C20B5">
        <w:rPr>
          <w:rFonts w:ascii="Helvetica" w:hAnsi="Helvetica"/>
          <w:sz w:val="22"/>
          <w:szCs w:val="22"/>
        </w:rPr>
        <w:t>Dahai</w:t>
      </w:r>
      <w:proofErr w:type="spellEnd"/>
      <w:r w:rsidRPr="003C20B5">
        <w:rPr>
          <w:rFonts w:ascii="Helvetica" w:hAnsi="Helvetica"/>
          <w:sz w:val="22"/>
          <w:szCs w:val="22"/>
        </w:rPr>
        <w:t xml:space="preserve"> Yu</w:t>
      </w:r>
      <w:r w:rsidRPr="003C20B5">
        <w:rPr>
          <w:rFonts w:ascii="Helvetica" w:hAnsi="Helvetica"/>
          <w:position w:val="8"/>
          <w:sz w:val="22"/>
          <w:szCs w:val="22"/>
          <w:vertAlign w:val="superscript"/>
        </w:rPr>
        <w:t>1</w:t>
      </w:r>
      <w:r w:rsidRPr="003C20B5">
        <w:rPr>
          <w:rFonts w:ascii="Helvetica" w:hAnsi="Helvetica"/>
          <w:sz w:val="22"/>
          <w:szCs w:val="22"/>
        </w:rPr>
        <w:t>, Kelvin Jordan</w:t>
      </w:r>
      <w:r w:rsidRPr="003C20B5">
        <w:rPr>
          <w:rFonts w:ascii="Helvetica" w:hAnsi="Helvetica"/>
          <w:position w:val="8"/>
          <w:sz w:val="22"/>
          <w:szCs w:val="22"/>
          <w:vertAlign w:val="superscript"/>
        </w:rPr>
        <w:t>1</w:t>
      </w:r>
      <w:r w:rsidRPr="003C20B5">
        <w:rPr>
          <w:rFonts w:ascii="Helvetica" w:hAnsi="Helvetica"/>
          <w:sz w:val="22"/>
          <w:szCs w:val="22"/>
        </w:rPr>
        <w:t>, James Bailey</w:t>
      </w:r>
      <w:r w:rsidRPr="003C20B5">
        <w:rPr>
          <w:rFonts w:ascii="Helvetica" w:hAnsi="Helvetica"/>
          <w:position w:val="8"/>
          <w:sz w:val="22"/>
          <w:szCs w:val="22"/>
          <w:vertAlign w:val="superscript"/>
        </w:rPr>
        <w:t>1</w:t>
      </w:r>
      <w:r w:rsidRPr="003C20B5">
        <w:rPr>
          <w:rFonts w:ascii="Helvetica" w:hAnsi="Helvetica"/>
          <w:sz w:val="22"/>
          <w:szCs w:val="22"/>
        </w:rPr>
        <w:t>, George Peat</w:t>
      </w:r>
      <w:r w:rsidRPr="003C20B5">
        <w:rPr>
          <w:rFonts w:ascii="Helvetica" w:hAnsi="Helvetica"/>
          <w:position w:val="8"/>
          <w:sz w:val="22"/>
          <w:szCs w:val="22"/>
          <w:vertAlign w:val="superscript"/>
        </w:rPr>
        <w:t>1</w:t>
      </w:r>
      <w:r w:rsidRPr="003C20B5">
        <w:rPr>
          <w:rFonts w:ascii="Helvetica" w:hAnsi="Helvetica"/>
          <w:sz w:val="22"/>
          <w:szCs w:val="22"/>
        </w:rPr>
        <w:t xml:space="preserve">, Ross </w:t>
      </w:r>
      <w:proofErr w:type="spellStart"/>
      <w:r w:rsidRPr="003C20B5">
        <w:rPr>
          <w:rFonts w:ascii="Helvetica" w:hAnsi="Helvetica"/>
          <w:sz w:val="22"/>
          <w:szCs w:val="22"/>
        </w:rPr>
        <w:t>Wilkie</w:t>
      </w:r>
      <w:proofErr w:type="spellEnd"/>
      <w:r w:rsidRPr="003C20B5">
        <w:rPr>
          <w:rFonts w:ascii="Helvetica" w:hAnsi="Helvetica"/>
          <w:position w:val="8"/>
          <w:sz w:val="22"/>
          <w:szCs w:val="22"/>
          <w:vertAlign w:val="superscript"/>
        </w:rPr>
        <w:t>1</w:t>
      </w:r>
      <w:r w:rsidRPr="003C20B5">
        <w:rPr>
          <w:rFonts w:ascii="Helvetica" w:hAnsi="Helvetica"/>
          <w:position w:val="8"/>
          <w:sz w:val="22"/>
          <w:szCs w:val="22"/>
        </w:rPr>
        <w:br/>
      </w:r>
      <w:r w:rsidRPr="003C20B5">
        <w:rPr>
          <w:rFonts w:ascii="Helvetica" w:hAnsi="Helvetica"/>
          <w:position w:val="8"/>
          <w:sz w:val="22"/>
          <w:szCs w:val="22"/>
          <w:vertAlign w:val="superscript"/>
        </w:rPr>
        <w:t>1</w:t>
      </w:r>
      <w:proofErr w:type="spellStart"/>
      <w:r w:rsidRPr="003C20B5">
        <w:rPr>
          <w:rFonts w:ascii="Helvetica" w:hAnsi="Helvetica"/>
          <w:sz w:val="22"/>
          <w:szCs w:val="22"/>
        </w:rPr>
        <w:t>Keele</w:t>
      </w:r>
      <w:proofErr w:type="spellEnd"/>
      <w:r w:rsidRPr="003C20B5">
        <w:rPr>
          <w:rFonts w:ascii="Helvetica" w:hAnsi="Helvetica"/>
          <w:sz w:val="22"/>
          <w:szCs w:val="22"/>
        </w:rPr>
        <w:t xml:space="preserve"> University, Newcastle, United Kingdom </w:t>
      </w:r>
    </w:p>
    <w:p w14:paraId="27DC5A03" w14:textId="519BAC7E" w:rsidR="003C20B5" w:rsidRPr="003C20B5" w:rsidRDefault="003C20B5" w:rsidP="003C20B5">
      <w:pPr>
        <w:pStyle w:val="NormalWeb"/>
        <w:spacing w:line="480" w:lineRule="auto"/>
        <w:rPr>
          <w:rFonts w:ascii="Helvetica" w:hAnsi="Helvetica"/>
          <w:b/>
          <w:bCs/>
          <w:sz w:val="22"/>
          <w:szCs w:val="22"/>
        </w:rPr>
      </w:pPr>
      <w:r w:rsidRPr="003C20B5">
        <w:rPr>
          <w:rFonts w:ascii="Helvetica" w:hAnsi="Helvetica"/>
          <w:b/>
          <w:bCs/>
          <w:sz w:val="22"/>
          <w:szCs w:val="22"/>
        </w:rPr>
        <w:t>Background</w:t>
      </w:r>
    </w:p>
    <w:p w14:paraId="4793EE8A" w14:textId="2E2E2001" w:rsidR="003C20B5" w:rsidRDefault="003C20B5" w:rsidP="003C20B5">
      <w:pPr>
        <w:pStyle w:val="NormalWeb"/>
        <w:spacing w:line="480" w:lineRule="auto"/>
        <w:rPr>
          <w:rFonts w:ascii="Helvetica" w:hAnsi="Helvetica"/>
          <w:sz w:val="22"/>
          <w:szCs w:val="22"/>
        </w:rPr>
      </w:pPr>
      <w:r w:rsidRPr="003C20B5">
        <w:rPr>
          <w:rFonts w:ascii="Helvetica" w:hAnsi="Helvetica"/>
          <w:sz w:val="22"/>
          <w:szCs w:val="22"/>
        </w:rPr>
        <w:t xml:space="preserve">Patient Reported Outcome Measures (PROM) col- </w:t>
      </w:r>
      <w:proofErr w:type="spellStart"/>
      <w:r w:rsidRPr="003C20B5">
        <w:rPr>
          <w:rFonts w:ascii="Helvetica" w:hAnsi="Helvetica"/>
          <w:sz w:val="22"/>
          <w:szCs w:val="22"/>
        </w:rPr>
        <w:t>lected</w:t>
      </w:r>
      <w:proofErr w:type="spellEnd"/>
      <w:r w:rsidRPr="003C20B5">
        <w:rPr>
          <w:rFonts w:ascii="Helvetica" w:hAnsi="Helvetica"/>
          <w:sz w:val="22"/>
          <w:szCs w:val="22"/>
        </w:rPr>
        <w:t xml:space="preserve"> in surveys allow understanding of the health at the population-level. We aimed to test the feasibility of estimating health status as measured by PROMs through ecological prediction models which use local linked survey and primary care electronic health records (EHR) and applying the models to national EHR. </w:t>
      </w:r>
      <w:r w:rsidRPr="003C20B5">
        <w:rPr>
          <w:rFonts w:ascii="Helvetica" w:hAnsi="Helvetica"/>
          <w:b/>
          <w:bCs/>
          <w:sz w:val="22"/>
          <w:szCs w:val="22"/>
        </w:rPr>
        <w:t>Methods</w:t>
      </w:r>
    </w:p>
    <w:p w14:paraId="5370047A" w14:textId="41D9475F" w:rsidR="003C20B5" w:rsidRPr="003C20B5" w:rsidRDefault="003C20B5" w:rsidP="003C20B5">
      <w:pPr>
        <w:pStyle w:val="NormalWeb"/>
        <w:spacing w:line="480" w:lineRule="auto"/>
        <w:rPr>
          <w:rFonts w:ascii="Helvetica" w:hAnsi="Helvetica"/>
          <w:sz w:val="22"/>
          <w:szCs w:val="22"/>
        </w:rPr>
      </w:pPr>
      <w:r w:rsidRPr="003C20B5">
        <w:rPr>
          <w:rFonts w:ascii="Helvetica" w:hAnsi="Helvetica"/>
          <w:sz w:val="22"/>
          <w:szCs w:val="22"/>
        </w:rPr>
        <w:t xml:space="preserve">3,710 musculoskeletal consulters registered in 11 </w:t>
      </w:r>
      <w:proofErr w:type="gramStart"/>
      <w:r w:rsidRPr="003C20B5">
        <w:rPr>
          <w:rFonts w:ascii="Helvetica" w:hAnsi="Helvetica"/>
          <w:sz w:val="22"/>
          <w:szCs w:val="22"/>
        </w:rPr>
        <w:t>general</w:t>
      </w:r>
      <w:proofErr w:type="gramEnd"/>
      <w:r w:rsidRPr="003C20B5">
        <w:rPr>
          <w:rFonts w:ascii="Helvetica" w:hAnsi="Helvetica"/>
          <w:sz w:val="22"/>
          <w:szCs w:val="22"/>
        </w:rPr>
        <w:t xml:space="preserve"> practiced in North Staffordshire, UK and consented the linkage of their survey PROM (high impact pain, (HICP)) with EHR were in- </w:t>
      </w:r>
      <w:proofErr w:type="spellStart"/>
      <w:r w:rsidRPr="003C20B5">
        <w:rPr>
          <w:rFonts w:ascii="Helvetica" w:hAnsi="Helvetica"/>
          <w:sz w:val="22"/>
          <w:szCs w:val="22"/>
        </w:rPr>
        <w:t>cluded</w:t>
      </w:r>
      <w:proofErr w:type="spellEnd"/>
      <w:r w:rsidRPr="003C20B5">
        <w:rPr>
          <w:rFonts w:ascii="Helvetica" w:hAnsi="Helvetica"/>
          <w:sz w:val="22"/>
          <w:szCs w:val="22"/>
        </w:rPr>
        <w:t xml:space="preserve"> in this study. HICP was modelled by EHR predictors cover- </w:t>
      </w:r>
      <w:proofErr w:type="spellStart"/>
      <w:r w:rsidRPr="003C20B5">
        <w:rPr>
          <w:rFonts w:ascii="Helvetica" w:hAnsi="Helvetica"/>
          <w:sz w:val="22"/>
          <w:szCs w:val="22"/>
        </w:rPr>
        <w:t>ing</w:t>
      </w:r>
      <w:proofErr w:type="spellEnd"/>
      <w:r w:rsidRPr="003C20B5">
        <w:rPr>
          <w:rFonts w:ascii="Helvetica" w:hAnsi="Helvetica"/>
          <w:sz w:val="22"/>
          <w:szCs w:val="22"/>
        </w:rPr>
        <w:t xml:space="preserve"> demographic, lifestyle risk factors, musculoskeletal diagnostic/ problems, analgesic prescriptions, comorbidities, and deprivation. Final set of predictors were selected through backward elimination (p&gt;0.1). Individual-level prediction models (binary logistic </w:t>
      </w:r>
      <w:proofErr w:type="spellStart"/>
      <w:r w:rsidRPr="003C20B5">
        <w:rPr>
          <w:rFonts w:ascii="Helvetica" w:hAnsi="Helvetica"/>
          <w:sz w:val="22"/>
          <w:szCs w:val="22"/>
        </w:rPr>
        <w:t>regres</w:t>
      </w:r>
      <w:proofErr w:type="spellEnd"/>
      <w:r w:rsidRPr="003C20B5">
        <w:rPr>
          <w:rFonts w:ascii="Helvetica" w:hAnsi="Helvetica"/>
          <w:sz w:val="22"/>
          <w:szCs w:val="22"/>
        </w:rPr>
        <w:t xml:space="preserve">- </w:t>
      </w:r>
      <w:proofErr w:type="spellStart"/>
      <w:r w:rsidRPr="003C20B5">
        <w:rPr>
          <w:rFonts w:ascii="Helvetica" w:hAnsi="Helvetica"/>
          <w:sz w:val="22"/>
          <w:szCs w:val="22"/>
        </w:rPr>
        <w:t>sion</w:t>
      </w:r>
      <w:proofErr w:type="spellEnd"/>
      <w:r w:rsidRPr="003C20B5">
        <w:rPr>
          <w:rFonts w:ascii="Helvetica" w:hAnsi="Helvetica"/>
          <w:sz w:val="22"/>
          <w:szCs w:val="22"/>
        </w:rPr>
        <w:t xml:space="preserve">) were fitted and evaluated in terms of model fit statistics (AIC, BIC, R-square), discrimination (C-statistics) and calibration-slope with internal validation. The final model was cross-mapped to a </w:t>
      </w:r>
      <w:proofErr w:type="spellStart"/>
      <w:r w:rsidRPr="003C20B5">
        <w:rPr>
          <w:rFonts w:ascii="Helvetica" w:hAnsi="Helvetica"/>
          <w:sz w:val="22"/>
          <w:szCs w:val="22"/>
        </w:rPr>
        <w:t>na</w:t>
      </w:r>
      <w:proofErr w:type="spellEnd"/>
      <w:r w:rsidRPr="003C20B5">
        <w:rPr>
          <w:rFonts w:ascii="Helvetica" w:hAnsi="Helvetica"/>
          <w:sz w:val="22"/>
          <w:szCs w:val="22"/>
        </w:rPr>
        <w:t xml:space="preserve">- </w:t>
      </w:r>
      <w:proofErr w:type="spellStart"/>
      <w:r w:rsidRPr="003C20B5">
        <w:rPr>
          <w:rFonts w:ascii="Helvetica" w:hAnsi="Helvetica"/>
          <w:sz w:val="22"/>
          <w:szCs w:val="22"/>
        </w:rPr>
        <w:t>tional</w:t>
      </w:r>
      <w:proofErr w:type="spellEnd"/>
      <w:r w:rsidRPr="003C20B5">
        <w:rPr>
          <w:rFonts w:ascii="Helvetica" w:hAnsi="Helvetica"/>
          <w:sz w:val="22"/>
          <w:szCs w:val="22"/>
        </w:rPr>
        <w:t xml:space="preserve"> UK primary EHR database (Clinical Practice Research Database) to obtain national population estimates of high impact pain. </w:t>
      </w:r>
    </w:p>
    <w:p w14:paraId="063BACF0" w14:textId="7BA9BC24" w:rsidR="003C20B5" w:rsidRPr="003C20B5" w:rsidRDefault="003C20B5" w:rsidP="003C20B5">
      <w:pPr>
        <w:pStyle w:val="NormalWeb"/>
        <w:spacing w:line="480" w:lineRule="auto"/>
        <w:rPr>
          <w:rFonts w:ascii="Helvetica" w:hAnsi="Helvetica"/>
          <w:b/>
          <w:bCs/>
          <w:sz w:val="22"/>
          <w:szCs w:val="22"/>
        </w:rPr>
      </w:pPr>
      <w:r w:rsidRPr="003C20B5">
        <w:rPr>
          <w:rFonts w:ascii="Helvetica" w:hAnsi="Helvetica"/>
          <w:b/>
          <w:bCs/>
          <w:sz w:val="22"/>
          <w:szCs w:val="22"/>
        </w:rPr>
        <w:t>Results</w:t>
      </w:r>
    </w:p>
    <w:p w14:paraId="0B68A2FA" w14:textId="668E901E" w:rsidR="003C20B5" w:rsidRPr="003C20B5" w:rsidRDefault="003C20B5" w:rsidP="003C20B5">
      <w:pPr>
        <w:pStyle w:val="NormalWeb"/>
        <w:spacing w:line="480" w:lineRule="auto"/>
        <w:rPr>
          <w:rFonts w:ascii="Helvetica" w:hAnsi="Helvetica"/>
          <w:sz w:val="22"/>
          <w:szCs w:val="22"/>
        </w:rPr>
      </w:pPr>
      <w:r w:rsidRPr="003C20B5">
        <w:rPr>
          <w:rFonts w:ascii="Helvetica" w:hAnsi="Helvetica"/>
          <w:sz w:val="22"/>
          <w:szCs w:val="22"/>
        </w:rPr>
        <w:t xml:space="preserve">The C-statistics and calibration-slope of the final model was 0.77 (95% confidence interval: 0.70-0.79) and 1.00 (0.92-1.08), re- </w:t>
      </w:r>
      <w:proofErr w:type="spellStart"/>
      <w:r w:rsidRPr="003C20B5">
        <w:rPr>
          <w:rFonts w:ascii="Helvetica" w:hAnsi="Helvetica"/>
          <w:sz w:val="22"/>
          <w:szCs w:val="22"/>
        </w:rPr>
        <w:t>spectively</w:t>
      </w:r>
      <w:proofErr w:type="spellEnd"/>
      <w:r w:rsidRPr="003C20B5">
        <w:rPr>
          <w:rFonts w:ascii="Helvetica" w:hAnsi="Helvetica"/>
          <w:sz w:val="22"/>
          <w:szCs w:val="22"/>
        </w:rPr>
        <w:t xml:space="preserve">. The estimated HICP was 51.2% overall </w:t>
      </w:r>
      <w:r w:rsidRPr="003C20B5">
        <w:rPr>
          <w:rFonts w:ascii="Helvetica" w:hAnsi="Helvetica"/>
          <w:sz w:val="22"/>
          <w:szCs w:val="22"/>
        </w:rPr>
        <w:lastRenderedPageBreak/>
        <w:t xml:space="preserve">among 49,788 UK musculoskeletal consulters and matched hypothesised variation by gender, age, </w:t>
      </w:r>
      <w:proofErr w:type="gramStart"/>
      <w:r w:rsidRPr="003C20B5">
        <w:rPr>
          <w:rFonts w:ascii="Helvetica" w:hAnsi="Helvetica"/>
          <w:sz w:val="22"/>
          <w:szCs w:val="22"/>
        </w:rPr>
        <w:t>deprivation</w:t>
      </w:r>
      <w:proofErr w:type="gramEnd"/>
      <w:r w:rsidRPr="003C20B5">
        <w:rPr>
          <w:rFonts w:ascii="Helvetica" w:hAnsi="Helvetica"/>
          <w:sz w:val="22"/>
          <w:szCs w:val="22"/>
        </w:rPr>
        <w:t xml:space="preserve"> and geographical regions. </w:t>
      </w:r>
    </w:p>
    <w:p w14:paraId="593C38A9" w14:textId="0B9F2856" w:rsidR="003C20B5" w:rsidRPr="003C20B5" w:rsidRDefault="003C20B5" w:rsidP="003C20B5">
      <w:pPr>
        <w:pStyle w:val="NormalWeb"/>
        <w:spacing w:line="480" w:lineRule="auto"/>
        <w:rPr>
          <w:rFonts w:ascii="Helvetica" w:hAnsi="Helvetica"/>
          <w:b/>
          <w:bCs/>
          <w:sz w:val="22"/>
          <w:szCs w:val="22"/>
        </w:rPr>
      </w:pPr>
      <w:r w:rsidRPr="003C20B5">
        <w:rPr>
          <w:rFonts w:ascii="Helvetica" w:hAnsi="Helvetica"/>
          <w:b/>
          <w:bCs/>
          <w:sz w:val="22"/>
          <w:szCs w:val="22"/>
        </w:rPr>
        <w:t>Conclusions</w:t>
      </w:r>
    </w:p>
    <w:p w14:paraId="71C09688" w14:textId="77777777" w:rsidR="003C20B5" w:rsidRDefault="003C20B5" w:rsidP="003C20B5">
      <w:pPr>
        <w:pStyle w:val="NormalWeb"/>
        <w:spacing w:line="480" w:lineRule="auto"/>
        <w:rPr>
          <w:rFonts w:ascii="Helvetica" w:hAnsi="Helvetica"/>
          <w:sz w:val="22"/>
          <w:szCs w:val="22"/>
        </w:rPr>
      </w:pPr>
      <w:r w:rsidRPr="003C20B5">
        <w:rPr>
          <w:rFonts w:ascii="Helvetica" w:hAnsi="Helvetica"/>
          <w:sz w:val="22"/>
          <w:szCs w:val="22"/>
        </w:rPr>
        <w:t xml:space="preserve">Estimation of population-level health status as </w:t>
      </w:r>
      <w:proofErr w:type="spellStart"/>
      <w:r w:rsidRPr="003C20B5">
        <w:rPr>
          <w:rFonts w:ascii="Helvetica" w:hAnsi="Helvetica"/>
          <w:sz w:val="22"/>
          <w:szCs w:val="22"/>
        </w:rPr>
        <w:t>mea</w:t>
      </w:r>
      <w:proofErr w:type="spellEnd"/>
      <w:r w:rsidRPr="003C20B5">
        <w:rPr>
          <w:rFonts w:ascii="Helvetica" w:hAnsi="Helvetica"/>
          <w:sz w:val="22"/>
          <w:szCs w:val="22"/>
        </w:rPr>
        <w:t xml:space="preserve">- </w:t>
      </w:r>
      <w:proofErr w:type="spellStart"/>
      <w:r w:rsidRPr="003C20B5">
        <w:rPr>
          <w:rFonts w:ascii="Helvetica" w:hAnsi="Helvetica"/>
          <w:sz w:val="22"/>
          <w:szCs w:val="22"/>
        </w:rPr>
        <w:t>sured</w:t>
      </w:r>
      <w:proofErr w:type="spellEnd"/>
      <w:r w:rsidRPr="003C20B5">
        <w:rPr>
          <w:rFonts w:ascii="Helvetica" w:hAnsi="Helvetica"/>
          <w:sz w:val="22"/>
          <w:szCs w:val="22"/>
        </w:rPr>
        <w:t xml:space="preserve"> by PROM using EHR appears feasible and has potential application in assessing health inequalities. Further independent ex- ternal validation studies are warranted.</w:t>
      </w:r>
    </w:p>
    <w:p w14:paraId="54D52BAD" w14:textId="14E35F02" w:rsidR="003C20B5" w:rsidRPr="003C20B5" w:rsidRDefault="003C20B5" w:rsidP="003C20B5">
      <w:pPr>
        <w:pStyle w:val="NormalWeb"/>
        <w:spacing w:line="480" w:lineRule="auto"/>
        <w:rPr>
          <w:rFonts w:ascii="Helvetica" w:hAnsi="Helvetica"/>
          <w:b/>
          <w:bCs/>
          <w:sz w:val="22"/>
          <w:szCs w:val="22"/>
        </w:rPr>
      </w:pPr>
      <w:r w:rsidRPr="003C20B5">
        <w:rPr>
          <w:rFonts w:ascii="Helvetica" w:hAnsi="Helvetica"/>
          <w:b/>
          <w:bCs/>
          <w:sz w:val="22"/>
          <w:szCs w:val="22"/>
        </w:rPr>
        <w:t>Key messages</w:t>
      </w:r>
    </w:p>
    <w:p w14:paraId="70070999" w14:textId="737B1B59" w:rsidR="003C20B5" w:rsidRPr="003C20B5" w:rsidRDefault="003C20B5" w:rsidP="003C20B5">
      <w:pPr>
        <w:pStyle w:val="NormalWeb"/>
        <w:spacing w:line="480" w:lineRule="auto"/>
        <w:rPr>
          <w:rFonts w:ascii="Helvetica" w:hAnsi="Helvetica"/>
          <w:sz w:val="22"/>
          <w:szCs w:val="22"/>
        </w:rPr>
      </w:pPr>
      <w:r w:rsidRPr="003C20B5">
        <w:rPr>
          <w:rFonts w:ascii="Helvetica" w:hAnsi="Helvetica"/>
          <w:sz w:val="22"/>
          <w:szCs w:val="22"/>
        </w:rPr>
        <w:t xml:space="preserve">Primary care EHR data could be modelled to predict population-level PROMs. </w:t>
      </w:r>
    </w:p>
    <w:p w14:paraId="6D2348A0" w14:textId="77777777" w:rsidR="003C20B5" w:rsidRPr="003C20B5" w:rsidRDefault="003C20B5" w:rsidP="003C20B5">
      <w:pPr>
        <w:spacing w:line="480" w:lineRule="auto"/>
        <w:rPr>
          <w:rFonts w:ascii="Helvetica" w:hAnsi="Helvetica"/>
          <w:sz w:val="22"/>
          <w:szCs w:val="22"/>
        </w:rPr>
      </w:pPr>
    </w:p>
    <w:sectPr w:rsidR="003C20B5" w:rsidRPr="003C2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B5"/>
    <w:rsid w:val="003C20B5"/>
    <w:rsid w:val="008C2C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66918A"/>
  <w15:chartTrackingRefBased/>
  <w15:docId w15:val="{433FA1FB-124A-7743-B572-0E7EEDCB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0B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99222">
      <w:bodyDiv w:val="1"/>
      <w:marLeft w:val="0"/>
      <w:marRight w:val="0"/>
      <w:marTop w:val="0"/>
      <w:marBottom w:val="0"/>
      <w:divBdr>
        <w:top w:val="none" w:sz="0" w:space="0" w:color="auto"/>
        <w:left w:val="none" w:sz="0" w:space="0" w:color="auto"/>
        <w:bottom w:val="none" w:sz="0" w:space="0" w:color="auto"/>
        <w:right w:val="none" w:sz="0" w:space="0" w:color="auto"/>
      </w:divBdr>
      <w:divsChild>
        <w:div w:id="1249998523">
          <w:marLeft w:val="0"/>
          <w:marRight w:val="0"/>
          <w:marTop w:val="0"/>
          <w:marBottom w:val="0"/>
          <w:divBdr>
            <w:top w:val="none" w:sz="0" w:space="0" w:color="auto"/>
            <w:left w:val="none" w:sz="0" w:space="0" w:color="auto"/>
            <w:bottom w:val="none" w:sz="0" w:space="0" w:color="auto"/>
            <w:right w:val="none" w:sz="0" w:space="0" w:color="auto"/>
          </w:divBdr>
          <w:divsChild>
            <w:div w:id="331184962">
              <w:marLeft w:val="0"/>
              <w:marRight w:val="0"/>
              <w:marTop w:val="0"/>
              <w:marBottom w:val="0"/>
              <w:divBdr>
                <w:top w:val="none" w:sz="0" w:space="0" w:color="auto"/>
                <w:left w:val="none" w:sz="0" w:space="0" w:color="auto"/>
                <w:bottom w:val="none" w:sz="0" w:space="0" w:color="auto"/>
                <w:right w:val="none" w:sz="0" w:space="0" w:color="auto"/>
              </w:divBdr>
              <w:divsChild>
                <w:div w:id="1299067558">
                  <w:marLeft w:val="0"/>
                  <w:marRight w:val="0"/>
                  <w:marTop w:val="0"/>
                  <w:marBottom w:val="0"/>
                  <w:divBdr>
                    <w:top w:val="none" w:sz="0" w:space="0" w:color="auto"/>
                    <w:left w:val="none" w:sz="0" w:space="0" w:color="auto"/>
                    <w:bottom w:val="none" w:sz="0" w:space="0" w:color="auto"/>
                    <w:right w:val="none" w:sz="0" w:space="0" w:color="auto"/>
                  </w:divBdr>
                  <w:divsChild>
                    <w:div w:id="16578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31818">
      <w:bodyDiv w:val="1"/>
      <w:marLeft w:val="0"/>
      <w:marRight w:val="0"/>
      <w:marTop w:val="0"/>
      <w:marBottom w:val="0"/>
      <w:divBdr>
        <w:top w:val="none" w:sz="0" w:space="0" w:color="auto"/>
        <w:left w:val="none" w:sz="0" w:space="0" w:color="auto"/>
        <w:bottom w:val="none" w:sz="0" w:space="0" w:color="auto"/>
        <w:right w:val="none" w:sz="0" w:space="0" w:color="auto"/>
      </w:divBdr>
      <w:divsChild>
        <w:div w:id="1627924978">
          <w:marLeft w:val="0"/>
          <w:marRight w:val="0"/>
          <w:marTop w:val="0"/>
          <w:marBottom w:val="0"/>
          <w:divBdr>
            <w:top w:val="none" w:sz="0" w:space="0" w:color="auto"/>
            <w:left w:val="none" w:sz="0" w:space="0" w:color="auto"/>
            <w:bottom w:val="none" w:sz="0" w:space="0" w:color="auto"/>
            <w:right w:val="none" w:sz="0" w:space="0" w:color="auto"/>
          </w:divBdr>
          <w:divsChild>
            <w:div w:id="85228061">
              <w:marLeft w:val="0"/>
              <w:marRight w:val="0"/>
              <w:marTop w:val="0"/>
              <w:marBottom w:val="0"/>
              <w:divBdr>
                <w:top w:val="none" w:sz="0" w:space="0" w:color="auto"/>
                <w:left w:val="none" w:sz="0" w:space="0" w:color="auto"/>
                <w:bottom w:val="none" w:sz="0" w:space="0" w:color="auto"/>
                <w:right w:val="none" w:sz="0" w:space="0" w:color="auto"/>
              </w:divBdr>
              <w:divsChild>
                <w:div w:id="720205836">
                  <w:marLeft w:val="0"/>
                  <w:marRight w:val="0"/>
                  <w:marTop w:val="0"/>
                  <w:marBottom w:val="0"/>
                  <w:divBdr>
                    <w:top w:val="none" w:sz="0" w:space="0" w:color="auto"/>
                    <w:left w:val="none" w:sz="0" w:space="0" w:color="auto"/>
                    <w:bottom w:val="none" w:sz="0" w:space="0" w:color="auto"/>
                    <w:right w:val="none" w:sz="0" w:space="0" w:color="auto"/>
                  </w:divBdr>
                  <w:divsChild>
                    <w:div w:id="6071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Dahai Yu</dc:creator>
  <cp:keywords/>
  <dc:description/>
  <cp:lastModifiedBy>Dahai Yu</cp:lastModifiedBy>
  <cp:revision>2</cp:revision>
  <dcterms:created xsi:type="dcterms:W3CDTF">2022-06-14T17:44:00Z</dcterms:created>
  <dcterms:modified xsi:type="dcterms:W3CDTF">2022-06-14T17:48:00Z</dcterms:modified>
</cp:coreProperties>
</file>