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4"/>
        <w:gridCol w:w="4651"/>
      </w:tblGrid>
      <w:tr w:rsidR="00675080" w14:paraId="72D95A56" w14:textId="77777777" w:rsidTr="009F654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BE5D1AD" w14:textId="77777777" w:rsidR="00675080" w:rsidRPr="00DA14F6" w:rsidRDefault="00675080" w:rsidP="009F654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A14F6">
              <w:rPr>
                <w:rFonts w:ascii="Arial" w:hAnsi="Arial" w:cs="Arial"/>
                <w:b/>
                <w:bCs/>
              </w:rPr>
              <w:t>Compliments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7AA9B914" w14:textId="77777777" w:rsidR="00675080" w:rsidRPr="00DA14F6" w:rsidRDefault="00675080" w:rsidP="009F654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A14F6">
              <w:rPr>
                <w:rFonts w:ascii="Arial" w:hAnsi="Arial" w:cs="Arial"/>
                <w:b/>
                <w:bCs/>
              </w:rPr>
              <w:t>Criticisms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C2E2F4C" w14:textId="77777777" w:rsidR="00675080" w:rsidRPr="00DA14F6" w:rsidRDefault="00675080" w:rsidP="009F654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A14F6">
              <w:rPr>
                <w:rFonts w:ascii="Arial" w:hAnsi="Arial" w:cs="Arial"/>
                <w:b/>
                <w:bCs/>
              </w:rPr>
              <w:t>Suggestions</w:t>
            </w:r>
          </w:p>
        </w:tc>
      </w:tr>
      <w:tr w:rsidR="00675080" w14:paraId="2A792213" w14:textId="77777777" w:rsidTr="009F654A">
        <w:tc>
          <w:tcPr>
            <w:tcW w:w="1667" w:type="pct"/>
            <w:tcBorders>
              <w:top w:val="single" w:sz="4" w:space="0" w:color="auto"/>
            </w:tcBorders>
          </w:tcPr>
          <w:p w14:paraId="176B8C62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 w:rsidRPr="00C145E5">
              <w:rPr>
                <w:rFonts w:ascii="Arial" w:hAnsi="Arial" w:cs="Arial"/>
              </w:rPr>
              <w:t>“</w:t>
            </w:r>
            <w:r w:rsidRPr="00C145E5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I enjoyed the task as a fun way to consolidate knowledge and work as a team</w:t>
            </w: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…</w:t>
            </w:r>
            <w:r w:rsidRPr="00C145E5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on the whole it was very impressively put together and I would enjoy doing t a similar task for other subjects</w:t>
            </w: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”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13F537E3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“[in reference to a specific puzzle]…</w:t>
            </w:r>
            <w:r w:rsidRPr="008F66CA">
              <w:rPr>
                <w:rFonts w:ascii="Arial" w:hAnsi="Arial" w:cs="Arial"/>
              </w:rPr>
              <w:t>it wasn't made clear that you had to drag the letter so this took a while just to figure out!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16DC05A" w14:textId="00515E9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Pr="009F0B18">
              <w:rPr>
                <w:rFonts w:ascii="Arial" w:hAnsi="Arial" w:cs="Arial"/>
              </w:rPr>
              <w:t>mix in some tougher questions</w:t>
            </w:r>
            <w:r>
              <w:rPr>
                <w:rFonts w:ascii="Arial" w:hAnsi="Arial" w:cs="Arial"/>
              </w:rPr>
              <w:t>.</w:t>
            </w:r>
            <w:r w:rsidR="0058762D">
              <w:rPr>
                <w:rFonts w:ascii="Arial" w:hAnsi="Arial" w:cs="Arial"/>
              </w:rPr>
              <w:t>”</w:t>
            </w:r>
          </w:p>
        </w:tc>
      </w:tr>
      <w:tr w:rsidR="00675080" w14:paraId="6FA2625E" w14:textId="77777777" w:rsidTr="009F654A">
        <w:tc>
          <w:tcPr>
            <w:tcW w:w="1667" w:type="pct"/>
          </w:tcPr>
          <w:p w14:paraId="041D0387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8F66CA">
              <w:rPr>
                <w:rFonts w:ascii="Arial" w:hAnsi="Arial" w:cs="Arial"/>
              </w:rPr>
              <w:t>I think they're a fun and interactive way to consolidate learning without feeling like you are doing work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7" w:type="pct"/>
          </w:tcPr>
          <w:p w14:paraId="681D169A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9F0B18">
              <w:rPr>
                <w:rFonts w:ascii="Arial" w:hAnsi="Arial" w:cs="Arial"/>
              </w:rPr>
              <w:t>I found most of the questions pretty easy and found that as a group we expected it to be harder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6" w:type="pct"/>
          </w:tcPr>
          <w:p w14:paraId="3EF8F381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Pr="009F0B18">
              <w:rPr>
                <w:rFonts w:ascii="Arial" w:hAnsi="Arial" w:cs="Arial"/>
              </w:rPr>
              <w:t>create different levels of difficulty or more than one so that we cover a good range of topics.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675080" w14:paraId="63B8C573" w14:textId="77777777" w:rsidTr="009F654A">
        <w:tc>
          <w:tcPr>
            <w:tcW w:w="1667" w:type="pct"/>
          </w:tcPr>
          <w:p w14:paraId="43A4AD6E" w14:textId="77777777" w:rsidR="00675080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8F66CA">
              <w:rPr>
                <w:rFonts w:ascii="Arial" w:hAnsi="Arial" w:cs="Arial"/>
              </w:rPr>
              <w:t>It's really good, it's such a fun way of knowing if you understood anything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7" w:type="pct"/>
          </w:tcPr>
          <w:p w14:paraId="1F9E236A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Pr="00DF417F">
              <w:rPr>
                <w:rFonts w:ascii="Arial" w:hAnsi="Arial" w:cs="Arial"/>
              </w:rPr>
              <w:t>instruction could be clearer on what format answer should be given in e.g numbers, letters without capitalised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6" w:type="pct"/>
          </w:tcPr>
          <w:p w14:paraId="10C153CE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Pr="00DF417F">
              <w:rPr>
                <w:rFonts w:ascii="Arial" w:hAnsi="Arial" w:cs="Arial"/>
              </w:rPr>
              <w:t>maybe include pharmacology as a separate room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675080" w14:paraId="607B12C9" w14:textId="77777777" w:rsidTr="009F654A">
        <w:tc>
          <w:tcPr>
            <w:tcW w:w="1667" w:type="pct"/>
          </w:tcPr>
          <w:p w14:paraId="427BAEC9" w14:textId="77777777" w:rsidR="00675080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8F66CA">
              <w:rPr>
                <w:rFonts w:ascii="Arial" w:hAnsi="Arial" w:cs="Arial"/>
              </w:rPr>
              <w:t>Great idea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7" w:type="pct"/>
          </w:tcPr>
          <w:p w14:paraId="1DED1EFA" w14:textId="77777777" w:rsidR="00675080" w:rsidRPr="00C145E5" w:rsidRDefault="00675080" w:rsidP="009F654A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2CCA1B03" w14:textId="77777777" w:rsidR="00675080" w:rsidRPr="00C145E5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Pr="00DF417F">
              <w:rPr>
                <w:rFonts w:ascii="Arial" w:hAnsi="Arial" w:cs="Arial"/>
              </w:rPr>
              <w:t>including more clinical application questions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675080" w14:paraId="092F1ADC" w14:textId="77777777" w:rsidTr="009F654A">
        <w:tc>
          <w:tcPr>
            <w:tcW w:w="1667" w:type="pct"/>
            <w:tcBorders>
              <w:bottom w:val="nil"/>
            </w:tcBorders>
          </w:tcPr>
          <w:p w14:paraId="6C8C9AE8" w14:textId="77777777" w:rsidR="00675080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DF417F">
              <w:rPr>
                <w:rFonts w:ascii="Arial" w:hAnsi="Arial" w:cs="Arial"/>
              </w:rPr>
              <w:t>I thoroughly enjoyed this creative approach to learning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7" w:type="pct"/>
            <w:tcBorders>
              <w:bottom w:val="nil"/>
            </w:tcBorders>
          </w:tcPr>
          <w:p w14:paraId="691FBA14" w14:textId="77777777" w:rsidR="00675080" w:rsidRPr="00C145E5" w:rsidRDefault="00675080" w:rsidP="009F654A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01327E97" w14:textId="77777777" w:rsidR="00675080" w:rsidRPr="00C145E5" w:rsidRDefault="00675080" w:rsidP="009F654A">
            <w:pPr>
              <w:rPr>
                <w:rFonts w:ascii="Arial" w:hAnsi="Arial" w:cs="Arial"/>
              </w:rPr>
            </w:pPr>
          </w:p>
        </w:tc>
      </w:tr>
      <w:tr w:rsidR="00675080" w14:paraId="4E20D2D4" w14:textId="77777777" w:rsidTr="009F654A"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6F261FA5" w14:textId="77777777" w:rsidR="00675080" w:rsidRDefault="00675080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DF417F">
              <w:rPr>
                <w:rFonts w:ascii="Arial" w:hAnsi="Arial" w:cs="Arial"/>
              </w:rPr>
              <w:t>I really enjoyed doing this as a team exercise as it allowed me to talk through my thoughts with others and hear their thoughts as as wel</w:t>
            </w:r>
            <w:r>
              <w:rPr>
                <w:rFonts w:ascii="Arial" w:hAnsi="Arial" w:cs="Arial"/>
              </w:rPr>
              <w:t>l.</w:t>
            </w:r>
            <w:r w:rsidRPr="00DF417F">
              <w:rPr>
                <w:rFonts w:ascii="Arial" w:hAnsi="Arial" w:cs="Arial"/>
              </w:rPr>
              <w:t xml:space="preserve"> The format made it engaging and the sense of competition also made me eager to engage with it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2498EB5A" w14:textId="77777777" w:rsidR="00675080" w:rsidRPr="00C145E5" w:rsidRDefault="00675080" w:rsidP="009F654A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198994DE" w14:textId="77777777" w:rsidR="00675080" w:rsidRPr="00C145E5" w:rsidRDefault="00675080" w:rsidP="009F654A">
            <w:pPr>
              <w:rPr>
                <w:rFonts w:ascii="Arial" w:hAnsi="Arial" w:cs="Arial"/>
              </w:rPr>
            </w:pPr>
          </w:p>
        </w:tc>
      </w:tr>
    </w:tbl>
    <w:p w14:paraId="5ADD4AED" w14:textId="59A336DE" w:rsidR="006A38D6" w:rsidRDefault="006A38D6"/>
    <w:p w14:paraId="011DADA2" w14:textId="77777777" w:rsidR="00675080" w:rsidRPr="0079362F" w:rsidRDefault="00675080" w:rsidP="00675080">
      <w:pPr>
        <w:spacing w:line="480" w:lineRule="auto"/>
        <w:rPr>
          <w:rFonts w:ascii="Arial" w:hAnsi="Arial" w:cs="Arial"/>
        </w:rPr>
      </w:pPr>
      <w:r w:rsidRPr="0079362F">
        <w:rPr>
          <w:rFonts w:ascii="Arial" w:hAnsi="Arial" w:cs="Arial"/>
          <w:b/>
          <w:bCs/>
        </w:rPr>
        <w:t>Table 2.</w:t>
      </w:r>
      <w:r w:rsidRPr="0079362F">
        <w:rPr>
          <w:rFonts w:ascii="Arial" w:hAnsi="Arial" w:cs="Arial"/>
        </w:rPr>
        <w:t xml:space="preserve"> Free-text responses to the following question: </w:t>
      </w:r>
      <w:r w:rsidRPr="0079362F">
        <w:rPr>
          <w:rFonts w:ascii="Arial" w:hAnsi="Arial" w:cs="Arial"/>
          <w:i/>
          <w:iCs/>
        </w:rPr>
        <w:t>“The intention is to create more of these digital escape rooms to act as consolidation/revision exercises on different physiology topics. What do you think of this idea and do you have any suggestions?”</w:t>
      </w:r>
      <w:r w:rsidRPr="0079362F">
        <w:rPr>
          <w:rFonts w:ascii="Arial" w:hAnsi="Arial" w:cs="Arial"/>
        </w:rPr>
        <w:t>.</w:t>
      </w:r>
    </w:p>
    <w:p w14:paraId="657CD5A9" w14:textId="77777777" w:rsidR="00675080" w:rsidRDefault="00675080"/>
    <w:sectPr w:rsidR="00675080" w:rsidSect="006750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80"/>
    <w:rsid w:val="0058762D"/>
    <w:rsid w:val="00675080"/>
    <w:rsid w:val="006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0E60"/>
  <w15:chartTrackingRefBased/>
  <w15:docId w15:val="{037ED98E-0362-4C7F-BA1C-5D253F99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9F75-A74A-4002-A965-1702C49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Keele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Horn</dc:creator>
  <cp:keywords/>
  <dc:description/>
  <cp:lastModifiedBy>Margaux Horn (staff)</cp:lastModifiedBy>
  <cp:revision>2</cp:revision>
  <dcterms:created xsi:type="dcterms:W3CDTF">2022-07-11T14:06:00Z</dcterms:created>
  <dcterms:modified xsi:type="dcterms:W3CDTF">2022-10-05T10:29:00Z</dcterms:modified>
</cp:coreProperties>
</file>