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08" w:rsidRDefault="00A31C08" w:rsidP="00D0405D">
      <w:pPr>
        <w:jc w:val="center"/>
      </w:pPr>
    </w:p>
    <w:p w:rsidR="00A31C08" w:rsidRDefault="00A31C08" w:rsidP="00D0405D">
      <w:pPr>
        <w:jc w:val="center"/>
      </w:pPr>
    </w:p>
    <w:p w:rsidR="00A31C08" w:rsidRDefault="00A31C08" w:rsidP="00D0405D">
      <w:pPr>
        <w:jc w:val="center"/>
      </w:pPr>
    </w:p>
    <w:p w:rsidR="00A31C08" w:rsidRDefault="00A31C08" w:rsidP="00D0405D">
      <w:pPr>
        <w:jc w:val="center"/>
      </w:pPr>
    </w:p>
    <w:p w:rsidR="00A31C08" w:rsidRDefault="00A31C08" w:rsidP="00D0405D">
      <w:pPr>
        <w:jc w:val="center"/>
      </w:pPr>
    </w:p>
    <w:p w:rsidR="00A31C08" w:rsidRDefault="00A31C08" w:rsidP="00D0405D">
      <w:pPr>
        <w:jc w:val="center"/>
      </w:pPr>
    </w:p>
    <w:p w:rsidR="00A31C08" w:rsidRDefault="00A31C08" w:rsidP="00D0405D">
      <w:pPr>
        <w:jc w:val="center"/>
      </w:pPr>
    </w:p>
    <w:p w:rsidR="00A31C08" w:rsidRDefault="00A31C08" w:rsidP="00D0405D">
      <w:pPr>
        <w:jc w:val="center"/>
      </w:pPr>
    </w:p>
    <w:p w:rsidR="00A31C08" w:rsidRDefault="00A31C08" w:rsidP="00D0405D">
      <w:pPr>
        <w:jc w:val="center"/>
      </w:pPr>
    </w:p>
    <w:p w:rsidR="00A31C08" w:rsidRDefault="00A31C08" w:rsidP="00024BFD">
      <w:pPr>
        <w:spacing w:line="480" w:lineRule="auto"/>
        <w:jc w:val="center"/>
      </w:pPr>
    </w:p>
    <w:p w:rsidR="00D2331D" w:rsidRDefault="00D2331D" w:rsidP="00D2331D">
      <w:pPr>
        <w:spacing w:line="480" w:lineRule="auto"/>
        <w:jc w:val="center"/>
      </w:pPr>
      <w:r>
        <w:t xml:space="preserve">Teaching and learning on a transnational education programme: Opportunities and challenges for flying faculty in Geography and related disciplines </w:t>
      </w:r>
    </w:p>
    <w:p w:rsidR="00D2331D" w:rsidRDefault="00D2331D" w:rsidP="00D2331D">
      <w:pPr>
        <w:jc w:val="center"/>
        <w:rPr>
          <w:i/>
        </w:rPr>
      </w:pPr>
      <w:r w:rsidRPr="00917785">
        <w:rPr>
          <w:i/>
        </w:rPr>
        <w:t>Katie Szkornik</w:t>
      </w:r>
      <w:r>
        <w:rPr>
          <w:i/>
        </w:rPr>
        <w:t>*</w:t>
      </w:r>
    </w:p>
    <w:p w:rsidR="00D2331D" w:rsidRPr="00917785" w:rsidRDefault="00D2331D" w:rsidP="00D2331D">
      <w:pPr>
        <w:jc w:val="center"/>
        <w:rPr>
          <w:i/>
        </w:rPr>
      </w:pPr>
    </w:p>
    <w:p w:rsidR="00D2331D" w:rsidRDefault="00D2331D" w:rsidP="00D2331D">
      <w:pPr>
        <w:rPr>
          <w:i/>
        </w:rPr>
      </w:pPr>
      <w:r w:rsidRPr="00917785">
        <w:rPr>
          <w:i/>
        </w:rPr>
        <w:t>Geography, Geology and the Environment, Keele University, Keele Staffordshire, ST5 5BG, UK.</w:t>
      </w:r>
    </w:p>
    <w:p w:rsidR="00D2331D" w:rsidRDefault="00D2331D" w:rsidP="00D2331D">
      <w:pPr>
        <w:rPr>
          <w:i/>
        </w:rPr>
      </w:pPr>
    </w:p>
    <w:p w:rsidR="00D2331D" w:rsidRDefault="00D2331D" w:rsidP="00D2331D">
      <w:pPr>
        <w:rPr>
          <w:i/>
        </w:rPr>
      </w:pPr>
      <w:r>
        <w:rPr>
          <w:i/>
        </w:rPr>
        <w:t xml:space="preserve">*Corresponding author </w:t>
      </w:r>
    </w:p>
    <w:p w:rsidR="00D2331D" w:rsidRDefault="00D2331D" w:rsidP="00D2331D">
      <w:pPr>
        <w:rPr>
          <w:i/>
        </w:rPr>
      </w:pPr>
      <w:r>
        <w:rPr>
          <w:i/>
        </w:rPr>
        <w:t xml:space="preserve">Email address: </w:t>
      </w:r>
      <w:hyperlink r:id="rId7" w:history="1">
        <w:r w:rsidRPr="00676FD1">
          <w:rPr>
            <w:rStyle w:val="Hyperlink"/>
            <w:i/>
          </w:rPr>
          <w:t>k.szkornik@keele.ac.uk</w:t>
        </w:r>
      </w:hyperlink>
    </w:p>
    <w:p w:rsidR="00D2331D" w:rsidRDefault="00D2331D" w:rsidP="00D2331D">
      <w:pPr>
        <w:rPr>
          <w:i/>
        </w:rPr>
      </w:pPr>
      <w:r>
        <w:rPr>
          <w:i/>
        </w:rPr>
        <w:t>Tel: +44 (0) 1782 733614</w:t>
      </w:r>
    </w:p>
    <w:p w:rsidR="00E35994" w:rsidRDefault="00E35994">
      <w:pPr>
        <w:rPr>
          <w:b/>
        </w:rPr>
      </w:pPr>
    </w:p>
    <w:p w:rsidR="00E35994" w:rsidRDefault="00E35994">
      <w:pPr>
        <w:rPr>
          <w:b/>
        </w:rPr>
      </w:pPr>
    </w:p>
    <w:p w:rsidR="00A31C08" w:rsidRDefault="00A31C08">
      <w:pPr>
        <w:rPr>
          <w:b/>
        </w:rPr>
      </w:pPr>
    </w:p>
    <w:p w:rsidR="00A31C08" w:rsidRDefault="00A31C08">
      <w:pPr>
        <w:rPr>
          <w:b/>
        </w:rPr>
      </w:pPr>
    </w:p>
    <w:p w:rsidR="00A31C08" w:rsidRDefault="00A31C08">
      <w:pPr>
        <w:rPr>
          <w:b/>
        </w:rPr>
      </w:pPr>
    </w:p>
    <w:p w:rsidR="00A31C08" w:rsidRDefault="00A31C08">
      <w:pPr>
        <w:rPr>
          <w:b/>
        </w:rPr>
      </w:pPr>
    </w:p>
    <w:p w:rsidR="00A31C08" w:rsidRDefault="00A31C08">
      <w:pPr>
        <w:rPr>
          <w:b/>
        </w:rPr>
      </w:pPr>
    </w:p>
    <w:p w:rsidR="0017249B" w:rsidRDefault="0017249B">
      <w:pPr>
        <w:rPr>
          <w:b/>
        </w:rPr>
      </w:pPr>
      <w:r>
        <w:rPr>
          <w:b/>
        </w:rPr>
        <w:lastRenderedPageBreak/>
        <w:t>Abstract</w:t>
      </w:r>
    </w:p>
    <w:p w:rsidR="000E3BE6" w:rsidRDefault="00EB4A9D" w:rsidP="000E3BE6">
      <w:pPr>
        <w:spacing w:line="480" w:lineRule="auto"/>
      </w:pPr>
      <w:r>
        <w:t>Within the context of the internationalisation of UK higher education, an increasing number of UK-based institutions are developing collaborative degree programmes with overseas institutions, of which partnerships with institutions in China are the most common (Q</w:t>
      </w:r>
      <w:r w:rsidR="00132148">
        <w:t>uality Assurance Committee [QAA]</w:t>
      </w:r>
      <w:r w:rsidR="00EF4E5C">
        <w:t xml:space="preserve">, </w:t>
      </w:r>
      <w:r>
        <w:t xml:space="preserve">2013). This paper employs </w:t>
      </w:r>
      <w:r w:rsidR="0023376A">
        <w:t xml:space="preserve">aspects of </w:t>
      </w:r>
      <w:r>
        <w:t xml:space="preserve">Brookfield’s (1995) approach to critical </w:t>
      </w:r>
      <w:r w:rsidR="000E3BE6">
        <w:t xml:space="preserve">reflection to explore, from </w:t>
      </w:r>
      <w:r w:rsidR="00716B3B">
        <w:t>different perspectives</w:t>
      </w:r>
      <w:r w:rsidR="006E5FF0">
        <w:t xml:space="preserve"> (self reflection, student feedback, our colleagues’ experiences</w:t>
      </w:r>
      <w:r w:rsidR="0023376A">
        <w:t>)</w:t>
      </w:r>
      <w:r w:rsidR="00794404">
        <w:t xml:space="preserve">, </w:t>
      </w:r>
      <w:r w:rsidR="00716B3B">
        <w:t>s</w:t>
      </w:r>
      <w:r w:rsidR="000E3BE6">
        <w:t xml:space="preserve">ome of the opportunities and challenges that exist for flying faculty through critical reflection on the author’s own </w:t>
      </w:r>
      <w:r w:rsidR="007949E7">
        <w:t xml:space="preserve">flying faculty </w:t>
      </w:r>
      <w:r w:rsidR="000E3BE6">
        <w:t xml:space="preserve">experiences delivering an introductory Physical Geography module in China. </w:t>
      </w:r>
      <w:r w:rsidR="0023376A" w:rsidRPr="001C50FE">
        <w:rPr>
          <w:rFonts w:eastAsia="MS Mincho"/>
          <w:lang w:eastAsia="ja-JP"/>
        </w:rPr>
        <w:t xml:space="preserve">Teaching </w:t>
      </w:r>
      <w:r w:rsidR="0023376A" w:rsidRPr="001C50FE">
        <w:t>in an unfamiliar environment brings with it a plethora of challenges</w:t>
      </w:r>
      <w:r w:rsidR="00794404">
        <w:t xml:space="preserve">, </w:t>
      </w:r>
      <w:r w:rsidR="0023376A">
        <w:rPr>
          <w:color w:val="231F20"/>
          <w:lang w:eastAsia="en-GB"/>
        </w:rPr>
        <w:t>however</w:t>
      </w:r>
      <w:r w:rsidR="00794404">
        <w:rPr>
          <w:color w:val="231F20"/>
          <w:lang w:eastAsia="en-GB"/>
        </w:rPr>
        <w:t xml:space="preserve">; </w:t>
      </w:r>
      <w:r w:rsidR="0023376A">
        <w:rPr>
          <w:color w:val="231F20"/>
          <w:lang w:eastAsia="en-GB"/>
        </w:rPr>
        <w:t xml:space="preserve">for staff in Geography and related disciplines, active engagement with the </w:t>
      </w:r>
      <w:r w:rsidR="0023376A" w:rsidRPr="00E44194">
        <w:rPr>
          <w:lang w:eastAsia="en-GB"/>
        </w:rPr>
        <w:t>external world through</w:t>
      </w:r>
      <w:r w:rsidR="0023376A">
        <w:rPr>
          <w:color w:val="231F20"/>
          <w:lang w:eastAsia="en-GB"/>
        </w:rPr>
        <w:t xml:space="preserve"> field-based learning is perhaps the most challenging aspect of any overseas teaching experience. As such, a </w:t>
      </w:r>
      <w:r w:rsidR="0023376A">
        <w:t>p</w:t>
      </w:r>
      <w:r w:rsidR="000E3BE6">
        <w:t xml:space="preserve">articular </w:t>
      </w:r>
      <w:r w:rsidR="0023376A">
        <w:t>focus of this paper  is on the challenges</w:t>
      </w:r>
      <w:r w:rsidR="00794404">
        <w:t>, and pot</w:t>
      </w:r>
      <w:r w:rsidR="0023376A">
        <w:t>e</w:t>
      </w:r>
      <w:r w:rsidR="00794404">
        <w:t>n</w:t>
      </w:r>
      <w:r w:rsidR="0023376A">
        <w:t>tial solutions, of incorporating field-based learning and teaching in the international classroom’</w:t>
      </w:r>
      <w:r w:rsidR="006E5FF0">
        <w:t xml:space="preserve">. </w:t>
      </w:r>
      <w:r w:rsidR="000E3BE6">
        <w:t>U</w:t>
      </w:r>
      <w:r w:rsidR="000E3BE6">
        <w:rPr>
          <w:bCs/>
        </w:rPr>
        <w:t xml:space="preserve">ltimately, faculty with international teaching experience are </w:t>
      </w:r>
      <w:r w:rsidR="00D0405D">
        <w:rPr>
          <w:bCs/>
        </w:rPr>
        <w:t xml:space="preserve">best placed to develop and </w:t>
      </w:r>
      <w:r w:rsidR="000E3BE6">
        <w:rPr>
          <w:bCs/>
        </w:rPr>
        <w:t>enhance the internationalisation of their own institution’s curricula.</w:t>
      </w:r>
    </w:p>
    <w:p w:rsidR="002E2990" w:rsidRDefault="002E2990">
      <w:pPr>
        <w:rPr>
          <w:b/>
        </w:rPr>
      </w:pPr>
    </w:p>
    <w:p w:rsidR="0017249B" w:rsidRDefault="0017249B">
      <w:pPr>
        <w:rPr>
          <w:b/>
        </w:rPr>
      </w:pPr>
      <w:r>
        <w:rPr>
          <w:b/>
        </w:rPr>
        <w:t>Key Words</w:t>
      </w:r>
    </w:p>
    <w:p w:rsidR="000E3BE6" w:rsidRPr="000E3BE6" w:rsidRDefault="000E3BE6">
      <w:r>
        <w:t>Transnational Education</w:t>
      </w:r>
      <w:r w:rsidR="00BC3F60">
        <w:t xml:space="preserve"> (TNE)</w:t>
      </w:r>
      <w:r>
        <w:t xml:space="preserve">, </w:t>
      </w:r>
      <w:r w:rsidRPr="000E3BE6">
        <w:t>Flying Faculty, China, Field-Based Teaching, Critical Reflection</w:t>
      </w:r>
    </w:p>
    <w:p w:rsidR="002E2990" w:rsidRDefault="002E2990" w:rsidP="004530E7">
      <w:pPr>
        <w:spacing w:line="480" w:lineRule="auto"/>
        <w:rPr>
          <w:b/>
        </w:rPr>
      </w:pPr>
    </w:p>
    <w:p w:rsidR="007549E3" w:rsidRPr="004E7DA8" w:rsidRDefault="007549E3" w:rsidP="004530E7">
      <w:pPr>
        <w:spacing w:line="480" w:lineRule="auto"/>
        <w:rPr>
          <w:b/>
        </w:rPr>
      </w:pPr>
      <w:r w:rsidRPr="004E7DA8">
        <w:rPr>
          <w:b/>
        </w:rPr>
        <w:t>Introduction</w:t>
      </w:r>
    </w:p>
    <w:p w:rsidR="0089575A" w:rsidRPr="001C50FE" w:rsidRDefault="00F11283" w:rsidP="004530E7">
      <w:pPr>
        <w:spacing w:line="480" w:lineRule="auto"/>
        <w:rPr>
          <w:rFonts w:eastAsia="MS Mincho"/>
          <w:lang w:val="en-US" w:eastAsia="ja-JP"/>
        </w:rPr>
      </w:pPr>
      <w:r w:rsidRPr="001C50FE">
        <w:t xml:space="preserve">The internationalisation of UK higher education (HE) is of increasing importance as institutions seek to respond to national and international economic, social and political demands (Higher Education Academy </w:t>
      </w:r>
      <w:r w:rsidR="00132148">
        <w:t>[</w:t>
      </w:r>
      <w:r w:rsidRPr="001C50FE">
        <w:t>HEA</w:t>
      </w:r>
      <w:r w:rsidR="00132148">
        <w:t>]</w:t>
      </w:r>
      <w:r w:rsidRPr="001C50FE">
        <w:t>, 2014). Within this</w:t>
      </w:r>
      <w:r w:rsidR="00535218" w:rsidRPr="001C50FE">
        <w:t xml:space="preserve"> context</w:t>
      </w:r>
      <w:r w:rsidRPr="001C50FE">
        <w:t xml:space="preserve">, </w:t>
      </w:r>
      <w:r w:rsidR="00535218" w:rsidRPr="001C50FE">
        <w:t xml:space="preserve">many institutions have sought to expand their research and education activities across international borders </w:t>
      </w:r>
      <w:r w:rsidR="00535218" w:rsidRPr="001C50FE">
        <w:lastRenderedPageBreak/>
        <w:t xml:space="preserve">(McBurnie and Ziguras, 2007). </w:t>
      </w:r>
      <w:r w:rsidR="00C23382" w:rsidRPr="001C50FE">
        <w:t>Although transnational education is nothing new, in recent years there has been a rapid expansion in the number of UK Higher E</w:t>
      </w:r>
      <w:r w:rsidR="00494CD9">
        <w:t xml:space="preserve">ducation </w:t>
      </w:r>
      <w:r w:rsidR="00C23382" w:rsidRPr="001C50FE">
        <w:t>Institutions (HEIs) developing transnational education initiatives (TNEs) (Hill</w:t>
      </w:r>
      <w:r w:rsidR="00EF4E5C">
        <w:t xml:space="preserve">, Cheong, Leong and Fernandez-Chung, </w:t>
      </w:r>
      <w:r w:rsidR="00C23382" w:rsidRPr="001C50FE">
        <w:t xml:space="preserve">2014). Transnational </w:t>
      </w:r>
      <w:r w:rsidR="009E607E" w:rsidRPr="001C50FE">
        <w:t>education</w:t>
      </w:r>
      <w:r w:rsidR="00C23382" w:rsidRPr="001C50FE">
        <w:t xml:space="preserve"> has many different approaches, including franchising, </w:t>
      </w:r>
      <w:r w:rsidR="009E607E" w:rsidRPr="001C50FE">
        <w:t>distance</w:t>
      </w:r>
      <w:r w:rsidR="00C23382" w:rsidRPr="001C50FE">
        <w:t xml:space="preserve"> learning, joint/dual honours awards between</w:t>
      </w:r>
      <w:r w:rsidR="00716B3B">
        <w:t xml:space="preserve"> institutions, research degrees, </w:t>
      </w:r>
      <w:r w:rsidR="00C23382" w:rsidRPr="001C50FE">
        <w:t>and flying faculty (Drew</w:t>
      </w:r>
      <w:r w:rsidR="00EF4E5C">
        <w:t xml:space="preserve">, Tang, Poole and Willis, </w:t>
      </w:r>
      <w:r w:rsidR="00C23382" w:rsidRPr="001C50FE">
        <w:t xml:space="preserve">2006; Smith, 2014), all of which </w:t>
      </w:r>
      <w:r w:rsidR="009E607E" w:rsidRPr="001C50FE">
        <w:t>involve</w:t>
      </w:r>
      <w:r w:rsidR="00C23382" w:rsidRPr="001C50FE">
        <w:t xml:space="preserve"> a variety of different stakeholders (Hill et al., 2014). Whilst the nature and spread of TNE delivery is highly variable (Lanelli and Huang, 2014), </w:t>
      </w:r>
      <w:r w:rsidR="00E63834" w:rsidRPr="001C50FE">
        <w:t xml:space="preserve">in the last ten years </w:t>
      </w:r>
      <w:r w:rsidR="00C23382" w:rsidRPr="001C50FE">
        <w:t xml:space="preserve">there has been a dramatic increase in the number of </w:t>
      </w:r>
      <w:r w:rsidR="00466B22" w:rsidRPr="001C50FE">
        <w:t>initi</w:t>
      </w:r>
      <w:r w:rsidR="00466B22">
        <w:t>atives</w:t>
      </w:r>
      <w:r w:rsidR="00716B3B">
        <w:t xml:space="preserve"> </w:t>
      </w:r>
      <w:r w:rsidR="00C23382" w:rsidRPr="001C50FE">
        <w:t xml:space="preserve">being developed with institutions in China, where the country’s economic reforms have stimulated a desire for </w:t>
      </w:r>
      <w:r w:rsidR="00494CD9">
        <w:t xml:space="preserve">Chinese institutions to adopt </w:t>
      </w:r>
      <w:r w:rsidR="00716B3B">
        <w:t xml:space="preserve">aspects of </w:t>
      </w:r>
      <w:r w:rsidR="00C23382" w:rsidRPr="001C50FE">
        <w:t xml:space="preserve">foreign (‘western’) models of teaching and </w:t>
      </w:r>
      <w:r w:rsidR="009E607E" w:rsidRPr="001C50FE">
        <w:t>learning</w:t>
      </w:r>
      <w:r w:rsidR="00494CD9">
        <w:t xml:space="preserve">, </w:t>
      </w:r>
      <w:r w:rsidR="00C23382" w:rsidRPr="001C50FE">
        <w:t xml:space="preserve">whilst </w:t>
      </w:r>
      <w:r w:rsidR="009E607E" w:rsidRPr="001C50FE">
        <w:t>retain</w:t>
      </w:r>
      <w:r w:rsidR="009E607E">
        <w:t>ing</w:t>
      </w:r>
      <w:r w:rsidR="00494CD9">
        <w:t xml:space="preserve"> </w:t>
      </w:r>
      <w:r w:rsidR="007949E7">
        <w:t xml:space="preserve">elements </w:t>
      </w:r>
      <w:r w:rsidR="00494CD9">
        <w:t xml:space="preserve">of their own educational </w:t>
      </w:r>
      <w:r w:rsidR="00C23382" w:rsidRPr="001C50FE">
        <w:t xml:space="preserve">culture (QAA, 2013). </w:t>
      </w:r>
      <w:r w:rsidR="00D0405D">
        <w:t xml:space="preserve">Recent data from the </w:t>
      </w:r>
      <w:r w:rsidR="00C23382" w:rsidRPr="001C50FE">
        <w:t xml:space="preserve">Higher Education Statistics Agency (HESA) show that in 2011-12 there were more than </w:t>
      </w:r>
      <w:r w:rsidR="00C23382" w:rsidRPr="001C50FE">
        <w:rPr>
          <w:rFonts w:eastAsia="MS Mincho"/>
          <w:lang w:val="en-US" w:eastAsia="ja-JP"/>
        </w:rPr>
        <w:t xml:space="preserve">38,000 </w:t>
      </w:r>
      <w:r w:rsidR="00794404">
        <w:rPr>
          <w:rFonts w:eastAsia="MS Mincho"/>
          <w:lang w:val="en-US" w:eastAsia="ja-JP"/>
        </w:rPr>
        <w:t xml:space="preserve">Chinese </w:t>
      </w:r>
      <w:r w:rsidR="00C23382" w:rsidRPr="001C50FE">
        <w:rPr>
          <w:rFonts w:eastAsia="MS Mincho"/>
          <w:lang w:val="en-US" w:eastAsia="ja-JP"/>
        </w:rPr>
        <w:t>students studying through UK TNE in China, which represents an increase of some 7% from 2010-11 (HESA, 2015)</w:t>
      </w:r>
      <w:r w:rsidR="0089575A" w:rsidRPr="001C50FE">
        <w:rPr>
          <w:rFonts w:eastAsia="MS Mincho"/>
          <w:lang w:val="en-US" w:eastAsia="ja-JP"/>
        </w:rPr>
        <w:t xml:space="preserve">. </w:t>
      </w:r>
    </w:p>
    <w:p w:rsidR="007A25DB" w:rsidRDefault="0089575A" w:rsidP="004530E7">
      <w:pPr>
        <w:spacing w:line="480" w:lineRule="auto"/>
      </w:pPr>
      <w:r w:rsidRPr="001C50FE">
        <w:rPr>
          <w:rFonts w:eastAsia="MS Mincho"/>
          <w:lang w:val="en-US" w:eastAsia="ja-JP"/>
        </w:rPr>
        <w:t>Of the different TNE approaches</w:t>
      </w:r>
      <w:r w:rsidR="002E08F8">
        <w:rPr>
          <w:rFonts w:eastAsia="MS Mincho"/>
          <w:lang w:val="en-US" w:eastAsia="ja-JP"/>
        </w:rPr>
        <w:t xml:space="preserve">, </w:t>
      </w:r>
      <w:r w:rsidRPr="001C50FE">
        <w:rPr>
          <w:rFonts w:eastAsia="MS Mincho"/>
          <w:lang w:val="en-US" w:eastAsia="ja-JP"/>
        </w:rPr>
        <w:t xml:space="preserve">one of the most common forms of collaboration between </w:t>
      </w:r>
      <w:r w:rsidR="00716B3B">
        <w:rPr>
          <w:rFonts w:eastAsia="MS Mincho"/>
          <w:lang w:val="en-US" w:eastAsia="ja-JP"/>
        </w:rPr>
        <w:t xml:space="preserve">UK and Chinese institutions is </w:t>
      </w:r>
      <w:r w:rsidRPr="001C50FE">
        <w:rPr>
          <w:rFonts w:eastAsia="MS Mincho"/>
          <w:lang w:val="en-US" w:eastAsia="ja-JP"/>
        </w:rPr>
        <w:t xml:space="preserve">through </w:t>
      </w:r>
      <w:r w:rsidR="009E607E" w:rsidRPr="001C50FE">
        <w:rPr>
          <w:rFonts w:eastAsia="MS Mincho"/>
          <w:lang w:val="en-US" w:eastAsia="ja-JP"/>
        </w:rPr>
        <w:t>articulation</w:t>
      </w:r>
      <w:r w:rsidRPr="001C50FE">
        <w:rPr>
          <w:rFonts w:eastAsia="MS Mincho"/>
          <w:lang w:val="en-US" w:eastAsia="ja-JP"/>
        </w:rPr>
        <w:t xml:space="preserve"> </w:t>
      </w:r>
      <w:r w:rsidR="009E607E" w:rsidRPr="001C50FE">
        <w:rPr>
          <w:rFonts w:eastAsia="MS Mincho"/>
          <w:lang w:val="en-US" w:eastAsia="ja-JP"/>
        </w:rPr>
        <w:t>agreements</w:t>
      </w:r>
      <w:r w:rsidRPr="001C50FE">
        <w:rPr>
          <w:rFonts w:eastAsia="MS Mincho"/>
          <w:lang w:val="en-US" w:eastAsia="ja-JP"/>
        </w:rPr>
        <w:t xml:space="preserve">, whereby </w:t>
      </w:r>
      <w:r w:rsidR="002E08F8">
        <w:rPr>
          <w:rFonts w:eastAsia="MS Mincho"/>
          <w:lang w:val="en-US" w:eastAsia="ja-JP"/>
        </w:rPr>
        <w:t xml:space="preserve">Chinese </w:t>
      </w:r>
      <w:r w:rsidRPr="001C50FE">
        <w:rPr>
          <w:rFonts w:eastAsia="MS Mincho"/>
          <w:lang w:val="en-US" w:eastAsia="ja-JP"/>
        </w:rPr>
        <w:t>students study at a partner institution in China for up to three years before transferring to the UK partner institution for their final year</w:t>
      </w:r>
      <w:r w:rsidR="00494CD9">
        <w:rPr>
          <w:rFonts w:eastAsia="MS Mincho"/>
          <w:lang w:val="en-US" w:eastAsia="ja-JP"/>
        </w:rPr>
        <w:t xml:space="preserve"> (</w:t>
      </w:r>
      <w:r w:rsidRPr="001C50FE">
        <w:rPr>
          <w:rFonts w:eastAsia="MS Mincho"/>
          <w:lang w:val="en-US" w:eastAsia="ja-JP"/>
        </w:rPr>
        <w:t xml:space="preserve">or </w:t>
      </w:r>
      <w:r w:rsidR="00494CD9">
        <w:rPr>
          <w:rFonts w:eastAsia="MS Mincho"/>
          <w:lang w:val="en-US" w:eastAsia="ja-JP"/>
        </w:rPr>
        <w:t xml:space="preserve">final </w:t>
      </w:r>
      <w:r w:rsidRPr="001C50FE">
        <w:rPr>
          <w:rFonts w:eastAsia="MS Mincho"/>
          <w:lang w:val="en-US" w:eastAsia="ja-JP"/>
        </w:rPr>
        <w:t>two years</w:t>
      </w:r>
      <w:r w:rsidR="00494CD9">
        <w:rPr>
          <w:rFonts w:eastAsia="MS Mincho"/>
          <w:lang w:val="en-US" w:eastAsia="ja-JP"/>
        </w:rPr>
        <w:t xml:space="preserve">) </w:t>
      </w:r>
      <w:r w:rsidRPr="001C50FE">
        <w:rPr>
          <w:rFonts w:eastAsia="MS Mincho"/>
          <w:lang w:val="en-US" w:eastAsia="ja-JP"/>
        </w:rPr>
        <w:t>of study (</w:t>
      </w:r>
      <w:r w:rsidRPr="001C50FE">
        <w:rPr>
          <w:rFonts w:eastAsia="MS Mincho"/>
          <w:lang w:eastAsia="ja-JP"/>
        </w:rPr>
        <w:t xml:space="preserve">Hou and McDowell, 2014). A key aspect of such </w:t>
      </w:r>
      <w:r w:rsidRPr="00906614">
        <w:rPr>
          <w:rFonts w:eastAsia="MS Mincho"/>
          <w:lang w:eastAsia="ja-JP"/>
        </w:rPr>
        <w:t>provision is the</w:t>
      </w:r>
      <w:r w:rsidR="00906614">
        <w:rPr>
          <w:rFonts w:eastAsia="MS Mincho"/>
          <w:lang w:eastAsia="ja-JP"/>
        </w:rPr>
        <w:t xml:space="preserve"> deployment </w:t>
      </w:r>
      <w:r w:rsidR="00351BC8" w:rsidRPr="00906614">
        <w:rPr>
          <w:rFonts w:eastAsia="MS Mincho"/>
          <w:lang w:eastAsia="ja-JP"/>
        </w:rPr>
        <w:t>of</w:t>
      </w:r>
      <w:r w:rsidR="00716B3B">
        <w:rPr>
          <w:rFonts w:eastAsia="MS Mincho"/>
          <w:lang w:eastAsia="ja-JP"/>
        </w:rPr>
        <w:t xml:space="preserve"> ‘flying f</w:t>
      </w:r>
      <w:r w:rsidR="00351BC8" w:rsidRPr="001C50FE">
        <w:rPr>
          <w:rFonts w:eastAsia="MS Mincho"/>
          <w:lang w:eastAsia="ja-JP"/>
        </w:rPr>
        <w:t>aculty’ (Smith, 2014)</w:t>
      </w:r>
      <w:r w:rsidR="00AB715D" w:rsidRPr="001C50FE">
        <w:rPr>
          <w:rFonts w:eastAsia="MS Mincho"/>
          <w:lang w:eastAsia="ja-JP"/>
        </w:rPr>
        <w:t xml:space="preserve">, </w:t>
      </w:r>
      <w:r w:rsidR="00351BC8" w:rsidRPr="001C50FE">
        <w:rPr>
          <w:rFonts w:eastAsia="MS Mincho"/>
          <w:lang w:eastAsia="ja-JP"/>
        </w:rPr>
        <w:t>whereby staff ‘fly in’ from the</w:t>
      </w:r>
      <w:r w:rsidR="00716B3B">
        <w:rPr>
          <w:rFonts w:eastAsia="MS Mincho"/>
          <w:lang w:eastAsia="ja-JP"/>
        </w:rPr>
        <w:t>ir</w:t>
      </w:r>
      <w:r w:rsidR="00351BC8" w:rsidRPr="001C50FE">
        <w:rPr>
          <w:rFonts w:eastAsia="MS Mincho"/>
          <w:lang w:eastAsia="ja-JP"/>
        </w:rPr>
        <w:t xml:space="preserve"> home co</w:t>
      </w:r>
      <w:r w:rsidR="00AB715D" w:rsidRPr="001C50FE">
        <w:rPr>
          <w:rFonts w:eastAsia="MS Mincho"/>
          <w:lang w:eastAsia="ja-JP"/>
        </w:rPr>
        <w:t>u</w:t>
      </w:r>
      <w:r w:rsidR="00351BC8" w:rsidRPr="001C50FE">
        <w:rPr>
          <w:rFonts w:eastAsia="MS Mincho"/>
          <w:lang w:eastAsia="ja-JP"/>
        </w:rPr>
        <w:t xml:space="preserve">ntry and deliver </w:t>
      </w:r>
      <w:r w:rsidR="009E607E" w:rsidRPr="001C50FE">
        <w:rPr>
          <w:rFonts w:eastAsia="MS Mincho"/>
          <w:lang w:eastAsia="ja-JP"/>
        </w:rPr>
        <w:t>intensive</w:t>
      </w:r>
      <w:r w:rsidR="00351BC8" w:rsidRPr="001C50FE">
        <w:rPr>
          <w:rFonts w:eastAsia="MS Mincho"/>
          <w:lang w:eastAsia="ja-JP"/>
        </w:rPr>
        <w:t xml:space="preserve"> blocks of teaching to students </w:t>
      </w:r>
      <w:r w:rsidR="009E607E" w:rsidRPr="001C50FE">
        <w:rPr>
          <w:rFonts w:eastAsia="MS Mincho"/>
          <w:lang w:eastAsia="ja-JP"/>
        </w:rPr>
        <w:t>currently</w:t>
      </w:r>
      <w:r w:rsidR="00351BC8" w:rsidRPr="001C50FE">
        <w:rPr>
          <w:rFonts w:eastAsia="MS Mincho"/>
          <w:lang w:eastAsia="ja-JP"/>
        </w:rPr>
        <w:t xml:space="preserve"> based at the overseas partner institution.</w:t>
      </w:r>
      <w:r w:rsidR="001C50FE" w:rsidRPr="001C50FE">
        <w:rPr>
          <w:rFonts w:eastAsia="MS Mincho"/>
          <w:lang w:eastAsia="ja-JP"/>
        </w:rPr>
        <w:t xml:space="preserve"> </w:t>
      </w:r>
      <w:r w:rsidR="006A4EC1">
        <w:rPr>
          <w:rFonts w:eastAsia="MS Mincho"/>
          <w:lang w:eastAsia="ja-JP"/>
        </w:rPr>
        <w:t xml:space="preserve">Whilst </w:t>
      </w:r>
      <w:r w:rsidR="006A4EC1" w:rsidRPr="001C50FE">
        <w:t xml:space="preserve">a </w:t>
      </w:r>
      <w:r w:rsidR="009E607E" w:rsidRPr="001C50FE">
        <w:t>significant</w:t>
      </w:r>
      <w:r w:rsidR="006A4EC1" w:rsidRPr="001C50FE">
        <w:t xml:space="preserve"> body of research now exists around the teaching and </w:t>
      </w:r>
      <w:r w:rsidR="009E607E" w:rsidRPr="001C50FE">
        <w:t>learning</w:t>
      </w:r>
      <w:r w:rsidR="006A4EC1" w:rsidRPr="001C50FE">
        <w:t xml:space="preserve"> experiences of flying faculty from across a range of disciplines (e.g., </w:t>
      </w:r>
      <w:r w:rsidR="006A4EC1" w:rsidRPr="001C50FE">
        <w:rPr>
          <w:color w:val="231F20"/>
          <w:lang w:eastAsia="en-GB"/>
        </w:rPr>
        <w:t>Bodycott and Walker 2</w:t>
      </w:r>
      <w:r w:rsidR="00716B3B">
        <w:rPr>
          <w:color w:val="231F20"/>
          <w:lang w:eastAsia="en-GB"/>
        </w:rPr>
        <w:t xml:space="preserve">000; </w:t>
      </w:r>
      <w:r w:rsidR="00EF4E5C" w:rsidRPr="001C50FE">
        <w:rPr>
          <w:color w:val="231F20"/>
          <w:lang w:eastAsia="en-GB"/>
        </w:rPr>
        <w:t>Dunn and Wallace 2006, 2008</w:t>
      </w:r>
      <w:r w:rsidR="00EF4E5C">
        <w:rPr>
          <w:color w:val="231F20"/>
          <w:lang w:eastAsia="en-GB"/>
        </w:rPr>
        <w:t>; G</w:t>
      </w:r>
      <w:r w:rsidR="00716B3B">
        <w:rPr>
          <w:color w:val="231F20"/>
          <w:lang w:eastAsia="en-GB"/>
        </w:rPr>
        <w:t>ribble and Ziguras 2003;</w:t>
      </w:r>
      <w:r w:rsidR="00EF4E5C">
        <w:rPr>
          <w:color w:val="231F20"/>
          <w:lang w:eastAsia="en-GB"/>
        </w:rPr>
        <w:t xml:space="preserve"> </w:t>
      </w:r>
      <w:r w:rsidR="006A4EC1" w:rsidRPr="001C50FE">
        <w:rPr>
          <w:color w:val="231F20"/>
          <w:lang w:eastAsia="en-GB"/>
        </w:rPr>
        <w:t>Prowse and Goddard 2010;</w:t>
      </w:r>
      <w:r w:rsidR="00716B3B">
        <w:rPr>
          <w:color w:val="231F20"/>
          <w:lang w:eastAsia="en-GB"/>
        </w:rPr>
        <w:t xml:space="preserve"> Smith, 2009</w:t>
      </w:r>
      <w:r w:rsidR="0070749E">
        <w:rPr>
          <w:color w:val="231F20"/>
          <w:lang w:eastAsia="en-GB"/>
        </w:rPr>
        <w:t xml:space="preserve">2013, </w:t>
      </w:r>
      <w:r w:rsidR="000B51D3">
        <w:rPr>
          <w:color w:val="231F20"/>
          <w:lang w:eastAsia="en-GB"/>
        </w:rPr>
        <w:t xml:space="preserve">2014), to date </w:t>
      </w:r>
      <w:r w:rsidR="001C50FE">
        <w:rPr>
          <w:color w:val="231F20"/>
          <w:lang w:eastAsia="en-GB"/>
        </w:rPr>
        <w:t>there has been little research into the ex</w:t>
      </w:r>
      <w:r w:rsidR="00494CD9">
        <w:rPr>
          <w:color w:val="231F20"/>
          <w:lang w:eastAsia="en-GB"/>
        </w:rPr>
        <w:t>periences of Geography faculty</w:t>
      </w:r>
      <w:r w:rsidR="001C50FE">
        <w:rPr>
          <w:color w:val="231F20"/>
          <w:lang w:eastAsia="en-GB"/>
        </w:rPr>
        <w:t xml:space="preserve">, whereby the nature of the discipline means that engaging students in the field is an </w:t>
      </w:r>
      <w:r w:rsidR="009E607E">
        <w:rPr>
          <w:color w:val="231F20"/>
          <w:lang w:eastAsia="en-GB"/>
        </w:rPr>
        <w:t>important</w:t>
      </w:r>
      <w:r w:rsidR="001C50FE">
        <w:rPr>
          <w:color w:val="231F20"/>
          <w:lang w:eastAsia="en-GB"/>
        </w:rPr>
        <w:t xml:space="preserve"> mode of teaching and learning </w:t>
      </w:r>
      <w:r w:rsidR="001C50FE">
        <w:rPr>
          <w:color w:val="231F20"/>
          <w:lang w:eastAsia="en-GB"/>
        </w:rPr>
        <w:lastRenderedPageBreak/>
        <w:t>(</w:t>
      </w:r>
      <w:r w:rsidR="00EF4E5C" w:rsidRPr="001C50FE">
        <w:rPr>
          <w:color w:val="231F20"/>
          <w:lang w:eastAsia="en-GB"/>
        </w:rPr>
        <w:t>Fuller</w:t>
      </w:r>
      <w:r w:rsidR="00EF4E5C">
        <w:rPr>
          <w:color w:val="231F20"/>
          <w:lang w:eastAsia="en-GB"/>
        </w:rPr>
        <w:t xml:space="preserve">, Edmonson, France, Higgit, Ratinen, </w:t>
      </w:r>
      <w:r w:rsidR="00EF4E5C" w:rsidRPr="001C50FE">
        <w:rPr>
          <w:color w:val="231F20"/>
          <w:lang w:eastAsia="en-GB"/>
        </w:rPr>
        <w:t>2006</w:t>
      </w:r>
      <w:r w:rsidR="00EF4E5C">
        <w:rPr>
          <w:color w:val="231F20"/>
          <w:lang w:eastAsia="en-GB"/>
        </w:rPr>
        <w:t>; K</w:t>
      </w:r>
      <w:r w:rsidR="001C50FE">
        <w:rPr>
          <w:color w:val="231F20"/>
          <w:lang w:eastAsia="en-GB"/>
        </w:rPr>
        <w:t>ent</w:t>
      </w:r>
      <w:r w:rsidR="00EF4E5C">
        <w:rPr>
          <w:color w:val="231F20"/>
          <w:lang w:eastAsia="en-GB"/>
        </w:rPr>
        <w:t xml:space="preserve">, Gilbertson and Hunt, </w:t>
      </w:r>
      <w:r w:rsidR="001C50FE">
        <w:rPr>
          <w:color w:val="231F20"/>
          <w:lang w:eastAsia="en-GB"/>
        </w:rPr>
        <w:t xml:space="preserve">1997). </w:t>
      </w:r>
      <w:r w:rsidR="00716B3B">
        <w:rPr>
          <w:color w:val="231F20"/>
          <w:lang w:eastAsia="en-GB"/>
        </w:rPr>
        <w:t>For Geography and related disciplines</w:t>
      </w:r>
      <w:r w:rsidR="007949E7">
        <w:rPr>
          <w:color w:val="231F20"/>
          <w:lang w:eastAsia="en-GB"/>
        </w:rPr>
        <w:t xml:space="preserve">, </w:t>
      </w:r>
      <w:r w:rsidR="00716B3B">
        <w:rPr>
          <w:color w:val="231F20"/>
          <w:lang w:eastAsia="en-GB"/>
        </w:rPr>
        <w:t>p</w:t>
      </w:r>
      <w:r w:rsidR="007A25DB" w:rsidRPr="00D40E94">
        <w:rPr>
          <w:rStyle w:val="apple-converted-space"/>
          <w:color w:val="222222"/>
          <w:shd w:val="clear" w:color="auto" w:fill="FFFFFF"/>
        </w:rPr>
        <w:t xml:space="preserve">utting the skills and knowledge </w:t>
      </w:r>
      <w:r w:rsidR="009E607E" w:rsidRPr="00D40E94">
        <w:rPr>
          <w:rStyle w:val="apple-converted-space"/>
          <w:color w:val="222222"/>
          <w:shd w:val="clear" w:color="auto" w:fill="FFFFFF"/>
        </w:rPr>
        <w:t>learnt</w:t>
      </w:r>
      <w:r w:rsidR="007A25DB" w:rsidRPr="00D40E94">
        <w:rPr>
          <w:rStyle w:val="apple-converted-space"/>
          <w:color w:val="222222"/>
          <w:shd w:val="clear" w:color="auto" w:fill="FFFFFF"/>
        </w:rPr>
        <w:t xml:space="preserve"> in the classroom into practice</w:t>
      </w:r>
      <w:r w:rsidR="00FE42AF">
        <w:rPr>
          <w:rStyle w:val="apple-converted-space"/>
          <w:color w:val="222222"/>
          <w:shd w:val="clear" w:color="auto" w:fill="FFFFFF"/>
        </w:rPr>
        <w:t xml:space="preserve">, </w:t>
      </w:r>
      <w:r w:rsidR="007A25DB" w:rsidRPr="00D40E94">
        <w:rPr>
          <w:rStyle w:val="apple-converted-space"/>
          <w:color w:val="222222"/>
          <w:shd w:val="clear" w:color="auto" w:fill="FFFFFF"/>
        </w:rPr>
        <w:t xml:space="preserve">and developing and enhancing generic skills such as </w:t>
      </w:r>
      <w:r w:rsidR="007A25DB" w:rsidRPr="00D40E94">
        <w:t xml:space="preserve">team working, problem solving, self-management and interpersonal relationships, lie at the forefront of teaching and </w:t>
      </w:r>
      <w:r w:rsidR="009E607E" w:rsidRPr="00D40E94">
        <w:t>learning</w:t>
      </w:r>
      <w:r w:rsidR="00716B3B">
        <w:t xml:space="preserve"> </w:t>
      </w:r>
      <w:r w:rsidR="007A25DB" w:rsidRPr="00D40E94">
        <w:rPr>
          <w:rStyle w:val="apple-converted-space"/>
          <w:color w:val="222222"/>
          <w:shd w:val="clear" w:color="auto" w:fill="FFFFFF"/>
        </w:rPr>
        <w:t xml:space="preserve">(e.g., </w:t>
      </w:r>
      <w:r w:rsidR="00EF4E5C" w:rsidRPr="00D40E94">
        <w:rPr>
          <w:rStyle w:val="apple-converted-space"/>
          <w:color w:val="222222"/>
          <w:shd w:val="clear" w:color="auto" w:fill="FFFFFF"/>
        </w:rPr>
        <w:t>F</w:t>
      </w:r>
      <w:r w:rsidR="00EF4E5C" w:rsidRPr="00D40E94">
        <w:t xml:space="preserve">uller et al., 2006; </w:t>
      </w:r>
      <w:r w:rsidR="007A25DB" w:rsidRPr="00D40E94">
        <w:rPr>
          <w:rStyle w:val="apple-converted-space"/>
          <w:color w:val="222222"/>
          <w:shd w:val="clear" w:color="auto" w:fill="FFFFFF"/>
        </w:rPr>
        <w:t xml:space="preserve">Kent et al., 1997; Maskall and Stokes, 2008; </w:t>
      </w:r>
      <w:r w:rsidR="007A25DB" w:rsidRPr="00D40E94">
        <w:t>Stokes and Boyle, 2009)</w:t>
      </w:r>
      <w:r w:rsidR="00494CD9">
        <w:t xml:space="preserve">. The </w:t>
      </w:r>
      <w:r w:rsidR="00D40E94" w:rsidRPr="00D40E94">
        <w:t xml:space="preserve">importance of </w:t>
      </w:r>
      <w:r w:rsidR="00F63250">
        <w:t xml:space="preserve">incorporating </w:t>
      </w:r>
      <w:r w:rsidR="00D40E94">
        <w:t>field-</w:t>
      </w:r>
      <w:r w:rsidR="00D40E94" w:rsidRPr="00D40E94">
        <w:t xml:space="preserve">based </w:t>
      </w:r>
      <w:r w:rsidR="00F63250">
        <w:t xml:space="preserve">teaching </w:t>
      </w:r>
      <w:r w:rsidR="00716B3B">
        <w:t xml:space="preserve">into Geography degree programmes </w:t>
      </w:r>
      <w:r w:rsidR="00D40E94" w:rsidRPr="00D40E94">
        <w:t xml:space="preserve">is also highlighted in </w:t>
      </w:r>
      <w:r w:rsidR="00716B3B">
        <w:t xml:space="preserve">the UK by the </w:t>
      </w:r>
      <w:r w:rsidR="009E607E" w:rsidRPr="00D40E94">
        <w:t>Q</w:t>
      </w:r>
      <w:r w:rsidR="009E607E">
        <w:t>uality</w:t>
      </w:r>
      <w:r w:rsidR="00F63250">
        <w:t xml:space="preserve"> Assurance </w:t>
      </w:r>
      <w:r w:rsidR="0070749E">
        <w:t>C</w:t>
      </w:r>
      <w:r w:rsidR="00F63250">
        <w:t>ommittee (Q</w:t>
      </w:r>
      <w:r w:rsidR="00D40E94" w:rsidRPr="00D40E94">
        <w:t>AA</w:t>
      </w:r>
      <w:r w:rsidR="00F63250">
        <w:t>)</w:t>
      </w:r>
      <w:r w:rsidR="00D40E94" w:rsidRPr="00D40E94">
        <w:t xml:space="preserve"> subject benchmarking state</w:t>
      </w:r>
      <w:r w:rsidR="00494CD9">
        <w:t>ment for Geography</w:t>
      </w:r>
      <w:r w:rsidR="00D40E94" w:rsidRPr="00D40E94">
        <w:t>:</w:t>
      </w:r>
    </w:p>
    <w:p w:rsidR="00D40E94" w:rsidRDefault="00FA47BC" w:rsidP="004530E7">
      <w:pPr>
        <w:spacing w:line="480" w:lineRule="auto"/>
        <w:jc w:val="right"/>
      </w:pPr>
      <w:r>
        <w:rPr>
          <w:i/>
        </w:rPr>
        <w:t>“</w:t>
      </w:r>
      <w:r w:rsidR="00D40E94" w:rsidRPr="004F733E">
        <w:rPr>
          <w:i/>
        </w:rPr>
        <w:t>Geography is intrinsically a field-based subject. Field experience is an essential part of geographical learning and all geographers require the opportunity to plan, undertake and report significant fieldwork during their programme. An education in geography involves an active engagement with the external world</w:t>
      </w:r>
      <w:r w:rsidR="00D40E94">
        <w:t xml:space="preserve">”  </w:t>
      </w:r>
      <w:r w:rsidR="00BC3F60">
        <w:t>(</w:t>
      </w:r>
      <w:r w:rsidR="00D40E94">
        <w:t>QAA</w:t>
      </w:r>
      <w:r w:rsidR="00BC3F60">
        <w:t xml:space="preserve">, </w:t>
      </w:r>
      <w:r w:rsidR="00D40E94">
        <w:t>2014</w:t>
      </w:r>
      <w:r w:rsidR="00BC3F60">
        <w:t>, p. 10 &amp; 13)</w:t>
      </w:r>
    </w:p>
    <w:p w:rsidR="00820FBF" w:rsidRDefault="00FA47BC" w:rsidP="004530E7">
      <w:pPr>
        <w:spacing w:line="480" w:lineRule="auto"/>
      </w:pPr>
      <w:r>
        <w:t>E</w:t>
      </w:r>
      <w:r w:rsidR="00D40E94">
        <w:t xml:space="preserve">vidence suggests that Chinese students based in China and studying Geography and related </w:t>
      </w:r>
      <w:r w:rsidR="009E607E">
        <w:t>disciplines</w:t>
      </w:r>
      <w:r w:rsidR="00D40E94">
        <w:t xml:space="preserve"> have little </w:t>
      </w:r>
      <w:r>
        <w:t xml:space="preserve">opportunity for guided or </w:t>
      </w:r>
      <w:r w:rsidR="009E607E">
        <w:t>independent</w:t>
      </w:r>
      <w:r>
        <w:t xml:space="preserve"> </w:t>
      </w:r>
      <w:r w:rsidR="00D40E94">
        <w:t xml:space="preserve">field work </w:t>
      </w:r>
      <w:r w:rsidR="00B503BA">
        <w:t>e</w:t>
      </w:r>
      <w:r w:rsidR="00D40E94">
        <w:t>xperience</w:t>
      </w:r>
      <w:r w:rsidR="00B503BA">
        <w:t xml:space="preserve"> (Robinson et al., 2016)</w:t>
      </w:r>
      <w:r w:rsidR="00494CD9">
        <w:t xml:space="preserve">, </w:t>
      </w:r>
      <w:r w:rsidR="00B503BA">
        <w:t xml:space="preserve">and although they do </w:t>
      </w:r>
      <w:r w:rsidR="00494CD9">
        <w:t xml:space="preserve">have some </w:t>
      </w:r>
      <w:r w:rsidR="009E607E">
        <w:t>laboratory</w:t>
      </w:r>
      <w:r w:rsidR="007949E7">
        <w:t xml:space="preserve"> experience, </w:t>
      </w:r>
      <w:r w:rsidR="00B503BA">
        <w:t xml:space="preserve">this tends to take the form of the Chinese teacher demonstrating how the </w:t>
      </w:r>
      <w:r w:rsidR="009E607E">
        <w:t>equipment</w:t>
      </w:r>
      <w:r w:rsidR="007949E7">
        <w:t xml:space="preserve"> works </w:t>
      </w:r>
      <w:r w:rsidR="00B503BA">
        <w:t xml:space="preserve">with little opportunity for the students </w:t>
      </w:r>
      <w:r w:rsidR="00716B3B">
        <w:t xml:space="preserve">to </w:t>
      </w:r>
      <w:r w:rsidR="00461DF8">
        <w:t xml:space="preserve">experience </w:t>
      </w:r>
      <w:r w:rsidR="00820FBF">
        <w:t>the</w:t>
      </w:r>
      <w:r w:rsidR="00461DF8">
        <w:t xml:space="preserve"> kind of </w:t>
      </w:r>
      <w:r w:rsidR="00A30718">
        <w:t>‘</w:t>
      </w:r>
      <w:r w:rsidR="00461DF8">
        <w:rPr>
          <w:color w:val="111111"/>
          <w:lang w:eastAsia="en-GB"/>
        </w:rPr>
        <w:t>experiential learning</w:t>
      </w:r>
      <w:r w:rsidR="00A30718">
        <w:rPr>
          <w:color w:val="111111"/>
          <w:lang w:eastAsia="en-GB"/>
        </w:rPr>
        <w:t>’ (Kolbe, 1984)</w:t>
      </w:r>
      <w:r w:rsidR="00461DF8">
        <w:rPr>
          <w:color w:val="111111"/>
          <w:lang w:eastAsia="en-GB"/>
        </w:rPr>
        <w:t xml:space="preserve"> </w:t>
      </w:r>
      <w:r w:rsidR="009E607E">
        <w:rPr>
          <w:color w:val="111111"/>
          <w:lang w:eastAsia="en-GB"/>
        </w:rPr>
        <w:t>fundamental</w:t>
      </w:r>
      <w:r w:rsidR="00461DF8">
        <w:rPr>
          <w:color w:val="111111"/>
          <w:lang w:eastAsia="en-GB"/>
        </w:rPr>
        <w:t xml:space="preserve"> to Geography </w:t>
      </w:r>
      <w:r w:rsidR="009E607E">
        <w:rPr>
          <w:color w:val="111111"/>
          <w:lang w:eastAsia="en-GB"/>
        </w:rPr>
        <w:t>undergraduate</w:t>
      </w:r>
      <w:r w:rsidR="00461DF8">
        <w:rPr>
          <w:color w:val="111111"/>
          <w:lang w:eastAsia="en-GB"/>
        </w:rPr>
        <w:t xml:space="preserve"> degree programmes in the UK (</w:t>
      </w:r>
      <w:r w:rsidR="00A30718">
        <w:rPr>
          <w:color w:val="111111"/>
          <w:lang w:eastAsia="en-GB"/>
        </w:rPr>
        <w:t xml:space="preserve">e.g., </w:t>
      </w:r>
      <w:r w:rsidR="00461DF8">
        <w:t xml:space="preserve">Healey and Jenkins, 2000). </w:t>
      </w:r>
      <w:r>
        <w:t xml:space="preserve">As such, the delivery of </w:t>
      </w:r>
      <w:r w:rsidR="00BC3F60">
        <w:t xml:space="preserve">Geography </w:t>
      </w:r>
      <w:r w:rsidR="00494CD9">
        <w:t xml:space="preserve">modules in </w:t>
      </w:r>
      <w:r w:rsidR="00BC3F60">
        <w:t xml:space="preserve">China by flying faculty </w:t>
      </w:r>
      <w:r>
        <w:t xml:space="preserve">presents some unique challenges for academic staff, which are less evident </w:t>
      </w:r>
      <w:r w:rsidR="009E607E">
        <w:t>than</w:t>
      </w:r>
      <w:r w:rsidR="00461DF8">
        <w:t xml:space="preserve"> in </w:t>
      </w:r>
      <w:r>
        <w:t>other disciplines.</w:t>
      </w:r>
      <w:r w:rsidR="00A30718">
        <w:t xml:space="preserve"> </w:t>
      </w:r>
    </w:p>
    <w:p w:rsidR="006D5800" w:rsidRDefault="00A30718" w:rsidP="004530E7">
      <w:pPr>
        <w:spacing w:line="480" w:lineRule="auto"/>
      </w:pPr>
      <w:r>
        <w:t>T</w:t>
      </w:r>
      <w:r w:rsidR="001272D4">
        <w:t xml:space="preserve">his paper employs </w:t>
      </w:r>
      <w:r w:rsidR="004D6F3A">
        <w:t xml:space="preserve">aspects of </w:t>
      </w:r>
      <w:r w:rsidR="001272D4">
        <w:t>Brookfield’s (1995) approach to cr</w:t>
      </w:r>
      <w:r w:rsidR="007A25DB">
        <w:t xml:space="preserve">itical </w:t>
      </w:r>
      <w:r w:rsidR="001272D4">
        <w:t xml:space="preserve">reflection to explore some of </w:t>
      </w:r>
      <w:r w:rsidR="009E607E">
        <w:t>the opportunities</w:t>
      </w:r>
      <w:r w:rsidR="001272D4">
        <w:t xml:space="preserve"> and challenges that exist for UK-based academic staff</w:t>
      </w:r>
      <w:r w:rsidR="00820FBF">
        <w:t xml:space="preserve">, </w:t>
      </w:r>
      <w:r w:rsidR="007A25DB">
        <w:t xml:space="preserve">through </w:t>
      </w:r>
      <w:r w:rsidR="001C3A74">
        <w:t>reflecti</w:t>
      </w:r>
      <w:r w:rsidR="007A25DB">
        <w:t xml:space="preserve">on </w:t>
      </w:r>
      <w:r w:rsidR="001272D4">
        <w:t xml:space="preserve">on </w:t>
      </w:r>
      <w:r w:rsidR="004C638E">
        <w:t xml:space="preserve">the author’s </w:t>
      </w:r>
      <w:r w:rsidR="00F63250">
        <w:t xml:space="preserve">own </w:t>
      </w:r>
      <w:r w:rsidR="001272D4">
        <w:t>flying faculty experience</w:t>
      </w:r>
      <w:r w:rsidR="00F63250">
        <w:t>s</w:t>
      </w:r>
      <w:r w:rsidR="004E7DA8">
        <w:t xml:space="preserve"> </w:t>
      </w:r>
      <w:r w:rsidR="001272D4">
        <w:t xml:space="preserve">delivering an introductory </w:t>
      </w:r>
      <w:r w:rsidR="007A25DB">
        <w:t xml:space="preserve">Physical </w:t>
      </w:r>
      <w:r w:rsidR="001272D4">
        <w:t>Geography module</w:t>
      </w:r>
      <w:r w:rsidR="00BC3F60">
        <w:t xml:space="preserve">, in English, </w:t>
      </w:r>
      <w:r w:rsidR="001272D4">
        <w:t xml:space="preserve">at a partner institution in China. </w:t>
      </w:r>
      <w:r w:rsidR="006D5800">
        <w:t>These flying faculty experiences (three visits, one in each of th</w:t>
      </w:r>
      <w:r w:rsidR="00AA4A96">
        <w:t xml:space="preserve">e years 2014, 2015 and 2016) are </w:t>
      </w:r>
      <w:r w:rsidR="006D5800">
        <w:t xml:space="preserve">part of a 3+1 </w:t>
      </w:r>
      <w:r w:rsidR="006D5800">
        <w:lastRenderedPageBreak/>
        <w:t xml:space="preserve">articulation </w:t>
      </w:r>
      <w:r w:rsidR="009E607E">
        <w:t>agreement</w:t>
      </w:r>
      <w:r w:rsidR="006D5800">
        <w:t xml:space="preserve"> between a UK HEI and a Chinese HEI, whereby the students study at the partner institution in China for the first three years of their degree programme before transferring to the partner institution in the UK for their </w:t>
      </w:r>
      <w:r w:rsidR="009E607E">
        <w:t>final</w:t>
      </w:r>
      <w:r w:rsidR="006D5800">
        <w:t xml:space="preserve"> year of study. Flying faculty contribute to </w:t>
      </w:r>
      <w:r w:rsidR="007949E7">
        <w:t>t</w:t>
      </w:r>
      <w:r w:rsidR="006D5800">
        <w:t>eaching in the second (FHEQ Level-4) and third year (FHEQ Level-5) of the degree programme in China, and students take the</w:t>
      </w:r>
      <w:r w:rsidR="00AA4A96">
        <w:t>ir</w:t>
      </w:r>
      <w:r w:rsidR="006D5800">
        <w:t xml:space="preserve"> fourth year (FHEQ Level-6) in the UK </w:t>
      </w:r>
      <w:r w:rsidR="009E607E">
        <w:t>alongside</w:t>
      </w:r>
      <w:r w:rsidR="006D5800">
        <w:t xml:space="preserve"> their UK-</w:t>
      </w:r>
      <w:r w:rsidR="009E607E">
        <w:t>based</w:t>
      </w:r>
      <w:r w:rsidR="006D5800">
        <w:t xml:space="preserve"> counterparts. Face-to-face modules are delivered by flying faculty over an intensive 10</w:t>
      </w:r>
      <w:r w:rsidR="00794404">
        <w:t>-</w:t>
      </w:r>
      <w:r w:rsidR="006D5800">
        <w:t>day period</w:t>
      </w:r>
      <w:r w:rsidR="007949E7">
        <w:t xml:space="preserve"> (s</w:t>
      </w:r>
      <w:r w:rsidR="006D5800">
        <w:t xml:space="preserve">ee </w:t>
      </w:r>
      <w:r w:rsidR="009E607E">
        <w:t>Robinson</w:t>
      </w:r>
      <w:r w:rsidR="006D5800">
        <w:t xml:space="preserve"> et al. (2016) for a </w:t>
      </w:r>
      <w:r w:rsidR="009E607E">
        <w:t>detailed</w:t>
      </w:r>
      <w:r w:rsidR="006D5800">
        <w:t xml:space="preserve"> </w:t>
      </w:r>
      <w:r w:rsidR="009E607E">
        <w:t>overview</w:t>
      </w:r>
      <w:r w:rsidR="00AA4A96">
        <w:t xml:space="preserve"> of the degree programme</w:t>
      </w:r>
      <w:r w:rsidR="007949E7">
        <w:t>)</w:t>
      </w:r>
      <w:r w:rsidR="006D5800">
        <w:t>. Brookfield (1995) suggests that critical reflection comprises of four ‘lenses’ which broadly correlate to the processes of (1) self-</w:t>
      </w:r>
      <w:r w:rsidR="009E607E">
        <w:t>reflection</w:t>
      </w:r>
      <w:r w:rsidR="006D5800">
        <w:t xml:space="preserve">, (2) student </w:t>
      </w:r>
      <w:r w:rsidR="009E607E">
        <w:t>feedback</w:t>
      </w:r>
      <w:r w:rsidR="006D5800">
        <w:t xml:space="preserve">, (3) our colleagues' experiences and, (4) engagement with the </w:t>
      </w:r>
      <w:r w:rsidR="009E607E">
        <w:t>pedagogic</w:t>
      </w:r>
      <w:r w:rsidR="00AA4A96">
        <w:t xml:space="preserve"> literature</w:t>
      </w:r>
      <w:r w:rsidR="006D5800">
        <w:t xml:space="preserve">. In this paper, </w:t>
      </w:r>
      <w:r w:rsidR="009E607E">
        <w:t>particular</w:t>
      </w:r>
      <w:r w:rsidR="006D5800">
        <w:t xml:space="preserve"> </w:t>
      </w:r>
      <w:r w:rsidR="009E607E">
        <w:t>emphasis</w:t>
      </w:r>
      <w:r w:rsidR="006D5800">
        <w:t xml:space="preserve"> is placed on the unique </w:t>
      </w:r>
      <w:r w:rsidR="009E607E">
        <w:t>challenges</w:t>
      </w:r>
      <w:r w:rsidR="006D5800">
        <w:t xml:space="preserve"> and </w:t>
      </w:r>
      <w:r w:rsidR="009E607E">
        <w:t>opportunities</w:t>
      </w:r>
      <w:r w:rsidR="006D5800">
        <w:t xml:space="preserve"> that arise for flying faculty in Geography and related disciplines and as such,</w:t>
      </w:r>
      <w:r w:rsidR="00AA4A96">
        <w:t xml:space="preserve"> </w:t>
      </w:r>
      <w:r w:rsidR="002E08F8">
        <w:t xml:space="preserve">Bookfield’s fourth reflective lens is replaced with a critical reflection which </w:t>
      </w:r>
      <w:r w:rsidR="004D6F3A">
        <w:t>focuses on ‘field-based lea</w:t>
      </w:r>
      <w:r w:rsidR="002E08F8">
        <w:t>rn</w:t>
      </w:r>
      <w:r w:rsidR="0023376A">
        <w:t xml:space="preserve">ing and teaching </w:t>
      </w:r>
      <w:r w:rsidR="002E08F8">
        <w:t xml:space="preserve">in </w:t>
      </w:r>
      <w:r w:rsidR="0023376A">
        <w:t xml:space="preserve">the international classroom’. </w:t>
      </w:r>
    </w:p>
    <w:p w:rsidR="004453B4" w:rsidRPr="00D53BB2" w:rsidRDefault="004453B4" w:rsidP="004530E7">
      <w:pPr>
        <w:spacing w:line="480" w:lineRule="auto"/>
        <w:rPr>
          <w:b/>
        </w:rPr>
      </w:pPr>
      <w:r w:rsidRPr="00D53BB2">
        <w:rPr>
          <w:b/>
        </w:rPr>
        <w:t>Self-reflection</w:t>
      </w:r>
    </w:p>
    <w:p w:rsidR="006C3BBC" w:rsidRDefault="00D53BB2" w:rsidP="004530E7">
      <w:pPr>
        <w:spacing w:line="480" w:lineRule="auto"/>
      </w:pPr>
      <w:r>
        <w:t xml:space="preserve">Smith (2009) suggests that transnational teaching experiences </w:t>
      </w:r>
      <w:r w:rsidR="00494CD9">
        <w:t xml:space="preserve">cause us </w:t>
      </w:r>
      <w:r>
        <w:t xml:space="preserve">to challenge our own existing </w:t>
      </w:r>
      <w:r w:rsidR="009E607E">
        <w:t>perceptions</w:t>
      </w:r>
      <w:r>
        <w:t xml:space="preserve"> of </w:t>
      </w:r>
      <w:r w:rsidR="009E607E">
        <w:t>teaching</w:t>
      </w:r>
      <w:r>
        <w:t xml:space="preserve"> and learning</w:t>
      </w:r>
      <w:r w:rsidR="00494CD9">
        <w:t xml:space="preserve">. Through reflection on these </w:t>
      </w:r>
      <w:r w:rsidR="009E607E">
        <w:t>experiences</w:t>
      </w:r>
      <w:r w:rsidR="00494CD9">
        <w:t xml:space="preserve"> </w:t>
      </w:r>
      <w:r>
        <w:t xml:space="preserve">we are able to </w:t>
      </w:r>
      <w:r w:rsidR="009E607E">
        <w:t>enhance</w:t>
      </w:r>
      <w:r>
        <w:t xml:space="preserve"> our own professional practice</w:t>
      </w:r>
      <w:r w:rsidR="006D5800">
        <w:t xml:space="preserve"> (Smith, 201</w:t>
      </w:r>
      <w:r w:rsidR="00955B51">
        <w:t>3</w:t>
      </w:r>
      <w:r w:rsidR="006D5800">
        <w:t>)</w:t>
      </w:r>
      <w:r>
        <w:t xml:space="preserve">. </w:t>
      </w:r>
      <w:r w:rsidR="006C3BBC">
        <w:t xml:space="preserve">Often dismissed as </w:t>
      </w:r>
      <w:r w:rsidR="009E607E">
        <w:t>anecdotal</w:t>
      </w:r>
      <w:r w:rsidR="006C3BBC">
        <w:t xml:space="preserve">, our autobiographical experiences as teachers can have long-lasting and </w:t>
      </w:r>
      <w:r w:rsidR="009E607E">
        <w:t>profound</w:t>
      </w:r>
      <w:r w:rsidR="006C3BBC">
        <w:t xml:space="preserve"> </w:t>
      </w:r>
      <w:r w:rsidR="009E607E">
        <w:t>implications</w:t>
      </w:r>
      <w:r w:rsidR="006C3BBC">
        <w:t xml:space="preserve"> for our professional practice (Brookfield, 1995). Prior to my first flying faculty experienc</w:t>
      </w:r>
      <w:r w:rsidR="006D5800">
        <w:t>e in China in 2014, I had little ‘</w:t>
      </w:r>
      <w:r w:rsidR="009E607E">
        <w:t>autobiographical</w:t>
      </w:r>
      <w:r w:rsidR="006C3BBC">
        <w:t xml:space="preserve"> experience’ of international </w:t>
      </w:r>
      <w:r w:rsidR="009E607E">
        <w:t>teaching</w:t>
      </w:r>
      <w:r w:rsidR="00494CD9">
        <w:t xml:space="preserve"> and learning </w:t>
      </w:r>
      <w:r w:rsidR="006D5800">
        <w:t xml:space="preserve">to draw upon, and </w:t>
      </w:r>
      <w:r w:rsidR="009E607E">
        <w:t>although</w:t>
      </w:r>
      <w:r w:rsidR="006D5800">
        <w:t xml:space="preserve"> I took </w:t>
      </w:r>
      <w:r w:rsidR="009E607E">
        <w:t>advantage</w:t>
      </w:r>
      <w:r w:rsidR="006D5800">
        <w:t xml:space="preserve"> </w:t>
      </w:r>
      <w:r w:rsidR="009E607E">
        <w:t>of</w:t>
      </w:r>
      <w:r w:rsidR="006D5800">
        <w:t xml:space="preserve"> the </w:t>
      </w:r>
      <w:r w:rsidR="009E607E">
        <w:t>opportunity</w:t>
      </w:r>
      <w:r w:rsidR="006D5800">
        <w:t xml:space="preserve"> to take a short </w:t>
      </w:r>
      <w:r w:rsidR="009E607E">
        <w:t>language</w:t>
      </w:r>
      <w:r w:rsidR="006D5800">
        <w:t xml:space="preserve"> course in Mandarin, I received no other specific training in advance of my first visit to China. </w:t>
      </w:r>
      <w:r w:rsidR="006C3BBC">
        <w:t xml:space="preserve">My initial approach to teaching and learning in the Chinese classroom was therefore shaped </w:t>
      </w:r>
      <w:r w:rsidR="002F276E">
        <w:t>by the widely h</w:t>
      </w:r>
      <w:r w:rsidR="006C3BBC">
        <w:t>eld belief</w:t>
      </w:r>
      <w:r w:rsidR="00494CD9">
        <w:t>s</w:t>
      </w:r>
      <w:r w:rsidR="006C3BBC">
        <w:t xml:space="preserve"> in the literature (Table 1) that Western and Asian educational systems are ‘binary opposites’ (Ryan and Louie, 2007), with the f</w:t>
      </w:r>
      <w:r w:rsidR="006C3BBC" w:rsidRPr="009876BB">
        <w:t xml:space="preserve">ormer based </w:t>
      </w:r>
      <w:r w:rsidR="006C3BBC" w:rsidRPr="009876BB">
        <w:lastRenderedPageBreak/>
        <w:t xml:space="preserve">around a </w:t>
      </w:r>
      <w:r w:rsidR="00FE42AF" w:rsidRPr="009876BB">
        <w:t xml:space="preserve">more student-centred </w:t>
      </w:r>
      <w:r w:rsidR="00FE42AF">
        <w:t xml:space="preserve">approach, whereby </w:t>
      </w:r>
      <w:r w:rsidR="00FE42AF" w:rsidRPr="009876BB">
        <w:t xml:space="preserve">students </w:t>
      </w:r>
      <w:r w:rsidR="00FE42AF">
        <w:t xml:space="preserve">take more responsibility for </w:t>
      </w:r>
      <w:r w:rsidR="00FE42AF" w:rsidRPr="009876BB">
        <w:t>construct their own knowledge</w:t>
      </w:r>
      <w:r w:rsidR="00FE42AF">
        <w:t xml:space="preserve">, and the latter a more </w:t>
      </w:r>
      <w:r w:rsidR="006C3BBC" w:rsidRPr="009876BB">
        <w:t xml:space="preserve">teacher-centred </w:t>
      </w:r>
      <w:r w:rsidR="006C3BBC">
        <w:t xml:space="preserve">approach, </w:t>
      </w:r>
      <w:r w:rsidR="006C3BBC" w:rsidRPr="009876BB">
        <w:t>whereby learning involves listening to the teacher</w:t>
      </w:r>
      <w:r w:rsidR="00FE42AF">
        <w:t xml:space="preserve"> </w:t>
      </w:r>
      <w:r w:rsidR="006C3BBC">
        <w:t xml:space="preserve">(Szkornik et al., 2015). </w:t>
      </w:r>
    </w:p>
    <w:p w:rsidR="00374339" w:rsidRPr="00374339" w:rsidRDefault="00374339" w:rsidP="004530E7">
      <w:pPr>
        <w:spacing w:line="480" w:lineRule="auto"/>
        <w:rPr>
          <w:b/>
        </w:rPr>
      </w:pPr>
      <w:r w:rsidRPr="00374339">
        <w:rPr>
          <w:b/>
        </w:rPr>
        <w:t>INSERT TABLE 1</w:t>
      </w:r>
    </w:p>
    <w:p w:rsidR="00AC239B" w:rsidRDefault="00C00931" w:rsidP="004530E7">
      <w:pPr>
        <w:spacing w:line="480" w:lineRule="auto"/>
      </w:pPr>
      <w:r>
        <w:t xml:space="preserve">Dunn and Wallace (2006) highlight that academics teaching transnationally can suffer from cultural hegemony, whereby our Western ways of learning and teaching are </w:t>
      </w:r>
      <w:r w:rsidR="009E607E">
        <w:t>considered</w:t>
      </w:r>
      <w:r>
        <w:t xml:space="preserve"> more </w:t>
      </w:r>
      <w:r w:rsidR="009E607E">
        <w:t>important</w:t>
      </w:r>
      <w:r w:rsidR="00494CD9">
        <w:t xml:space="preserve">, </w:t>
      </w:r>
      <w:r>
        <w:t xml:space="preserve">or where the </w:t>
      </w:r>
      <w:r w:rsidR="00494CD9">
        <w:t>‘</w:t>
      </w:r>
      <w:r>
        <w:t>non –Western</w:t>
      </w:r>
      <w:r w:rsidR="00494CD9">
        <w:t xml:space="preserve">’ is </w:t>
      </w:r>
      <w:r>
        <w:t xml:space="preserve">considered as the ‘other’. </w:t>
      </w:r>
      <w:r w:rsidR="009E607E">
        <w:t xml:space="preserve">In my design of teaching and learning activities I therefore needed to take </w:t>
      </w:r>
      <w:r w:rsidR="009E607E" w:rsidRPr="00B63B69">
        <w:t>into account the way in which students in Chinese HE are taught and lear</w:t>
      </w:r>
      <w:r w:rsidR="009E607E">
        <w:t>n, alongside the need to increase the students’ exposure to methods of learning, teach</w:t>
      </w:r>
      <w:r w:rsidR="009D15FB">
        <w:t xml:space="preserve">ing and assessment used in the </w:t>
      </w:r>
      <w:r w:rsidR="009E607E">
        <w:t xml:space="preserve">West to facilitate their transition to UK HE (Szkornik, 2016). </w:t>
      </w:r>
      <w:r w:rsidR="00CE7C33">
        <w:t xml:space="preserve">A key challenge for me therefore, was to facilitate the transition from surface (teacher-led) to deep (student-centred) learners without ‘problematising’ these students (HEA, 2014). </w:t>
      </w:r>
      <w:r w:rsidR="006D5800">
        <w:t xml:space="preserve">As an example, </w:t>
      </w:r>
      <w:r w:rsidR="009E607E">
        <w:t>incorporating</w:t>
      </w:r>
      <w:r w:rsidR="006D5800">
        <w:t xml:space="preserve"> student-led </w:t>
      </w:r>
      <w:r w:rsidR="009E607E">
        <w:t>activities</w:t>
      </w:r>
      <w:r w:rsidR="006D5800">
        <w:t xml:space="preserve"> (e.g., small group discussions, group work) </w:t>
      </w:r>
      <w:r w:rsidR="00CE7C33">
        <w:t>in</w:t>
      </w:r>
      <w:r w:rsidR="006D5800">
        <w:t>to</w:t>
      </w:r>
      <w:r w:rsidR="00CE7C33">
        <w:t xml:space="preserve"> the classroom in China was </w:t>
      </w:r>
      <w:r w:rsidR="006D5800">
        <w:t xml:space="preserve">initially quite </w:t>
      </w:r>
      <w:r w:rsidR="009E607E">
        <w:t>challenging</w:t>
      </w:r>
      <w:r w:rsidR="006D5800">
        <w:t>.</w:t>
      </w:r>
      <w:r w:rsidR="00CE7C33">
        <w:t xml:space="preserve"> Hay</w:t>
      </w:r>
      <w:r w:rsidR="00EF4E5C">
        <w:t xml:space="preserve">es, King and Richardson </w:t>
      </w:r>
      <w:r w:rsidR="00CE7C33">
        <w:t>(1997)</w:t>
      </w:r>
      <w:r w:rsidR="00EF4E5C">
        <w:t xml:space="preserve">, </w:t>
      </w:r>
      <w:r w:rsidR="00CE7C33">
        <w:t>Maguire</w:t>
      </w:r>
      <w:r w:rsidR="00EF4E5C">
        <w:t xml:space="preserve">, Evans and Dyas </w:t>
      </w:r>
      <w:r w:rsidR="00CE7C33">
        <w:t>(2001)</w:t>
      </w:r>
      <w:r w:rsidR="00EF4E5C">
        <w:t xml:space="preserve"> and Ramsden (1992) </w:t>
      </w:r>
      <w:r w:rsidR="00BC3F60">
        <w:t xml:space="preserve">all </w:t>
      </w:r>
      <w:r w:rsidR="00CE7C33">
        <w:t>highlight the role of prior learning experiences in determining a student’s approach to learning. Incorporating interactive, students-centred activities into classes in a setting where ‘teacher is king’ challenges deep-seated cultural beliefs and can lead to ‘cognitive dissonance’ amongst students (</w:t>
      </w:r>
      <w:r w:rsidR="00CE7C33" w:rsidRPr="005A6ED8">
        <w:t>Festinger, 1957</w:t>
      </w:r>
      <w:r w:rsidR="00CE7C33">
        <w:t>). Initially, instead of enhancing student engagement</w:t>
      </w:r>
      <w:r w:rsidR="001F4938">
        <w:t xml:space="preserve"> in the classroom</w:t>
      </w:r>
      <w:r w:rsidR="00206926">
        <w:t xml:space="preserve">, </w:t>
      </w:r>
      <w:r w:rsidR="00CE7C33">
        <w:t>incorporation of student-centred activities appeared to increase the students’ resistance to learning</w:t>
      </w:r>
      <w:r w:rsidR="00206926">
        <w:t xml:space="preserve">. </w:t>
      </w:r>
      <w:r w:rsidR="002F276E">
        <w:t>Continuous self-reflection</w:t>
      </w:r>
      <w:r w:rsidR="009D15FB">
        <w:t xml:space="preserve">, </w:t>
      </w:r>
      <w:r w:rsidR="006D5800">
        <w:t xml:space="preserve">and adaptation of my teaching and </w:t>
      </w:r>
      <w:r w:rsidR="009E607E">
        <w:t>learning</w:t>
      </w:r>
      <w:r w:rsidR="006D5800">
        <w:t xml:space="preserve"> methods </w:t>
      </w:r>
      <w:r w:rsidR="009E607E">
        <w:t>throughout</w:t>
      </w:r>
      <w:r w:rsidR="002F276E">
        <w:t xml:space="preserve"> the </w:t>
      </w:r>
      <w:r w:rsidR="009E607E">
        <w:t>delivery</w:t>
      </w:r>
      <w:r w:rsidR="002F276E">
        <w:t xml:space="preserve"> of the module</w:t>
      </w:r>
      <w:r w:rsidR="009D15FB">
        <w:t xml:space="preserve">, </w:t>
      </w:r>
      <w:r w:rsidR="002F276E">
        <w:t xml:space="preserve">enabled a </w:t>
      </w:r>
      <w:r w:rsidR="00F63250">
        <w:t xml:space="preserve">gradual </w:t>
      </w:r>
      <w:r w:rsidR="002F276E">
        <w:t xml:space="preserve">transition from </w:t>
      </w:r>
      <w:r w:rsidR="00F63250">
        <w:t>a</w:t>
      </w:r>
      <w:r w:rsidR="006D5800">
        <w:t xml:space="preserve">n initial </w:t>
      </w:r>
      <w:r w:rsidR="00F63250">
        <w:t xml:space="preserve">‘teacher-led’ </w:t>
      </w:r>
      <w:r w:rsidR="009E607E">
        <w:t>approach</w:t>
      </w:r>
      <w:r w:rsidR="001F4938">
        <w:t xml:space="preserve">, </w:t>
      </w:r>
      <w:r w:rsidR="00F63250">
        <w:t>t</w:t>
      </w:r>
      <w:r w:rsidR="002F276E">
        <w:t>o</w:t>
      </w:r>
      <w:r w:rsidR="00F63250">
        <w:t xml:space="preserve"> </w:t>
      </w:r>
      <w:r w:rsidR="002F276E">
        <w:t xml:space="preserve">one which </w:t>
      </w:r>
      <w:r w:rsidR="009D15FB">
        <w:t xml:space="preserve">was increasingly student-led. </w:t>
      </w:r>
    </w:p>
    <w:p w:rsidR="002F276E" w:rsidRDefault="00DA53E3" w:rsidP="004530E7">
      <w:pPr>
        <w:spacing w:line="480" w:lineRule="auto"/>
      </w:pPr>
      <w:r>
        <w:t>Anecdotal conversations with Chinese Faculty suggested that they were also very keen to incorporate more ‘western’ methods of teaching into the</w:t>
      </w:r>
      <w:r w:rsidR="00BC3F60">
        <w:t>ir</w:t>
      </w:r>
      <w:r>
        <w:t xml:space="preserve"> classroom</w:t>
      </w:r>
      <w:r w:rsidR="00BC3F60">
        <w:t>s</w:t>
      </w:r>
      <w:r>
        <w:t xml:space="preserve">, however; the barrier appeared to be in getting the Chinese students to engage in </w:t>
      </w:r>
      <w:r w:rsidR="00BC3F60">
        <w:t xml:space="preserve">discussions and </w:t>
      </w:r>
      <w:r>
        <w:t xml:space="preserve">group </w:t>
      </w:r>
      <w:r>
        <w:lastRenderedPageBreak/>
        <w:t xml:space="preserve">activities. Several members of Chinese Faculty commented to the author that they had ‘attempted to be more like teachers in the West’ by initiating in-class discussions, but after several failed attempts at engaging the students they had ‘given up’ on trying such new approaches. </w:t>
      </w:r>
      <w:r w:rsidR="00AC239B">
        <w:t>Interestingly, C</w:t>
      </w:r>
      <w:r w:rsidR="0064017F">
        <w:t xml:space="preserve">hinese students seemed more </w:t>
      </w:r>
      <w:r>
        <w:t>likely</w:t>
      </w:r>
      <w:r w:rsidR="0064017F">
        <w:t xml:space="preserve"> to embrace </w:t>
      </w:r>
      <w:r w:rsidR="00AC239B">
        <w:t xml:space="preserve">different </w:t>
      </w:r>
      <w:r w:rsidR="0064017F">
        <w:t xml:space="preserve">approaches to </w:t>
      </w:r>
      <w:r>
        <w:t>learning</w:t>
      </w:r>
      <w:r w:rsidR="0064017F">
        <w:t xml:space="preserve"> and teaching when those activities were delivered by </w:t>
      </w:r>
      <w:r w:rsidR="00AC239B">
        <w:t>a teacher</w:t>
      </w:r>
      <w:r w:rsidR="00790F3E">
        <w:t xml:space="preserve"> from </w:t>
      </w:r>
      <w:r w:rsidR="00BC3F60">
        <w:t xml:space="preserve">outwith </w:t>
      </w:r>
      <w:r w:rsidR="00790F3E">
        <w:t xml:space="preserve">their own culture. </w:t>
      </w:r>
    </w:p>
    <w:p w:rsidR="00CE7C33" w:rsidRDefault="000A3DEC" w:rsidP="004530E7">
      <w:pPr>
        <w:spacing w:line="480" w:lineRule="auto"/>
        <w:rPr>
          <w:b/>
        </w:rPr>
      </w:pPr>
      <w:r w:rsidRPr="000A3DEC">
        <w:rPr>
          <w:b/>
        </w:rPr>
        <w:t>Student Feedback</w:t>
      </w:r>
    </w:p>
    <w:p w:rsidR="00B2727F" w:rsidRDefault="00CD7FDE" w:rsidP="004530E7">
      <w:pPr>
        <w:spacing w:line="480" w:lineRule="auto"/>
      </w:pPr>
      <w:r>
        <w:t xml:space="preserve">Brookfield (1995) suggests that reflecting on our </w:t>
      </w:r>
      <w:r w:rsidR="009E607E">
        <w:t>teaching</w:t>
      </w:r>
      <w:r>
        <w:t xml:space="preserve"> and </w:t>
      </w:r>
      <w:r w:rsidR="009E607E">
        <w:t>learning</w:t>
      </w:r>
      <w:r>
        <w:t xml:space="preserve"> through our students eyes can help us to be more </w:t>
      </w:r>
      <w:r w:rsidR="009E607E">
        <w:t>responsive</w:t>
      </w:r>
      <w:r>
        <w:t xml:space="preserve"> to our students </w:t>
      </w:r>
      <w:r w:rsidR="009E607E">
        <w:t>learning</w:t>
      </w:r>
      <w:r>
        <w:t xml:space="preserve"> needs. </w:t>
      </w:r>
      <w:r w:rsidR="009D15FB">
        <w:t>For flying f</w:t>
      </w:r>
      <w:r w:rsidR="001D70BB">
        <w:t xml:space="preserve">aculty, who may be less </w:t>
      </w:r>
      <w:r w:rsidR="009E607E">
        <w:t>familiar</w:t>
      </w:r>
      <w:r w:rsidR="001D70BB">
        <w:t xml:space="preserve"> with their cohorts of students, gaining a better </w:t>
      </w:r>
      <w:r w:rsidR="009E607E">
        <w:t>understanding</w:t>
      </w:r>
      <w:r w:rsidR="001D70BB">
        <w:t xml:space="preserve"> of how </w:t>
      </w:r>
      <w:r w:rsidR="009E607E">
        <w:t>students</w:t>
      </w:r>
      <w:r w:rsidR="001D70BB">
        <w:t xml:space="preserve"> </w:t>
      </w:r>
      <w:r w:rsidR="009E607E">
        <w:t>are</w:t>
      </w:r>
      <w:r w:rsidR="001D70BB">
        <w:t xml:space="preserve"> responding to often very different teaching methods is of fundamental </w:t>
      </w:r>
      <w:r w:rsidR="009E607E">
        <w:t>importance</w:t>
      </w:r>
      <w:r w:rsidR="001D70BB">
        <w:t xml:space="preserve">. </w:t>
      </w:r>
      <w:r w:rsidR="009E607E">
        <w:t>Whilst the role, effectiveness and reliability of student feedback has long been debated in the literature in Australia, North American and the UK (e.g., Richardson, 2005), there is comparatively little literature published on the role of student feedback in classrooms in China. Contradictory</w:t>
      </w:r>
      <w:r w:rsidR="00924E00">
        <w:t xml:space="preserve"> to </w:t>
      </w:r>
      <w:r w:rsidR="00F63250">
        <w:t xml:space="preserve">the author’s own </w:t>
      </w:r>
      <w:r w:rsidR="00924E00">
        <w:t xml:space="preserve">perceptions, Chinese students are used to </w:t>
      </w:r>
      <w:r w:rsidR="009E607E">
        <w:t>completing</w:t>
      </w:r>
      <w:r w:rsidR="00924E00">
        <w:t xml:space="preserve"> module </w:t>
      </w:r>
      <w:r w:rsidR="009E607E">
        <w:t>evaluations</w:t>
      </w:r>
      <w:r w:rsidR="00924E00">
        <w:t xml:space="preserve">, and are actually </w:t>
      </w:r>
      <w:r w:rsidR="009D15FB">
        <w:t xml:space="preserve">happy to be </w:t>
      </w:r>
      <w:r w:rsidR="00924E00">
        <w:t>very open and</w:t>
      </w:r>
      <w:r w:rsidR="001F4938">
        <w:t xml:space="preserve"> honest about what works and wh</w:t>
      </w:r>
      <w:r w:rsidR="00924E00">
        <w:t xml:space="preserve">at does not. </w:t>
      </w:r>
      <w:r w:rsidR="00B2727F" w:rsidRPr="00B2727F">
        <w:t>In the Chinese classroom, a system of ‘class monitors’ is</w:t>
      </w:r>
      <w:r w:rsidR="00B2727F">
        <w:t xml:space="preserve"> </w:t>
      </w:r>
      <w:r w:rsidR="00B2727F" w:rsidRPr="00B2727F">
        <w:t>used, where</w:t>
      </w:r>
      <w:r w:rsidR="001F4938">
        <w:t>by</w:t>
      </w:r>
      <w:r w:rsidR="00B2727F" w:rsidRPr="00B2727F">
        <w:t xml:space="preserve"> a single student, </w:t>
      </w:r>
      <w:r w:rsidR="00B2727F">
        <w:t>‘</w:t>
      </w:r>
      <w:r w:rsidR="00B2727F" w:rsidRPr="00B2727F">
        <w:t>the class monitor</w:t>
      </w:r>
      <w:r w:rsidR="00B2727F">
        <w:t>’</w:t>
      </w:r>
      <w:r w:rsidR="00B2727F" w:rsidRPr="00B2727F">
        <w:t xml:space="preserve">, acts </w:t>
      </w:r>
      <w:r w:rsidR="00B2727F">
        <w:t xml:space="preserve">on behalf of his or her cohort to </w:t>
      </w:r>
      <w:r w:rsidR="009E607E">
        <w:t>transfer</w:t>
      </w:r>
      <w:r w:rsidR="00B2727F">
        <w:t xml:space="preserve"> information between students and their teacher (Robinson et al., 2016)</w:t>
      </w:r>
      <w:r w:rsidR="001F4938">
        <w:t xml:space="preserve">. In some instances, use of the class monitor system </w:t>
      </w:r>
      <w:r w:rsidR="00B2727F">
        <w:t xml:space="preserve">can be an effective </w:t>
      </w:r>
      <w:r w:rsidR="001F4938">
        <w:t xml:space="preserve">way of </w:t>
      </w:r>
      <w:r w:rsidR="00B2727F">
        <w:t xml:space="preserve">gathering informal </w:t>
      </w:r>
      <w:r w:rsidR="001F4938">
        <w:t xml:space="preserve">(and </w:t>
      </w:r>
      <w:r w:rsidR="009E607E">
        <w:t>anonymous</w:t>
      </w:r>
      <w:r w:rsidR="001F4938">
        <w:t xml:space="preserve">) </w:t>
      </w:r>
      <w:r w:rsidR="00B2727F">
        <w:t xml:space="preserve">feedback from students. </w:t>
      </w:r>
    </w:p>
    <w:p w:rsidR="0043301B" w:rsidRDefault="00924E00" w:rsidP="004530E7">
      <w:pPr>
        <w:spacing w:line="480" w:lineRule="auto"/>
      </w:pPr>
      <w:r>
        <w:t>In my own practice I found that the more lengthy ‘</w:t>
      </w:r>
      <w:r w:rsidR="009E607E">
        <w:t>standardized</w:t>
      </w:r>
      <w:r>
        <w:t xml:space="preserve">’ feedback forms, commonly </w:t>
      </w:r>
      <w:r w:rsidR="009E607E">
        <w:t>employed</w:t>
      </w:r>
      <w:r>
        <w:t xml:space="preserve"> at the end of the module</w:t>
      </w:r>
      <w:r w:rsidR="001F4938">
        <w:t>s in the UK</w:t>
      </w:r>
      <w:r>
        <w:t xml:space="preserve">, do little to enable the faculty member to respond to the needs of that </w:t>
      </w:r>
      <w:r w:rsidR="009E607E">
        <w:t>particular</w:t>
      </w:r>
      <w:r>
        <w:t xml:space="preserve"> </w:t>
      </w:r>
      <w:r w:rsidR="009E607E">
        <w:t>cohort</w:t>
      </w:r>
      <w:r>
        <w:t xml:space="preserve"> of students</w:t>
      </w:r>
      <w:r w:rsidR="00F63250">
        <w:t xml:space="preserve"> at that </w:t>
      </w:r>
      <w:r w:rsidR="009E607E">
        <w:t>particular</w:t>
      </w:r>
      <w:r w:rsidR="00F63250">
        <w:t xml:space="preserve"> point in time</w:t>
      </w:r>
      <w:r w:rsidR="001F4938">
        <w:t xml:space="preserve">, </w:t>
      </w:r>
      <w:r w:rsidR="009E607E">
        <w:t>although</w:t>
      </w:r>
      <w:r w:rsidR="0043301B">
        <w:t xml:space="preserve"> they do provide </w:t>
      </w:r>
      <w:r w:rsidR="009E607E">
        <w:t>important</w:t>
      </w:r>
      <w:r w:rsidR="0043301B">
        <w:t xml:space="preserve"> </w:t>
      </w:r>
      <w:r w:rsidR="009E607E">
        <w:t>feedback</w:t>
      </w:r>
      <w:r w:rsidR="0043301B">
        <w:t xml:space="preserve"> for </w:t>
      </w:r>
      <w:r w:rsidR="001F4938">
        <w:t xml:space="preserve">adapting </w:t>
      </w:r>
      <w:r w:rsidR="0043301B">
        <w:t>teaching and l</w:t>
      </w:r>
      <w:r w:rsidR="001F4938">
        <w:t xml:space="preserve">earning approaches longer term. Some examples of the feedback received via ‘end-of-course’ module </w:t>
      </w:r>
      <w:r w:rsidR="009E607E">
        <w:lastRenderedPageBreak/>
        <w:t>evaluations</w:t>
      </w:r>
      <w:r w:rsidR="009D15FB">
        <w:t>, which often</w:t>
      </w:r>
      <w:r w:rsidR="001F4938">
        <w:t xml:space="preserve"> raise</w:t>
      </w:r>
      <w:r w:rsidR="009D15FB">
        <w:t>s</w:t>
      </w:r>
      <w:r w:rsidR="001F4938">
        <w:t xml:space="preserve"> issues not commonly encountered in the UK classroom (e.g., the use of mobile phones as a </w:t>
      </w:r>
      <w:r w:rsidR="009E607E">
        <w:t>learning</w:t>
      </w:r>
      <w:r w:rsidR="001F4938">
        <w:t xml:space="preserve"> tool</w:t>
      </w:r>
      <w:r w:rsidR="009D15FB">
        <w:t xml:space="preserve">, </w:t>
      </w:r>
      <w:r w:rsidR="001F4938">
        <w:t xml:space="preserve">problems with access to virtual </w:t>
      </w:r>
      <w:r w:rsidR="009E607E">
        <w:t>learning</w:t>
      </w:r>
      <w:r w:rsidR="001F4938">
        <w:t xml:space="preserve"> </w:t>
      </w:r>
      <w:r w:rsidR="009E607E">
        <w:t>environments</w:t>
      </w:r>
      <w:r w:rsidR="009D15FB">
        <w:t xml:space="preserve"> (VLEs)</w:t>
      </w:r>
      <w:r w:rsidR="001F4938">
        <w:t>), include:</w:t>
      </w:r>
    </w:p>
    <w:p w:rsidR="0043301B" w:rsidRDefault="0043301B">
      <w:pPr>
        <w:spacing w:line="480" w:lineRule="auto"/>
        <w:jc w:val="right"/>
        <w:rPr>
          <w:i/>
          <w:iCs/>
        </w:rPr>
      </w:pPr>
      <w:r>
        <w:rPr>
          <w:i/>
          <w:iCs/>
        </w:rPr>
        <w:t>“</w:t>
      </w:r>
      <w:r w:rsidRPr="0043301B">
        <w:rPr>
          <w:i/>
          <w:iCs/>
        </w:rPr>
        <w:t>You allow using phones in class! Actually we indeed use phones for a little bit of fun besides referring to the dictionary, but it really helps us learn better</w:t>
      </w:r>
      <w:r>
        <w:rPr>
          <w:i/>
          <w:iCs/>
        </w:rPr>
        <w:t>”</w:t>
      </w:r>
    </w:p>
    <w:p w:rsidR="0043301B" w:rsidRDefault="0043301B">
      <w:pPr>
        <w:spacing w:line="480" w:lineRule="auto"/>
        <w:jc w:val="right"/>
      </w:pPr>
      <w:r>
        <w:rPr>
          <w:i/>
          <w:iCs/>
        </w:rPr>
        <w:t>“</w:t>
      </w:r>
      <w:r w:rsidRPr="0043301B">
        <w:rPr>
          <w:i/>
          <w:iCs/>
        </w:rPr>
        <w:t>Downloading the books online cost me too much time and sometimes we cannot download successfully</w:t>
      </w:r>
      <w:r>
        <w:rPr>
          <w:i/>
          <w:iCs/>
        </w:rPr>
        <w:t>”</w:t>
      </w:r>
    </w:p>
    <w:p w:rsidR="0043301B" w:rsidRPr="0043301B" w:rsidRDefault="0043301B">
      <w:pPr>
        <w:spacing w:line="480" w:lineRule="auto"/>
        <w:jc w:val="right"/>
      </w:pPr>
      <w:r w:rsidRPr="0043301B">
        <w:rPr>
          <w:i/>
          <w:iCs/>
        </w:rPr>
        <w:t xml:space="preserve">“Teacher spoke slowly at the beginning and then got faster, giving students enough time to suit the language” </w:t>
      </w:r>
    </w:p>
    <w:p w:rsidR="0043301B" w:rsidRDefault="009E607E" w:rsidP="001F4938">
      <w:pPr>
        <w:spacing w:line="480" w:lineRule="auto"/>
        <w:jc w:val="right"/>
      </w:pPr>
      <w:r>
        <w:t>Anonymous</w:t>
      </w:r>
      <w:r w:rsidR="0043301B">
        <w:t xml:space="preserve"> student comments from </w:t>
      </w:r>
      <w:r w:rsidR="001F4938">
        <w:t>‘</w:t>
      </w:r>
      <w:r w:rsidR="0043301B">
        <w:t>end of</w:t>
      </w:r>
      <w:r w:rsidR="001F4938">
        <w:t xml:space="preserve"> course’ formal module </w:t>
      </w:r>
      <w:r>
        <w:t>evaluation</w:t>
      </w:r>
      <w:r w:rsidR="001F4938">
        <w:t xml:space="preserve"> forms (2014).</w:t>
      </w:r>
    </w:p>
    <w:p w:rsidR="00F809E4" w:rsidRDefault="0043301B" w:rsidP="004530E7">
      <w:pPr>
        <w:spacing w:line="480" w:lineRule="auto"/>
      </w:pPr>
      <w:r>
        <w:t xml:space="preserve">As an alternative approach, in my own practice in the </w:t>
      </w:r>
      <w:r w:rsidR="009E607E">
        <w:t>Chinese</w:t>
      </w:r>
      <w:r>
        <w:t xml:space="preserve"> classroom </w:t>
      </w:r>
      <w:r w:rsidR="00924E00">
        <w:t xml:space="preserve">I employed mid-module </w:t>
      </w:r>
      <w:r w:rsidR="009E607E">
        <w:t>evaluations</w:t>
      </w:r>
      <w:r w:rsidR="00924E00">
        <w:t xml:space="preserve"> (</w:t>
      </w:r>
      <w:r w:rsidR="009E607E">
        <w:t>typically</w:t>
      </w:r>
      <w:r w:rsidR="00924E00">
        <w:t xml:space="preserve"> after two or three days of intensive teaching) which took the form of si</w:t>
      </w:r>
      <w:r w:rsidR="00F63250">
        <w:t>m</w:t>
      </w:r>
      <w:r w:rsidR="00924E00">
        <w:t xml:space="preserve">ple statements for the students to complete (“I like.......”, “I don’t like.......”, Please do more.........”, “please do less............”). In some instances, the </w:t>
      </w:r>
      <w:r w:rsidR="00F63250">
        <w:t xml:space="preserve">informal mid-module </w:t>
      </w:r>
      <w:r w:rsidR="00924E00">
        <w:t xml:space="preserve">feedback from </w:t>
      </w:r>
      <w:r w:rsidR="009E607E">
        <w:t>students</w:t>
      </w:r>
      <w:r w:rsidR="00F63250">
        <w:t xml:space="preserve"> was surprising. For example, in my </w:t>
      </w:r>
      <w:r w:rsidR="001F4938">
        <w:t xml:space="preserve">second </w:t>
      </w:r>
      <w:r w:rsidR="00F63250">
        <w:t>flying faculty experience in China</w:t>
      </w:r>
      <w:r w:rsidR="001F4938">
        <w:t xml:space="preserve"> (in 2015) I</w:t>
      </w:r>
      <w:r w:rsidR="00F63250">
        <w:t xml:space="preserve"> </w:t>
      </w:r>
      <w:r w:rsidR="00924E00">
        <w:t>decided to write on the blackboard using capitals letters</w:t>
      </w:r>
      <w:r w:rsidR="00F809E4">
        <w:t xml:space="preserve">, </w:t>
      </w:r>
      <w:r w:rsidR="00924E00">
        <w:t xml:space="preserve">as I thought this would make my writing clearer for the Chinese students. </w:t>
      </w:r>
      <w:r w:rsidR="00F809E4">
        <w:t xml:space="preserve">Several </w:t>
      </w:r>
      <w:r w:rsidR="009E607E">
        <w:t>students</w:t>
      </w:r>
      <w:r w:rsidR="00F809E4">
        <w:t xml:space="preserve"> made comments to </w:t>
      </w:r>
      <w:r w:rsidR="009E607E">
        <w:t>indicate</w:t>
      </w:r>
      <w:r w:rsidR="00F809E4">
        <w:t xml:space="preserve"> that this was not effective:  </w:t>
      </w:r>
    </w:p>
    <w:p w:rsidR="00924E00" w:rsidRDefault="009E607E">
      <w:pPr>
        <w:spacing w:line="480" w:lineRule="auto"/>
        <w:jc w:val="right"/>
        <w:rPr>
          <w:i/>
          <w:iCs/>
        </w:rPr>
      </w:pPr>
      <w:r>
        <w:t>“</w:t>
      </w:r>
      <w:r w:rsidRPr="00F809E4">
        <w:rPr>
          <w:i/>
          <w:iCs/>
        </w:rPr>
        <w:t xml:space="preserve">Capital letters </w:t>
      </w:r>
      <w:r>
        <w:rPr>
          <w:i/>
          <w:iCs/>
        </w:rPr>
        <w:t xml:space="preserve">have strange impact to students. </w:t>
      </w:r>
      <w:r w:rsidRPr="00F809E4">
        <w:rPr>
          <w:i/>
          <w:iCs/>
        </w:rPr>
        <w:t>Chinese students are much use to lower case letters</w:t>
      </w:r>
      <w:r w:rsidR="00E326C8">
        <w:rPr>
          <w:i/>
          <w:iCs/>
        </w:rPr>
        <w:t>”</w:t>
      </w:r>
    </w:p>
    <w:p w:rsidR="00F809E4" w:rsidRDefault="00F809E4" w:rsidP="004530E7">
      <w:pPr>
        <w:spacing w:line="480" w:lineRule="auto"/>
        <w:jc w:val="right"/>
      </w:pPr>
      <w:r>
        <w:rPr>
          <w:i/>
          <w:iCs/>
        </w:rPr>
        <w:t>“</w:t>
      </w:r>
      <w:r w:rsidRPr="00F809E4">
        <w:rPr>
          <w:i/>
          <w:iCs/>
        </w:rPr>
        <w:t>Please don’t use capitals when writing on the board</w:t>
      </w:r>
      <w:r>
        <w:rPr>
          <w:i/>
          <w:iCs/>
        </w:rPr>
        <w:t>”</w:t>
      </w:r>
    </w:p>
    <w:p w:rsidR="00F63250" w:rsidRDefault="009E607E" w:rsidP="001F4938">
      <w:pPr>
        <w:spacing w:line="480" w:lineRule="auto"/>
        <w:jc w:val="right"/>
      </w:pPr>
      <w:r>
        <w:t>Anonymous</w:t>
      </w:r>
      <w:r w:rsidR="00F63250">
        <w:t xml:space="preserve"> student comments from </w:t>
      </w:r>
      <w:r w:rsidR="001F4938">
        <w:t>‘</w:t>
      </w:r>
      <w:r w:rsidR="00F63250">
        <w:t>mid module</w:t>
      </w:r>
      <w:r w:rsidR="001F4938">
        <w:t xml:space="preserve">’ informal </w:t>
      </w:r>
      <w:r>
        <w:t>evaluation</w:t>
      </w:r>
      <w:r w:rsidR="00F63250">
        <w:t xml:space="preserve"> </w:t>
      </w:r>
      <w:r w:rsidR="001F4938">
        <w:t>(201</w:t>
      </w:r>
      <w:r w:rsidR="00F63250">
        <w:t>5)</w:t>
      </w:r>
    </w:p>
    <w:p w:rsidR="00924E00" w:rsidRDefault="00F809E4" w:rsidP="004530E7">
      <w:pPr>
        <w:spacing w:line="480" w:lineRule="auto"/>
      </w:pPr>
      <w:r>
        <w:lastRenderedPageBreak/>
        <w:t xml:space="preserve">The </w:t>
      </w:r>
      <w:r w:rsidR="009E607E">
        <w:t>subsequent</w:t>
      </w:r>
      <w:r w:rsidR="009D15FB">
        <w:t xml:space="preserve"> year, to address this issue, </w:t>
      </w:r>
      <w:r>
        <w:t xml:space="preserve">I decided to </w:t>
      </w:r>
      <w:r w:rsidR="009E607E">
        <w:t>write</w:t>
      </w:r>
      <w:r>
        <w:t xml:space="preserve"> on the blackboard using cursive writing, but informal </w:t>
      </w:r>
      <w:r w:rsidR="009E607E">
        <w:t>student</w:t>
      </w:r>
      <w:r>
        <w:t xml:space="preserve"> feedback after three days of classes resulted in many comments along the lines of:</w:t>
      </w:r>
    </w:p>
    <w:p w:rsidR="00F63250" w:rsidRPr="00F63250" w:rsidRDefault="00F63250" w:rsidP="004530E7">
      <w:pPr>
        <w:spacing w:line="480" w:lineRule="auto"/>
        <w:jc w:val="right"/>
        <w:rPr>
          <w:i/>
        </w:rPr>
      </w:pPr>
      <w:r w:rsidRPr="00F63250">
        <w:rPr>
          <w:i/>
        </w:rPr>
        <w:t>“I don’t like your blackboard writing because sometimes I can’t watch clearly.”</w:t>
      </w:r>
    </w:p>
    <w:p w:rsidR="00F63250" w:rsidRPr="00F63250" w:rsidRDefault="00F63250" w:rsidP="004530E7">
      <w:pPr>
        <w:spacing w:line="480" w:lineRule="auto"/>
        <w:jc w:val="right"/>
        <w:rPr>
          <w:i/>
        </w:rPr>
      </w:pPr>
      <w:r w:rsidRPr="00F63250">
        <w:rPr>
          <w:i/>
        </w:rPr>
        <w:t>“I don’t like the letters of the words [on the blackboard] because some of them could not be identified clearly.”</w:t>
      </w:r>
    </w:p>
    <w:p w:rsidR="00F63250" w:rsidRPr="00F63250" w:rsidRDefault="00F63250" w:rsidP="004530E7">
      <w:pPr>
        <w:spacing w:line="480" w:lineRule="auto"/>
        <w:jc w:val="right"/>
        <w:rPr>
          <w:i/>
        </w:rPr>
      </w:pPr>
      <w:r w:rsidRPr="00F63250">
        <w:rPr>
          <w:i/>
        </w:rPr>
        <w:t>“I don’t like your fuzzy handwriting – maybe you cannot use chalk very well?”</w:t>
      </w:r>
    </w:p>
    <w:p w:rsidR="00F63250" w:rsidRPr="00F63250" w:rsidRDefault="00F63250" w:rsidP="004530E7">
      <w:pPr>
        <w:spacing w:line="480" w:lineRule="auto"/>
        <w:jc w:val="right"/>
        <w:rPr>
          <w:i/>
        </w:rPr>
      </w:pPr>
      <w:r w:rsidRPr="00F63250">
        <w:rPr>
          <w:i/>
        </w:rPr>
        <w:t>“Please do less ligatures between letters.”</w:t>
      </w:r>
    </w:p>
    <w:p w:rsidR="00F63250" w:rsidRDefault="009E607E" w:rsidP="009D15FB">
      <w:pPr>
        <w:spacing w:line="480" w:lineRule="auto"/>
        <w:jc w:val="right"/>
      </w:pPr>
      <w:r>
        <w:t>Anonymous</w:t>
      </w:r>
      <w:r w:rsidR="00F63250">
        <w:t xml:space="preserve"> student comments from m</w:t>
      </w:r>
      <w:r w:rsidR="00E93312">
        <w:t xml:space="preserve">id module </w:t>
      </w:r>
      <w:r>
        <w:t>evaluation</w:t>
      </w:r>
      <w:r w:rsidR="00E93312">
        <w:t xml:space="preserve"> forms (20</w:t>
      </w:r>
      <w:r w:rsidR="00F63250">
        <w:t>16</w:t>
      </w:r>
      <w:r w:rsidR="00E93312">
        <w:t>)</w:t>
      </w:r>
    </w:p>
    <w:p w:rsidR="00F809E4" w:rsidRDefault="00F809E4" w:rsidP="004530E7">
      <w:pPr>
        <w:spacing w:line="480" w:lineRule="auto"/>
      </w:pPr>
      <w:r>
        <w:t xml:space="preserve">In the UK classroom we </w:t>
      </w:r>
      <w:r w:rsidR="009E607E">
        <w:t>typically</w:t>
      </w:r>
      <w:r>
        <w:t xml:space="preserve"> give little thought to how we write on the whiteboard</w:t>
      </w:r>
      <w:r w:rsidR="00F63250">
        <w:t xml:space="preserve">, </w:t>
      </w:r>
      <w:r>
        <w:t xml:space="preserve">with </w:t>
      </w:r>
      <w:r w:rsidR="00E93312">
        <w:t>t</w:t>
      </w:r>
      <w:r>
        <w:t xml:space="preserve">he assumption that most </w:t>
      </w:r>
      <w:r w:rsidR="009E607E">
        <w:t>students</w:t>
      </w:r>
      <w:r>
        <w:t xml:space="preserve"> will understand what we write. However, for flying faculty, in a classroom where English is not </w:t>
      </w:r>
      <w:r w:rsidR="009E607E">
        <w:t>usually</w:t>
      </w:r>
      <w:r>
        <w:t xml:space="preserve"> the first language of students, </w:t>
      </w:r>
      <w:r w:rsidR="009E607E">
        <w:t>some</w:t>
      </w:r>
      <w:r>
        <w:t xml:space="preserve"> students are relying on copying </w:t>
      </w:r>
      <w:r w:rsidR="009E607E">
        <w:t>down</w:t>
      </w:r>
      <w:r>
        <w:t xml:space="preserve"> key terms and phrases and translating them at a later point in time. In this si</w:t>
      </w:r>
      <w:r w:rsidR="00115200">
        <w:t>tuation, clarity of writing is o</w:t>
      </w:r>
      <w:r>
        <w:t xml:space="preserve">f utmost importance </w:t>
      </w:r>
      <w:r w:rsidR="00115200">
        <w:t xml:space="preserve">to facilitating </w:t>
      </w:r>
      <w:r>
        <w:t xml:space="preserve">student learning. </w:t>
      </w:r>
      <w:r w:rsidR="00012D1C">
        <w:t>Similarly, different spoken accents</w:t>
      </w:r>
      <w:r w:rsidR="00C52C93">
        <w:t>,</w:t>
      </w:r>
      <w:r w:rsidR="00012D1C">
        <w:t xml:space="preserve"> and the way in which we move our faces and lips when speaking</w:t>
      </w:r>
      <w:r w:rsidR="00C52C93">
        <w:t>,</w:t>
      </w:r>
      <w:r w:rsidR="00564FF0">
        <w:t xml:space="preserve"> can hinder or </w:t>
      </w:r>
      <w:r w:rsidR="00DA53E3">
        <w:t>facilitate</w:t>
      </w:r>
      <w:r w:rsidR="00564FF0">
        <w:t xml:space="preserve"> </w:t>
      </w:r>
      <w:r w:rsidR="00012D1C">
        <w:t>lea</w:t>
      </w:r>
      <w:r w:rsidR="00564FF0">
        <w:t>rn</w:t>
      </w:r>
      <w:r w:rsidR="00012D1C">
        <w:t xml:space="preserve">ing </w:t>
      </w:r>
      <w:r w:rsidR="00564FF0">
        <w:t>for some st</w:t>
      </w:r>
      <w:r w:rsidR="00012D1C">
        <w:t>u</w:t>
      </w:r>
      <w:r w:rsidR="00564FF0">
        <w:t>d</w:t>
      </w:r>
      <w:r w:rsidR="00012D1C">
        <w:t>ents</w:t>
      </w:r>
      <w:r w:rsidR="00564FF0">
        <w:t>.</w:t>
      </w:r>
      <w:r w:rsidR="00012D1C">
        <w:t xml:space="preserve"> </w:t>
      </w:r>
      <w:r w:rsidR="00564FF0">
        <w:t xml:space="preserve">Seeking informal </w:t>
      </w:r>
      <w:r w:rsidR="00DA53E3">
        <w:t>student</w:t>
      </w:r>
      <w:r w:rsidR="00564FF0">
        <w:t xml:space="preserve"> feedback early on in module delivery can be critical in highlighting any issues the students might be experiencing</w:t>
      </w:r>
      <w:r w:rsidR="00C52C93">
        <w:t>, enabling the teacher to address issues accordingly</w:t>
      </w:r>
      <w:r w:rsidR="00564FF0">
        <w:t xml:space="preserve">. </w:t>
      </w:r>
    </w:p>
    <w:p w:rsidR="00E57F5D" w:rsidRPr="00924E00" w:rsidRDefault="00E57F5D" w:rsidP="004530E7">
      <w:pPr>
        <w:spacing w:line="480" w:lineRule="auto"/>
        <w:rPr>
          <w:b/>
        </w:rPr>
      </w:pPr>
      <w:r w:rsidRPr="00924E00">
        <w:rPr>
          <w:b/>
        </w:rPr>
        <w:t xml:space="preserve">Our </w:t>
      </w:r>
      <w:r w:rsidR="002E2990">
        <w:rPr>
          <w:b/>
        </w:rPr>
        <w:t>C</w:t>
      </w:r>
      <w:r w:rsidR="009E607E" w:rsidRPr="00924E00">
        <w:rPr>
          <w:b/>
        </w:rPr>
        <w:t>olleagues</w:t>
      </w:r>
      <w:r w:rsidR="002E2990">
        <w:rPr>
          <w:b/>
        </w:rPr>
        <w:t xml:space="preserve"> E</w:t>
      </w:r>
      <w:r w:rsidRPr="00924E00">
        <w:rPr>
          <w:b/>
        </w:rPr>
        <w:t>xperiences</w:t>
      </w:r>
    </w:p>
    <w:p w:rsidR="00E14B46" w:rsidRDefault="00E57F5D" w:rsidP="004530E7">
      <w:pPr>
        <w:spacing w:line="480" w:lineRule="auto"/>
      </w:pPr>
      <w:r w:rsidRPr="003E0206">
        <w:t>Smith (20</w:t>
      </w:r>
      <w:r w:rsidR="00E93312">
        <w:t>09, 2013) proposed that flying f</w:t>
      </w:r>
      <w:r w:rsidRPr="003E0206">
        <w:t>aculty teaching experiences can lead to ‘</w:t>
      </w:r>
      <w:r w:rsidR="009E607E" w:rsidRPr="003E0206">
        <w:t>transformative</w:t>
      </w:r>
      <w:r w:rsidRPr="003E0206">
        <w:t xml:space="preserve"> professional development’. </w:t>
      </w:r>
      <w:r w:rsidR="00595EC3">
        <w:t>Whilst for many colleagues the opportunity to deliver m</w:t>
      </w:r>
      <w:r w:rsidR="00E93312">
        <w:t>odules as flying faculty can in</w:t>
      </w:r>
      <w:r w:rsidR="00595EC3">
        <w:t>deed be a very positive experience, f</w:t>
      </w:r>
      <w:r w:rsidR="009D15FB">
        <w:t xml:space="preserve">or some </w:t>
      </w:r>
      <w:r w:rsidR="00466B22">
        <w:t>f</w:t>
      </w:r>
      <w:r w:rsidR="00466B22" w:rsidRPr="003E0206">
        <w:t>aculty the</w:t>
      </w:r>
      <w:r w:rsidRPr="003E0206">
        <w:t xml:space="preserve"> </w:t>
      </w:r>
      <w:r w:rsidR="00595EC3">
        <w:t xml:space="preserve">task can be </w:t>
      </w:r>
      <w:r w:rsidRPr="003E0206">
        <w:t xml:space="preserve">incredibly </w:t>
      </w:r>
      <w:r w:rsidR="009E607E" w:rsidRPr="003E0206">
        <w:t>challenging</w:t>
      </w:r>
      <w:r w:rsidRPr="003E0206">
        <w:t xml:space="preserve">. </w:t>
      </w:r>
      <w:r w:rsidR="009E607E" w:rsidRPr="003E0206">
        <w:t>The more limited access to information technol</w:t>
      </w:r>
      <w:r w:rsidR="009E607E">
        <w:t>ogy and resources</w:t>
      </w:r>
      <w:r w:rsidR="00D0405D">
        <w:t xml:space="preserve"> (e.g., problems with </w:t>
      </w:r>
      <w:r w:rsidR="009D15FB">
        <w:t xml:space="preserve">accessing VLEs, </w:t>
      </w:r>
      <w:r w:rsidR="00D0405D">
        <w:t>lack of internet access in classrooms)</w:t>
      </w:r>
      <w:r w:rsidR="009E607E">
        <w:t xml:space="preserve">, </w:t>
      </w:r>
      <w:r w:rsidR="009E607E">
        <w:lastRenderedPageBreak/>
        <w:t xml:space="preserve">the long and often intensive </w:t>
      </w:r>
      <w:r w:rsidR="009E607E" w:rsidRPr="003E0206">
        <w:t>teaching hours</w:t>
      </w:r>
      <w:r w:rsidR="00955138">
        <w:t xml:space="preserve"> </w:t>
      </w:r>
      <w:r w:rsidR="00955138" w:rsidRPr="001C50FE">
        <w:t>(six hours a day for two weeks, including weekends),</w:t>
      </w:r>
      <w:r w:rsidR="00955138">
        <w:t xml:space="preserve"> </w:t>
      </w:r>
      <w:r w:rsidR="009E607E" w:rsidRPr="003E0206">
        <w:t>the difficulties in contacting and liaising with UK-based colleagues</w:t>
      </w:r>
      <w:r w:rsidR="00D0405D">
        <w:t xml:space="preserve"> (e.g., Google Mail is not accessible from China)</w:t>
      </w:r>
      <w:r w:rsidR="009E607E" w:rsidRPr="003E0206">
        <w:t xml:space="preserve">, and the language and cultural differences </w:t>
      </w:r>
      <w:r w:rsidR="00D0405D">
        <w:t xml:space="preserve">encountered </w:t>
      </w:r>
      <w:r w:rsidR="009E607E" w:rsidRPr="003E0206">
        <w:t>in everyday situations and decision making can lead to ‘culture shock’ (</w:t>
      </w:r>
      <w:r w:rsidR="009E607E" w:rsidRPr="003E0206">
        <w:rPr>
          <w:lang w:eastAsia="en-GB"/>
        </w:rPr>
        <w:t xml:space="preserve">Oberg, 1960; Adler, 1975). </w:t>
      </w:r>
      <w:r w:rsidR="00E93312">
        <w:rPr>
          <w:lang w:eastAsia="en-GB"/>
        </w:rPr>
        <w:t xml:space="preserve">In such situations, drawing on the past experiences and expertise of </w:t>
      </w:r>
      <w:r w:rsidRPr="003E0206">
        <w:t xml:space="preserve">our colleagues’ </w:t>
      </w:r>
      <w:r w:rsidR="00E93312">
        <w:t xml:space="preserve">can be </w:t>
      </w:r>
      <w:r w:rsidR="009E607E">
        <w:t>particularly</w:t>
      </w:r>
      <w:r w:rsidR="0020274F">
        <w:t xml:space="preserve"> </w:t>
      </w:r>
      <w:r w:rsidR="009E607E">
        <w:t>significant</w:t>
      </w:r>
      <w:r w:rsidR="00E93312">
        <w:t xml:space="preserve">. </w:t>
      </w:r>
      <w:r w:rsidR="00C96DA9">
        <w:t xml:space="preserve">In my own practice, </w:t>
      </w:r>
      <w:r w:rsidR="009E607E">
        <w:t>informal</w:t>
      </w:r>
      <w:r w:rsidR="00C96DA9">
        <w:t xml:space="preserve"> discussions with colleagues who had </w:t>
      </w:r>
      <w:r w:rsidR="009E607E">
        <w:t>previous</w:t>
      </w:r>
      <w:r w:rsidR="00C96DA9">
        <w:t xml:space="preserve"> experience as flying faculty were </w:t>
      </w:r>
      <w:r w:rsidR="009E607E">
        <w:t>pivotal</w:t>
      </w:r>
      <w:r w:rsidR="00C96DA9">
        <w:t xml:space="preserve"> in terms of </w:t>
      </w:r>
      <w:r w:rsidR="009E607E">
        <w:t>challenging</w:t>
      </w:r>
      <w:r w:rsidR="00C96DA9">
        <w:t xml:space="preserve"> my initial </w:t>
      </w:r>
      <w:r w:rsidR="009E607E">
        <w:t>expectations</w:t>
      </w:r>
      <w:r w:rsidR="00C96DA9">
        <w:t xml:space="preserve"> and perceptions of what to expect in the Chinese classroom.</w:t>
      </w:r>
      <w:r w:rsidR="00E14B46">
        <w:t xml:space="preserve"> Dunn and Wallace (2006)</w:t>
      </w:r>
      <w:r w:rsidR="00C96DA9">
        <w:t xml:space="preserve"> </w:t>
      </w:r>
      <w:r w:rsidR="00E14B46">
        <w:t xml:space="preserve">state that such ‘shared network experiences’ are a key aspect of professional development. </w:t>
      </w:r>
      <w:r w:rsidR="00DE2030">
        <w:t xml:space="preserve">Gribble and Ziguras (2003) argue that in addition to developing </w:t>
      </w:r>
      <w:r w:rsidR="009E607E">
        <w:t>teaching</w:t>
      </w:r>
      <w:r w:rsidR="00DE2030">
        <w:t xml:space="preserve"> and </w:t>
      </w:r>
      <w:r w:rsidR="009E607E">
        <w:t>learning</w:t>
      </w:r>
      <w:r w:rsidR="00DE2030">
        <w:t xml:space="preserve"> approaches, flying faculty </w:t>
      </w:r>
      <w:r w:rsidR="009E607E">
        <w:t>also</w:t>
      </w:r>
      <w:r w:rsidR="00DE2030">
        <w:t xml:space="preserve"> need to gain an appreciation of the </w:t>
      </w:r>
      <w:r w:rsidR="00466B22">
        <w:t>broader</w:t>
      </w:r>
      <w:r w:rsidR="00AD5F98">
        <w:t xml:space="preserve"> </w:t>
      </w:r>
      <w:r w:rsidR="00DE2030">
        <w:t>cultural</w:t>
      </w:r>
      <w:r w:rsidR="00AD5F98">
        <w:t xml:space="preserve">, social, economic and </w:t>
      </w:r>
      <w:r w:rsidR="00DE2030">
        <w:t>political</w:t>
      </w:r>
      <w:r w:rsidR="00AD5F98">
        <w:t xml:space="preserve"> </w:t>
      </w:r>
      <w:r w:rsidR="00DE2030">
        <w:t xml:space="preserve">contexts of the country </w:t>
      </w:r>
      <w:r w:rsidR="00AD5F98">
        <w:t xml:space="preserve">that they are visiting. </w:t>
      </w:r>
      <w:r w:rsidR="00DE2030">
        <w:t xml:space="preserve">Informal mentoring can therefore be critical </w:t>
      </w:r>
      <w:r w:rsidR="00C96DA9">
        <w:t xml:space="preserve">in terms of </w:t>
      </w:r>
      <w:r w:rsidR="009E607E">
        <w:t>preparing</w:t>
      </w:r>
      <w:r w:rsidR="00C96DA9">
        <w:t xml:space="preserve"> flying </w:t>
      </w:r>
      <w:r w:rsidR="009E607E">
        <w:t>faculty</w:t>
      </w:r>
      <w:r w:rsidR="00C96DA9">
        <w:t xml:space="preserve"> for the </w:t>
      </w:r>
      <w:r w:rsidR="0020274F">
        <w:t xml:space="preserve">more </w:t>
      </w:r>
      <w:r w:rsidR="00C96DA9">
        <w:t>social and cultural aspects of their overseas visits</w:t>
      </w:r>
      <w:r w:rsidR="0020274F">
        <w:t>.</w:t>
      </w:r>
      <w:r w:rsidR="00DE2030">
        <w:t xml:space="preserve"> </w:t>
      </w:r>
      <w:r w:rsidR="009E607E">
        <w:t>In my experience these aspects included</w:t>
      </w:r>
      <w:r w:rsidR="00716B3B">
        <w:t xml:space="preserve"> </w:t>
      </w:r>
      <w:r w:rsidR="009E607E">
        <w:t>formal, evening ‘banquets’</w:t>
      </w:r>
      <w:r w:rsidR="009D15FB">
        <w:t xml:space="preserve"> with very senior University staff</w:t>
      </w:r>
      <w:r w:rsidR="009E607E">
        <w:t xml:space="preserve">, as well as interaction with friends and family of Chinese faculty staff who were all keen to participate in the local area field trip, such was the ‘novelty value’ of this approach to teaching and learning. </w:t>
      </w:r>
      <w:r w:rsidR="00E93312">
        <w:t>In addition, f</w:t>
      </w:r>
      <w:r w:rsidR="00595EC3">
        <w:t xml:space="preserve">or </w:t>
      </w:r>
      <w:r w:rsidR="00E93312">
        <w:t xml:space="preserve">Geography </w:t>
      </w:r>
      <w:r w:rsidR="00595EC3">
        <w:t>faculty</w:t>
      </w:r>
      <w:r w:rsidR="00E93312">
        <w:t xml:space="preserve">, </w:t>
      </w:r>
      <w:r w:rsidR="00595EC3">
        <w:t>our colleagues</w:t>
      </w:r>
      <w:r w:rsidR="00A97D6C">
        <w:t>’</w:t>
      </w:r>
      <w:r w:rsidR="00595EC3">
        <w:t xml:space="preserve"> pr</w:t>
      </w:r>
      <w:r w:rsidR="00E93312">
        <w:t xml:space="preserve">ior experiences of </w:t>
      </w:r>
      <w:r w:rsidR="009E607E">
        <w:t>designing</w:t>
      </w:r>
      <w:r w:rsidR="00E93312">
        <w:t xml:space="preserve">, </w:t>
      </w:r>
      <w:r w:rsidR="009E607E">
        <w:t>developing</w:t>
      </w:r>
      <w:r w:rsidR="00595EC3">
        <w:t xml:space="preserve"> </w:t>
      </w:r>
      <w:r w:rsidR="00E93312">
        <w:t xml:space="preserve">and running </w:t>
      </w:r>
      <w:r w:rsidR="00595EC3">
        <w:t xml:space="preserve">field and laboratory-based </w:t>
      </w:r>
      <w:r w:rsidR="00466B22">
        <w:t>activities</w:t>
      </w:r>
      <w:r w:rsidR="00595EC3">
        <w:t xml:space="preserve">, </w:t>
      </w:r>
      <w:r w:rsidR="00276631">
        <w:t>knowledge of local field sites, and insights into the availability of field equipment at the ho</w:t>
      </w:r>
      <w:r w:rsidR="00C44511">
        <w:t>st institution</w:t>
      </w:r>
      <w:r w:rsidR="00E93312">
        <w:t xml:space="preserve">, </w:t>
      </w:r>
      <w:r w:rsidR="00C44511">
        <w:t xml:space="preserve">can prove fundamental </w:t>
      </w:r>
      <w:r w:rsidR="00276631">
        <w:t xml:space="preserve">for staff preparing to teach overseas. </w:t>
      </w:r>
    </w:p>
    <w:p w:rsidR="0020274F" w:rsidRDefault="00564FF0" w:rsidP="004530E7">
      <w:pPr>
        <w:spacing w:line="480" w:lineRule="auto"/>
        <w:rPr>
          <w:b/>
        </w:rPr>
      </w:pPr>
      <w:r>
        <w:rPr>
          <w:b/>
        </w:rPr>
        <w:t>F</w:t>
      </w:r>
      <w:r w:rsidR="00245C78">
        <w:rPr>
          <w:b/>
        </w:rPr>
        <w:t>ield-based learning and teaching</w:t>
      </w:r>
      <w:r>
        <w:rPr>
          <w:b/>
        </w:rPr>
        <w:t xml:space="preserve"> in the international classroom</w:t>
      </w:r>
      <w:r w:rsidR="00245C78">
        <w:rPr>
          <w:b/>
        </w:rPr>
        <w:t xml:space="preserve"> </w:t>
      </w:r>
    </w:p>
    <w:p w:rsidR="00C80D43" w:rsidRDefault="00245C78" w:rsidP="00245C78">
      <w:pPr>
        <w:spacing w:line="480" w:lineRule="auto"/>
      </w:pPr>
      <w:r>
        <w:rPr>
          <w:color w:val="231F20"/>
          <w:lang w:eastAsia="en-GB"/>
        </w:rPr>
        <w:t>Active engagement with the external world through field work is an important mode of teaching and learning in Geography and related disciplines (</w:t>
      </w:r>
      <w:r w:rsidR="00EF4E5C" w:rsidRPr="001C50FE">
        <w:rPr>
          <w:color w:val="231F20"/>
          <w:lang w:eastAsia="en-GB"/>
        </w:rPr>
        <w:t>Fuller</w:t>
      </w:r>
      <w:r w:rsidR="00EF4E5C">
        <w:rPr>
          <w:color w:val="231F20"/>
          <w:lang w:eastAsia="en-GB"/>
        </w:rPr>
        <w:t xml:space="preserve"> et al., </w:t>
      </w:r>
      <w:r w:rsidR="00EF4E5C" w:rsidRPr="001C50FE">
        <w:rPr>
          <w:color w:val="231F20"/>
          <w:lang w:eastAsia="en-GB"/>
        </w:rPr>
        <w:t>2006</w:t>
      </w:r>
      <w:r w:rsidR="00EF4E5C">
        <w:rPr>
          <w:color w:val="231F20"/>
          <w:lang w:eastAsia="en-GB"/>
        </w:rPr>
        <w:t xml:space="preserve">; </w:t>
      </w:r>
      <w:r>
        <w:rPr>
          <w:color w:val="231F20"/>
          <w:lang w:eastAsia="en-GB"/>
        </w:rPr>
        <w:t xml:space="preserve">Kent et al., 1997; </w:t>
      </w:r>
      <w:r w:rsidRPr="00D40E94">
        <w:rPr>
          <w:rStyle w:val="apple-converted-space"/>
          <w:color w:val="222222"/>
          <w:shd w:val="clear" w:color="auto" w:fill="FFFFFF"/>
        </w:rPr>
        <w:t xml:space="preserve">Maskall and Stokes, 2008; </w:t>
      </w:r>
      <w:r w:rsidRPr="00D40E94">
        <w:t>Stokes and Boyle, 2009)</w:t>
      </w:r>
      <w:r>
        <w:rPr>
          <w:color w:val="231F20"/>
          <w:lang w:eastAsia="en-GB"/>
        </w:rPr>
        <w:t xml:space="preserve">. </w:t>
      </w:r>
      <w:r>
        <w:t>W</w:t>
      </w:r>
      <w:r w:rsidR="008E0E9A">
        <w:t xml:space="preserve">hilst there is significant body of literature highlighting the </w:t>
      </w:r>
      <w:r w:rsidR="009E607E">
        <w:t>importance</w:t>
      </w:r>
      <w:r w:rsidR="008E0E9A">
        <w:t xml:space="preserve"> of field-</w:t>
      </w:r>
      <w:r w:rsidR="009E607E">
        <w:t>based</w:t>
      </w:r>
      <w:r w:rsidR="008E0E9A">
        <w:t xml:space="preserve"> teaching and learning for Geography and </w:t>
      </w:r>
      <w:r w:rsidR="008E0E9A">
        <w:lastRenderedPageBreak/>
        <w:t>related disciplines (</w:t>
      </w:r>
      <w:r w:rsidR="00A97D6C" w:rsidRPr="00D40E94">
        <w:rPr>
          <w:rStyle w:val="apple-converted-space"/>
          <w:color w:val="222222"/>
          <w:shd w:val="clear" w:color="auto" w:fill="FFFFFF"/>
        </w:rPr>
        <w:t xml:space="preserve">e.g., </w:t>
      </w:r>
      <w:r w:rsidR="00EF4E5C" w:rsidRPr="00D40E94">
        <w:rPr>
          <w:rStyle w:val="apple-converted-space"/>
          <w:color w:val="222222"/>
          <w:shd w:val="clear" w:color="auto" w:fill="FFFFFF"/>
        </w:rPr>
        <w:t>F</w:t>
      </w:r>
      <w:r w:rsidR="00EF4E5C" w:rsidRPr="00D40E94">
        <w:t xml:space="preserve">uller et al., 2006; </w:t>
      </w:r>
      <w:r w:rsidR="00A97D6C" w:rsidRPr="00D40E94">
        <w:rPr>
          <w:rStyle w:val="apple-converted-space"/>
          <w:color w:val="222222"/>
          <w:shd w:val="clear" w:color="auto" w:fill="FFFFFF"/>
        </w:rPr>
        <w:t xml:space="preserve">Kent et al., 1997; Maskall and Stokes, 2008; </w:t>
      </w:r>
      <w:r w:rsidR="00A97D6C" w:rsidRPr="00D40E94">
        <w:t>Stokes and Boyle, 2009</w:t>
      </w:r>
      <w:r w:rsidR="008E0E9A">
        <w:t xml:space="preserve">), there is little published on the challenges that flying faculty face, and the adaptations that they must make, when </w:t>
      </w:r>
      <w:r w:rsidR="009E607E">
        <w:t>incorporating</w:t>
      </w:r>
      <w:r w:rsidR="008E0E9A">
        <w:t xml:space="preserve"> aspects of field-based </w:t>
      </w:r>
      <w:r w:rsidR="009E607E">
        <w:t>learning</w:t>
      </w:r>
      <w:r w:rsidR="008E0E9A">
        <w:t xml:space="preserve"> and </w:t>
      </w:r>
      <w:r w:rsidR="009E607E">
        <w:t>teaching</w:t>
      </w:r>
      <w:r w:rsidR="008E0E9A">
        <w:t xml:space="preserve"> into their modules and programmes</w:t>
      </w:r>
      <w:r w:rsidR="00DA4F1A">
        <w:t xml:space="preserve"> delivered internationally</w:t>
      </w:r>
      <w:r w:rsidR="008E0E9A">
        <w:t xml:space="preserve">. </w:t>
      </w:r>
    </w:p>
    <w:p w:rsidR="00245C78" w:rsidRDefault="00245C78" w:rsidP="00245C78">
      <w:pPr>
        <w:spacing w:line="480" w:lineRule="auto"/>
      </w:pPr>
      <w:r>
        <w:t xml:space="preserve">From my own perspective, incorporating field-based learning and teaching into the classroom in an unfamiliar environment presented the most acute challenge of my flying faculty experiences in China. In fact prior to my first teaching visit to China in 2014, and based on the experiences of colleagues who had taught in China before me, it actually resulted in my decision to remove a series of field-based activities from the module, and make </w:t>
      </w:r>
      <w:r w:rsidR="00DA53E3">
        <w:t>subsequent</w:t>
      </w:r>
      <w:r>
        <w:t xml:space="preserve"> changes to the module aims, intended </w:t>
      </w:r>
      <w:r w:rsidR="00DA53E3">
        <w:t>learning</w:t>
      </w:r>
      <w:r>
        <w:t xml:space="preserve"> outcomes and assessments. However, in my second and third teaching visits (2015 and 2016), and as I became more comfortable and confident with teaching in the international classroom, I re-introduced a series of campus-based field activities into the module. Although geographical field work is often </w:t>
      </w:r>
      <w:r w:rsidR="00DA53E3">
        <w:t>associated</w:t>
      </w:r>
      <w:r>
        <w:t xml:space="preserve"> with residential trips to ‘exotic’ field locations, Fuller et al. (2006) note that even a short period of field work, conducted in the vicinity of a students’ own institution, can be a very effective learning tool. The choice of campus-based field work also </w:t>
      </w:r>
      <w:r w:rsidR="00DA53E3">
        <w:t>immediately</w:t>
      </w:r>
      <w:r>
        <w:t xml:space="preserve"> removes some of the key challenges associated with field</w:t>
      </w:r>
      <w:r w:rsidR="00BC3F60">
        <w:t>-</w:t>
      </w:r>
      <w:r>
        <w:t xml:space="preserve">work teaching for </w:t>
      </w:r>
      <w:r w:rsidR="00C80D43">
        <w:t xml:space="preserve">staff leading field courses in </w:t>
      </w:r>
      <w:r w:rsidR="00DA53E3">
        <w:t>unfamiliar</w:t>
      </w:r>
      <w:r w:rsidR="00C80D43">
        <w:t xml:space="preserve"> environments </w:t>
      </w:r>
      <w:r>
        <w:t>(e.g., lack of famil</w:t>
      </w:r>
      <w:r w:rsidR="00C80D43">
        <w:t>iarity with field sites</w:t>
      </w:r>
      <w:r>
        <w:t xml:space="preserve">, little time for </w:t>
      </w:r>
      <w:r w:rsidR="00DA53E3">
        <w:t>reconnaissance</w:t>
      </w:r>
      <w:r>
        <w:t xml:space="preserve">, transportation logistics, field safety concerns; Table 2).  </w:t>
      </w:r>
    </w:p>
    <w:p w:rsidR="00245C78" w:rsidRPr="00245C78" w:rsidRDefault="00245C78" w:rsidP="004530E7">
      <w:pPr>
        <w:spacing w:line="480" w:lineRule="auto"/>
        <w:rPr>
          <w:b/>
          <w:color w:val="231F20"/>
          <w:lang w:eastAsia="en-GB"/>
        </w:rPr>
      </w:pPr>
      <w:r w:rsidRPr="00245C78">
        <w:rPr>
          <w:b/>
          <w:color w:val="231F20"/>
          <w:lang w:eastAsia="en-GB"/>
        </w:rPr>
        <w:t>INSERT TABLE 2</w:t>
      </w:r>
    </w:p>
    <w:p w:rsidR="00F954A7" w:rsidRDefault="00245C78" w:rsidP="004530E7">
      <w:pPr>
        <w:spacing w:line="480" w:lineRule="auto"/>
      </w:pPr>
      <w:r>
        <w:t>E</w:t>
      </w:r>
      <w:r w:rsidR="0072016A">
        <w:t xml:space="preserve">vidence suggests that Chinese students based in China and studying Geography have little opportunity for guided or </w:t>
      </w:r>
      <w:r w:rsidR="009E607E">
        <w:t>independent</w:t>
      </w:r>
      <w:r w:rsidR="0072016A">
        <w:t xml:space="preserve"> field work experience (Robinson et al., 2016).</w:t>
      </w:r>
      <w:r w:rsidR="00F954A7">
        <w:t xml:space="preserve"> H</w:t>
      </w:r>
      <w:r>
        <w:t>owever, p</w:t>
      </w:r>
      <w:r w:rsidR="0072016A">
        <w:t xml:space="preserve">roviding these </w:t>
      </w:r>
      <w:r w:rsidR="009E607E">
        <w:t>students</w:t>
      </w:r>
      <w:r w:rsidR="0072016A">
        <w:t xml:space="preserve"> with field work experiences is </w:t>
      </w:r>
      <w:r w:rsidR="009E607E">
        <w:t>critical</w:t>
      </w:r>
      <w:r w:rsidR="0072016A">
        <w:t xml:space="preserve"> if they are to </w:t>
      </w:r>
      <w:r w:rsidR="009E607E">
        <w:t>subsequently</w:t>
      </w:r>
      <w:r w:rsidR="003B2988">
        <w:t xml:space="preserve"> </w:t>
      </w:r>
      <w:r w:rsidR="009E607E">
        <w:t>transition</w:t>
      </w:r>
      <w:r w:rsidR="003B2988">
        <w:t xml:space="preserve"> to UK HE and </w:t>
      </w:r>
      <w:r w:rsidR="009E607E">
        <w:t>receive</w:t>
      </w:r>
      <w:r w:rsidR="0072016A">
        <w:t xml:space="preserve"> </w:t>
      </w:r>
      <w:r w:rsidR="00F954A7">
        <w:t xml:space="preserve">degrees in </w:t>
      </w:r>
      <w:r>
        <w:t xml:space="preserve">Geography and related </w:t>
      </w:r>
      <w:r w:rsidR="00F954A7">
        <w:t xml:space="preserve">disciplines from </w:t>
      </w:r>
      <w:r w:rsidR="0072016A">
        <w:t>UK-based institutions</w:t>
      </w:r>
      <w:r w:rsidR="003B2988">
        <w:t xml:space="preserve">. </w:t>
      </w:r>
      <w:r w:rsidR="005C535B">
        <w:t xml:space="preserve">Given their limited or non-existent previous field experience, it is no </w:t>
      </w:r>
      <w:r w:rsidR="009E607E">
        <w:t>surprise</w:t>
      </w:r>
      <w:r w:rsidR="005C535B">
        <w:t xml:space="preserve"> that </w:t>
      </w:r>
      <w:r w:rsidR="00F954A7">
        <w:t xml:space="preserve">such </w:t>
      </w:r>
      <w:r w:rsidR="005C535B">
        <w:t xml:space="preserve">students are often </w:t>
      </w:r>
      <w:r w:rsidR="009E607E">
        <w:t>unprepared</w:t>
      </w:r>
      <w:r w:rsidR="005C535B">
        <w:t xml:space="preserve"> for the </w:t>
      </w:r>
      <w:r w:rsidR="009E607E">
        <w:t>challenges</w:t>
      </w:r>
      <w:r w:rsidR="005C535B">
        <w:t xml:space="preserve"> of outdoor working. In </w:t>
      </w:r>
      <w:r w:rsidR="005C535B">
        <w:lastRenderedPageBreak/>
        <w:t xml:space="preserve">the </w:t>
      </w:r>
      <w:r w:rsidR="009E607E">
        <w:t>author’s</w:t>
      </w:r>
      <w:r w:rsidR="005C535B">
        <w:t xml:space="preserve"> own experiences, students </w:t>
      </w:r>
      <w:r w:rsidR="009E607E">
        <w:t>frequently</w:t>
      </w:r>
      <w:r w:rsidR="005C535B">
        <w:t xml:space="preserve"> turn</w:t>
      </w:r>
      <w:r w:rsidR="00E15F1B">
        <w:t xml:space="preserve">ed </w:t>
      </w:r>
      <w:r w:rsidR="005C535B">
        <w:t xml:space="preserve">up </w:t>
      </w:r>
      <w:r w:rsidR="00503353">
        <w:t xml:space="preserve">for a field trip </w:t>
      </w:r>
      <w:r w:rsidR="00E15F1B">
        <w:t>with umbrellas instead of waterproofs, and were r</w:t>
      </w:r>
      <w:r w:rsidR="005C535B">
        <w:t xml:space="preserve">arely </w:t>
      </w:r>
      <w:r w:rsidR="009E607E">
        <w:t>equipped</w:t>
      </w:r>
      <w:r w:rsidR="00E15F1B">
        <w:t xml:space="preserve"> with suitable footwear, despite several classroom-based sessions on ‘</w:t>
      </w:r>
      <w:r w:rsidR="009E607E">
        <w:t>preparing</w:t>
      </w:r>
      <w:r w:rsidR="00E15F1B">
        <w:t xml:space="preserve"> for field work’. </w:t>
      </w:r>
      <w:r w:rsidR="005C535B">
        <w:t xml:space="preserve">Many students found walking in </w:t>
      </w:r>
      <w:r w:rsidR="009E607E">
        <w:t>unfamiliar</w:t>
      </w:r>
      <w:r w:rsidR="005C535B">
        <w:t xml:space="preserve"> settings (e.g., on forest tracks, across field</w:t>
      </w:r>
      <w:r w:rsidR="00503353">
        <w:t>s</w:t>
      </w:r>
      <w:r w:rsidR="009D15FB">
        <w:t xml:space="preserve"> and on uneven, steep </w:t>
      </w:r>
      <w:r w:rsidR="005C535B">
        <w:t>ground) an unsettling experience</w:t>
      </w:r>
      <w:r w:rsidR="00503353">
        <w:t xml:space="preserve"> and had to be </w:t>
      </w:r>
      <w:r w:rsidR="009D15FB">
        <w:t xml:space="preserve">physically </w:t>
      </w:r>
      <w:r w:rsidR="00503353">
        <w:t>helped</w:t>
      </w:r>
      <w:r w:rsidR="009D15FB">
        <w:t xml:space="preserve"> to reach some locations</w:t>
      </w:r>
      <w:r w:rsidR="00E15F1B">
        <w:t xml:space="preserve">. </w:t>
      </w:r>
      <w:r w:rsidR="000B1908">
        <w:t>Consequently,</w:t>
      </w:r>
      <w:r w:rsidR="005C535B">
        <w:t xml:space="preserve"> the group took much longer to reach field sites than </w:t>
      </w:r>
      <w:r w:rsidR="009E607E">
        <w:t>might</w:t>
      </w:r>
      <w:r w:rsidR="005C535B">
        <w:t xml:space="preserve"> </w:t>
      </w:r>
      <w:r w:rsidR="009E607E">
        <w:t>ordinarily</w:t>
      </w:r>
      <w:r w:rsidR="00BD0FC0">
        <w:t xml:space="preserve"> </w:t>
      </w:r>
      <w:r w:rsidR="005C535B">
        <w:t>be expected</w:t>
      </w:r>
      <w:r w:rsidR="00BD0FC0">
        <w:t xml:space="preserve">. </w:t>
      </w:r>
    </w:p>
    <w:p w:rsidR="00BD0FC0" w:rsidRDefault="00C80D43" w:rsidP="004530E7">
      <w:pPr>
        <w:spacing w:line="480" w:lineRule="auto"/>
      </w:pPr>
      <w:r>
        <w:t>I</w:t>
      </w:r>
      <w:r w:rsidR="009D15FB">
        <w:t xml:space="preserve">n the UK </w:t>
      </w:r>
      <w:r w:rsidR="009E607E">
        <w:t>all field-based activity requires careful risk assessment and communication of the potential risks (and mitigating measures) to students (Robinson et al., 2016).</w:t>
      </w:r>
      <w:r w:rsidR="00F954A7">
        <w:t xml:space="preserve"> </w:t>
      </w:r>
      <w:r>
        <w:t xml:space="preserve">Whilst </w:t>
      </w:r>
      <w:r w:rsidR="009E607E">
        <w:t>a</w:t>
      </w:r>
      <w:r w:rsidR="00BD0FC0">
        <w:t xml:space="preserve"> key aspect of </w:t>
      </w:r>
      <w:r w:rsidR="009E607E">
        <w:t>introducing</w:t>
      </w:r>
      <w:r w:rsidR="00BD0FC0">
        <w:t xml:space="preserve"> students to working in</w:t>
      </w:r>
      <w:r w:rsidR="00E15F1B">
        <w:t xml:space="preserve"> the field also include</w:t>
      </w:r>
      <w:r w:rsidR="00C52C93">
        <w:t>d</w:t>
      </w:r>
      <w:r>
        <w:t xml:space="preserve"> </w:t>
      </w:r>
      <w:r w:rsidR="00E15F1B">
        <w:t xml:space="preserve">learning </w:t>
      </w:r>
      <w:r w:rsidR="00BD0FC0">
        <w:t xml:space="preserve">about risk </w:t>
      </w:r>
      <w:r w:rsidR="009E607E">
        <w:t>assessment</w:t>
      </w:r>
      <w:r w:rsidR="00BD0FC0">
        <w:t xml:space="preserve"> and field safety</w:t>
      </w:r>
      <w:r>
        <w:t xml:space="preserve">, </w:t>
      </w:r>
      <w:r w:rsidR="00BD0FC0">
        <w:t xml:space="preserve">no formal risk assessment was required by the Chinese partner institution (or the UK-based partner </w:t>
      </w:r>
      <w:r w:rsidR="00955138">
        <w:t>institution) for taking student</w:t>
      </w:r>
      <w:r w:rsidR="00BD0FC0">
        <w:t>s out into the field</w:t>
      </w:r>
      <w:r w:rsidR="00E15F1B">
        <w:t xml:space="preserve"> in China</w:t>
      </w:r>
      <w:r>
        <w:t>. I</w:t>
      </w:r>
      <w:r w:rsidR="00BD0FC0">
        <w:t>n the event of an incident in the field, I was not made aware of the procedures to be followed at the Chinese partner institution</w:t>
      </w:r>
      <w:r w:rsidR="00F954A7">
        <w:t xml:space="preserve">, nor did I have an oversight of any pre-existing medical </w:t>
      </w:r>
      <w:r w:rsidR="00DA53E3">
        <w:t>conditions</w:t>
      </w:r>
      <w:r w:rsidR="00F954A7">
        <w:t xml:space="preserve"> that might affect a student’s ability to safety undertake field work</w:t>
      </w:r>
      <w:r w:rsidR="00E15F1B">
        <w:t xml:space="preserve">. </w:t>
      </w:r>
      <w:r w:rsidR="003E0206">
        <w:t xml:space="preserve">Such </w:t>
      </w:r>
      <w:r w:rsidR="009E607E">
        <w:t>important</w:t>
      </w:r>
      <w:r w:rsidR="003E0206">
        <w:t xml:space="preserve"> issues</w:t>
      </w:r>
      <w:r w:rsidR="00E15F1B">
        <w:t xml:space="preserve">, and the </w:t>
      </w:r>
      <w:r w:rsidR="009E607E">
        <w:t>subsequent</w:t>
      </w:r>
      <w:r w:rsidR="00E15F1B">
        <w:t xml:space="preserve"> questions of legal responsibility (Robinson et al., 2016), </w:t>
      </w:r>
      <w:r w:rsidR="003E0206">
        <w:t xml:space="preserve">may prove critical as to whether </w:t>
      </w:r>
      <w:r w:rsidR="00E15F1B">
        <w:t xml:space="preserve">Geography </w:t>
      </w:r>
      <w:r w:rsidR="003E0206">
        <w:t>faculty choose to integrate field-based teaching into their modules</w:t>
      </w:r>
      <w:r w:rsidR="00503353">
        <w:t xml:space="preserve"> and programmes</w:t>
      </w:r>
      <w:r w:rsidR="00E15F1B">
        <w:t xml:space="preserve"> at overseas institutions</w:t>
      </w:r>
      <w:r w:rsidR="00503353">
        <w:t xml:space="preserve">. A compromising approach </w:t>
      </w:r>
      <w:r w:rsidR="003E0206">
        <w:t>is for flying facult</w:t>
      </w:r>
      <w:r w:rsidR="00503353">
        <w:t>y</w:t>
      </w:r>
      <w:r w:rsidR="003E0206">
        <w:t xml:space="preserve"> to make use of any campus-based opportunities (Table 2)</w:t>
      </w:r>
      <w:r w:rsidR="009E607E">
        <w:t>, which</w:t>
      </w:r>
      <w:r w:rsidR="003E0206">
        <w:t xml:space="preserve"> enable </w:t>
      </w:r>
      <w:r w:rsidR="009E607E">
        <w:t>learning</w:t>
      </w:r>
      <w:r w:rsidR="003E0206">
        <w:t xml:space="preserve"> outcomes to be met whilst </w:t>
      </w:r>
      <w:r w:rsidR="009E607E">
        <w:t>working</w:t>
      </w:r>
      <w:r w:rsidR="003E0206">
        <w:t xml:space="preserve"> in a </w:t>
      </w:r>
      <w:r w:rsidR="009E607E">
        <w:t>comparatively</w:t>
      </w:r>
      <w:r w:rsidR="003E0206">
        <w:t xml:space="preserve"> ‘safe’ environment</w:t>
      </w:r>
      <w:r w:rsidR="00955138">
        <w:t xml:space="preserve">, </w:t>
      </w:r>
      <w:r w:rsidR="003E0206">
        <w:t xml:space="preserve">where help is </w:t>
      </w:r>
      <w:r w:rsidR="009E607E">
        <w:t>more easily</w:t>
      </w:r>
      <w:r w:rsidR="003E0206">
        <w:t xml:space="preserve"> accessible</w:t>
      </w:r>
      <w:r>
        <w:t xml:space="preserve"> and the risks associ</w:t>
      </w:r>
      <w:r w:rsidR="00F954A7">
        <w:t>a</w:t>
      </w:r>
      <w:r>
        <w:t xml:space="preserve">ted with field-based activities can be more easily mitigated. </w:t>
      </w:r>
      <w:r w:rsidR="003E0206">
        <w:t xml:space="preserve"> </w:t>
      </w:r>
    </w:p>
    <w:p w:rsidR="00A7635E" w:rsidRDefault="00E574D8" w:rsidP="004530E7">
      <w:pPr>
        <w:spacing w:line="480" w:lineRule="auto"/>
      </w:pPr>
      <w:r>
        <w:t xml:space="preserve">Field work also presents some interesting </w:t>
      </w:r>
      <w:r w:rsidR="009E607E">
        <w:t>challenges</w:t>
      </w:r>
      <w:r>
        <w:t xml:space="preserve"> from the point of view of the interaction between UK</w:t>
      </w:r>
      <w:r w:rsidR="00BC3F60">
        <w:t xml:space="preserve"> </w:t>
      </w:r>
      <w:r>
        <w:t>and Chinese staff in the field, and the pedagogical and professional development of our Chinese colleagues. Field teaching is something w</w:t>
      </w:r>
      <w:r w:rsidR="009835B4">
        <w:t>h</w:t>
      </w:r>
      <w:r>
        <w:t xml:space="preserve">ich Chinese teachers tend to little have experience of, hence the opportunity to spend time in the field </w:t>
      </w:r>
      <w:r>
        <w:lastRenderedPageBreak/>
        <w:t xml:space="preserve">with </w:t>
      </w:r>
      <w:r w:rsidR="002C1471">
        <w:t xml:space="preserve">their </w:t>
      </w:r>
      <w:r w:rsidR="009E607E">
        <w:t>students</w:t>
      </w:r>
      <w:r w:rsidR="002C1471">
        <w:t xml:space="preserve"> alongside </w:t>
      </w:r>
      <w:r>
        <w:t xml:space="preserve">UK-based </w:t>
      </w:r>
      <w:r w:rsidR="009E607E">
        <w:t>academics</w:t>
      </w:r>
      <w:r>
        <w:t xml:space="preserve"> was seen as </w:t>
      </w:r>
      <w:r w:rsidR="00276631">
        <w:t>very ‘novel’ a</w:t>
      </w:r>
      <w:r>
        <w:t>n</w:t>
      </w:r>
      <w:r w:rsidR="00276631">
        <w:t>d</w:t>
      </w:r>
      <w:r>
        <w:t xml:space="preserve"> </w:t>
      </w:r>
      <w:r w:rsidR="009E607E">
        <w:t>exciting</w:t>
      </w:r>
      <w:r w:rsidR="00276631">
        <w:t xml:space="preserve">, so </w:t>
      </w:r>
      <w:r w:rsidR="00E15F1B">
        <w:t xml:space="preserve">novel that several Chinese </w:t>
      </w:r>
      <w:r w:rsidR="00AF4DD1">
        <w:t>F</w:t>
      </w:r>
      <w:r w:rsidR="00E15F1B">
        <w:t>aculty b</w:t>
      </w:r>
      <w:r w:rsidR="00276631">
        <w:t>ought along friends and family</w:t>
      </w:r>
      <w:r w:rsidR="00955138">
        <w:t xml:space="preserve"> for the day</w:t>
      </w:r>
      <w:r w:rsidR="002C1471">
        <w:t xml:space="preserve">. </w:t>
      </w:r>
      <w:r w:rsidR="009835B4">
        <w:t xml:space="preserve">In some cases the novelty of this experience for some Chinese teachers resulted in them being </w:t>
      </w:r>
      <w:r w:rsidR="00955138">
        <w:t xml:space="preserve">very </w:t>
      </w:r>
      <w:r w:rsidR="009835B4">
        <w:t xml:space="preserve">quick to answer questions posed by the UK academics, when these questions were actually intended for the students. </w:t>
      </w:r>
      <w:r w:rsidR="00466B22">
        <w:t xml:space="preserve">It also led to conflicts between the Chinese teachers wanting to use the field equipment provided by UK-based faculty, instead of allowing their students to use the equipment first. </w:t>
      </w:r>
      <w:r w:rsidR="00E15F1B">
        <w:t xml:space="preserve">These </w:t>
      </w:r>
      <w:r w:rsidR="004C638E">
        <w:t>experience</w:t>
      </w:r>
      <w:r w:rsidR="00E15F1B">
        <w:t>s</w:t>
      </w:r>
      <w:r w:rsidR="004C638E">
        <w:t xml:space="preserve"> shows that the</w:t>
      </w:r>
      <w:r w:rsidR="003E0206">
        <w:t xml:space="preserve"> Chinese </w:t>
      </w:r>
      <w:r w:rsidR="0098688C">
        <w:t>F</w:t>
      </w:r>
      <w:r w:rsidR="004D69F0">
        <w:t xml:space="preserve">aculty </w:t>
      </w:r>
      <w:r w:rsidR="00E15F1B">
        <w:t xml:space="preserve">are </w:t>
      </w:r>
      <w:r w:rsidR="004D69F0">
        <w:t>ke</w:t>
      </w:r>
      <w:r w:rsidR="008553DF">
        <w:t>e</w:t>
      </w:r>
      <w:r w:rsidR="004D69F0">
        <w:t xml:space="preserve">n to engage in </w:t>
      </w:r>
      <w:r w:rsidR="00A7635E">
        <w:t xml:space="preserve">such </w:t>
      </w:r>
      <w:r w:rsidR="009E607E">
        <w:t>activities</w:t>
      </w:r>
      <w:r w:rsidR="00A7635E">
        <w:t xml:space="preserve"> and enhance their own professional practice, but that this needs careful management to ensure that this is not at the expense of the</w:t>
      </w:r>
      <w:r w:rsidR="0098688C">
        <w:t>ir</w:t>
      </w:r>
      <w:r w:rsidR="00A7635E">
        <w:t xml:space="preserve"> students own </w:t>
      </w:r>
      <w:r w:rsidR="009E607E">
        <w:t>learning</w:t>
      </w:r>
      <w:r w:rsidR="00955138">
        <w:t xml:space="preserve"> experiences</w:t>
      </w:r>
      <w:r w:rsidR="00A7635E">
        <w:t xml:space="preserve">. </w:t>
      </w:r>
    </w:p>
    <w:p w:rsidR="00CD47A0" w:rsidRPr="00CD47A0" w:rsidRDefault="00595EC3" w:rsidP="004530E7">
      <w:pPr>
        <w:spacing w:line="480" w:lineRule="auto"/>
        <w:rPr>
          <w:b/>
        </w:rPr>
      </w:pPr>
      <w:r>
        <w:rPr>
          <w:b/>
        </w:rPr>
        <w:t>Summary</w:t>
      </w:r>
      <w:r w:rsidR="00CD47A0" w:rsidRPr="00CD47A0">
        <w:rPr>
          <w:b/>
        </w:rPr>
        <w:t xml:space="preserve"> and Conclusions</w:t>
      </w:r>
    </w:p>
    <w:p w:rsidR="00EB3056" w:rsidRDefault="00EB3056" w:rsidP="004530E7">
      <w:pPr>
        <w:spacing w:line="480" w:lineRule="auto"/>
      </w:pPr>
      <w:r w:rsidRPr="001C50FE">
        <w:rPr>
          <w:rFonts w:eastAsia="MS Mincho"/>
          <w:lang w:eastAsia="ja-JP"/>
        </w:rPr>
        <w:t xml:space="preserve">Teaching </w:t>
      </w:r>
      <w:r w:rsidRPr="001C50FE">
        <w:t xml:space="preserve">in an unfamiliar environment brings with it a plethora of challenges, such as the more limited access to information technology and resources, the long </w:t>
      </w:r>
      <w:r w:rsidR="00955138">
        <w:t xml:space="preserve">and intensive teaching </w:t>
      </w:r>
      <w:r w:rsidRPr="001C50FE">
        <w:t>hours</w:t>
      </w:r>
      <w:r w:rsidR="00955138">
        <w:t xml:space="preserve">, </w:t>
      </w:r>
      <w:r w:rsidRPr="001C50FE">
        <w:t>the difficulties in contacting and liaising with UK-based colleagues, the perception of the ‘teacher as king’ and ‘fountain of all knowledge’, and the language and cultural differences faced in everyday situations and decision making, and</w:t>
      </w:r>
      <w:r>
        <w:t xml:space="preserve"> </w:t>
      </w:r>
      <w:r w:rsidRPr="001C50FE">
        <w:t xml:space="preserve">a </w:t>
      </w:r>
      <w:r w:rsidR="009E607E" w:rsidRPr="001C50FE">
        <w:t>significant</w:t>
      </w:r>
      <w:r w:rsidRPr="001C50FE">
        <w:t xml:space="preserve"> body of research now exists around the teaching and </w:t>
      </w:r>
      <w:r w:rsidR="009E607E" w:rsidRPr="001C50FE">
        <w:t>learning</w:t>
      </w:r>
      <w:r w:rsidRPr="001C50FE">
        <w:t xml:space="preserve"> experiences of flying faculty from across a range of disciplines (e.g., </w:t>
      </w:r>
      <w:r w:rsidRPr="001C50FE">
        <w:rPr>
          <w:color w:val="231F20"/>
          <w:lang w:eastAsia="en-GB"/>
        </w:rPr>
        <w:t xml:space="preserve">Bodycott and Walker 2000; </w:t>
      </w:r>
      <w:r w:rsidR="00EF4E5C" w:rsidRPr="001C50FE">
        <w:rPr>
          <w:color w:val="231F20"/>
          <w:lang w:eastAsia="en-GB"/>
        </w:rPr>
        <w:t xml:space="preserve">Dunn and Wallace 2006, 2008; </w:t>
      </w:r>
      <w:r w:rsidRPr="001C50FE">
        <w:rPr>
          <w:color w:val="231F20"/>
          <w:lang w:eastAsia="en-GB"/>
        </w:rPr>
        <w:t xml:space="preserve">Gribble and Ziguras 2003; Prowse and Goddard 2010; Smith, 2009; </w:t>
      </w:r>
      <w:r w:rsidR="00955B51">
        <w:rPr>
          <w:color w:val="231F20"/>
          <w:lang w:eastAsia="en-GB"/>
        </w:rPr>
        <w:t xml:space="preserve">2013; </w:t>
      </w:r>
      <w:r w:rsidRPr="001C50FE">
        <w:rPr>
          <w:color w:val="231F20"/>
          <w:lang w:eastAsia="en-GB"/>
        </w:rPr>
        <w:t xml:space="preserve">2014). </w:t>
      </w:r>
      <w:r w:rsidR="00A0287F">
        <w:rPr>
          <w:color w:val="231F20"/>
          <w:lang w:eastAsia="en-GB"/>
        </w:rPr>
        <w:t xml:space="preserve">However, for Geography and related disciplines, active </w:t>
      </w:r>
      <w:r w:rsidR="009E607E">
        <w:rPr>
          <w:color w:val="231F20"/>
          <w:lang w:eastAsia="en-GB"/>
        </w:rPr>
        <w:t>engagement</w:t>
      </w:r>
      <w:r w:rsidR="00A0287F">
        <w:rPr>
          <w:color w:val="231F20"/>
          <w:lang w:eastAsia="en-GB"/>
        </w:rPr>
        <w:t xml:space="preserve"> with the external world through field-based learning is a unique, and perhaps the most </w:t>
      </w:r>
      <w:r w:rsidR="009E607E">
        <w:rPr>
          <w:color w:val="231F20"/>
          <w:lang w:eastAsia="en-GB"/>
        </w:rPr>
        <w:t>challenging</w:t>
      </w:r>
      <w:r w:rsidR="00A0287F">
        <w:rPr>
          <w:color w:val="231F20"/>
          <w:lang w:eastAsia="en-GB"/>
        </w:rPr>
        <w:t xml:space="preserve"> aspect, of any flying faculty’s overseas teaching and </w:t>
      </w:r>
      <w:r w:rsidR="009E607E">
        <w:rPr>
          <w:color w:val="231F20"/>
          <w:lang w:eastAsia="en-GB"/>
        </w:rPr>
        <w:t>learning</w:t>
      </w:r>
      <w:r w:rsidR="00A0287F">
        <w:rPr>
          <w:color w:val="231F20"/>
          <w:lang w:eastAsia="en-GB"/>
        </w:rPr>
        <w:t xml:space="preserve"> experience. It is nonetheless an </w:t>
      </w:r>
      <w:r w:rsidR="009E607E">
        <w:rPr>
          <w:color w:val="231F20"/>
          <w:lang w:eastAsia="en-GB"/>
        </w:rPr>
        <w:t>important</w:t>
      </w:r>
      <w:r w:rsidR="00955138">
        <w:rPr>
          <w:color w:val="231F20"/>
          <w:lang w:eastAsia="en-GB"/>
        </w:rPr>
        <w:t xml:space="preserve"> aspect of a students’ </w:t>
      </w:r>
      <w:r w:rsidR="00A0287F">
        <w:rPr>
          <w:color w:val="231F20"/>
          <w:lang w:eastAsia="en-GB"/>
        </w:rPr>
        <w:t xml:space="preserve">Geographical </w:t>
      </w:r>
      <w:r w:rsidR="009E607E">
        <w:rPr>
          <w:color w:val="231F20"/>
          <w:lang w:eastAsia="en-GB"/>
        </w:rPr>
        <w:t>learning</w:t>
      </w:r>
      <w:r w:rsidR="00A0287F">
        <w:rPr>
          <w:color w:val="231F20"/>
          <w:lang w:eastAsia="en-GB"/>
        </w:rPr>
        <w:t xml:space="preserve"> experience, and critical if </w:t>
      </w:r>
      <w:r w:rsidR="00A0287F">
        <w:t xml:space="preserve">they are to </w:t>
      </w:r>
      <w:r w:rsidR="009E607E">
        <w:t>subsequently</w:t>
      </w:r>
      <w:r w:rsidR="00A0287F">
        <w:t xml:space="preserve"> </w:t>
      </w:r>
      <w:r w:rsidR="009E607E">
        <w:t>transition</w:t>
      </w:r>
      <w:r w:rsidR="00A0287F">
        <w:t xml:space="preserve"> to UK HE and/or </w:t>
      </w:r>
      <w:r w:rsidR="009E607E">
        <w:t>receive</w:t>
      </w:r>
      <w:r w:rsidR="00A0287F">
        <w:t xml:space="preserve"> a degree by a UK-based awarding institution. </w:t>
      </w:r>
      <w:r w:rsidR="009E607E">
        <w:rPr>
          <w:color w:val="231F20"/>
          <w:lang w:eastAsia="en-GB"/>
        </w:rPr>
        <w:t>Critical reflection on these experiences from a variety of different perspectives (</w:t>
      </w:r>
      <w:r w:rsidR="009E607E">
        <w:t>self-reflection, student feedback, our colleagues' experiences</w:t>
      </w:r>
      <w:r w:rsidR="00EF4E5C">
        <w:t>, fi</w:t>
      </w:r>
      <w:r w:rsidR="00C52C93">
        <w:t>e</w:t>
      </w:r>
      <w:r w:rsidR="00EF4E5C">
        <w:t>l</w:t>
      </w:r>
      <w:r w:rsidR="00C52C93">
        <w:t xml:space="preserve">d-based learning and </w:t>
      </w:r>
      <w:r w:rsidR="00C52C93">
        <w:lastRenderedPageBreak/>
        <w:t xml:space="preserve">teaching in the international classroom), </w:t>
      </w:r>
      <w:r w:rsidR="009E607E">
        <w:t xml:space="preserve">enables us, as academic practitioners to adapt our teaching and learning methods and to facilitate our students to move towards a more </w:t>
      </w:r>
      <w:r w:rsidR="009E607E" w:rsidRPr="009876BB">
        <w:t>student-centred</w:t>
      </w:r>
      <w:r w:rsidR="009E607E">
        <w:t xml:space="preserve"> approach to learning (Brookfield, 1995). </w:t>
      </w:r>
      <w:r w:rsidR="00AF4DD1">
        <w:rPr>
          <w:bCs/>
        </w:rPr>
        <w:t xml:space="preserve">Dunn </w:t>
      </w:r>
      <w:r w:rsidR="00A7635E">
        <w:rPr>
          <w:bCs/>
        </w:rPr>
        <w:t>and Wallace (200</w:t>
      </w:r>
      <w:r w:rsidR="00955B51">
        <w:rPr>
          <w:bCs/>
        </w:rPr>
        <w:t>6</w:t>
      </w:r>
      <w:r w:rsidR="00A7635E">
        <w:rPr>
          <w:bCs/>
        </w:rPr>
        <w:t xml:space="preserve">) and Smith (2009) highlight how reflection on our </w:t>
      </w:r>
      <w:r w:rsidR="00A7635E">
        <w:t xml:space="preserve">international experiences can enhance our own professional practice at home. </w:t>
      </w:r>
      <w:r>
        <w:t>M</w:t>
      </w:r>
      <w:r>
        <w:rPr>
          <w:bCs/>
        </w:rPr>
        <w:t>y own experience</w:t>
      </w:r>
      <w:r w:rsidR="00A7635E">
        <w:rPr>
          <w:bCs/>
        </w:rPr>
        <w:t>s of teaching in China have</w:t>
      </w:r>
      <w:r>
        <w:rPr>
          <w:bCs/>
        </w:rPr>
        <w:t xml:space="preserve"> increased my self-esteem and self confidence</w:t>
      </w:r>
      <w:r w:rsidR="00A7635E">
        <w:rPr>
          <w:bCs/>
        </w:rPr>
        <w:t xml:space="preserve">, </w:t>
      </w:r>
      <w:r>
        <w:rPr>
          <w:bCs/>
        </w:rPr>
        <w:t>and enhanced my transition to a more facilitative teaching-approach (Branning, 2005</w:t>
      </w:r>
      <w:r w:rsidR="00A7635E">
        <w:rPr>
          <w:bCs/>
        </w:rPr>
        <w:t xml:space="preserve">). </w:t>
      </w:r>
      <w:r>
        <w:rPr>
          <w:bCs/>
        </w:rPr>
        <w:t xml:space="preserve">I am also </w:t>
      </w:r>
      <w:r w:rsidR="00A7635E">
        <w:rPr>
          <w:bCs/>
        </w:rPr>
        <w:t xml:space="preserve">much </w:t>
      </w:r>
      <w:r>
        <w:rPr>
          <w:bCs/>
        </w:rPr>
        <w:t>more conscious of the cultural differences and diverse learning needs of interna</w:t>
      </w:r>
      <w:r w:rsidR="00A7635E">
        <w:rPr>
          <w:bCs/>
        </w:rPr>
        <w:t>tional students in the UK</w:t>
      </w:r>
      <w:r>
        <w:rPr>
          <w:bCs/>
        </w:rPr>
        <w:t xml:space="preserve"> classroom. As Geographers, we often feel that our own teaching and learning materials are </w:t>
      </w:r>
      <w:r w:rsidR="009E607E">
        <w:rPr>
          <w:bCs/>
        </w:rPr>
        <w:t>inherently</w:t>
      </w:r>
      <w:r>
        <w:rPr>
          <w:bCs/>
        </w:rPr>
        <w:t xml:space="preserve"> ‘international’ and inclusive in outlook, because we frequently use examples </w:t>
      </w:r>
      <w:r w:rsidR="00A7635E">
        <w:rPr>
          <w:bCs/>
        </w:rPr>
        <w:t xml:space="preserve">of </w:t>
      </w:r>
      <w:r>
        <w:rPr>
          <w:bCs/>
        </w:rPr>
        <w:t xml:space="preserve">our own </w:t>
      </w:r>
      <w:r w:rsidR="009E607E">
        <w:rPr>
          <w:bCs/>
        </w:rPr>
        <w:t>research</w:t>
      </w:r>
      <w:r>
        <w:rPr>
          <w:bCs/>
        </w:rPr>
        <w:t xml:space="preserve"> from around the World. Nonetheless, my flying faculty experience</w:t>
      </w:r>
      <w:r w:rsidR="00A7635E">
        <w:rPr>
          <w:bCs/>
        </w:rPr>
        <w:t>s</w:t>
      </w:r>
      <w:r>
        <w:rPr>
          <w:bCs/>
        </w:rPr>
        <w:t xml:space="preserve"> in China </w:t>
      </w:r>
      <w:r w:rsidR="00A7635E">
        <w:rPr>
          <w:bCs/>
        </w:rPr>
        <w:t xml:space="preserve">have </w:t>
      </w:r>
      <w:r>
        <w:rPr>
          <w:bCs/>
        </w:rPr>
        <w:t xml:space="preserve">highlighted the acute </w:t>
      </w:r>
      <w:r w:rsidR="00A7635E">
        <w:rPr>
          <w:bCs/>
        </w:rPr>
        <w:t>‘</w:t>
      </w:r>
      <w:r>
        <w:rPr>
          <w:bCs/>
        </w:rPr>
        <w:t>Western’ or ‘</w:t>
      </w:r>
      <w:r w:rsidRPr="00B63B69">
        <w:rPr>
          <w:bCs/>
        </w:rPr>
        <w:t>Eurocentric</w:t>
      </w:r>
      <w:r>
        <w:rPr>
          <w:bCs/>
        </w:rPr>
        <w:t>’</w:t>
      </w:r>
      <w:r w:rsidRPr="00B63B69">
        <w:rPr>
          <w:bCs/>
        </w:rPr>
        <w:t xml:space="preserve"> focus</w:t>
      </w:r>
      <w:r>
        <w:rPr>
          <w:bCs/>
        </w:rPr>
        <w:t xml:space="preserve"> of much of my own teaching and learning materials</w:t>
      </w:r>
      <w:r w:rsidR="00A7635E">
        <w:rPr>
          <w:bCs/>
        </w:rPr>
        <w:t xml:space="preserve"> and this has </w:t>
      </w:r>
      <w:r w:rsidR="009E607E">
        <w:rPr>
          <w:bCs/>
        </w:rPr>
        <w:t>subsequently</w:t>
      </w:r>
      <w:r>
        <w:rPr>
          <w:bCs/>
        </w:rPr>
        <w:t xml:space="preserve"> led to adaptations to make them more inclusive of </w:t>
      </w:r>
      <w:r w:rsidR="009E607E">
        <w:rPr>
          <w:bCs/>
        </w:rPr>
        <w:t>international</w:t>
      </w:r>
      <w:r>
        <w:rPr>
          <w:bCs/>
        </w:rPr>
        <w:t xml:space="preserve"> </w:t>
      </w:r>
      <w:r w:rsidR="009E607E">
        <w:rPr>
          <w:bCs/>
        </w:rPr>
        <w:t>students</w:t>
      </w:r>
      <w:r>
        <w:rPr>
          <w:bCs/>
        </w:rPr>
        <w:t xml:space="preserve"> in the UK classroom. </w:t>
      </w:r>
      <w:r>
        <w:t>U</w:t>
      </w:r>
      <w:r>
        <w:rPr>
          <w:bCs/>
        </w:rPr>
        <w:t xml:space="preserve">ltimately, staff with international teaching experience are in a strong position to enhance the internationalisation of their own institution’s curricula, and to breakdown some of the perceived barriers between </w:t>
      </w:r>
      <w:r w:rsidRPr="00B406AC">
        <w:t>Western and Asian educational systems</w:t>
      </w:r>
      <w:r>
        <w:t xml:space="preserve">. </w:t>
      </w:r>
      <w:r>
        <w:rPr>
          <w:bCs/>
        </w:rPr>
        <w:t xml:space="preserve"> </w:t>
      </w:r>
    </w:p>
    <w:p w:rsidR="00844842" w:rsidRDefault="00844842" w:rsidP="004530E7">
      <w:pPr>
        <w:spacing w:line="480" w:lineRule="auto"/>
        <w:rPr>
          <w:b/>
        </w:rPr>
      </w:pPr>
    </w:p>
    <w:p w:rsidR="00955138" w:rsidRDefault="00844842" w:rsidP="004530E7">
      <w:pPr>
        <w:spacing w:line="480" w:lineRule="auto"/>
        <w:rPr>
          <w:b/>
        </w:rPr>
      </w:pPr>
      <w:r w:rsidRPr="00844842">
        <w:rPr>
          <w:b/>
        </w:rPr>
        <w:t>Acknowledgements:</w:t>
      </w:r>
    </w:p>
    <w:p w:rsidR="00844842" w:rsidRDefault="00844842" w:rsidP="00844842">
      <w:pPr>
        <w:spacing w:line="480" w:lineRule="auto"/>
      </w:pPr>
      <w:r>
        <w:t xml:space="preserve">The author would like to thank colleagues who contributed to the session </w:t>
      </w:r>
      <w:r w:rsidRPr="00844842">
        <w:t>‘</w:t>
      </w:r>
      <w:r w:rsidRPr="00844842">
        <w:rPr>
          <w:i/>
          <w:iCs/>
        </w:rPr>
        <w:t>Creating global students: Internationalisation of curricula in Higher Education</w:t>
      </w:r>
      <w:r w:rsidRPr="00844842">
        <w:t>’</w:t>
      </w:r>
      <w:r>
        <w:t xml:space="preserve"> at the Royal Geographical Society annual conference in </w:t>
      </w:r>
      <w:r w:rsidR="005F042A">
        <w:t>S</w:t>
      </w:r>
      <w:r>
        <w:t xml:space="preserve">eptember 2015 for their insightful discussions. Thanks are also due to </w:t>
      </w:r>
      <w:r w:rsidRPr="00B63B69">
        <w:t xml:space="preserve">colleagues who have contributed to discussions on our collective experiences </w:t>
      </w:r>
      <w:r>
        <w:t xml:space="preserve">as flying faculty </w:t>
      </w:r>
      <w:r w:rsidRPr="00B63B69">
        <w:t xml:space="preserve">in China.  </w:t>
      </w:r>
      <w:r w:rsidR="00955B51">
        <w:t xml:space="preserve">This manuscript was improved by the constructive comments of two anonymous </w:t>
      </w:r>
      <w:r w:rsidR="00353B61">
        <w:t>reviewers</w:t>
      </w:r>
      <w:r w:rsidR="00955B51">
        <w:t xml:space="preserve">. </w:t>
      </w:r>
    </w:p>
    <w:p w:rsidR="004B5393" w:rsidRPr="00A7635E" w:rsidRDefault="004B5393" w:rsidP="004530E7">
      <w:pPr>
        <w:spacing w:line="480" w:lineRule="auto"/>
        <w:rPr>
          <w:b/>
        </w:rPr>
      </w:pPr>
      <w:r w:rsidRPr="00A7635E">
        <w:rPr>
          <w:b/>
        </w:rPr>
        <w:t xml:space="preserve">References: </w:t>
      </w:r>
    </w:p>
    <w:p w:rsidR="00C96DA9" w:rsidRPr="00C96DA9" w:rsidRDefault="00C96DA9" w:rsidP="004530E7">
      <w:pPr>
        <w:autoSpaceDE w:val="0"/>
        <w:autoSpaceDN w:val="0"/>
        <w:adjustRightInd w:val="0"/>
        <w:spacing w:after="0" w:line="480" w:lineRule="auto"/>
        <w:rPr>
          <w:lang w:eastAsia="en-GB"/>
        </w:rPr>
      </w:pPr>
      <w:r w:rsidRPr="00C96DA9">
        <w:rPr>
          <w:lang w:eastAsia="en-GB"/>
        </w:rPr>
        <w:lastRenderedPageBreak/>
        <w:t>Adler, P.S. (1975). The transitional experience. An alternative view of culture shock.</w:t>
      </w:r>
    </w:p>
    <w:p w:rsidR="00C96DA9" w:rsidRPr="00C96DA9" w:rsidRDefault="00C96DA9" w:rsidP="004530E7">
      <w:pPr>
        <w:autoSpaceDE w:val="0"/>
        <w:autoSpaceDN w:val="0"/>
        <w:adjustRightInd w:val="0"/>
        <w:spacing w:after="0" w:line="480" w:lineRule="auto"/>
        <w:rPr>
          <w:lang w:eastAsia="en-GB"/>
        </w:rPr>
      </w:pPr>
      <w:r w:rsidRPr="0017249B">
        <w:rPr>
          <w:i/>
          <w:lang w:eastAsia="en-GB"/>
        </w:rPr>
        <w:t>Humanistic Psychology</w:t>
      </w:r>
      <w:r w:rsidRPr="00C96DA9">
        <w:rPr>
          <w:lang w:eastAsia="en-GB"/>
        </w:rPr>
        <w:t xml:space="preserve">, </w:t>
      </w:r>
      <w:r w:rsidRPr="00FE1DD9">
        <w:rPr>
          <w:i/>
          <w:lang w:eastAsia="en-GB"/>
        </w:rPr>
        <w:t>15</w:t>
      </w:r>
      <w:r w:rsidRPr="00C96DA9">
        <w:rPr>
          <w:lang w:eastAsia="en-GB"/>
        </w:rPr>
        <w:t>(4), 13–24.</w:t>
      </w:r>
      <w:r w:rsidR="00FE1DD9">
        <w:rPr>
          <w:lang w:eastAsia="en-GB"/>
        </w:rPr>
        <w:t xml:space="preserve"> </w:t>
      </w:r>
      <w:r w:rsidR="00FE1DD9" w:rsidRPr="00FE1DD9">
        <w:rPr>
          <w:bCs/>
          <w:lang w:eastAsia="en-GB"/>
        </w:rPr>
        <w:t>doi: 10.1177/002216787501500403</w:t>
      </w:r>
    </w:p>
    <w:p w:rsidR="005A1139" w:rsidRDefault="005A1139" w:rsidP="005A1139">
      <w:pPr>
        <w:autoSpaceDE w:val="0"/>
        <w:autoSpaceDN w:val="0"/>
        <w:adjustRightInd w:val="0"/>
        <w:spacing w:after="0" w:line="480" w:lineRule="auto"/>
        <w:rPr>
          <w:color w:val="231F20"/>
          <w:lang w:eastAsia="en-GB"/>
        </w:rPr>
      </w:pPr>
    </w:p>
    <w:p w:rsidR="00FE1DD9" w:rsidRPr="00FE1DD9" w:rsidRDefault="00B96A72" w:rsidP="005A1139">
      <w:pPr>
        <w:autoSpaceDE w:val="0"/>
        <w:autoSpaceDN w:val="0"/>
        <w:adjustRightInd w:val="0"/>
        <w:spacing w:after="0" w:line="480" w:lineRule="auto"/>
        <w:rPr>
          <w:color w:val="231F20"/>
          <w:lang w:eastAsia="en-GB"/>
        </w:rPr>
      </w:pPr>
      <w:r w:rsidRPr="00C96DA9">
        <w:rPr>
          <w:color w:val="231F20"/>
          <w:lang w:eastAsia="en-GB"/>
        </w:rPr>
        <w:t>Bodycott, P.</w:t>
      </w:r>
      <w:r w:rsidR="00FE1DD9">
        <w:rPr>
          <w:color w:val="231F20"/>
          <w:lang w:eastAsia="en-GB"/>
        </w:rPr>
        <w:t xml:space="preserve"> </w:t>
      </w:r>
      <w:r w:rsidRPr="00C96DA9">
        <w:rPr>
          <w:color w:val="231F20"/>
          <w:lang w:eastAsia="en-GB"/>
        </w:rPr>
        <w:t>and Walker</w:t>
      </w:r>
      <w:r w:rsidR="00FE1DD9">
        <w:rPr>
          <w:color w:val="231F20"/>
          <w:lang w:eastAsia="en-GB"/>
        </w:rPr>
        <w:t>, A</w:t>
      </w:r>
      <w:r w:rsidRPr="00C96DA9">
        <w:rPr>
          <w:color w:val="231F20"/>
          <w:lang w:eastAsia="en-GB"/>
        </w:rPr>
        <w:t xml:space="preserve">. </w:t>
      </w:r>
      <w:r w:rsidR="00132148">
        <w:rPr>
          <w:color w:val="231F20"/>
          <w:lang w:eastAsia="en-GB"/>
        </w:rPr>
        <w:t>(</w:t>
      </w:r>
      <w:r w:rsidRPr="00C96DA9">
        <w:rPr>
          <w:color w:val="231F20"/>
          <w:lang w:eastAsia="en-GB"/>
        </w:rPr>
        <w:t>2000</w:t>
      </w:r>
      <w:r w:rsidR="00132148">
        <w:rPr>
          <w:color w:val="231F20"/>
          <w:lang w:eastAsia="en-GB"/>
        </w:rPr>
        <w:t>)</w:t>
      </w:r>
      <w:r w:rsidRPr="00C96DA9">
        <w:rPr>
          <w:color w:val="231F20"/>
          <w:lang w:eastAsia="en-GB"/>
        </w:rPr>
        <w:t xml:space="preserve">. Teaching abroad: Lessons learned about inter-cultural understanding for teachers in higher education. </w:t>
      </w:r>
      <w:r w:rsidRPr="0017249B">
        <w:rPr>
          <w:i/>
          <w:color w:val="231F20"/>
          <w:lang w:eastAsia="en-GB"/>
        </w:rPr>
        <w:t>Teaching in Higher Educatio</w:t>
      </w:r>
      <w:r w:rsidR="0017249B">
        <w:rPr>
          <w:i/>
          <w:color w:val="231F20"/>
          <w:lang w:eastAsia="en-GB"/>
        </w:rPr>
        <w:t>n</w:t>
      </w:r>
      <w:r w:rsidR="009E607E">
        <w:rPr>
          <w:i/>
          <w:color w:val="231F20"/>
          <w:lang w:eastAsia="en-GB"/>
        </w:rPr>
        <w:t>,</w:t>
      </w:r>
      <w:r w:rsidR="009E607E" w:rsidRPr="00FE1DD9">
        <w:rPr>
          <w:i/>
          <w:color w:val="231F20"/>
          <w:lang w:eastAsia="en-GB"/>
        </w:rPr>
        <w:t xml:space="preserve"> 5</w:t>
      </w:r>
      <w:r w:rsidR="0017249B">
        <w:rPr>
          <w:color w:val="231F20"/>
          <w:lang w:eastAsia="en-GB"/>
        </w:rPr>
        <w:t>(1)</w:t>
      </w:r>
      <w:r w:rsidR="00FE1DD9">
        <w:rPr>
          <w:color w:val="231F20"/>
          <w:lang w:eastAsia="en-GB"/>
        </w:rPr>
        <w:t xml:space="preserve">, </w:t>
      </w:r>
      <w:r w:rsidR="0017249B">
        <w:rPr>
          <w:color w:val="231F20"/>
          <w:lang w:eastAsia="en-GB"/>
        </w:rPr>
        <w:t>7</w:t>
      </w:r>
      <w:r w:rsidRPr="00C96DA9">
        <w:rPr>
          <w:color w:val="231F20"/>
          <w:lang w:eastAsia="en-GB"/>
        </w:rPr>
        <w:t>9–94.</w:t>
      </w:r>
      <w:r w:rsidR="00FE1DD9">
        <w:rPr>
          <w:color w:val="231F20"/>
          <w:lang w:eastAsia="en-GB"/>
        </w:rPr>
        <w:t xml:space="preserve"> </w:t>
      </w:r>
      <w:hyperlink r:id="rId8" w:history="1">
        <w:r w:rsidR="00FE1DD9" w:rsidRPr="00FE1DD9">
          <w:rPr>
            <w:rStyle w:val="Hyperlink"/>
            <w:color w:val="auto"/>
            <w:u w:val="none"/>
            <w:lang w:eastAsia="en-GB"/>
          </w:rPr>
          <w:t>doi: 10.1080/135625100114975</w:t>
        </w:r>
      </w:hyperlink>
    </w:p>
    <w:p w:rsidR="00B96A72" w:rsidRPr="00C96DA9" w:rsidRDefault="00B96A72" w:rsidP="004530E7">
      <w:pPr>
        <w:autoSpaceDE w:val="0"/>
        <w:autoSpaceDN w:val="0"/>
        <w:adjustRightInd w:val="0"/>
        <w:spacing w:after="0" w:line="480" w:lineRule="auto"/>
      </w:pPr>
    </w:p>
    <w:p w:rsidR="00C96DA9" w:rsidRPr="00C96DA9" w:rsidRDefault="00C96DA9" w:rsidP="004530E7">
      <w:pPr>
        <w:spacing w:line="480" w:lineRule="auto"/>
      </w:pPr>
      <w:r w:rsidRPr="00C96DA9">
        <w:t xml:space="preserve">Branning, M. </w:t>
      </w:r>
      <w:r w:rsidR="00132148">
        <w:t>(</w:t>
      </w:r>
      <w:r w:rsidRPr="00C96DA9">
        <w:t>2005</w:t>
      </w:r>
      <w:r w:rsidR="00132148">
        <w:t>)</w:t>
      </w:r>
      <w:r w:rsidRPr="00C96DA9">
        <w:t xml:space="preserve">. Approaches to teaching: current opinions and related research. </w:t>
      </w:r>
      <w:r w:rsidRPr="00C96DA9">
        <w:rPr>
          <w:i/>
        </w:rPr>
        <w:t>Nurse Education Today</w:t>
      </w:r>
      <w:r w:rsidRPr="00C96DA9">
        <w:t>, 25(7)</w:t>
      </w:r>
      <w:r w:rsidR="00FE1DD9">
        <w:t xml:space="preserve">, </w:t>
      </w:r>
      <w:r w:rsidRPr="00C96DA9">
        <w:t>502-508.</w:t>
      </w:r>
      <w:r w:rsidR="00FE1DD9">
        <w:t xml:space="preserve"> doi: </w:t>
      </w:r>
      <w:r w:rsidR="00FE1DD9" w:rsidRPr="00FE1DD9">
        <w:t>10.1016/j.nedt.2005.03.007</w:t>
      </w:r>
    </w:p>
    <w:p w:rsidR="00102BD7" w:rsidRDefault="00102BD7" w:rsidP="004530E7">
      <w:pPr>
        <w:spacing w:line="480" w:lineRule="auto"/>
      </w:pPr>
      <w:r w:rsidRPr="00C96DA9">
        <w:t xml:space="preserve">Brookfield, S. </w:t>
      </w:r>
      <w:r w:rsidR="00132148">
        <w:t>(</w:t>
      </w:r>
      <w:r w:rsidRPr="00C96DA9">
        <w:t>1995</w:t>
      </w:r>
      <w:r w:rsidR="00132148">
        <w:t>)</w:t>
      </w:r>
      <w:r w:rsidRPr="00C96DA9">
        <w:t xml:space="preserve">. Becoming a critically reflective teacher. John Wiley and Sons.  </w:t>
      </w:r>
    </w:p>
    <w:p w:rsidR="004B5393" w:rsidRDefault="004B5393" w:rsidP="004530E7">
      <w:pPr>
        <w:spacing w:line="480" w:lineRule="auto"/>
      </w:pPr>
      <w:r w:rsidRPr="00C96DA9">
        <w:t xml:space="preserve">Drew, S., N. Tang, G. Poole, and B. Willis. </w:t>
      </w:r>
      <w:r w:rsidR="00132148">
        <w:t>(</w:t>
      </w:r>
      <w:r w:rsidRPr="00C96DA9">
        <w:t>2006</w:t>
      </w:r>
      <w:r w:rsidR="00132148">
        <w:t>)</w:t>
      </w:r>
      <w:r w:rsidRPr="00C96DA9">
        <w:t>. Transnational education – UK higher education institutions’ response to increasing global demand.</w:t>
      </w:r>
      <w:r w:rsidR="00B27D5D">
        <w:t xml:space="preserve"> Retrieved from: </w:t>
      </w:r>
      <w:r w:rsidRPr="00C96DA9">
        <w:t xml:space="preserve"> </w:t>
      </w:r>
      <w:hyperlink r:id="rId9" w:history="1">
        <w:r w:rsidR="00A30865" w:rsidRPr="00676FD1">
          <w:rPr>
            <w:rStyle w:val="Hyperlink"/>
          </w:rPr>
          <w:t>http://www.britishcouncil.org/eumd-information-research-tne-uk-he.htm</w:t>
        </w:r>
      </w:hyperlink>
    </w:p>
    <w:p w:rsidR="00FE1DD9" w:rsidRPr="00FE1DD9" w:rsidRDefault="00B96A72" w:rsidP="005A1139">
      <w:pPr>
        <w:autoSpaceDE w:val="0"/>
        <w:autoSpaceDN w:val="0"/>
        <w:adjustRightInd w:val="0"/>
        <w:spacing w:after="0" w:line="480" w:lineRule="auto"/>
        <w:rPr>
          <w:color w:val="231F20"/>
          <w:lang w:eastAsia="en-GB"/>
        </w:rPr>
      </w:pPr>
      <w:r w:rsidRPr="00C96DA9">
        <w:rPr>
          <w:color w:val="231F20"/>
          <w:lang w:eastAsia="en-GB"/>
        </w:rPr>
        <w:t xml:space="preserve">Dunn, L., and M. Wallace. </w:t>
      </w:r>
      <w:r w:rsidR="00132148">
        <w:rPr>
          <w:color w:val="231F20"/>
          <w:lang w:eastAsia="en-GB"/>
        </w:rPr>
        <w:t>(</w:t>
      </w:r>
      <w:r w:rsidRPr="00C96DA9">
        <w:rPr>
          <w:color w:val="231F20"/>
          <w:lang w:eastAsia="en-GB"/>
        </w:rPr>
        <w:t>2006</w:t>
      </w:r>
      <w:r w:rsidR="00132148">
        <w:rPr>
          <w:color w:val="231F20"/>
          <w:lang w:eastAsia="en-GB"/>
        </w:rPr>
        <w:t>)</w:t>
      </w:r>
      <w:r w:rsidRPr="00C96DA9">
        <w:rPr>
          <w:color w:val="231F20"/>
          <w:lang w:eastAsia="en-GB"/>
        </w:rPr>
        <w:t xml:space="preserve">. Australian academics and transnational teaching: An exploratory study of their preparedness and experience. </w:t>
      </w:r>
      <w:r w:rsidRPr="00A30865">
        <w:rPr>
          <w:i/>
          <w:color w:val="231F20"/>
          <w:lang w:eastAsia="en-GB"/>
        </w:rPr>
        <w:t>Higher Education Research and Development</w:t>
      </w:r>
      <w:r w:rsidR="00A30865">
        <w:rPr>
          <w:i/>
          <w:color w:val="231F20"/>
          <w:lang w:eastAsia="en-GB"/>
        </w:rPr>
        <w:t xml:space="preserve">, </w:t>
      </w:r>
      <w:r w:rsidRPr="00FE1DD9">
        <w:rPr>
          <w:i/>
          <w:color w:val="231F20"/>
          <w:lang w:eastAsia="en-GB"/>
        </w:rPr>
        <w:t>25</w:t>
      </w:r>
      <w:r w:rsidR="00A30865" w:rsidRPr="00FE1DD9">
        <w:rPr>
          <w:lang w:eastAsia="en-GB"/>
        </w:rPr>
        <w:t>(</w:t>
      </w:r>
      <w:r w:rsidRPr="00FE1DD9">
        <w:rPr>
          <w:lang w:eastAsia="en-GB"/>
        </w:rPr>
        <w:t>4</w:t>
      </w:r>
      <w:r w:rsidR="00A30865" w:rsidRPr="00FE1DD9">
        <w:rPr>
          <w:lang w:eastAsia="en-GB"/>
        </w:rPr>
        <w:t>)</w:t>
      </w:r>
      <w:r w:rsidR="00FE1DD9">
        <w:rPr>
          <w:lang w:eastAsia="en-GB"/>
        </w:rPr>
        <w:t xml:space="preserve">, </w:t>
      </w:r>
      <w:r w:rsidRPr="00FE1DD9">
        <w:rPr>
          <w:lang w:eastAsia="en-GB"/>
        </w:rPr>
        <w:t>357–69.</w:t>
      </w:r>
      <w:r w:rsidR="00FE1DD9" w:rsidRPr="00FE1DD9">
        <w:rPr>
          <w:lang w:eastAsia="en-GB"/>
        </w:rPr>
        <w:t xml:space="preserve"> doi: </w:t>
      </w:r>
      <w:r w:rsidR="00FE1DD9" w:rsidRPr="00FE1DD9">
        <w:t>10.1080/07294360600947343</w:t>
      </w:r>
    </w:p>
    <w:p w:rsidR="00B96A72" w:rsidRPr="00C96DA9" w:rsidRDefault="00B96A72" w:rsidP="004530E7">
      <w:pPr>
        <w:autoSpaceDE w:val="0"/>
        <w:autoSpaceDN w:val="0"/>
        <w:adjustRightInd w:val="0"/>
        <w:spacing w:after="0" w:line="480" w:lineRule="auto"/>
        <w:rPr>
          <w:color w:val="231F20"/>
          <w:lang w:eastAsia="en-GB"/>
        </w:rPr>
      </w:pPr>
    </w:p>
    <w:p w:rsidR="00B96A72" w:rsidRPr="00C96DA9" w:rsidRDefault="00B96A72" w:rsidP="004530E7">
      <w:pPr>
        <w:autoSpaceDE w:val="0"/>
        <w:autoSpaceDN w:val="0"/>
        <w:adjustRightInd w:val="0"/>
        <w:spacing w:after="0" w:line="480" w:lineRule="auto"/>
        <w:rPr>
          <w:color w:val="231F20"/>
          <w:lang w:eastAsia="en-GB"/>
        </w:rPr>
      </w:pPr>
      <w:r w:rsidRPr="00C96DA9">
        <w:rPr>
          <w:color w:val="231F20"/>
          <w:lang w:eastAsia="en-GB"/>
        </w:rPr>
        <w:t xml:space="preserve">Dunn, L., and M. Wallace. </w:t>
      </w:r>
      <w:r w:rsidR="00132148">
        <w:rPr>
          <w:color w:val="231F20"/>
          <w:lang w:eastAsia="en-GB"/>
        </w:rPr>
        <w:t>(</w:t>
      </w:r>
      <w:r w:rsidRPr="00C96DA9">
        <w:rPr>
          <w:color w:val="231F20"/>
          <w:lang w:eastAsia="en-GB"/>
        </w:rPr>
        <w:t>2008</w:t>
      </w:r>
      <w:r w:rsidR="00132148">
        <w:rPr>
          <w:color w:val="231F20"/>
          <w:lang w:eastAsia="en-GB"/>
        </w:rPr>
        <w:t>)</w:t>
      </w:r>
      <w:r w:rsidRPr="00C96DA9">
        <w:rPr>
          <w:color w:val="231F20"/>
          <w:lang w:eastAsia="en-GB"/>
        </w:rPr>
        <w:t xml:space="preserve">. </w:t>
      </w:r>
      <w:r w:rsidRPr="00B27D5D">
        <w:rPr>
          <w:i/>
          <w:color w:val="231F20"/>
          <w:lang w:eastAsia="en-GB"/>
        </w:rPr>
        <w:t>Intercultural communities of practice</w:t>
      </w:r>
      <w:r w:rsidRPr="00C96DA9">
        <w:rPr>
          <w:color w:val="231F20"/>
          <w:lang w:eastAsia="en-GB"/>
        </w:rPr>
        <w:t xml:space="preserve">. In </w:t>
      </w:r>
      <w:r w:rsidR="00B27D5D">
        <w:rPr>
          <w:color w:val="231F20"/>
          <w:lang w:eastAsia="en-GB"/>
        </w:rPr>
        <w:t xml:space="preserve">L. Dunn and M.Wallace (Eds.) </w:t>
      </w:r>
      <w:r w:rsidRPr="00B27D5D">
        <w:rPr>
          <w:i/>
          <w:color w:val="231F20"/>
          <w:lang w:eastAsia="en-GB"/>
        </w:rPr>
        <w:t>Teaching in transnational education: Enhancing learning for offshore international students</w:t>
      </w:r>
      <w:r w:rsidR="00B27D5D">
        <w:rPr>
          <w:color w:val="231F20"/>
          <w:lang w:eastAsia="en-GB"/>
        </w:rPr>
        <w:t xml:space="preserve"> (</w:t>
      </w:r>
      <w:r w:rsidRPr="00C96DA9">
        <w:rPr>
          <w:color w:val="231F20"/>
          <w:lang w:eastAsia="en-GB"/>
        </w:rPr>
        <w:t>249–60</w:t>
      </w:r>
      <w:r w:rsidR="00B27D5D">
        <w:rPr>
          <w:color w:val="231F20"/>
          <w:lang w:eastAsia="en-GB"/>
        </w:rPr>
        <w:t>)</w:t>
      </w:r>
      <w:r w:rsidRPr="00C96DA9">
        <w:rPr>
          <w:color w:val="231F20"/>
          <w:lang w:eastAsia="en-GB"/>
        </w:rPr>
        <w:t>. London: Routledge.</w:t>
      </w:r>
    </w:p>
    <w:p w:rsidR="00B96A72" w:rsidRPr="00C96DA9" w:rsidRDefault="00B96A72" w:rsidP="004530E7">
      <w:pPr>
        <w:autoSpaceDE w:val="0"/>
        <w:autoSpaceDN w:val="0"/>
        <w:adjustRightInd w:val="0"/>
        <w:spacing w:after="0" w:line="480" w:lineRule="auto"/>
        <w:rPr>
          <w:color w:val="231F20"/>
          <w:lang w:eastAsia="en-GB"/>
        </w:rPr>
      </w:pPr>
    </w:p>
    <w:p w:rsidR="00177B36" w:rsidRPr="00C96DA9" w:rsidRDefault="00177B36" w:rsidP="004530E7">
      <w:pPr>
        <w:spacing w:line="480" w:lineRule="auto"/>
      </w:pPr>
      <w:r w:rsidRPr="00C96DA9">
        <w:t xml:space="preserve">Festinger, L. </w:t>
      </w:r>
      <w:r w:rsidR="00132148">
        <w:t>(</w:t>
      </w:r>
      <w:r w:rsidRPr="00C96DA9">
        <w:t>1957</w:t>
      </w:r>
      <w:r w:rsidR="00132148">
        <w:t>)</w:t>
      </w:r>
      <w:r w:rsidRPr="00C96DA9">
        <w:t>. A theory of cognitive dissonance. Stanford, California: Stanford University Press.</w:t>
      </w:r>
    </w:p>
    <w:p w:rsidR="00FE1DD9" w:rsidRPr="00FE1DD9" w:rsidRDefault="0017249B" w:rsidP="005A1139">
      <w:pPr>
        <w:autoSpaceDE w:val="0"/>
        <w:autoSpaceDN w:val="0"/>
        <w:adjustRightInd w:val="0"/>
        <w:spacing w:after="0" w:line="480" w:lineRule="auto"/>
      </w:pPr>
      <w:r>
        <w:t xml:space="preserve">Fuller, I., Edmonson, S., France, D., Higgit, D., and Ratinen, I. </w:t>
      </w:r>
      <w:r w:rsidR="00132148">
        <w:t>(</w:t>
      </w:r>
      <w:r>
        <w:t>2006</w:t>
      </w:r>
      <w:r w:rsidR="00132148">
        <w:t>)</w:t>
      </w:r>
      <w:r>
        <w:t xml:space="preserve">. </w:t>
      </w:r>
      <w:r w:rsidR="00B96A72" w:rsidRPr="00C96DA9">
        <w:t>International Perspectives on the Effectiveness of Geography Fieldwork for Learning</w:t>
      </w:r>
      <w:r w:rsidR="00FE1DD9">
        <w:t xml:space="preserve">. </w:t>
      </w:r>
      <w:r w:rsidR="00B96A72" w:rsidRPr="00FE1DD9">
        <w:rPr>
          <w:i/>
        </w:rPr>
        <w:t>Journal of Ge</w:t>
      </w:r>
      <w:r w:rsidRPr="00FE1DD9">
        <w:rPr>
          <w:i/>
        </w:rPr>
        <w:t>ography in Higher Education, 30</w:t>
      </w:r>
      <w:r>
        <w:t>(</w:t>
      </w:r>
      <w:r w:rsidR="00B96A72" w:rsidRPr="00C96DA9">
        <w:t>1</w:t>
      </w:r>
      <w:r>
        <w:t>)</w:t>
      </w:r>
      <w:r w:rsidR="00FE1DD9">
        <w:t xml:space="preserve">, </w:t>
      </w:r>
      <w:r>
        <w:t>89-101.</w:t>
      </w:r>
      <w:r w:rsidR="00FE1DD9">
        <w:t xml:space="preserve"> doi: </w:t>
      </w:r>
      <w:r w:rsidR="00FE1DD9" w:rsidRPr="00FE1DD9">
        <w:t>10.1080/03098260500499667</w:t>
      </w:r>
    </w:p>
    <w:p w:rsidR="00B96A72" w:rsidRPr="00C96DA9" w:rsidRDefault="00B96A72" w:rsidP="004530E7">
      <w:pPr>
        <w:autoSpaceDE w:val="0"/>
        <w:autoSpaceDN w:val="0"/>
        <w:adjustRightInd w:val="0"/>
        <w:spacing w:after="0" w:line="480" w:lineRule="auto"/>
        <w:rPr>
          <w:color w:val="231F20"/>
          <w:lang w:eastAsia="en-GB"/>
        </w:rPr>
      </w:pPr>
    </w:p>
    <w:p w:rsidR="004B5393" w:rsidRPr="00C96DA9" w:rsidRDefault="00B96A72" w:rsidP="004530E7">
      <w:pPr>
        <w:autoSpaceDE w:val="0"/>
        <w:autoSpaceDN w:val="0"/>
        <w:adjustRightInd w:val="0"/>
        <w:spacing w:after="0" w:line="480" w:lineRule="auto"/>
        <w:rPr>
          <w:color w:val="231F20"/>
          <w:lang w:eastAsia="en-GB"/>
        </w:rPr>
      </w:pPr>
      <w:r w:rsidRPr="00C96DA9">
        <w:rPr>
          <w:color w:val="231F20"/>
          <w:lang w:eastAsia="en-GB"/>
        </w:rPr>
        <w:t xml:space="preserve">Gribble, K., and C. Ziguras. </w:t>
      </w:r>
      <w:r w:rsidR="00132148">
        <w:rPr>
          <w:color w:val="231F20"/>
          <w:lang w:eastAsia="en-GB"/>
        </w:rPr>
        <w:t>(</w:t>
      </w:r>
      <w:r w:rsidRPr="00C96DA9">
        <w:rPr>
          <w:color w:val="231F20"/>
          <w:lang w:eastAsia="en-GB"/>
        </w:rPr>
        <w:t>2003</w:t>
      </w:r>
      <w:r w:rsidR="00132148">
        <w:rPr>
          <w:color w:val="231F20"/>
          <w:lang w:eastAsia="en-GB"/>
        </w:rPr>
        <w:t>)</w:t>
      </w:r>
      <w:r w:rsidRPr="00C96DA9">
        <w:rPr>
          <w:color w:val="231F20"/>
          <w:lang w:eastAsia="en-GB"/>
        </w:rPr>
        <w:t xml:space="preserve">. Learning to teach offshore: Pre-departure training for lecturers in transnational programs. </w:t>
      </w:r>
      <w:r w:rsidRPr="00A30865">
        <w:rPr>
          <w:i/>
          <w:color w:val="231F20"/>
          <w:lang w:eastAsia="en-GB"/>
        </w:rPr>
        <w:t>Higher Education Research and Development</w:t>
      </w:r>
      <w:r w:rsidR="00A30865">
        <w:rPr>
          <w:color w:val="231F20"/>
          <w:lang w:eastAsia="en-GB"/>
        </w:rPr>
        <w:t xml:space="preserve">, </w:t>
      </w:r>
      <w:r w:rsidRPr="00C96DA9">
        <w:rPr>
          <w:color w:val="231F20"/>
          <w:lang w:eastAsia="en-GB"/>
        </w:rPr>
        <w:t>22</w:t>
      </w:r>
      <w:r w:rsidR="00A30865">
        <w:rPr>
          <w:color w:val="231F20"/>
          <w:lang w:eastAsia="en-GB"/>
        </w:rPr>
        <w:t>(</w:t>
      </w:r>
      <w:r w:rsidRPr="00C96DA9">
        <w:rPr>
          <w:color w:val="231F20"/>
          <w:lang w:eastAsia="en-GB"/>
        </w:rPr>
        <w:t>2</w:t>
      </w:r>
      <w:r w:rsidR="00A30865">
        <w:rPr>
          <w:color w:val="231F20"/>
          <w:lang w:eastAsia="en-GB"/>
        </w:rPr>
        <w:t>)</w:t>
      </w:r>
      <w:r w:rsidRPr="00C96DA9">
        <w:rPr>
          <w:color w:val="231F20"/>
          <w:lang w:eastAsia="en-GB"/>
        </w:rPr>
        <w:t xml:space="preserve">: 205–16. </w:t>
      </w:r>
    </w:p>
    <w:p w:rsidR="0017249B" w:rsidRDefault="0017249B" w:rsidP="004530E7">
      <w:pPr>
        <w:spacing w:line="480" w:lineRule="auto"/>
        <w:rPr>
          <w:lang w:val="en-US"/>
        </w:rPr>
      </w:pPr>
    </w:p>
    <w:p w:rsidR="00FE1DD9" w:rsidRPr="00FE1DD9" w:rsidRDefault="00177B36" w:rsidP="005A1139">
      <w:pPr>
        <w:spacing w:line="480" w:lineRule="auto"/>
      </w:pPr>
      <w:r w:rsidRPr="00C96DA9">
        <w:rPr>
          <w:lang w:val="en-US"/>
        </w:rPr>
        <w:t xml:space="preserve">Hayes, K., King, E. and Richardson, J.T.E. </w:t>
      </w:r>
      <w:r w:rsidR="00132148">
        <w:rPr>
          <w:lang w:val="en-US"/>
        </w:rPr>
        <w:t>(</w:t>
      </w:r>
      <w:r w:rsidRPr="00C96DA9">
        <w:rPr>
          <w:lang w:val="en-US"/>
        </w:rPr>
        <w:t>1997</w:t>
      </w:r>
      <w:r w:rsidR="00132148">
        <w:rPr>
          <w:lang w:val="en-US"/>
        </w:rPr>
        <w:t>)</w:t>
      </w:r>
      <w:r w:rsidRPr="00C96DA9">
        <w:rPr>
          <w:lang w:val="en-US"/>
        </w:rPr>
        <w:t xml:space="preserve">. Mature students in Higher Education, II: Approaches to studying in access students, </w:t>
      </w:r>
      <w:r w:rsidRPr="00C96DA9">
        <w:rPr>
          <w:i/>
          <w:iCs/>
          <w:lang w:val="en-US"/>
        </w:rPr>
        <w:t>Studies in Higher Education</w:t>
      </w:r>
      <w:r w:rsidRPr="00C96DA9">
        <w:rPr>
          <w:lang w:val="en-US"/>
        </w:rPr>
        <w:t xml:space="preserve">, </w:t>
      </w:r>
      <w:r w:rsidRPr="00FE1DD9">
        <w:rPr>
          <w:i/>
          <w:lang w:val="en-US"/>
        </w:rPr>
        <w:t>22</w:t>
      </w:r>
      <w:r w:rsidRPr="00C96DA9">
        <w:rPr>
          <w:lang w:val="en-US"/>
        </w:rPr>
        <w:t>(1)</w:t>
      </w:r>
      <w:r w:rsidR="00FE1DD9">
        <w:rPr>
          <w:lang w:val="en-US"/>
        </w:rPr>
        <w:t xml:space="preserve">, </w:t>
      </w:r>
      <w:r w:rsidRPr="00C96DA9">
        <w:rPr>
          <w:lang w:val="en-US"/>
        </w:rPr>
        <w:t>19–31</w:t>
      </w:r>
      <w:r w:rsidR="00A30865">
        <w:rPr>
          <w:lang w:val="en-US"/>
        </w:rPr>
        <w:t>.</w:t>
      </w:r>
      <w:r w:rsidR="00FE1DD9">
        <w:rPr>
          <w:lang w:val="en-US"/>
        </w:rPr>
        <w:t xml:space="preserve"> d</w:t>
      </w:r>
      <w:r w:rsidR="00FE1DD9" w:rsidRPr="00FE1DD9">
        <w:t>oi</w:t>
      </w:r>
      <w:r w:rsidR="00FE1DD9">
        <w:t>: 1</w:t>
      </w:r>
      <w:r w:rsidR="00FE1DD9" w:rsidRPr="00FE1DD9">
        <w:t>0.1080/07294360304115</w:t>
      </w:r>
    </w:p>
    <w:p w:rsidR="00177B36" w:rsidRPr="00C96DA9" w:rsidRDefault="00177B36" w:rsidP="004530E7">
      <w:pPr>
        <w:spacing w:line="480" w:lineRule="auto"/>
        <w:rPr>
          <w:lang w:val="en-US"/>
        </w:rPr>
      </w:pPr>
    </w:p>
    <w:p w:rsidR="00102BD7" w:rsidRDefault="00102BD7" w:rsidP="004530E7">
      <w:pPr>
        <w:spacing w:line="480" w:lineRule="auto"/>
      </w:pPr>
      <w:r w:rsidRPr="00C96DA9">
        <w:t>H</w:t>
      </w:r>
      <w:r w:rsidR="00132148">
        <w:t>igher Education Academy (</w:t>
      </w:r>
      <w:r w:rsidRPr="00C96DA9">
        <w:t>2014</w:t>
      </w:r>
      <w:r w:rsidR="00132148">
        <w:t>)</w:t>
      </w:r>
      <w:r w:rsidRPr="00C96DA9">
        <w:t xml:space="preserve">. Pedagogical theory – teaching international students. UK Higher Education Academy. </w:t>
      </w:r>
      <w:r w:rsidR="00B27D5D">
        <w:t xml:space="preserve">Retrieved from: </w:t>
      </w:r>
      <w:r w:rsidR="00B27D5D" w:rsidRPr="00B27D5D">
        <w:t xml:space="preserve"> </w:t>
      </w:r>
      <w:hyperlink r:id="rId10" w:history="1">
        <w:r w:rsidR="00B27D5D" w:rsidRPr="00912DC6">
          <w:rPr>
            <w:rStyle w:val="Hyperlink"/>
          </w:rPr>
          <w:t>https://www.heacademy.ac.uk/system/files/resources/pedagogic_theory_0.pdf</w:t>
        </w:r>
      </w:hyperlink>
    </w:p>
    <w:p w:rsidR="00FE1DD9" w:rsidRPr="00FE1DD9" w:rsidRDefault="0017249B" w:rsidP="005A1139">
      <w:pPr>
        <w:spacing w:line="480" w:lineRule="auto"/>
      </w:pPr>
      <w:r w:rsidRPr="0017249B">
        <w:t xml:space="preserve">Healey, M. And Jenkins, A. </w:t>
      </w:r>
      <w:r w:rsidR="00132148">
        <w:t>(</w:t>
      </w:r>
      <w:r w:rsidRPr="0017249B">
        <w:t>2000</w:t>
      </w:r>
      <w:r w:rsidR="00132148">
        <w:t>)</w:t>
      </w:r>
      <w:r w:rsidRPr="0017249B">
        <w:t>.</w:t>
      </w:r>
      <w:r w:rsidR="0070749E">
        <w:t xml:space="preserve"> </w:t>
      </w:r>
      <w:r w:rsidR="00102BD7" w:rsidRPr="0017249B">
        <w:t xml:space="preserve">Kolb's Experiential Learning Theory and Its Application in Geography in Higher Education. </w:t>
      </w:r>
      <w:r w:rsidR="00102BD7" w:rsidRPr="00A30865">
        <w:rPr>
          <w:i/>
        </w:rPr>
        <w:t>Journal of Geography</w:t>
      </w:r>
      <w:r>
        <w:t xml:space="preserve">, </w:t>
      </w:r>
      <w:r w:rsidRPr="00FE1DD9">
        <w:rPr>
          <w:i/>
        </w:rPr>
        <w:t>99</w:t>
      </w:r>
      <w:r>
        <w:t>(5)</w:t>
      </w:r>
      <w:r w:rsidR="00FE1DD9">
        <w:t>, 1</w:t>
      </w:r>
      <w:r w:rsidR="00102BD7" w:rsidRPr="0017249B">
        <w:t>85-195</w:t>
      </w:r>
      <w:r>
        <w:t>.</w:t>
      </w:r>
      <w:r w:rsidR="00FE1DD9">
        <w:t xml:space="preserve"> </w:t>
      </w:r>
      <w:r w:rsidR="00E94969">
        <w:t>do</w:t>
      </w:r>
      <w:r w:rsidR="00FE1DD9" w:rsidRPr="00FE1DD9">
        <w:t>i</w:t>
      </w:r>
      <w:r w:rsidR="00E94969">
        <w:t xml:space="preserve">: </w:t>
      </w:r>
      <w:r w:rsidR="00FE1DD9" w:rsidRPr="00FE1DD9">
        <w:t>10.1080/00221340008978967</w:t>
      </w:r>
    </w:p>
    <w:p w:rsidR="004B5393" w:rsidRPr="00C96DA9" w:rsidRDefault="004B5393" w:rsidP="004530E7">
      <w:pPr>
        <w:spacing w:line="480" w:lineRule="auto"/>
      </w:pPr>
      <w:r w:rsidRPr="00C96DA9">
        <w:t xml:space="preserve">Higher Education Statistics Agency (2015). First Statistical Release, 2013-2014. </w:t>
      </w:r>
      <w:r w:rsidR="00B27D5D">
        <w:t xml:space="preserve">Retrieved from: </w:t>
      </w:r>
      <w:hyperlink r:id="rId11" w:history="1">
        <w:r w:rsidRPr="00C96DA9">
          <w:rPr>
            <w:rStyle w:val="Hyperlink"/>
          </w:rPr>
          <w:t>https://www.hesa.ac.uk/</w:t>
        </w:r>
      </w:hyperlink>
    </w:p>
    <w:p w:rsidR="00E94969" w:rsidRPr="00E94969" w:rsidRDefault="004B5393" w:rsidP="005A1139">
      <w:pPr>
        <w:spacing w:line="480" w:lineRule="auto"/>
      </w:pPr>
      <w:r w:rsidRPr="00C96DA9">
        <w:t xml:space="preserve">Hill, C., Cheong, K-C., Leong, Y-C. and Fernandez-Chung, R. (2014). TNE – Trans-national education or tensions between national and external? A case study of Malaysia. </w:t>
      </w:r>
      <w:r w:rsidRPr="00A30865">
        <w:rPr>
          <w:i/>
        </w:rPr>
        <w:t>Studies in Higher Education</w:t>
      </w:r>
      <w:r w:rsidRPr="00C96DA9">
        <w:t xml:space="preserve">, </w:t>
      </w:r>
      <w:r w:rsidRPr="00E94969">
        <w:rPr>
          <w:i/>
        </w:rPr>
        <w:t>39</w:t>
      </w:r>
      <w:r w:rsidRPr="00C96DA9">
        <w:t>(6)</w:t>
      </w:r>
      <w:r w:rsidR="00E94969">
        <w:t xml:space="preserve">, </w:t>
      </w:r>
      <w:r w:rsidRPr="00C96DA9">
        <w:t>952–966.</w:t>
      </w:r>
      <w:r w:rsidR="00E94969">
        <w:t xml:space="preserve"> doi: </w:t>
      </w:r>
      <w:r w:rsidR="00E94969" w:rsidRPr="00E94969">
        <w:t>10.1080/03075079.2012.754862</w:t>
      </w:r>
    </w:p>
    <w:p w:rsidR="004B5393" w:rsidRPr="00C96DA9" w:rsidRDefault="004B5393" w:rsidP="004530E7">
      <w:pPr>
        <w:spacing w:line="480" w:lineRule="auto"/>
      </w:pPr>
    </w:p>
    <w:p w:rsidR="00E94969" w:rsidRPr="00C96DA9" w:rsidRDefault="00B96A72" w:rsidP="004530E7">
      <w:pPr>
        <w:spacing w:line="480" w:lineRule="auto"/>
      </w:pPr>
      <w:r w:rsidRPr="00C96DA9">
        <w:t xml:space="preserve">Hou, J. and McDowell, L. </w:t>
      </w:r>
      <w:r w:rsidR="00132148">
        <w:t>(</w:t>
      </w:r>
      <w:r w:rsidRPr="00C96DA9">
        <w:t>201</w:t>
      </w:r>
      <w:r w:rsidR="0070749E">
        <w:t>4</w:t>
      </w:r>
      <w:r w:rsidR="00132148">
        <w:t>)</w:t>
      </w:r>
      <w:r w:rsidRPr="00C96DA9">
        <w:t xml:space="preserve">. Learning together? Experiences on a China-UK articulation program in Engineering. </w:t>
      </w:r>
      <w:r w:rsidRPr="00A30865">
        <w:rPr>
          <w:i/>
        </w:rPr>
        <w:t>Journal of Studies in International Education</w:t>
      </w:r>
      <w:r w:rsidRPr="00C96DA9">
        <w:t xml:space="preserve">, </w:t>
      </w:r>
      <w:r w:rsidRPr="00E94969">
        <w:rPr>
          <w:i/>
        </w:rPr>
        <w:t>18</w:t>
      </w:r>
      <w:r w:rsidRPr="00C96DA9">
        <w:t>(3)</w:t>
      </w:r>
      <w:r w:rsidR="00E94969">
        <w:t xml:space="preserve">, </w:t>
      </w:r>
      <w:r w:rsidRPr="00C96DA9">
        <w:t>223-240.</w:t>
      </w:r>
      <w:r w:rsidR="00E94969">
        <w:t xml:space="preserve"> doi: </w:t>
      </w:r>
      <w:r w:rsidR="00E94969" w:rsidRPr="00E94969">
        <w:rPr>
          <w:bCs/>
        </w:rPr>
        <w:t>10.1177/1028315313497591</w:t>
      </w:r>
    </w:p>
    <w:p w:rsidR="00E94969" w:rsidRPr="00E94969" w:rsidRDefault="00B96A72" w:rsidP="005A1139">
      <w:pPr>
        <w:spacing w:line="480" w:lineRule="auto"/>
      </w:pPr>
      <w:r w:rsidRPr="00C96DA9">
        <w:lastRenderedPageBreak/>
        <w:t xml:space="preserve">Kent, M., Gilbertson, D.D. and Hunt, C.O. </w:t>
      </w:r>
      <w:r w:rsidR="00132148">
        <w:t>(</w:t>
      </w:r>
      <w:r w:rsidRPr="00C96DA9">
        <w:t>1997</w:t>
      </w:r>
      <w:r w:rsidR="00132148">
        <w:t>)</w:t>
      </w:r>
      <w:r w:rsidRPr="00C96DA9">
        <w:t xml:space="preserve">. Field work in Geography teaching: A critical review of the literature and approaches. </w:t>
      </w:r>
      <w:r w:rsidRPr="00C96DA9">
        <w:rPr>
          <w:i/>
        </w:rPr>
        <w:t>Journal of Geography in Higher Education</w:t>
      </w:r>
      <w:r w:rsidRPr="00C96DA9">
        <w:t xml:space="preserve">, </w:t>
      </w:r>
      <w:r w:rsidRPr="00E94969">
        <w:rPr>
          <w:i/>
        </w:rPr>
        <w:t>21</w:t>
      </w:r>
      <w:r w:rsidR="00E94969">
        <w:t xml:space="preserve">, </w:t>
      </w:r>
      <w:r w:rsidRPr="00C96DA9">
        <w:t xml:space="preserve">313 – 332. </w:t>
      </w:r>
      <w:r w:rsidR="00E94969">
        <w:t>d</w:t>
      </w:r>
      <w:r w:rsidR="00E94969" w:rsidRPr="00E94969">
        <w:t>oi</w:t>
      </w:r>
      <w:r w:rsidR="00E94969">
        <w:t xml:space="preserve">: </w:t>
      </w:r>
      <w:r w:rsidR="00E94969" w:rsidRPr="00E94969">
        <w:t>10.1080/03098269708725439</w:t>
      </w:r>
    </w:p>
    <w:p w:rsidR="0070749E" w:rsidRPr="00C96DA9" w:rsidRDefault="0070749E" w:rsidP="004530E7">
      <w:pPr>
        <w:spacing w:line="480" w:lineRule="auto"/>
      </w:pPr>
      <w:r w:rsidRPr="0070749E">
        <w:t>Kolb, D. A. (1984). </w:t>
      </w:r>
      <w:r w:rsidRPr="0070749E">
        <w:rPr>
          <w:i/>
          <w:iCs/>
        </w:rPr>
        <w:t>Experiential learning: Experience as the source of learning and development</w:t>
      </w:r>
      <w:r w:rsidRPr="0070749E">
        <w:t> (Vol. 1). Englewood Cliffs, NJ: Prentice-Hall.</w:t>
      </w:r>
    </w:p>
    <w:p w:rsidR="00E94969" w:rsidRPr="00E94969" w:rsidRDefault="00B96A72" w:rsidP="005A1139">
      <w:pPr>
        <w:spacing w:line="480" w:lineRule="auto"/>
      </w:pPr>
      <w:r w:rsidRPr="00C96DA9">
        <w:t xml:space="preserve">Lanelli, C. and Huang, J. (2014) Trends in participation and attainment of Chinese students in UK higher education. </w:t>
      </w:r>
      <w:r w:rsidRPr="00A30865">
        <w:rPr>
          <w:i/>
        </w:rPr>
        <w:t>Studies in Higher Education</w:t>
      </w:r>
      <w:r w:rsidRPr="00C96DA9">
        <w:t xml:space="preserve">, </w:t>
      </w:r>
      <w:r w:rsidRPr="00E94969">
        <w:rPr>
          <w:i/>
        </w:rPr>
        <w:t>39</w:t>
      </w:r>
      <w:r w:rsidRPr="00C96DA9">
        <w:t>(5)</w:t>
      </w:r>
      <w:r w:rsidR="00E94969">
        <w:t xml:space="preserve">, </w:t>
      </w:r>
      <w:r w:rsidRPr="00C96DA9">
        <w:t>805–822.</w:t>
      </w:r>
      <w:r w:rsidR="00E94969">
        <w:t xml:space="preserve"> doi: </w:t>
      </w:r>
      <w:r w:rsidR="00E94969" w:rsidRPr="00E94969">
        <w:t>10.1080/03075079.2012.754863</w:t>
      </w:r>
    </w:p>
    <w:p w:rsidR="00177B36" w:rsidRPr="00C96DA9" w:rsidRDefault="00177B36" w:rsidP="004530E7">
      <w:pPr>
        <w:spacing w:line="480" w:lineRule="auto"/>
      </w:pPr>
      <w:r w:rsidRPr="00C96DA9">
        <w:t xml:space="preserve">Maguire, S., Evans, S.E. and Dyas, L. </w:t>
      </w:r>
      <w:r w:rsidR="00132148">
        <w:t>(</w:t>
      </w:r>
      <w:r w:rsidRPr="00C96DA9">
        <w:t>2001</w:t>
      </w:r>
      <w:r w:rsidR="00132148">
        <w:t>)</w:t>
      </w:r>
      <w:r w:rsidRPr="00C96DA9">
        <w:t xml:space="preserve">. Approaches to learning: A study of first-year Geography undergraduates. </w:t>
      </w:r>
      <w:r w:rsidRPr="00C96DA9">
        <w:rPr>
          <w:i/>
        </w:rPr>
        <w:t>Journal of Geography in higher Education</w:t>
      </w:r>
      <w:r w:rsidRPr="00C96DA9">
        <w:t xml:space="preserve">, </w:t>
      </w:r>
      <w:r w:rsidRPr="00E94969">
        <w:rPr>
          <w:i/>
        </w:rPr>
        <w:t>25</w:t>
      </w:r>
      <w:r w:rsidRPr="00C96DA9">
        <w:t>(1)</w:t>
      </w:r>
      <w:r w:rsidR="00E94969">
        <w:t xml:space="preserve">, </w:t>
      </w:r>
      <w:r w:rsidRPr="00C96DA9">
        <w:t>95 – 107.</w:t>
      </w:r>
      <w:r w:rsidR="00E94969">
        <w:t xml:space="preserve"> d</w:t>
      </w:r>
      <w:r w:rsidR="00E94969" w:rsidRPr="00E94969">
        <w:t>oi</w:t>
      </w:r>
      <w:r w:rsidR="00E94969">
        <w:t xml:space="preserve">: </w:t>
      </w:r>
      <w:r w:rsidR="00E94969" w:rsidRPr="00E94969">
        <w:t>10.1080/03098260125539</w:t>
      </w:r>
    </w:p>
    <w:p w:rsidR="004B5393" w:rsidRPr="00C96DA9" w:rsidRDefault="004B5393" w:rsidP="004530E7">
      <w:pPr>
        <w:spacing w:line="480" w:lineRule="auto"/>
      </w:pPr>
      <w:r w:rsidRPr="00C96DA9">
        <w:t xml:space="preserve">McBurnie, G and Ziguras, C. </w:t>
      </w:r>
      <w:r w:rsidR="00132148">
        <w:t>(</w:t>
      </w:r>
      <w:r w:rsidRPr="00C96DA9">
        <w:t>2007</w:t>
      </w:r>
      <w:r w:rsidR="00132148">
        <w:t>)</w:t>
      </w:r>
      <w:r w:rsidRPr="00C96DA9">
        <w:t xml:space="preserve">. Transnational education: Issues and trends in offshore higher education. Routledge. 179 pp. </w:t>
      </w:r>
    </w:p>
    <w:p w:rsidR="00B96A72" w:rsidRDefault="00B96A72" w:rsidP="004530E7">
      <w:pPr>
        <w:spacing w:line="480" w:lineRule="auto"/>
        <w:rPr>
          <w:shd w:val="clear" w:color="auto" w:fill="FFFFFF"/>
        </w:rPr>
      </w:pPr>
      <w:r w:rsidRPr="00A7635E">
        <w:rPr>
          <w:shd w:val="clear" w:color="auto" w:fill="FFFFFF"/>
        </w:rPr>
        <w:t xml:space="preserve">Maskall J, </w:t>
      </w:r>
      <w:r w:rsidR="0070749E">
        <w:rPr>
          <w:shd w:val="clear" w:color="auto" w:fill="FFFFFF"/>
        </w:rPr>
        <w:t xml:space="preserve">and </w:t>
      </w:r>
      <w:r w:rsidRPr="00A7635E">
        <w:rPr>
          <w:shd w:val="clear" w:color="auto" w:fill="FFFFFF"/>
        </w:rPr>
        <w:t>Stokes</w:t>
      </w:r>
      <w:r w:rsidR="0070749E">
        <w:rPr>
          <w:shd w:val="clear" w:color="auto" w:fill="FFFFFF"/>
        </w:rPr>
        <w:t xml:space="preserve">, </w:t>
      </w:r>
      <w:r w:rsidRPr="00A7635E">
        <w:rPr>
          <w:shd w:val="clear" w:color="auto" w:fill="FFFFFF"/>
        </w:rPr>
        <w:t>A</w:t>
      </w:r>
      <w:r w:rsidR="0070749E">
        <w:rPr>
          <w:shd w:val="clear" w:color="auto" w:fill="FFFFFF"/>
        </w:rPr>
        <w:t xml:space="preserve">. </w:t>
      </w:r>
      <w:r w:rsidR="00132148">
        <w:rPr>
          <w:shd w:val="clear" w:color="auto" w:fill="FFFFFF"/>
        </w:rPr>
        <w:t>(</w:t>
      </w:r>
      <w:r w:rsidRPr="00A7635E">
        <w:rPr>
          <w:shd w:val="clear" w:color="auto" w:fill="FFFFFF"/>
        </w:rPr>
        <w:t>200</w:t>
      </w:r>
      <w:r w:rsidR="0070749E">
        <w:rPr>
          <w:shd w:val="clear" w:color="auto" w:fill="FFFFFF"/>
        </w:rPr>
        <w:t>8</w:t>
      </w:r>
      <w:r w:rsidR="00132148">
        <w:rPr>
          <w:shd w:val="clear" w:color="auto" w:fill="FFFFFF"/>
        </w:rPr>
        <w:t>)</w:t>
      </w:r>
      <w:r w:rsidR="0070749E">
        <w:rPr>
          <w:shd w:val="clear" w:color="auto" w:fill="FFFFFF"/>
        </w:rPr>
        <w:t xml:space="preserve">. </w:t>
      </w:r>
      <w:r w:rsidRPr="00A7635E">
        <w:rPr>
          <w:shd w:val="clear" w:color="auto" w:fill="FFFFFF"/>
        </w:rPr>
        <w:t xml:space="preserve">Designing effective fieldwork for the environmental sciences. </w:t>
      </w:r>
      <w:r w:rsidR="00E94969">
        <w:rPr>
          <w:shd w:val="clear" w:color="auto" w:fill="FFFFFF"/>
        </w:rPr>
        <w:t xml:space="preserve">Retrived from </w:t>
      </w:r>
      <w:r w:rsidRPr="00A7635E">
        <w:rPr>
          <w:shd w:val="clear" w:color="auto" w:fill="FFFFFF"/>
        </w:rPr>
        <w:t>Higher Education Academy Subject Centre for Geography, Earth and Environmental Sciences</w:t>
      </w:r>
      <w:r w:rsidR="00E94969">
        <w:rPr>
          <w:shd w:val="clear" w:color="auto" w:fill="FFFFFF"/>
        </w:rPr>
        <w:t xml:space="preserve">: </w:t>
      </w:r>
      <w:hyperlink r:id="rId12" w:history="1">
        <w:r w:rsidR="00E94969" w:rsidRPr="00912DC6">
          <w:rPr>
            <w:rStyle w:val="Hyperlink"/>
            <w:shd w:val="clear" w:color="auto" w:fill="FFFFFF"/>
          </w:rPr>
          <w:t>https://www.heacademy.ac.uk/resource/designing-effective-fieldwork-environmental-and-natural-sciences</w:t>
        </w:r>
      </w:hyperlink>
    </w:p>
    <w:p w:rsidR="00C96DA9" w:rsidRPr="00A30865" w:rsidRDefault="00C96DA9" w:rsidP="004530E7">
      <w:pPr>
        <w:autoSpaceDE w:val="0"/>
        <w:autoSpaceDN w:val="0"/>
        <w:adjustRightInd w:val="0"/>
        <w:spacing w:after="0" w:line="480" w:lineRule="auto"/>
        <w:rPr>
          <w:i/>
          <w:lang w:eastAsia="en-GB"/>
        </w:rPr>
      </w:pPr>
      <w:r w:rsidRPr="00C96DA9">
        <w:rPr>
          <w:lang w:eastAsia="en-GB"/>
        </w:rPr>
        <w:t xml:space="preserve">Oberg, K. (1960). Culture shock: Adjustment to new cultural environments. </w:t>
      </w:r>
      <w:r w:rsidRPr="00A30865">
        <w:rPr>
          <w:i/>
          <w:lang w:eastAsia="en-GB"/>
        </w:rPr>
        <w:t>Practical</w:t>
      </w:r>
    </w:p>
    <w:p w:rsidR="00C96DA9" w:rsidRDefault="00C96DA9" w:rsidP="004530E7">
      <w:pPr>
        <w:autoSpaceDE w:val="0"/>
        <w:autoSpaceDN w:val="0"/>
        <w:adjustRightInd w:val="0"/>
        <w:spacing w:after="0" w:line="480" w:lineRule="auto"/>
        <w:rPr>
          <w:lang w:eastAsia="en-GB"/>
        </w:rPr>
      </w:pPr>
      <w:r w:rsidRPr="00A30865">
        <w:rPr>
          <w:i/>
          <w:lang w:eastAsia="en-GB"/>
        </w:rPr>
        <w:t>Anthropology</w:t>
      </w:r>
      <w:r w:rsidRPr="00C96DA9">
        <w:rPr>
          <w:lang w:eastAsia="en-GB"/>
        </w:rPr>
        <w:t xml:space="preserve">, </w:t>
      </w:r>
      <w:r w:rsidRPr="00E94969">
        <w:rPr>
          <w:i/>
          <w:lang w:eastAsia="en-GB"/>
        </w:rPr>
        <w:t>7</w:t>
      </w:r>
      <w:r w:rsidR="00E94969">
        <w:rPr>
          <w:lang w:eastAsia="en-GB"/>
        </w:rPr>
        <w:t xml:space="preserve">, </w:t>
      </w:r>
      <w:r w:rsidR="00A30865">
        <w:rPr>
          <w:lang w:eastAsia="en-GB"/>
        </w:rPr>
        <w:t>1</w:t>
      </w:r>
      <w:r w:rsidRPr="00C96DA9">
        <w:rPr>
          <w:lang w:eastAsia="en-GB"/>
        </w:rPr>
        <w:t>77–182.</w:t>
      </w:r>
      <w:r w:rsidR="00E94969">
        <w:rPr>
          <w:lang w:eastAsia="en-GB"/>
        </w:rPr>
        <w:t xml:space="preserve"> Retrived from: </w:t>
      </w:r>
      <w:hyperlink r:id="rId13" w:history="1">
        <w:r w:rsidR="00E94969" w:rsidRPr="00912DC6">
          <w:rPr>
            <w:rStyle w:val="Hyperlink"/>
            <w:lang w:eastAsia="en-GB"/>
          </w:rPr>
          <w:t>http://www.transkulturellepsychiatrie.de/pdf/cu29,2+3_2006_S%20142-146%20Repr%20Oberg%20%25.pdf</w:t>
        </w:r>
      </w:hyperlink>
    </w:p>
    <w:p w:rsidR="00C96DA9" w:rsidRPr="00C96DA9" w:rsidRDefault="00C96DA9" w:rsidP="004530E7">
      <w:pPr>
        <w:autoSpaceDE w:val="0"/>
        <w:autoSpaceDN w:val="0"/>
        <w:adjustRightInd w:val="0"/>
        <w:spacing w:after="0" w:line="480" w:lineRule="auto"/>
        <w:rPr>
          <w:color w:val="231F20"/>
          <w:lang w:eastAsia="en-GB"/>
        </w:rPr>
      </w:pPr>
    </w:p>
    <w:p w:rsidR="00B96A72" w:rsidRDefault="00B96A72" w:rsidP="004530E7">
      <w:pPr>
        <w:autoSpaceDE w:val="0"/>
        <w:autoSpaceDN w:val="0"/>
        <w:adjustRightInd w:val="0"/>
        <w:spacing w:after="0" w:line="480" w:lineRule="auto"/>
        <w:rPr>
          <w:color w:val="231F20"/>
          <w:lang w:eastAsia="en-GB"/>
        </w:rPr>
      </w:pPr>
      <w:r w:rsidRPr="00C96DA9">
        <w:rPr>
          <w:color w:val="231F20"/>
          <w:lang w:eastAsia="en-GB"/>
        </w:rPr>
        <w:t xml:space="preserve">Prowse, J., and J.T. Goddard. </w:t>
      </w:r>
      <w:r w:rsidR="00132148">
        <w:rPr>
          <w:color w:val="231F20"/>
          <w:lang w:eastAsia="en-GB"/>
        </w:rPr>
        <w:t>(</w:t>
      </w:r>
      <w:r w:rsidRPr="00C96DA9">
        <w:rPr>
          <w:color w:val="231F20"/>
          <w:lang w:eastAsia="en-GB"/>
        </w:rPr>
        <w:t>2010</w:t>
      </w:r>
      <w:r w:rsidR="00132148">
        <w:rPr>
          <w:color w:val="231F20"/>
          <w:lang w:eastAsia="en-GB"/>
        </w:rPr>
        <w:t>)</w:t>
      </w:r>
      <w:r w:rsidRPr="00C96DA9">
        <w:rPr>
          <w:color w:val="231F20"/>
          <w:lang w:eastAsia="en-GB"/>
        </w:rPr>
        <w:t xml:space="preserve">. Teaching across cultures: Canada and Qatar. </w:t>
      </w:r>
      <w:r w:rsidRPr="00A30865">
        <w:rPr>
          <w:i/>
          <w:color w:val="231F20"/>
          <w:lang w:eastAsia="en-GB"/>
        </w:rPr>
        <w:t>Canadian Journal of Higher Education</w:t>
      </w:r>
      <w:r w:rsidR="00A30865">
        <w:rPr>
          <w:color w:val="231F20"/>
          <w:lang w:eastAsia="en-GB"/>
        </w:rPr>
        <w:t xml:space="preserve">, </w:t>
      </w:r>
      <w:r w:rsidR="00A30865" w:rsidRPr="00E94969">
        <w:rPr>
          <w:i/>
          <w:color w:val="231F20"/>
          <w:lang w:eastAsia="en-GB"/>
        </w:rPr>
        <w:t>4</w:t>
      </w:r>
      <w:r w:rsidRPr="00E94969">
        <w:rPr>
          <w:i/>
          <w:color w:val="231F20"/>
          <w:lang w:eastAsia="en-GB"/>
        </w:rPr>
        <w:t>0</w:t>
      </w:r>
      <w:r w:rsidR="00A30865">
        <w:rPr>
          <w:color w:val="231F20"/>
          <w:lang w:eastAsia="en-GB"/>
        </w:rPr>
        <w:t>(</w:t>
      </w:r>
      <w:r w:rsidRPr="00C96DA9">
        <w:rPr>
          <w:color w:val="231F20"/>
          <w:lang w:eastAsia="en-GB"/>
        </w:rPr>
        <w:t>1</w:t>
      </w:r>
      <w:r w:rsidR="00A30865">
        <w:rPr>
          <w:color w:val="231F20"/>
          <w:lang w:eastAsia="en-GB"/>
        </w:rPr>
        <w:t>)</w:t>
      </w:r>
      <w:r w:rsidR="00E94969">
        <w:rPr>
          <w:color w:val="231F20"/>
          <w:lang w:eastAsia="en-GB"/>
        </w:rPr>
        <w:t xml:space="preserve">, </w:t>
      </w:r>
      <w:r w:rsidRPr="00C96DA9">
        <w:rPr>
          <w:color w:val="231F20"/>
          <w:lang w:eastAsia="en-GB"/>
        </w:rPr>
        <w:t>31–52.</w:t>
      </w:r>
      <w:r w:rsidR="00E94969">
        <w:rPr>
          <w:color w:val="231F20"/>
          <w:lang w:eastAsia="en-GB"/>
        </w:rPr>
        <w:t xml:space="preserve"> Retrived from: </w:t>
      </w:r>
      <w:hyperlink r:id="rId14" w:history="1">
        <w:r w:rsidR="00E94969" w:rsidRPr="00912DC6">
          <w:rPr>
            <w:rStyle w:val="Hyperlink"/>
            <w:lang w:eastAsia="en-GB"/>
          </w:rPr>
          <w:t>http://journals.sfu.ca/cjhe/index.php/cjhe/article/view/1568</w:t>
        </w:r>
      </w:hyperlink>
    </w:p>
    <w:p w:rsidR="00B96A72" w:rsidRPr="00C96DA9" w:rsidRDefault="00B96A72" w:rsidP="004530E7">
      <w:pPr>
        <w:autoSpaceDE w:val="0"/>
        <w:autoSpaceDN w:val="0"/>
        <w:adjustRightInd w:val="0"/>
        <w:spacing w:after="0" w:line="480" w:lineRule="auto"/>
        <w:rPr>
          <w:lang w:eastAsia="en-GB"/>
        </w:rPr>
      </w:pPr>
    </w:p>
    <w:p w:rsidR="00B96A72" w:rsidRPr="00C96DA9" w:rsidRDefault="00955138" w:rsidP="004530E7">
      <w:pPr>
        <w:spacing w:line="480" w:lineRule="auto"/>
      </w:pPr>
      <w:r w:rsidRPr="00A30865">
        <w:t xml:space="preserve">Quality Assurance Agency </w:t>
      </w:r>
      <w:r w:rsidR="00132148">
        <w:t>(</w:t>
      </w:r>
      <w:r w:rsidR="00B96A72" w:rsidRPr="00C96DA9">
        <w:t>2013</w:t>
      </w:r>
      <w:r w:rsidR="00132148">
        <w:t>)</w:t>
      </w:r>
      <w:r w:rsidR="00B96A72" w:rsidRPr="00C96DA9">
        <w:t xml:space="preserve">. Review of UK Transnational Education in China. </w:t>
      </w:r>
      <w:r w:rsidR="00E94969">
        <w:t xml:space="preserve">Retrieved from </w:t>
      </w:r>
      <w:r w:rsidR="00B96A72" w:rsidRPr="00C96DA9">
        <w:t>The Quality Assurance Agency for Higher Education</w:t>
      </w:r>
      <w:r w:rsidR="00E94969">
        <w:t xml:space="preserve">: </w:t>
      </w:r>
      <w:hyperlink r:id="rId15" w:history="1">
        <w:r w:rsidR="00B96A72" w:rsidRPr="00C96DA9">
          <w:rPr>
            <w:color w:val="0000FF"/>
            <w:u w:val="single"/>
          </w:rPr>
          <w:t>http://www.qaa.ac.uk/en/Publications/Documents/TNE-China-Overview.pdf</w:t>
        </w:r>
      </w:hyperlink>
    </w:p>
    <w:p w:rsidR="00B27D5D" w:rsidRDefault="00B27D5D" w:rsidP="00A30865">
      <w:pPr>
        <w:spacing w:line="480" w:lineRule="auto"/>
        <w:ind w:left="15"/>
      </w:pPr>
    </w:p>
    <w:p w:rsidR="00A30865" w:rsidRDefault="00955138" w:rsidP="00A30865">
      <w:pPr>
        <w:spacing w:line="480" w:lineRule="auto"/>
        <w:ind w:left="15"/>
        <w:rPr>
          <w:i/>
        </w:rPr>
      </w:pPr>
      <w:r>
        <w:t xml:space="preserve">Quality Assurance Agency </w:t>
      </w:r>
      <w:r w:rsidR="00132148">
        <w:t>(</w:t>
      </w:r>
      <w:r w:rsidR="00A30865" w:rsidRPr="00A30865">
        <w:t>2014</w:t>
      </w:r>
      <w:r w:rsidR="00E94969">
        <w:t>)</w:t>
      </w:r>
      <w:r w:rsidR="00132148">
        <w:t xml:space="preserve">. </w:t>
      </w:r>
      <w:r w:rsidR="00A30865" w:rsidRPr="00A30865">
        <w:t xml:space="preserve">Geography benchmarking statement. </w:t>
      </w:r>
      <w:r w:rsidR="00E94969">
        <w:t xml:space="preserve">Retrieved from: </w:t>
      </w:r>
      <w:hyperlink r:id="rId16" w:history="1">
        <w:r w:rsidR="00A30865" w:rsidRPr="00A30865">
          <w:rPr>
            <w:rStyle w:val="Hyperlink"/>
          </w:rPr>
          <w:t>http://www.qaa.ac.uk/assuring-standards-and-quality/the-quality-code/subject-benchmark-statements</w:t>
        </w:r>
      </w:hyperlink>
    </w:p>
    <w:p w:rsidR="00177B36" w:rsidRPr="00C96DA9" w:rsidRDefault="00177B36" w:rsidP="004530E7">
      <w:pPr>
        <w:spacing w:line="480" w:lineRule="auto"/>
      </w:pPr>
      <w:r w:rsidRPr="00C96DA9">
        <w:t xml:space="preserve">Ramsden, P. (1992). Learning to teach in higher education. Routledge, London. </w:t>
      </w:r>
    </w:p>
    <w:p w:rsidR="00E94969" w:rsidRPr="00E94969" w:rsidRDefault="0017249B" w:rsidP="005A1139">
      <w:pPr>
        <w:spacing w:line="480" w:lineRule="auto"/>
      </w:pPr>
      <w:r w:rsidRPr="00C96DA9">
        <w:t>Richardson</w:t>
      </w:r>
      <w:r>
        <w:t xml:space="preserve">, J.T. E. </w:t>
      </w:r>
      <w:r w:rsidR="00132148">
        <w:t>(</w:t>
      </w:r>
      <w:r>
        <w:t>2005</w:t>
      </w:r>
      <w:r w:rsidR="00132148">
        <w:t>)</w:t>
      </w:r>
      <w:r>
        <w:t xml:space="preserve">. </w:t>
      </w:r>
      <w:r w:rsidRPr="00C96DA9">
        <w:t>Instruments for obtaining student feedback: a review of the literature</w:t>
      </w:r>
      <w:r w:rsidR="00A30865">
        <w:t xml:space="preserve">. </w:t>
      </w:r>
      <w:r w:rsidRPr="00A30865">
        <w:rPr>
          <w:i/>
        </w:rPr>
        <w:t>Assessment &amp; Evaluation in Higher Education</w:t>
      </w:r>
      <w:r w:rsidRPr="00C96DA9">
        <w:t xml:space="preserve">, </w:t>
      </w:r>
      <w:r w:rsidRPr="00E94969">
        <w:rPr>
          <w:i/>
        </w:rPr>
        <w:t>30</w:t>
      </w:r>
      <w:r w:rsidR="00A30865">
        <w:t>(</w:t>
      </w:r>
      <w:r w:rsidRPr="00C96DA9">
        <w:t>4</w:t>
      </w:r>
      <w:r w:rsidR="00A30865">
        <w:t>)</w:t>
      </w:r>
      <w:r w:rsidR="00E94969">
        <w:t xml:space="preserve">, </w:t>
      </w:r>
      <w:r w:rsidRPr="00C96DA9">
        <w:t>387-415</w:t>
      </w:r>
      <w:r>
        <w:t>.</w:t>
      </w:r>
      <w:r w:rsidR="00E94969">
        <w:t xml:space="preserve"> doi: 1</w:t>
      </w:r>
      <w:r w:rsidR="00E94969" w:rsidRPr="00E94969">
        <w:t>0.1080/02602930500099193</w:t>
      </w:r>
    </w:p>
    <w:p w:rsidR="00102BD7" w:rsidRDefault="00102BD7" w:rsidP="004530E7">
      <w:pPr>
        <w:autoSpaceDE w:val="0"/>
        <w:autoSpaceDN w:val="0"/>
        <w:adjustRightInd w:val="0"/>
        <w:spacing w:after="0" w:line="480" w:lineRule="auto"/>
        <w:rPr>
          <w:lang w:val="en-US"/>
        </w:rPr>
      </w:pPr>
      <w:r w:rsidRPr="00C96DA9">
        <w:t xml:space="preserve">Robinson, Z.P., Cage, A.G., Szkornik, K., Haffenden, A., Oliver, I.W., Stimpson, I.G., Stott, K.J., Ullah, S. and Waller, R.I. </w:t>
      </w:r>
      <w:r w:rsidR="00132148">
        <w:t>(</w:t>
      </w:r>
      <w:r w:rsidR="00A30865">
        <w:t>2016</w:t>
      </w:r>
      <w:r w:rsidR="00132148">
        <w:t>)</w:t>
      </w:r>
      <w:r w:rsidRPr="00C96DA9">
        <w:t xml:space="preserve">. The Rise and Fall of a Collaboration: Reflections on the benefits, challenges and lessons learned from </w:t>
      </w:r>
      <w:r w:rsidR="009E607E" w:rsidRPr="00C96DA9">
        <w:t>a</w:t>
      </w:r>
      <w:r w:rsidRPr="00C96DA9">
        <w:t xml:space="preserve"> joint England-China teaching initiative. </w:t>
      </w:r>
      <w:r w:rsidRPr="00A30865">
        <w:rPr>
          <w:i/>
          <w:lang w:val="en-US"/>
        </w:rPr>
        <w:t>Journal of Academic Development and Education</w:t>
      </w:r>
      <w:r w:rsidRPr="00C96DA9">
        <w:rPr>
          <w:lang w:val="en-US"/>
        </w:rPr>
        <w:t>, 6</w:t>
      </w:r>
      <w:r w:rsidR="00E94969">
        <w:rPr>
          <w:lang w:val="en-US"/>
        </w:rPr>
        <w:t>, 3</w:t>
      </w:r>
      <w:r w:rsidRPr="00C96DA9">
        <w:rPr>
          <w:lang w:val="en-US"/>
        </w:rPr>
        <w:t>2-56.</w:t>
      </w:r>
      <w:r w:rsidR="00E94969">
        <w:rPr>
          <w:lang w:val="en-US"/>
        </w:rPr>
        <w:t xml:space="preserve"> Retrieved from: </w:t>
      </w:r>
      <w:hyperlink r:id="rId17" w:history="1">
        <w:r w:rsidR="00E94969" w:rsidRPr="00912DC6">
          <w:rPr>
            <w:rStyle w:val="Hyperlink"/>
            <w:lang w:val="en-US"/>
          </w:rPr>
          <w:t>https://jadekeele.files.wordpress.com/2013/04/jade-international-edition.pdf</w:t>
        </w:r>
      </w:hyperlink>
    </w:p>
    <w:p w:rsidR="00B96A72" w:rsidRPr="00C96DA9" w:rsidRDefault="00102BD7" w:rsidP="004530E7">
      <w:pPr>
        <w:autoSpaceDE w:val="0"/>
        <w:autoSpaceDN w:val="0"/>
        <w:adjustRightInd w:val="0"/>
        <w:spacing w:after="0" w:line="480" w:lineRule="auto"/>
        <w:rPr>
          <w:color w:val="231F20"/>
          <w:lang w:eastAsia="en-GB"/>
        </w:rPr>
      </w:pPr>
      <w:r w:rsidRPr="00C96DA9">
        <w:rPr>
          <w:i/>
        </w:rPr>
        <w:t> </w:t>
      </w:r>
      <w:r w:rsidRPr="00C96DA9">
        <w:rPr>
          <w:i/>
        </w:rPr>
        <w:t> </w:t>
      </w:r>
      <w:r w:rsidRPr="00C96DA9">
        <w:rPr>
          <w:i/>
        </w:rPr>
        <w:t> </w:t>
      </w:r>
      <w:r w:rsidRPr="00C96DA9">
        <w:rPr>
          <w:i/>
        </w:rPr>
        <w:t> </w:t>
      </w:r>
      <w:r w:rsidR="00B96A72" w:rsidRPr="00C96DA9">
        <w:rPr>
          <w:i/>
        </w:rPr>
        <w:t> </w:t>
      </w:r>
      <w:r w:rsidR="00B96A72" w:rsidRPr="00C96DA9">
        <w:rPr>
          <w:i/>
        </w:rPr>
        <w:t> </w:t>
      </w:r>
      <w:r w:rsidR="00B96A72" w:rsidRPr="00C96DA9">
        <w:rPr>
          <w:i/>
        </w:rPr>
        <w:t> </w:t>
      </w:r>
      <w:r w:rsidR="00B96A72" w:rsidRPr="00C96DA9">
        <w:rPr>
          <w:i/>
        </w:rPr>
        <w:t> </w:t>
      </w:r>
      <w:r w:rsidR="00B96A72" w:rsidRPr="00C96DA9">
        <w:rPr>
          <w:i/>
        </w:rPr>
        <w:t> </w:t>
      </w:r>
    </w:p>
    <w:p w:rsidR="005A1139" w:rsidRDefault="00B96A72" w:rsidP="005A1139">
      <w:pPr>
        <w:spacing w:line="480" w:lineRule="auto"/>
        <w:rPr>
          <w:color w:val="231F20"/>
        </w:rPr>
      </w:pPr>
      <w:r w:rsidRPr="00C96DA9">
        <w:rPr>
          <w:color w:val="231F20"/>
          <w:lang w:eastAsia="en-GB"/>
        </w:rPr>
        <w:t xml:space="preserve">Smith, K. </w:t>
      </w:r>
      <w:r w:rsidR="00132148">
        <w:rPr>
          <w:color w:val="231F20"/>
          <w:lang w:eastAsia="en-GB"/>
        </w:rPr>
        <w:t>(</w:t>
      </w:r>
      <w:r w:rsidRPr="00C96DA9">
        <w:rPr>
          <w:color w:val="231F20"/>
          <w:lang w:eastAsia="en-GB"/>
        </w:rPr>
        <w:t>2009</w:t>
      </w:r>
      <w:r w:rsidR="00132148">
        <w:rPr>
          <w:color w:val="231F20"/>
          <w:lang w:eastAsia="en-GB"/>
        </w:rPr>
        <w:t>)</w:t>
      </w:r>
      <w:r w:rsidRPr="00C96DA9">
        <w:rPr>
          <w:color w:val="231F20"/>
          <w:lang w:eastAsia="en-GB"/>
        </w:rPr>
        <w:t xml:space="preserve">. Transnational teaching experiences: An under-explored territory for transformative professional development. </w:t>
      </w:r>
      <w:r w:rsidRPr="00A30865">
        <w:rPr>
          <w:i/>
          <w:color w:val="231F20"/>
          <w:lang w:eastAsia="en-GB"/>
        </w:rPr>
        <w:t>International Journal for Academic Development</w:t>
      </w:r>
      <w:r w:rsidR="00A30865">
        <w:rPr>
          <w:i/>
          <w:color w:val="231F20"/>
          <w:lang w:eastAsia="en-GB"/>
        </w:rPr>
        <w:t xml:space="preserve">, </w:t>
      </w:r>
      <w:r w:rsidRPr="00E94969">
        <w:rPr>
          <w:i/>
          <w:color w:val="231F20"/>
          <w:lang w:eastAsia="en-GB"/>
        </w:rPr>
        <w:t>14</w:t>
      </w:r>
      <w:r w:rsidR="00A30865">
        <w:rPr>
          <w:color w:val="231F20"/>
          <w:lang w:eastAsia="en-GB"/>
        </w:rPr>
        <w:t>(</w:t>
      </w:r>
      <w:r w:rsidRPr="00C96DA9">
        <w:rPr>
          <w:color w:val="231F20"/>
          <w:lang w:eastAsia="en-GB"/>
        </w:rPr>
        <w:t>2</w:t>
      </w:r>
      <w:r w:rsidR="00A30865">
        <w:rPr>
          <w:color w:val="231F20"/>
          <w:lang w:eastAsia="en-GB"/>
        </w:rPr>
        <w:t>)</w:t>
      </w:r>
      <w:r w:rsidR="00E94969">
        <w:rPr>
          <w:color w:val="231F20"/>
          <w:lang w:eastAsia="en-GB"/>
        </w:rPr>
        <w:t xml:space="preserve">, </w:t>
      </w:r>
      <w:r w:rsidRPr="00C96DA9">
        <w:rPr>
          <w:color w:val="231F20"/>
          <w:lang w:eastAsia="en-GB"/>
        </w:rPr>
        <w:t>111–22.</w:t>
      </w:r>
      <w:r w:rsidR="00E94969">
        <w:rPr>
          <w:color w:val="231F20"/>
          <w:lang w:eastAsia="en-GB"/>
        </w:rPr>
        <w:t xml:space="preserve"> d</w:t>
      </w:r>
      <w:r w:rsidR="00E94969" w:rsidRPr="00E94969">
        <w:rPr>
          <w:color w:val="231F20"/>
        </w:rPr>
        <w:t>oi</w:t>
      </w:r>
      <w:r w:rsidR="00E94969">
        <w:rPr>
          <w:color w:val="231F20"/>
          <w:lang w:eastAsia="en-GB"/>
        </w:rPr>
        <w:t xml:space="preserve">: </w:t>
      </w:r>
      <w:r w:rsidR="00E94969" w:rsidRPr="00E94969">
        <w:rPr>
          <w:color w:val="231F20"/>
        </w:rPr>
        <w:t>org/10.1080/13601440902969975</w:t>
      </w:r>
    </w:p>
    <w:p w:rsidR="005A1139" w:rsidRDefault="0070749E" w:rsidP="005A1139">
      <w:pPr>
        <w:spacing w:line="480" w:lineRule="auto"/>
        <w:rPr>
          <w:iCs/>
        </w:rPr>
      </w:pPr>
      <w:r>
        <w:rPr>
          <w:lang w:eastAsia="en-GB"/>
        </w:rPr>
        <w:t xml:space="preserve">Smith, K. </w:t>
      </w:r>
      <w:r w:rsidR="00132148">
        <w:rPr>
          <w:lang w:eastAsia="en-GB"/>
        </w:rPr>
        <w:t>(</w:t>
      </w:r>
      <w:r>
        <w:rPr>
          <w:lang w:eastAsia="en-GB"/>
        </w:rPr>
        <w:t>2013</w:t>
      </w:r>
      <w:r w:rsidR="00132148">
        <w:rPr>
          <w:lang w:eastAsia="en-GB"/>
        </w:rPr>
        <w:t>)</w:t>
      </w:r>
      <w:r>
        <w:rPr>
          <w:lang w:eastAsia="en-GB"/>
        </w:rPr>
        <w:t>. O</w:t>
      </w:r>
      <w:r w:rsidRPr="0070749E">
        <w:rPr>
          <w:lang w:eastAsia="en-GB"/>
        </w:rPr>
        <w:t>verseas flying faculty teaching as a trigger for transformative professional development</w:t>
      </w:r>
      <w:r>
        <w:rPr>
          <w:lang w:eastAsia="en-GB"/>
        </w:rPr>
        <w:t xml:space="preserve">. </w:t>
      </w:r>
      <w:r w:rsidRPr="0070749E">
        <w:rPr>
          <w:i/>
          <w:lang w:eastAsia="en-GB"/>
        </w:rPr>
        <w:t>International Journal for Academic Development</w:t>
      </w:r>
      <w:r>
        <w:rPr>
          <w:lang w:eastAsia="en-GB"/>
        </w:rPr>
        <w:t xml:space="preserve">, </w:t>
      </w:r>
      <w:r w:rsidRPr="00E94969">
        <w:rPr>
          <w:i/>
          <w:lang w:eastAsia="en-GB"/>
        </w:rPr>
        <w:t>18</w:t>
      </w:r>
      <w:r>
        <w:rPr>
          <w:lang w:eastAsia="en-GB"/>
        </w:rPr>
        <w:t>(2)</w:t>
      </w:r>
      <w:r w:rsidR="00E94969">
        <w:rPr>
          <w:lang w:eastAsia="en-GB"/>
        </w:rPr>
        <w:t xml:space="preserve">, </w:t>
      </w:r>
      <w:r>
        <w:rPr>
          <w:lang w:eastAsia="en-GB"/>
        </w:rPr>
        <w:t>127-138.</w:t>
      </w:r>
      <w:r w:rsidR="00E94969">
        <w:rPr>
          <w:lang w:eastAsia="en-GB"/>
        </w:rPr>
        <w:t xml:space="preserve"> d</w:t>
      </w:r>
      <w:r w:rsidR="00E94969" w:rsidRPr="00E94969">
        <w:t>oi</w:t>
      </w:r>
      <w:r w:rsidR="00E94969">
        <w:rPr>
          <w:lang w:eastAsia="en-GB"/>
        </w:rPr>
        <w:t>: 1</w:t>
      </w:r>
      <w:r w:rsidR="00E94969" w:rsidRPr="00E94969">
        <w:t>0.1080/1360144X.2012.655280</w:t>
      </w:r>
    </w:p>
    <w:p w:rsidR="00E94969" w:rsidRPr="005A1139" w:rsidRDefault="00B96A72" w:rsidP="005A1139">
      <w:pPr>
        <w:spacing w:line="480" w:lineRule="auto"/>
        <w:rPr>
          <w:iCs/>
        </w:rPr>
      </w:pPr>
      <w:r w:rsidRPr="00C96DA9">
        <w:rPr>
          <w:lang w:eastAsia="en-GB"/>
        </w:rPr>
        <w:lastRenderedPageBreak/>
        <w:t xml:space="preserve">Smith, K. </w:t>
      </w:r>
      <w:r w:rsidR="00132148">
        <w:rPr>
          <w:lang w:eastAsia="en-GB"/>
        </w:rPr>
        <w:t>(</w:t>
      </w:r>
      <w:r w:rsidRPr="00C96DA9">
        <w:rPr>
          <w:lang w:eastAsia="en-GB"/>
        </w:rPr>
        <w:t>2014</w:t>
      </w:r>
      <w:r w:rsidR="00132148">
        <w:rPr>
          <w:lang w:eastAsia="en-GB"/>
        </w:rPr>
        <w:t>)</w:t>
      </w:r>
      <w:r w:rsidRPr="00C96DA9">
        <w:rPr>
          <w:lang w:eastAsia="en-GB"/>
        </w:rPr>
        <w:t>. Exploring flying faculty teaching experiences: motivations, challenges and opportunities</w:t>
      </w:r>
      <w:r w:rsidR="00A30865">
        <w:rPr>
          <w:lang w:eastAsia="en-GB"/>
        </w:rPr>
        <w:t xml:space="preserve">. </w:t>
      </w:r>
      <w:r w:rsidRPr="00A30865">
        <w:rPr>
          <w:i/>
          <w:lang w:eastAsia="en-GB"/>
        </w:rPr>
        <w:t xml:space="preserve">Studies in </w:t>
      </w:r>
      <w:r w:rsidR="0017249B" w:rsidRPr="00A30865">
        <w:rPr>
          <w:i/>
          <w:lang w:eastAsia="en-GB"/>
        </w:rPr>
        <w:t>Higher Education</w:t>
      </w:r>
      <w:r w:rsidR="0017249B">
        <w:rPr>
          <w:lang w:eastAsia="en-GB"/>
        </w:rPr>
        <w:t xml:space="preserve">, </w:t>
      </w:r>
      <w:r w:rsidR="0017249B" w:rsidRPr="00E94969">
        <w:rPr>
          <w:i/>
          <w:lang w:eastAsia="en-GB"/>
        </w:rPr>
        <w:t>39</w:t>
      </w:r>
      <w:r w:rsidR="00A30865">
        <w:rPr>
          <w:lang w:eastAsia="en-GB"/>
        </w:rPr>
        <w:t>(</w:t>
      </w:r>
      <w:r w:rsidR="0017249B">
        <w:rPr>
          <w:lang w:eastAsia="en-GB"/>
        </w:rPr>
        <w:t>1</w:t>
      </w:r>
      <w:r w:rsidR="00A30865">
        <w:rPr>
          <w:lang w:eastAsia="en-GB"/>
        </w:rPr>
        <w:t>)</w:t>
      </w:r>
      <w:r w:rsidR="00E94969">
        <w:rPr>
          <w:lang w:eastAsia="en-GB"/>
        </w:rPr>
        <w:t xml:space="preserve">, </w:t>
      </w:r>
      <w:r w:rsidR="00A30865">
        <w:rPr>
          <w:lang w:eastAsia="en-GB"/>
        </w:rPr>
        <w:t>1</w:t>
      </w:r>
      <w:r w:rsidR="0017249B">
        <w:rPr>
          <w:lang w:eastAsia="en-GB"/>
        </w:rPr>
        <w:t>17-134.</w:t>
      </w:r>
      <w:r w:rsidRPr="00C96DA9">
        <w:rPr>
          <w:lang w:eastAsia="en-GB"/>
        </w:rPr>
        <w:t xml:space="preserve"> </w:t>
      </w:r>
      <w:r w:rsidR="00E94969">
        <w:rPr>
          <w:lang w:eastAsia="en-GB"/>
        </w:rPr>
        <w:t>d</w:t>
      </w:r>
      <w:r w:rsidR="00E94969" w:rsidRPr="00E94969">
        <w:t>oi</w:t>
      </w:r>
      <w:r w:rsidR="00E94969">
        <w:rPr>
          <w:lang w:eastAsia="en-GB"/>
        </w:rPr>
        <w:t xml:space="preserve">: </w:t>
      </w:r>
      <w:r w:rsidR="00E94969" w:rsidRPr="00E94969">
        <w:t>10.1080/03075079.2011.646259</w:t>
      </w:r>
    </w:p>
    <w:p w:rsidR="00B96A72" w:rsidRPr="00C96DA9" w:rsidRDefault="00B96A72" w:rsidP="004530E7">
      <w:pPr>
        <w:spacing w:line="480" w:lineRule="auto"/>
      </w:pPr>
      <w:r w:rsidRPr="0017249B">
        <w:rPr>
          <w:bCs/>
        </w:rPr>
        <w:t>Stokes, A. and Boyle,</w:t>
      </w:r>
      <w:r w:rsidR="0070749E">
        <w:rPr>
          <w:bCs/>
        </w:rPr>
        <w:t xml:space="preserve"> A.P. </w:t>
      </w:r>
      <w:r w:rsidR="00132148">
        <w:rPr>
          <w:bCs/>
        </w:rPr>
        <w:t>(</w:t>
      </w:r>
      <w:r w:rsidRPr="0017249B">
        <w:rPr>
          <w:bCs/>
        </w:rPr>
        <w:t>2009</w:t>
      </w:r>
      <w:r w:rsidR="00132148">
        <w:rPr>
          <w:bCs/>
        </w:rPr>
        <w:t>)</w:t>
      </w:r>
      <w:r w:rsidRPr="0017249B">
        <w:rPr>
          <w:bCs/>
        </w:rPr>
        <w:t>. The undergraduate geoscience fieldwork experience: Influencing factors and implications for learning.</w:t>
      </w:r>
      <w:r w:rsidRPr="00C96DA9">
        <w:rPr>
          <w:b/>
          <w:bCs/>
        </w:rPr>
        <w:t xml:space="preserve"> </w:t>
      </w:r>
      <w:r w:rsidRPr="00A30865">
        <w:rPr>
          <w:i/>
        </w:rPr>
        <w:t>Geological Society of America Special Papers</w:t>
      </w:r>
      <w:r w:rsidRPr="00C96DA9">
        <w:t>, 461</w:t>
      </w:r>
      <w:r w:rsidR="00A30865">
        <w:t xml:space="preserve">: </w:t>
      </w:r>
      <w:r w:rsidRPr="00C96DA9">
        <w:t>291-311</w:t>
      </w:r>
      <w:r w:rsidR="00E94969" w:rsidRPr="00E94969">
        <w:t xml:space="preserve">. doi: </w:t>
      </w:r>
      <w:r w:rsidR="00E94969" w:rsidRPr="00E94969">
        <w:rPr>
          <w:bCs/>
        </w:rPr>
        <w:t>10.1130/2009.2461(23)​</w:t>
      </w:r>
    </w:p>
    <w:p w:rsidR="00102BD7" w:rsidRDefault="0017249B" w:rsidP="004530E7">
      <w:pPr>
        <w:spacing w:line="480" w:lineRule="auto"/>
        <w:rPr>
          <w:lang w:val="en-US"/>
        </w:rPr>
      </w:pPr>
      <w:r w:rsidRPr="0017249B">
        <w:rPr>
          <w:lang w:val="en-US"/>
        </w:rPr>
        <w:t>Szkornik, K., Cage, A., Oliver, I., Robinson, Z., Stimpson, I., Stott, K., Ullah, S. and Waller, R.</w:t>
      </w:r>
      <w:r>
        <w:rPr>
          <w:b/>
          <w:lang w:val="en-US"/>
        </w:rPr>
        <w:t xml:space="preserve"> </w:t>
      </w:r>
      <w:r w:rsidR="00132148" w:rsidRPr="00132148">
        <w:rPr>
          <w:lang w:val="en-US"/>
        </w:rPr>
        <w:t>(</w:t>
      </w:r>
      <w:r w:rsidR="00102BD7" w:rsidRPr="00C96DA9">
        <w:rPr>
          <w:lang w:val="en-US"/>
        </w:rPr>
        <w:t>2015</w:t>
      </w:r>
      <w:r w:rsidR="00132148">
        <w:rPr>
          <w:lang w:val="en-US"/>
        </w:rPr>
        <w:t>)</w:t>
      </w:r>
      <w:r w:rsidR="00102BD7" w:rsidRPr="00C96DA9">
        <w:rPr>
          <w:lang w:val="en-US"/>
        </w:rPr>
        <w:t xml:space="preserve">. Preparing international students for the diversity of assessment in UK Higher Education. </w:t>
      </w:r>
      <w:r w:rsidR="00102BD7" w:rsidRPr="00C96DA9">
        <w:rPr>
          <w:i/>
          <w:lang w:val="en-US"/>
        </w:rPr>
        <w:t>PEDRiO Special Publication Number 7</w:t>
      </w:r>
      <w:r w:rsidR="00102BD7" w:rsidRPr="00C96DA9">
        <w:rPr>
          <w:lang w:val="en-US"/>
        </w:rPr>
        <w:t>, Inclusive Assessment in Practice, University of Plymouth. ISSN: 2052-5818.</w:t>
      </w:r>
      <w:r w:rsidR="00E94969">
        <w:rPr>
          <w:lang w:val="en-US"/>
        </w:rPr>
        <w:t xml:space="preserve"> Retrieved from: </w:t>
      </w:r>
      <w:hyperlink r:id="rId18" w:history="1">
        <w:r w:rsidR="00E94969" w:rsidRPr="00912DC6">
          <w:rPr>
            <w:rStyle w:val="Hyperlink"/>
            <w:lang w:val="en-US"/>
          </w:rPr>
          <w:t>https://www.plymouth.ac.uk/uploads/production/document/path/5/5858/PedRIO_Paper_7_.pdf#page=36</w:t>
        </w:r>
      </w:hyperlink>
    </w:p>
    <w:p w:rsidR="00E94969" w:rsidRDefault="00102BD7" w:rsidP="00E94969">
      <w:pPr>
        <w:autoSpaceDE w:val="0"/>
        <w:autoSpaceDN w:val="0"/>
        <w:adjustRightInd w:val="0"/>
        <w:spacing w:after="0" w:line="480" w:lineRule="auto"/>
        <w:rPr>
          <w:lang w:val="en-US"/>
        </w:rPr>
      </w:pPr>
      <w:r w:rsidRPr="0017249B">
        <w:t>Szkornik, K.</w:t>
      </w:r>
      <w:r w:rsidRPr="00C96DA9">
        <w:t xml:space="preserve"> </w:t>
      </w:r>
      <w:r w:rsidR="00132148">
        <w:t>(</w:t>
      </w:r>
      <w:r w:rsidR="0017249B">
        <w:t>2016</w:t>
      </w:r>
      <w:r w:rsidR="00132148">
        <w:t>)</w:t>
      </w:r>
      <w:r w:rsidRPr="00C96DA9">
        <w:t xml:space="preserve">. How can international teaching experiences enhance our scholarship of </w:t>
      </w:r>
      <w:r w:rsidR="009E607E" w:rsidRPr="00C96DA9">
        <w:t>learning</w:t>
      </w:r>
      <w:r w:rsidRPr="00C96DA9">
        <w:t xml:space="preserve"> and teaching? </w:t>
      </w:r>
      <w:r w:rsidRPr="00C96DA9">
        <w:rPr>
          <w:i/>
          <w:lang w:val="en-US"/>
        </w:rPr>
        <w:t xml:space="preserve">Journal of Academic Development and Education, 6: </w:t>
      </w:r>
      <w:r w:rsidRPr="00C96DA9">
        <w:rPr>
          <w:lang w:val="en-US"/>
        </w:rPr>
        <w:t xml:space="preserve">5-8. </w:t>
      </w:r>
      <w:r w:rsidR="00E94969">
        <w:rPr>
          <w:lang w:val="en-US"/>
        </w:rPr>
        <w:t xml:space="preserve">Retrieved from: </w:t>
      </w:r>
      <w:hyperlink r:id="rId19" w:history="1">
        <w:r w:rsidR="00E94969" w:rsidRPr="00912DC6">
          <w:rPr>
            <w:rStyle w:val="Hyperlink"/>
            <w:lang w:val="en-US"/>
          </w:rPr>
          <w:t>https://jadekeele.files.wordpress.com/2013/04/jade-international-edition.pdf</w:t>
        </w:r>
      </w:hyperlink>
    </w:p>
    <w:p w:rsidR="00102BD7" w:rsidRPr="00C96DA9" w:rsidRDefault="00102BD7" w:rsidP="004530E7">
      <w:pPr>
        <w:spacing w:line="480" w:lineRule="auto"/>
      </w:pPr>
    </w:p>
    <w:p w:rsidR="008C6263" w:rsidRPr="00B0348F" w:rsidRDefault="008C6263" w:rsidP="00B0348F">
      <w:pPr>
        <w:spacing w:line="480" w:lineRule="auto"/>
      </w:pPr>
    </w:p>
    <w:p w:rsidR="00D2331D" w:rsidRPr="00D2331D" w:rsidRDefault="00D2331D" w:rsidP="00D2331D">
      <w:pPr>
        <w:spacing w:after="0"/>
        <w:rPr>
          <w:vanish/>
        </w:rPr>
      </w:pPr>
    </w:p>
    <w:p w:rsidR="008C6263" w:rsidRDefault="008C6263" w:rsidP="00A31C08">
      <w:pPr>
        <w:spacing w:line="480" w:lineRule="auto"/>
        <w:rPr>
          <w:b/>
        </w:rPr>
      </w:pPr>
    </w:p>
    <w:sectPr w:rsidR="008C6263" w:rsidSect="004657E9">
      <w:footerReference w:type="default" r:id="rId20"/>
      <w:pgSz w:w="11906" w:h="16838"/>
      <w:pgMar w:top="1440" w:right="1440" w:bottom="1440" w:left="144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5EA" w:rsidRDefault="00EE75EA" w:rsidP="004530E7">
      <w:pPr>
        <w:spacing w:after="0" w:line="240" w:lineRule="auto"/>
      </w:pPr>
      <w:r>
        <w:separator/>
      </w:r>
    </w:p>
  </w:endnote>
  <w:endnote w:type="continuationSeparator" w:id="0">
    <w:p w:rsidR="00EE75EA" w:rsidRDefault="00EE75EA" w:rsidP="00453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C0" w:rsidRDefault="0095072E">
    <w:pPr>
      <w:pStyle w:val="Footer"/>
      <w:jc w:val="center"/>
    </w:pPr>
    <w:fldSimple w:instr=" PAGE   \* MERGEFORMAT ">
      <w:r w:rsidR="00016F9E">
        <w:rPr>
          <w:noProof/>
        </w:rPr>
        <w:t>2</w:t>
      </w:r>
    </w:fldSimple>
  </w:p>
  <w:p w:rsidR="007609C0" w:rsidRDefault="00760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5EA" w:rsidRDefault="00EE75EA" w:rsidP="004530E7">
      <w:pPr>
        <w:spacing w:after="0" w:line="240" w:lineRule="auto"/>
      </w:pPr>
      <w:r>
        <w:separator/>
      </w:r>
    </w:p>
  </w:footnote>
  <w:footnote w:type="continuationSeparator" w:id="0">
    <w:p w:rsidR="00EE75EA" w:rsidRDefault="00EE75EA" w:rsidP="004530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840"/>
    <w:multiLevelType w:val="hybridMultilevel"/>
    <w:tmpl w:val="90C2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754C15"/>
    <w:multiLevelType w:val="hybridMultilevel"/>
    <w:tmpl w:val="2C52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02204"/>
    <w:multiLevelType w:val="hybridMultilevel"/>
    <w:tmpl w:val="C928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37D59"/>
    <w:multiLevelType w:val="multilevel"/>
    <w:tmpl w:val="1FA8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C30DFF"/>
    <w:multiLevelType w:val="hybridMultilevel"/>
    <w:tmpl w:val="F9C6D8CC"/>
    <w:lvl w:ilvl="0" w:tplc="C3369880">
      <w:start w:val="1"/>
      <w:numFmt w:val="bullet"/>
      <w:lvlText w:val="•"/>
      <w:lvlJc w:val="left"/>
      <w:pPr>
        <w:tabs>
          <w:tab w:val="num" w:pos="720"/>
        </w:tabs>
        <w:ind w:left="720" w:hanging="360"/>
      </w:pPr>
      <w:rPr>
        <w:rFonts w:ascii="Arial" w:hAnsi="Arial" w:hint="default"/>
      </w:rPr>
    </w:lvl>
    <w:lvl w:ilvl="1" w:tplc="EAC65F0E" w:tentative="1">
      <w:start w:val="1"/>
      <w:numFmt w:val="bullet"/>
      <w:lvlText w:val="•"/>
      <w:lvlJc w:val="left"/>
      <w:pPr>
        <w:tabs>
          <w:tab w:val="num" w:pos="1440"/>
        </w:tabs>
        <w:ind w:left="1440" w:hanging="360"/>
      </w:pPr>
      <w:rPr>
        <w:rFonts w:ascii="Arial" w:hAnsi="Arial" w:hint="default"/>
      </w:rPr>
    </w:lvl>
    <w:lvl w:ilvl="2" w:tplc="2B445B08" w:tentative="1">
      <w:start w:val="1"/>
      <w:numFmt w:val="bullet"/>
      <w:lvlText w:val="•"/>
      <w:lvlJc w:val="left"/>
      <w:pPr>
        <w:tabs>
          <w:tab w:val="num" w:pos="2160"/>
        </w:tabs>
        <w:ind w:left="2160" w:hanging="360"/>
      </w:pPr>
      <w:rPr>
        <w:rFonts w:ascii="Arial" w:hAnsi="Arial" w:hint="default"/>
      </w:rPr>
    </w:lvl>
    <w:lvl w:ilvl="3" w:tplc="CFFEF614" w:tentative="1">
      <w:start w:val="1"/>
      <w:numFmt w:val="bullet"/>
      <w:lvlText w:val="•"/>
      <w:lvlJc w:val="left"/>
      <w:pPr>
        <w:tabs>
          <w:tab w:val="num" w:pos="2880"/>
        </w:tabs>
        <w:ind w:left="2880" w:hanging="360"/>
      </w:pPr>
      <w:rPr>
        <w:rFonts w:ascii="Arial" w:hAnsi="Arial" w:hint="default"/>
      </w:rPr>
    </w:lvl>
    <w:lvl w:ilvl="4" w:tplc="11D0DFAE" w:tentative="1">
      <w:start w:val="1"/>
      <w:numFmt w:val="bullet"/>
      <w:lvlText w:val="•"/>
      <w:lvlJc w:val="left"/>
      <w:pPr>
        <w:tabs>
          <w:tab w:val="num" w:pos="3600"/>
        </w:tabs>
        <w:ind w:left="3600" w:hanging="360"/>
      </w:pPr>
      <w:rPr>
        <w:rFonts w:ascii="Arial" w:hAnsi="Arial" w:hint="default"/>
      </w:rPr>
    </w:lvl>
    <w:lvl w:ilvl="5" w:tplc="B088D70C" w:tentative="1">
      <w:start w:val="1"/>
      <w:numFmt w:val="bullet"/>
      <w:lvlText w:val="•"/>
      <w:lvlJc w:val="left"/>
      <w:pPr>
        <w:tabs>
          <w:tab w:val="num" w:pos="4320"/>
        </w:tabs>
        <w:ind w:left="4320" w:hanging="360"/>
      </w:pPr>
      <w:rPr>
        <w:rFonts w:ascii="Arial" w:hAnsi="Arial" w:hint="default"/>
      </w:rPr>
    </w:lvl>
    <w:lvl w:ilvl="6" w:tplc="9A8C917A" w:tentative="1">
      <w:start w:val="1"/>
      <w:numFmt w:val="bullet"/>
      <w:lvlText w:val="•"/>
      <w:lvlJc w:val="left"/>
      <w:pPr>
        <w:tabs>
          <w:tab w:val="num" w:pos="5040"/>
        </w:tabs>
        <w:ind w:left="5040" w:hanging="360"/>
      </w:pPr>
      <w:rPr>
        <w:rFonts w:ascii="Arial" w:hAnsi="Arial" w:hint="default"/>
      </w:rPr>
    </w:lvl>
    <w:lvl w:ilvl="7" w:tplc="6BF62A90" w:tentative="1">
      <w:start w:val="1"/>
      <w:numFmt w:val="bullet"/>
      <w:lvlText w:val="•"/>
      <w:lvlJc w:val="left"/>
      <w:pPr>
        <w:tabs>
          <w:tab w:val="num" w:pos="5760"/>
        </w:tabs>
        <w:ind w:left="5760" w:hanging="360"/>
      </w:pPr>
      <w:rPr>
        <w:rFonts w:ascii="Arial" w:hAnsi="Arial" w:hint="default"/>
      </w:rPr>
    </w:lvl>
    <w:lvl w:ilvl="8" w:tplc="5B54FD76" w:tentative="1">
      <w:start w:val="1"/>
      <w:numFmt w:val="bullet"/>
      <w:lvlText w:val="•"/>
      <w:lvlJc w:val="left"/>
      <w:pPr>
        <w:tabs>
          <w:tab w:val="num" w:pos="6480"/>
        </w:tabs>
        <w:ind w:left="6480" w:hanging="360"/>
      </w:pPr>
      <w:rPr>
        <w:rFonts w:ascii="Arial" w:hAnsi="Arial" w:hint="default"/>
      </w:rPr>
    </w:lvl>
  </w:abstractNum>
  <w:abstractNum w:abstractNumId="5">
    <w:nsid w:val="26E31F0D"/>
    <w:multiLevelType w:val="hybridMultilevel"/>
    <w:tmpl w:val="EEBC4DC2"/>
    <w:lvl w:ilvl="0" w:tplc="7C30CB38">
      <w:start w:val="1"/>
      <w:numFmt w:val="bullet"/>
      <w:lvlText w:val="•"/>
      <w:lvlJc w:val="left"/>
      <w:pPr>
        <w:tabs>
          <w:tab w:val="num" w:pos="720"/>
        </w:tabs>
        <w:ind w:left="720" w:hanging="360"/>
      </w:pPr>
      <w:rPr>
        <w:rFonts w:ascii="Arial" w:hAnsi="Arial" w:hint="default"/>
      </w:rPr>
    </w:lvl>
    <w:lvl w:ilvl="1" w:tplc="CA7C817E" w:tentative="1">
      <w:start w:val="1"/>
      <w:numFmt w:val="bullet"/>
      <w:lvlText w:val="•"/>
      <w:lvlJc w:val="left"/>
      <w:pPr>
        <w:tabs>
          <w:tab w:val="num" w:pos="1440"/>
        </w:tabs>
        <w:ind w:left="1440" w:hanging="360"/>
      </w:pPr>
      <w:rPr>
        <w:rFonts w:ascii="Arial" w:hAnsi="Arial" w:hint="default"/>
      </w:rPr>
    </w:lvl>
    <w:lvl w:ilvl="2" w:tplc="57C6D69A" w:tentative="1">
      <w:start w:val="1"/>
      <w:numFmt w:val="bullet"/>
      <w:lvlText w:val="•"/>
      <w:lvlJc w:val="left"/>
      <w:pPr>
        <w:tabs>
          <w:tab w:val="num" w:pos="2160"/>
        </w:tabs>
        <w:ind w:left="2160" w:hanging="360"/>
      </w:pPr>
      <w:rPr>
        <w:rFonts w:ascii="Arial" w:hAnsi="Arial" w:hint="default"/>
      </w:rPr>
    </w:lvl>
    <w:lvl w:ilvl="3" w:tplc="52B434B8" w:tentative="1">
      <w:start w:val="1"/>
      <w:numFmt w:val="bullet"/>
      <w:lvlText w:val="•"/>
      <w:lvlJc w:val="left"/>
      <w:pPr>
        <w:tabs>
          <w:tab w:val="num" w:pos="2880"/>
        </w:tabs>
        <w:ind w:left="2880" w:hanging="360"/>
      </w:pPr>
      <w:rPr>
        <w:rFonts w:ascii="Arial" w:hAnsi="Arial" w:hint="default"/>
      </w:rPr>
    </w:lvl>
    <w:lvl w:ilvl="4" w:tplc="06AA1D14" w:tentative="1">
      <w:start w:val="1"/>
      <w:numFmt w:val="bullet"/>
      <w:lvlText w:val="•"/>
      <w:lvlJc w:val="left"/>
      <w:pPr>
        <w:tabs>
          <w:tab w:val="num" w:pos="3600"/>
        </w:tabs>
        <w:ind w:left="3600" w:hanging="360"/>
      </w:pPr>
      <w:rPr>
        <w:rFonts w:ascii="Arial" w:hAnsi="Arial" w:hint="default"/>
      </w:rPr>
    </w:lvl>
    <w:lvl w:ilvl="5" w:tplc="E39A48EA" w:tentative="1">
      <w:start w:val="1"/>
      <w:numFmt w:val="bullet"/>
      <w:lvlText w:val="•"/>
      <w:lvlJc w:val="left"/>
      <w:pPr>
        <w:tabs>
          <w:tab w:val="num" w:pos="4320"/>
        </w:tabs>
        <w:ind w:left="4320" w:hanging="360"/>
      </w:pPr>
      <w:rPr>
        <w:rFonts w:ascii="Arial" w:hAnsi="Arial" w:hint="default"/>
      </w:rPr>
    </w:lvl>
    <w:lvl w:ilvl="6" w:tplc="AF606FB4" w:tentative="1">
      <w:start w:val="1"/>
      <w:numFmt w:val="bullet"/>
      <w:lvlText w:val="•"/>
      <w:lvlJc w:val="left"/>
      <w:pPr>
        <w:tabs>
          <w:tab w:val="num" w:pos="5040"/>
        </w:tabs>
        <w:ind w:left="5040" w:hanging="360"/>
      </w:pPr>
      <w:rPr>
        <w:rFonts w:ascii="Arial" w:hAnsi="Arial" w:hint="default"/>
      </w:rPr>
    </w:lvl>
    <w:lvl w:ilvl="7" w:tplc="D32CFCD2" w:tentative="1">
      <w:start w:val="1"/>
      <w:numFmt w:val="bullet"/>
      <w:lvlText w:val="•"/>
      <w:lvlJc w:val="left"/>
      <w:pPr>
        <w:tabs>
          <w:tab w:val="num" w:pos="5760"/>
        </w:tabs>
        <w:ind w:left="5760" w:hanging="360"/>
      </w:pPr>
      <w:rPr>
        <w:rFonts w:ascii="Arial" w:hAnsi="Arial" w:hint="default"/>
      </w:rPr>
    </w:lvl>
    <w:lvl w:ilvl="8" w:tplc="D06C4F1A" w:tentative="1">
      <w:start w:val="1"/>
      <w:numFmt w:val="bullet"/>
      <w:lvlText w:val="•"/>
      <w:lvlJc w:val="left"/>
      <w:pPr>
        <w:tabs>
          <w:tab w:val="num" w:pos="6480"/>
        </w:tabs>
        <w:ind w:left="6480" w:hanging="360"/>
      </w:pPr>
      <w:rPr>
        <w:rFonts w:ascii="Arial" w:hAnsi="Arial" w:hint="default"/>
      </w:rPr>
    </w:lvl>
  </w:abstractNum>
  <w:abstractNum w:abstractNumId="6">
    <w:nsid w:val="2A3022C9"/>
    <w:multiLevelType w:val="multilevel"/>
    <w:tmpl w:val="7742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E0619"/>
    <w:multiLevelType w:val="multilevel"/>
    <w:tmpl w:val="375A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F20CD6"/>
    <w:multiLevelType w:val="multilevel"/>
    <w:tmpl w:val="5842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253AE5"/>
    <w:multiLevelType w:val="multilevel"/>
    <w:tmpl w:val="6456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B13383"/>
    <w:multiLevelType w:val="hybridMultilevel"/>
    <w:tmpl w:val="BAD8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164D69"/>
    <w:multiLevelType w:val="multilevel"/>
    <w:tmpl w:val="FFE8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47314"/>
    <w:multiLevelType w:val="multilevel"/>
    <w:tmpl w:val="2F46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0126EA"/>
    <w:multiLevelType w:val="hybridMultilevel"/>
    <w:tmpl w:val="2466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62036F"/>
    <w:multiLevelType w:val="multilevel"/>
    <w:tmpl w:val="B628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D05407"/>
    <w:multiLevelType w:val="multilevel"/>
    <w:tmpl w:val="BD56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AC4824"/>
    <w:multiLevelType w:val="multilevel"/>
    <w:tmpl w:val="B8FA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04DA0"/>
    <w:multiLevelType w:val="hybridMultilevel"/>
    <w:tmpl w:val="7D081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CF2D37"/>
    <w:multiLevelType w:val="multilevel"/>
    <w:tmpl w:val="8D2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A35A8F"/>
    <w:multiLevelType w:val="hybridMultilevel"/>
    <w:tmpl w:val="EA5C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D77230"/>
    <w:multiLevelType w:val="multilevel"/>
    <w:tmpl w:val="F592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9"/>
  </w:num>
  <w:num w:numId="4">
    <w:abstractNumId w:val="0"/>
  </w:num>
  <w:num w:numId="5">
    <w:abstractNumId w:val="1"/>
  </w:num>
  <w:num w:numId="6">
    <w:abstractNumId w:val="13"/>
  </w:num>
  <w:num w:numId="7">
    <w:abstractNumId w:val="2"/>
  </w:num>
  <w:num w:numId="8">
    <w:abstractNumId w:val="15"/>
  </w:num>
  <w:num w:numId="9">
    <w:abstractNumId w:val="6"/>
  </w:num>
  <w:num w:numId="10">
    <w:abstractNumId w:val="11"/>
  </w:num>
  <w:num w:numId="11">
    <w:abstractNumId w:val="8"/>
  </w:num>
  <w:num w:numId="12">
    <w:abstractNumId w:val="7"/>
  </w:num>
  <w:num w:numId="13">
    <w:abstractNumId w:val="14"/>
  </w:num>
  <w:num w:numId="14">
    <w:abstractNumId w:val="12"/>
  </w:num>
  <w:num w:numId="15">
    <w:abstractNumId w:val="9"/>
  </w:num>
  <w:num w:numId="16">
    <w:abstractNumId w:val="18"/>
  </w:num>
  <w:num w:numId="17">
    <w:abstractNumId w:val="16"/>
  </w:num>
  <w:num w:numId="18">
    <w:abstractNumId w:val="3"/>
  </w:num>
  <w:num w:numId="19">
    <w:abstractNumId w:val="20"/>
  </w:num>
  <w:num w:numId="20">
    <w:abstractNumId w:val="1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549E3"/>
    <w:rsid w:val="00012D1C"/>
    <w:rsid w:val="00016F9E"/>
    <w:rsid w:val="00024BFD"/>
    <w:rsid w:val="0003731D"/>
    <w:rsid w:val="00044CD6"/>
    <w:rsid w:val="00055868"/>
    <w:rsid w:val="000A3DEC"/>
    <w:rsid w:val="000B1908"/>
    <w:rsid w:val="000B51D3"/>
    <w:rsid w:val="000E3BE6"/>
    <w:rsid w:val="000F2903"/>
    <w:rsid w:val="00102BD7"/>
    <w:rsid w:val="00115200"/>
    <w:rsid w:val="001272D4"/>
    <w:rsid w:val="00132148"/>
    <w:rsid w:val="00152D5F"/>
    <w:rsid w:val="001644C3"/>
    <w:rsid w:val="0017249B"/>
    <w:rsid w:val="00177B36"/>
    <w:rsid w:val="001C3A74"/>
    <w:rsid w:val="001C50FE"/>
    <w:rsid w:val="001D62BE"/>
    <w:rsid w:val="001D6991"/>
    <w:rsid w:val="001D70BB"/>
    <w:rsid w:val="001E137C"/>
    <w:rsid w:val="001E4FA1"/>
    <w:rsid w:val="001F4938"/>
    <w:rsid w:val="0020274F"/>
    <w:rsid w:val="00206926"/>
    <w:rsid w:val="0023376A"/>
    <w:rsid w:val="00245C78"/>
    <w:rsid w:val="00263E77"/>
    <w:rsid w:val="0027612E"/>
    <w:rsid w:val="00276631"/>
    <w:rsid w:val="00280F79"/>
    <w:rsid w:val="00292657"/>
    <w:rsid w:val="0029779C"/>
    <w:rsid w:val="002A7620"/>
    <w:rsid w:val="002B695C"/>
    <w:rsid w:val="002C1471"/>
    <w:rsid w:val="002E08F8"/>
    <w:rsid w:val="002E2990"/>
    <w:rsid w:val="002F276E"/>
    <w:rsid w:val="003241DD"/>
    <w:rsid w:val="00351BC8"/>
    <w:rsid w:val="00353B61"/>
    <w:rsid w:val="00374339"/>
    <w:rsid w:val="00390DB4"/>
    <w:rsid w:val="003A38D5"/>
    <w:rsid w:val="003B2988"/>
    <w:rsid w:val="003B6B74"/>
    <w:rsid w:val="003E0206"/>
    <w:rsid w:val="00424937"/>
    <w:rsid w:val="0043151C"/>
    <w:rsid w:val="0043301B"/>
    <w:rsid w:val="004453B4"/>
    <w:rsid w:val="004530E7"/>
    <w:rsid w:val="004538F7"/>
    <w:rsid w:val="00461DF8"/>
    <w:rsid w:val="004657E9"/>
    <w:rsid w:val="00466B22"/>
    <w:rsid w:val="004928B1"/>
    <w:rsid w:val="00494CD9"/>
    <w:rsid w:val="00496EA0"/>
    <w:rsid w:val="004A1D98"/>
    <w:rsid w:val="004B5393"/>
    <w:rsid w:val="004C638E"/>
    <w:rsid w:val="004D0F85"/>
    <w:rsid w:val="004D69F0"/>
    <w:rsid w:val="004D6F3A"/>
    <w:rsid w:val="004E7DA8"/>
    <w:rsid w:val="00503353"/>
    <w:rsid w:val="005207F4"/>
    <w:rsid w:val="005220B7"/>
    <w:rsid w:val="005262A2"/>
    <w:rsid w:val="005272CD"/>
    <w:rsid w:val="00535218"/>
    <w:rsid w:val="00564FF0"/>
    <w:rsid w:val="00595EC3"/>
    <w:rsid w:val="005A1139"/>
    <w:rsid w:val="005A1355"/>
    <w:rsid w:val="005C223C"/>
    <w:rsid w:val="005C535B"/>
    <w:rsid w:val="005C7031"/>
    <w:rsid w:val="005D7758"/>
    <w:rsid w:val="005F042A"/>
    <w:rsid w:val="006215F8"/>
    <w:rsid w:val="0064017F"/>
    <w:rsid w:val="00647A7A"/>
    <w:rsid w:val="006946D6"/>
    <w:rsid w:val="006A4EC1"/>
    <w:rsid w:val="006C1641"/>
    <w:rsid w:val="006C3BBC"/>
    <w:rsid w:val="006D5800"/>
    <w:rsid w:val="006D5CC4"/>
    <w:rsid w:val="006E5FF0"/>
    <w:rsid w:val="006F46BE"/>
    <w:rsid w:val="0070749E"/>
    <w:rsid w:val="007148E9"/>
    <w:rsid w:val="00716B3B"/>
    <w:rsid w:val="0072016A"/>
    <w:rsid w:val="00742301"/>
    <w:rsid w:val="00750CE9"/>
    <w:rsid w:val="00751299"/>
    <w:rsid w:val="007549E3"/>
    <w:rsid w:val="007609C0"/>
    <w:rsid w:val="00790F3E"/>
    <w:rsid w:val="00791296"/>
    <w:rsid w:val="00794404"/>
    <w:rsid w:val="007949E7"/>
    <w:rsid w:val="007A25DB"/>
    <w:rsid w:val="007D77F9"/>
    <w:rsid w:val="00820FBF"/>
    <w:rsid w:val="00841503"/>
    <w:rsid w:val="00841D90"/>
    <w:rsid w:val="00844842"/>
    <w:rsid w:val="008553DF"/>
    <w:rsid w:val="008851CF"/>
    <w:rsid w:val="0089575A"/>
    <w:rsid w:val="008C6263"/>
    <w:rsid w:val="008E0E9A"/>
    <w:rsid w:val="008F311C"/>
    <w:rsid w:val="00906614"/>
    <w:rsid w:val="00917785"/>
    <w:rsid w:val="00924E00"/>
    <w:rsid w:val="009453D7"/>
    <w:rsid w:val="00945C12"/>
    <w:rsid w:val="00946B65"/>
    <w:rsid w:val="0095072E"/>
    <w:rsid w:val="00955138"/>
    <w:rsid w:val="00955B51"/>
    <w:rsid w:val="00980659"/>
    <w:rsid w:val="00982447"/>
    <w:rsid w:val="009835B4"/>
    <w:rsid w:val="0098688C"/>
    <w:rsid w:val="009A75DF"/>
    <w:rsid w:val="009D15FB"/>
    <w:rsid w:val="009E183E"/>
    <w:rsid w:val="009E38E4"/>
    <w:rsid w:val="009E467E"/>
    <w:rsid w:val="009E607E"/>
    <w:rsid w:val="00A0287F"/>
    <w:rsid w:val="00A23382"/>
    <w:rsid w:val="00A24132"/>
    <w:rsid w:val="00A30718"/>
    <w:rsid w:val="00A30865"/>
    <w:rsid w:val="00A31C08"/>
    <w:rsid w:val="00A65453"/>
    <w:rsid w:val="00A7635E"/>
    <w:rsid w:val="00A82B12"/>
    <w:rsid w:val="00A83FEC"/>
    <w:rsid w:val="00A97D6C"/>
    <w:rsid w:val="00AA4A96"/>
    <w:rsid w:val="00AB4EE8"/>
    <w:rsid w:val="00AB715D"/>
    <w:rsid w:val="00AC1866"/>
    <w:rsid w:val="00AC239B"/>
    <w:rsid w:val="00AD5F98"/>
    <w:rsid w:val="00AF4DD1"/>
    <w:rsid w:val="00B0348F"/>
    <w:rsid w:val="00B07DCF"/>
    <w:rsid w:val="00B2727F"/>
    <w:rsid w:val="00B27D5D"/>
    <w:rsid w:val="00B503BA"/>
    <w:rsid w:val="00B81729"/>
    <w:rsid w:val="00B96A72"/>
    <w:rsid w:val="00BC3F60"/>
    <w:rsid w:val="00BC5310"/>
    <w:rsid w:val="00BD0FC0"/>
    <w:rsid w:val="00BD7B49"/>
    <w:rsid w:val="00C00931"/>
    <w:rsid w:val="00C11566"/>
    <w:rsid w:val="00C23382"/>
    <w:rsid w:val="00C44511"/>
    <w:rsid w:val="00C52C93"/>
    <w:rsid w:val="00C702CF"/>
    <w:rsid w:val="00C70D32"/>
    <w:rsid w:val="00C80D43"/>
    <w:rsid w:val="00C96DA9"/>
    <w:rsid w:val="00CA2A8A"/>
    <w:rsid w:val="00CD47A0"/>
    <w:rsid w:val="00CD7FDE"/>
    <w:rsid w:val="00CE7C33"/>
    <w:rsid w:val="00D0405D"/>
    <w:rsid w:val="00D2331D"/>
    <w:rsid w:val="00D31AAF"/>
    <w:rsid w:val="00D40E94"/>
    <w:rsid w:val="00D53BB2"/>
    <w:rsid w:val="00D55235"/>
    <w:rsid w:val="00D926DE"/>
    <w:rsid w:val="00DA4F1A"/>
    <w:rsid w:val="00DA53E3"/>
    <w:rsid w:val="00DE2030"/>
    <w:rsid w:val="00E0294B"/>
    <w:rsid w:val="00E036D8"/>
    <w:rsid w:val="00E14B46"/>
    <w:rsid w:val="00E15F1B"/>
    <w:rsid w:val="00E326C8"/>
    <w:rsid w:val="00E35994"/>
    <w:rsid w:val="00E44194"/>
    <w:rsid w:val="00E46ED5"/>
    <w:rsid w:val="00E574D8"/>
    <w:rsid w:val="00E57F5D"/>
    <w:rsid w:val="00E63834"/>
    <w:rsid w:val="00E93312"/>
    <w:rsid w:val="00E94969"/>
    <w:rsid w:val="00E95ED1"/>
    <w:rsid w:val="00EB3056"/>
    <w:rsid w:val="00EB4A9D"/>
    <w:rsid w:val="00EB6282"/>
    <w:rsid w:val="00EC32D4"/>
    <w:rsid w:val="00EC4505"/>
    <w:rsid w:val="00EE75EA"/>
    <w:rsid w:val="00EF4E5C"/>
    <w:rsid w:val="00EF7CE7"/>
    <w:rsid w:val="00F11283"/>
    <w:rsid w:val="00F3612A"/>
    <w:rsid w:val="00F46083"/>
    <w:rsid w:val="00F63250"/>
    <w:rsid w:val="00F70A00"/>
    <w:rsid w:val="00F73664"/>
    <w:rsid w:val="00F809E4"/>
    <w:rsid w:val="00F943A2"/>
    <w:rsid w:val="00F954A7"/>
    <w:rsid w:val="00FA2E7E"/>
    <w:rsid w:val="00FA47BC"/>
    <w:rsid w:val="00FE1DD9"/>
    <w:rsid w:val="00FE42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D8"/>
    <w:pPr>
      <w:spacing w:after="200" w:line="276" w:lineRule="auto"/>
    </w:pPr>
    <w:rPr>
      <w:sz w:val="22"/>
      <w:szCs w:val="22"/>
      <w:lang w:eastAsia="en-US"/>
    </w:rPr>
  </w:style>
  <w:style w:type="paragraph" w:styleId="Heading1">
    <w:name w:val="heading 1"/>
    <w:basedOn w:val="Normal"/>
    <w:link w:val="Heading1Char"/>
    <w:uiPriority w:val="9"/>
    <w:qFormat/>
    <w:rsid w:val="00102B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02BD7"/>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102BD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49E3"/>
    <w:rPr>
      <w:color w:val="0000FF"/>
      <w:u w:val="single"/>
    </w:rPr>
  </w:style>
  <w:style w:type="character" w:customStyle="1" w:styleId="apple-converted-space">
    <w:name w:val="apple-converted-space"/>
    <w:basedOn w:val="DefaultParagraphFont"/>
    <w:rsid w:val="007A25DB"/>
  </w:style>
  <w:style w:type="table" w:styleId="TableGrid">
    <w:name w:val="Table Grid"/>
    <w:basedOn w:val="TableNormal"/>
    <w:uiPriority w:val="59"/>
    <w:rsid w:val="00374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fld-contribauthor">
    <w:name w:val="hlfld-contribauthor"/>
    <w:basedOn w:val="DefaultParagraphFont"/>
    <w:rsid w:val="00102BD7"/>
  </w:style>
  <w:style w:type="character" w:customStyle="1" w:styleId="Heading1Char">
    <w:name w:val="Heading 1 Char"/>
    <w:link w:val="Heading1"/>
    <w:uiPriority w:val="9"/>
    <w:rsid w:val="00102BD7"/>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102BD7"/>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102BD7"/>
    <w:rPr>
      <w:rFonts w:ascii="Cambria" w:eastAsia="Times New Roman" w:hAnsi="Cambria" w:cs="Times New Roman"/>
      <w:b/>
      <w:bCs/>
      <w:sz w:val="26"/>
      <w:szCs w:val="26"/>
      <w:lang w:eastAsia="en-US"/>
    </w:rPr>
  </w:style>
  <w:style w:type="character" w:styleId="Emphasis">
    <w:name w:val="Emphasis"/>
    <w:uiPriority w:val="20"/>
    <w:qFormat/>
    <w:rsid w:val="00496EA0"/>
    <w:rPr>
      <w:i/>
      <w:iCs/>
    </w:rPr>
  </w:style>
  <w:style w:type="paragraph" w:styleId="Header">
    <w:name w:val="header"/>
    <w:basedOn w:val="Normal"/>
    <w:link w:val="HeaderChar"/>
    <w:uiPriority w:val="99"/>
    <w:semiHidden/>
    <w:unhideWhenUsed/>
    <w:rsid w:val="004530E7"/>
    <w:pPr>
      <w:tabs>
        <w:tab w:val="center" w:pos="4513"/>
        <w:tab w:val="right" w:pos="9026"/>
      </w:tabs>
    </w:pPr>
  </w:style>
  <w:style w:type="character" w:customStyle="1" w:styleId="HeaderChar">
    <w:name w:val="Header Char"/>
    <w:link w:val="Header"/>
    <w:uiPriority w:val="99"/>
    <w:semiHidden/>
    <w:rsid w:val="004530E7"/>
    <w:rPr>
      <w:sz w:val="22"/>
      <w:szCs w:val="22"/>
      <w:lang w:eastAsia="en-US"/>
    </w:rPr>
  </w:style>
  <w:style w:type="paragraph" w:styleId="Footer">
    <w:name w:val="footer"/>
    <w:basedOn w:val="Normal"/>
    <w:link w:val="FooterChar"/>
    <w:uiPriority w:val="99"/>
    <w:unhideWhenUsed/>
    <w:rsid w:val="004530E7"/>
    <w:pPr>
      <w:tabs>
        <w:tab w:val="center" w:pos="4513"/>
        <w:tab w:val="right" w:pos="9026"/>
      </w:tabs>
    </w:pPr>
  </w:style>
  <w:style w:type="character" w:customStyle="1" w:styleId="FooterChar">
    <w:name w:val="Footer Char"/>
    <w:link w:val="Footer"/>
    <w:uiPriority w:val="99"/>
    <w:rsid w:val="004530E7"/>
    <w:rPr>
      <w:sz w:val="22"/>
      <w:szCs w:val="22"/>
      <w:lang w:eastAsia="en-US"/>
    </w:rPr>
  </w:style>
  <w:style w:type="character" w:styleId="LineNumber">
    <w:name w:val="line number"/>
    <w:basedOn w:val="DefaultParagraphFont"/>
    <w:uiPriority w:val="99"/>
    <w:semiHidden/>
    <w:unhideWhenUsed/>
    <w:rsid w:val="004657E9"/>
  </w:style>
  <w:style w:type="character" w:styleId="FollowedHyperlink">
    <w:name w:val="FollowedHyperlink"/>
    <w:uiPriority w:val="99"/>
    <w:semiHidden/>
    <w:unhideWhenUsed/>
    <w:rsid w:val="00AA4A96"/>
    <w:rPr>
      <w:color w:val="800080"/>
      <w:u w:val="single"/>
    </w:rPr>
  </w:style>
  <w:style w:type="paragraph" w:styleId="ListParagraph">
    <w:name w:val="List Paragraph"/>
    <w:basedOn w:val="Normal"/>
    <w:uiPriority w:val="34"/>
    <w:qFormat/>
    <w:rsid w:val="00A31C08"/>
    <w:pPr>
      <w:ind w:left="720"/>
      <w:contextualSpacing/>
    </w:pPr>
  </w:style>
  <w:style w:type="paragraph" w:styleId="BalloonText">
    <w:name w:val="Balloon Text"/>
    <w:basedOn w:val="Normal"/>
    <w:link w:val="BalloonTextChar"/>
    <w:uiPriority w:val="99"/>
    <w:semiHidden/>
    <w:unhideWhenUsed/>
    <w:rsid w:val="00E441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419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5086164">
      <w:bodyDiv w:val="1"/>
      <w:marLeft w:val="0"/>
      <w:marRight w:val="0"/>
      <w:marTop w:val="0"/>
      <w:marBottom w:val="0"/>
      <w:divBdr>
        <w:top w:val="none" w:sz="0" w:space="0" w:color="auto"/>
        <w:left w:val="none" w:sz="0" w:space="0" w:color="auto"/>
        <w:bottom w:val="none" w:sz="0" w:space="0" w:color="auto"/>
        <w:right w:val="none" w:sz="0" w:space="0" w:color="auto"/>
      </w:divBdr>
    </w:div>
    <w:div w:id="42019544">
      <w:bodyDiv w:val="1"/>
      <w:marLeft w:val="0"/>
      <w:marRight w:val="0"/>
      <w:marTop w:val="0"/>
      <w:marBottom w:val="0"/>
      <w:divBdr>
        <w:top w:val="none" w:sz="0" w:space="0" w:color="auto"/>
        <w:left w:val="none" w:sz="0" w:space="0" w:color="auto"/>
        <w:bottom w:val="none" w:sz="0" w:space="0" w:color="auto"/>
        <w:right w:val="none" w:sz="0" w:space="0" w:color="auto"/>
      </w:divBdr>
      <w:divsChild>
        <w:div w:id="511996749">
          <w:marLeft w:val="547"/>
          <w:marRight w:val="0"/>
          <w:marTop w:val="130"/>
          <w:marBottom w:val="0"/>
          <w:divBdr>
            <w:top w:val="none" w:sz="0" w:space="0" w:color="auto"/>
            <w:left w:val="none" w:sz="0" w:space="0" w:color="auto"/>
            <w:bottom w:val="none" w:sz="0" w:space="0" w:color="auto"/>
            <w:right w:val="none" w:sz="0" w:space="0" w:color="auto"/>
          </w:divBdr>
        </w:div>
      </w:divsChild>
    </w:div>
    <w:div w:id="48963297">
      <w:bodyDiv w:val="1"/>
      <w:marLeft w:val="0"/>
      <w:marRight w:val="0"/>
      <w:marTop w:val="0"/>
      <w:marBottom w:val="0"/>
      <w:divBdr>
        <w:top w:val="none" w:sz="0" w:space="0" w:color="auto"/>
        <w:left w:val="none" w:sz="0" w:space="0" w:color="auto"/>
        <w:bottom w:val="none" w:sz="0" w:space="0" w:color="auto"/>
        <w:right w:val="none" w:sz="0" w:space="0" w:color="auto"/>
      </w:divBdr>
    </w:div>
    <w:div w:id="49964312">
      <w:bodyDiv w:val="1"/>
      <w:marLeft w:val="0"/>
      <w:marRight w:val="0"/>
      <w:marTop w:val="0"/>
      <w:marBottom w:val="0"/>
      <w:divBdr>
        <w:top w:val="none" w:sz="0" w:space="0" w:color="auto"/>
        <w:left w:val="none" w:sz="0" w:space="0" w:color="auto"/>
        <w:bottom w:val="none" w:sz="0" w:space="0" w:color="auto"/>
        <w:right w:val="none" w:sz="0" w:space="0" w:color="auto"/>
      </w:divBdr>
    </w:div>
    <w:div w:id="172574185">
      <w:bodyDiv w:val="1"/>
      <w:marLeft w:val="0"/>
      <w:marRight w:val="0"/>
      <w:marTop w:val="0"/>
      <w:marBottom w:val="0"/>
      <w:divBdr>
        <w:top w:val="none" w:sz="0" w:space="0" w:color="auto"/>
        <w:left w:val="none" w:sz="0" w:space="0" w:color="auto"/>
        <w:bottom w:val="none" w:sz="0" w:space="0" w:color="auto"/>
        <w:right w:val="none" w:sz="0" w:space="0" w:color="auto"/>
      </w:divBdr>
    </w:div>
    <w:div w:id="257718438">
      <w:bodyDiv w:val="1"/>
      <w:marLeft w:val="0"/>
      <w:marRight w:val="0"/>
      <w:marTop w:val="0"/>
      <w:marBottom w:val="0"/>
      <w:divBdr>
        <w:top w:val="none" w:sz="0" w:space="0" w:color="auto"/>
        <w:left w:val="none" w:sz="0" w:space="0" w:color="auto"/>
        <w:bottom w:val="none" w:sz="0" w:space="0" w:color="auto"/>
        <w:right w:val="none" w:sz="0" w:space="0" w:color="auto"/>
      </w:divBdr>
    </w:div>
    <w:div w:id="271254566">
      <w:bodyDiv w:val="1"/>
      <w:marLeft w:val="0"/>
      <w:marRight w:val="0"/>
      <w:marTop w:val="0"/>
      <w:marBottom w:val="0"/>
      <w:divBdr>
        <w:top w:val="none" w:sz="0" w:space="0" w:color="auto"/>
        <w:left w:val="none" w:sz="0" w:space="0" w:color="auto"/>
        <w:bottom w:val="none" w:sz="0" w:space="0" w:color="auto"/>
        <w:right w:val="none" w:sz="0" w:space="0" w:color="auto"/>
      </w:divBdr>
      <w:divsChild>
        <w:div w:id="736897998">
          <w:marLeft w:val="547"/>
          <w:marRight w:val="0"/>
          <w:marTop w:val="130"/>
          <w:marBottom w:val="0"/>
          <w:divBdr>
            <w:top w:val="none" w:sz="0" w:space="0" w:color="auto"/>
            <w:left w:val="none" w:sz="0" w:space="0" w:color="auto"/>
            <w:bottom w:val="none" w:sz="0" w:space="0" w:color="auto"/>
            <w:right w:val="none" w:sz="0" w:space="0" w:color="auto"/>
          </w:divBdr>
        </w:div>
      </w:divsChild>
    </w:div>
    <w:div w:id="282617865">
      <w:bodyDiv w:val="1"/>
      <w:marLeft w:val="0"/>
      <w:marRight w:val="0"/>
      <w:marTop w:val="0"/>
      <w:marBottom w:val="0"/>
      <w:divBdr>
        <w:top w:val="none" w:sz="0" w:space="0" w:color="auto"/>
        <w:left w:val="none" w:sz="0" w:space="0" w:color="auto"/>
        <w:bottom w:val="none" w:sz="0" w:space="0" w:color="auto"/>
        <w:right w:val="none" w:sz="0" w:space="0" w:color="auto"/>
      </w:divBdr>
    </w:div>
    <w:div w:id="324942205">
      <w:bodyDiv w:val="1"/>
      <w:marLeft w:val="0"/>
      <w:marRight w:val="0"/>
      <w:marTop w:val="0"/>
      <w:marBottom w:val="0"/>
      <w:divBdr>
        <w:top w:val="none" w:sz="0" w:space="0" w:color="auto"/>
        <w:left w:val="none" w:sz="0" w:space="0" w:color="auto"/>
        <w:bottom w:val="none" w:sz="0" w:space="0" w:color="auto"/>
        <w:right w:val="none" w:sz="0" w:space="0" w:color="auto"/>
      </w:divBdr>
    </w:div>
    <w:div w:id="452215775">
      <w:bodyDiv w:val="1"/>
      <w:marLeft w:val="0"/>
      <w:marRight w:val="0"/>
      <w:marTop w:val="0"/>
      <w:marBottom w:val="0"/>
      <w:divBdr>
        <w:top w:val="none" w:sz="0" w:space="0" w:color="auto"/>
        <w:left w:val="none" w:sz="0" w:space="0" w:color="auto"/>
        <w:bottom w:val="none" w:sz="0" w:space="0" w:color="auto"/>
        <w:right w:val="none" w:sz="0" w:space="0" w:color="auto"/>
      </w:divBdr>
    </w:div>
    <w:div w:id="469636476">
      <w:bodyDiv w:val="1"/>
      <w:marLeft w:val="0"/>
      <w:marRight w:val="0"/>
      <w:marTop w:val="0"/>
      <w:marBottom w:val="0"/>
      <w:divBdr>
        <w:top w:val="none" w:sz="0" w:space="0" w:color="auto"/>
        <w:left w:val="none" w:sz="0" w:space="0" w:color="auto"/>
        <w:bottom w:val="none" w:sz="0" w:space="0" w:color="auto"/>
        <w:right w:val="none" w:sz="0" w:space="0" w:color="auto"/>
      </w:divBdr>
    </w:div>
    <w:div w:id="481434152">
      <w:bodyDiv w:val="1"/>
      <w:marLeft w:val="0"/>
      <w:marRight w:val="0"/>
      <w:marTop w:val="0"/>
      <w:marBottom w:val="0"/>
      <w:divBdr>
        <w:top w:val="none" w:sz="0" w:space="0" w:color="auto"/>
        <w:left w:val="none" w:sz="0" w:space="0" w:color="auto"/>
        <w:bottom w:val="none" w:sz="0" w:space="0" w:color="auto"/>
        <w:right w:val="none" w:sz="0" w:space="0" w:color="auto"/>
      </w:divBdr>
    </w:div>
    <w:div w:id="668603350">
      <w:bodyDiv w:val="1"/>
      <w:marLeft w:val="0"/>
      <w:marRight w:val="0"/>
      <w:marTop w:val="0"/>
      <w:marBottom w:val="0"/>
      <w:divBdr>
        <w:top w:val="none" w:sz="0" w:space="0" w:color="auto"/>
        <w:left w:val="none" w:sz="0" w:space="0" w:color="auto"/>
        <w:bottom w:val="none" w:sz="0" w:space="0" w:color="auto"/>
        <w:right w:val="none" w:sz="0" w:space="0" w:color="auto"/>
      </w:divBdr>
    </w:div>
    <w:div w:id="784039068">
      <w:bodyDiv w:val="1"/>
      <w:marLeft w:val="0"/>
      <w:marRight w:val="0"/>
      <w:marTop w:val="0"/>
      <w:marBottom w:val="0"/>
      <w:divBdr>
        <w:top w:val="none" w:sz="0" w:space="0" w:color="auto"/>
        <w:left w:val="none" w:sz="0" w:space="0" w:color="auto"/>
        <w:bottom w:val="none" w:sz="0" w:space="0" w:color="auto"/>
        <w:right w:val="none" w:sz="0" w:space="0" w:color="auto"/>
      </w:divBdr>
    </w:div>
    <w:div w:id="799687142">
      <w:bodyDiv w:val="1"/>
      <w:marLeft w:val="0"/>
      <w:marRight w:val="0"/>
      <w:marTop w:val="0"/>
      <w:marBottom w:val="0"/>
      <w:divBdr>
        <w:top w:val="none" w:sz="0" w:space="0" w:color="auto"/>
        <w:left w:val="none" w:sz="0" w:space="0" w:color="auto"/>
        <w:bottom w:val="none" w:sz="0" w:space="0" w:color="auto"/>
        <w:right w:val="none" w:sz="0" w:space="0" w:color="auto"/>
      </w:divBdr>
    </w:div>
    <w:div w:id="800881010">
      <w:bodyDiv w:val="1"/>
      <w:marLeft w:val="0"/>
      <w:marRight w:val="0"/>
      <w:marTop w:val="0"/>
      <w:marBottom w:val="0"/>
      <w:divBdr>
        <w:top w:val="none" w:sz="0" w:space="0" w:color="auto"/>
        <w:left w:val="none" w:sz="0" w:space="0" w:color="auto"/>
        <w:bottom w:val="none" w:sz="0" w:space="0" w:color="auto"/>
        <w:right w:val="none" w:sz="0" w:space="0" w:color="auto"/>
      </w:divBdr>
    </w:div>
    <w:div w:id="827211947">
      <w:bodyDiv w:val="1"/>
      <w:marLeft w:val="0"/>
      <w:marRight w:val="0"/>
      <w:marTop w:val="0"/>
      <w:marBottom w:val="0"/>
      <w:divBdr>
        <w:top w:val="none" w:sz="0" w:space="0" w:color="auto"/>
        <w:left w:val="none" w:sz="0" w:space="0" w:color="auto"/>
        <w:bottom w:val="none" w:sz="0" w:space="0" w:color="auto"/>
        <w:right w:val="none" w:sz="0" w:space="0" w:color="auto"/>
      </w:divBdr>
    </w:div>
    <w:div w:id="889461245">
      <w:bodyDiv w:val="1"/>
      <w:marLeft w:val="0"/>
      <w:marRight w:val="0"/>
      <w:marTop w:val="0"/>
      <w:marBottom w:val="0"/>
      <w:divBdr>
        <w:top w:val="none" w:sz="0" w:space="0" w:color="auto"/>
        <w:left w:val="none" w:sz="0" w:space="0" w:color="auto"/>
        <w:bottom w:val="none" w:sz="0" w:space="0" w:color="auto"/>
        <w:right w:val="none" w:sz="0" w:space="0" w:color="auto"/>
      </w:divBdr>
    </w:div>
    <w:div w:id="945232270">
      <w:bodyDiv w:val="1"/>
      <w:marLeft w:val="0"/>
      <w:marRight w:val="0"/>
      <w:marTop w:val="0"/>
      <w:marBottom w:val="0"/>
      <w:divBdr>
        <w:top w:val="none" w:sz="0" w:space="0" w:color="auto"/>
        <w:left w:val="none" w:sz="0" w:space="0" w:color="auto"/>
        <w:bottom w:val="none" w:sz="0" w:space="0" w:color="auto"/>
        <w:right w:val="none" w:sz="0" w:space="0" w:color="auto"/>
      </w:divBdr>
    </w:div>
    <w:div w:id="954673155">
      <w:bodyDiv w:val="1"/>
      <w:marLeft w:val="0"/>
      <w:marRight w:val="0"/>
      <w:marTop w:val="0"/>
      <w:marBottom w:val="0"/>
      <w:divBdr>
        <w:top w:val="none" w:sz="0" w:space="0" w:color="auto"/>
        <w:left w:val="none" w:sz="0" w:space="0" w:color="auto"/>
        <w:bottom w:val="none" w:sz="0" w:space="0" w:color="auto"/>
        <w:right w:val="none" w:sz="0" w:space="0" w:color="auto"/>
      </w:divBdr>
      <w:divsChild>
        <w:div w:id="5714265">
          <w:marLeft w:val="547"/>
          <w:marRight w:val="0"/>
          <w:marTop w:val="130"/>
          <w:marBottom w:val="0"/>
          <w:divBdr>
            <w:top w:val="none" w:sz="0" w:space="0" w:color="auto"/>
            <w:left w:val="none" w:sz="0" w:space="0" w:color="auto"/>
            <w:bottom w:val="none" w:sz="0" w:space="0" w:color="auto"/>
            <w:right w:val="none" w:sz="0" w:space="0" w:color="auto"/>
          </w:divBdr>
        </w:div>
      </w:divsChild>
    </w:div>
    <w:div w:id="955141873">
      <w:bodyDiv w:val="1"/>
      <w:marLeft w:val="0"/>
      <w:marRight w:val="0"/>
      <w:marTop w:val="0"/>
      <w:marBottom w:val="0"/>
      <w:divBdr>
        <w:top w:val="none" w:sz="0" w:space="0" w:color="auto"/>
        <w:left w:val="none" w:sz="0" w:space="0" w:color="auto"/>
        <w:bottom w:val="none" w:sz="0" w:space="0" w:color="auto"/>
        <w:right w:val="none" w:sz="0" w:space="0" w:color="auto"/>
      </w:divBdr>
    </w:div>
    <w:div w:id="979455561">
      <w:bodyDiv w:val="1"/>
      <w:marLeft w:val="0"/>
      <w:marRight w:val="0"/>
      <w:marTop w:val="0"/>
      <w:marBottom w:val="0"/>
      <w:divBdr>
        <w:top w:val="none" w:sz="0" w:space="0" w:color="auto"/>
        <w:left w:val="none" w:sz="0" w:space="0" w:color="auto"/>
        <w:bottom w:val="none" w:sz="0" w:space="0" w:color="auto"/>
        <w:right w:val="none" w:sz="0" w:space="0" w:color="auto"/>
      </w:divBdr>
    </w:div>
    <w:div w:id="988706833">
      <w:bodyDiv w:val="1"/>
      <w:marLeft w:val="0"/>
      <w:marRight w:val="0"/>
      <w:marTop w:val="0"/>
      <w:marBottom w:val="0"/>
      <w:divBdr>
        <w:top w:val="none" w:sz="0" w:space="0" w:color="auto"/>
        <w:left w:val="none" w:sz="0" w:space="0" w:color="auto"/>
        <w:bottom w:val="none" w:sz="0" w:space="0" w:color="auto"/>
        <w:right w:val="none" w:sz="0" w:space="0" w:color="auto"/>
      </w:divBdr>
    </w:div>
    <w:div w:id="1135830239">
      <w:bodyDiv w:val="1"/>
      <w:marLeft w:val="0"/>
      <w:marRight w:val="0"/>
      <w:marTop w:val="0"/>
      <w:marBottom w:val="0"/>
      <w:divBdr>
        <w:top w:val="none" w:sz="0" w:space="0" w:color="auto"/>
        <w:left w:val="none" w:sz="0" w:space="0" w:color="auto"/>
        <w:bottom w:val="none" w:sz="0" w:space="0" w:color="auto"/>
        <w:right w:val="none" w:sz="0" w:space="0" w:color="auto"/>
      </w:divBdr>
      <w:divsChild>
        <w:div w:id="279999431">
          <w:marLeft w:val="547"/>
          <w:marRight w:val="0"/>
          <w:marTop w:val="130"/>
          <w:marBottom w:val="0"/>
          <w:divBdr>
            <w:top w:val="none" w:sz="0" w:space="0" w:color="auto"/>
            <w:left w:val="none" w:sz="0" w:space="0" w:color="auto"/>
            <w:bottom w:val="none" w:sz="0" w:space="0" w:color="auto"/>
            <w:right w:val="none" w:sz="0" w:space="0" w:color="auto"/>
          </w:divBdr>
        </w:div>
      </w:divsChild>
    </w:div>
    <w:div w:id="1328633762">
      <w:bodyDiv w:val="1"/>
      <w:marLeft w:val="0"/>
      <w:marRight w:val="0"/>
      <w:marTop w:val="0"/>
      <w:marBottom w:val="0"/>
      <w:divBdr>
        <w:top w:val="none" w:sz="0" w:space="0" w:color="auto"/>
        <w:left w:val="none" w:sz="0" w:space="0" w:color="auto"/>
        <w:bottom w:val="none" w:sz="0" w:space="0" w:color="auto"/>
        <w:right w:val="none" w:sz="0" w:space="0" w:color="auto"/>
      </w:divBdr>
    </w:div>
    <w:div w:id="1329748269">
      <w:bodyDiv w:val="1"/>
      <w:marLeft w:val="0"/>
      <w:marRight w:val="0"/>
      <w:marTop w:val="0"/>
      <w:marBottom w:val="0"/>
      <w:divBdr>
        <w:top w:val="none" w:sz="0" w:space="0" w:color="auto"/>
        <w:left w:val="none" w:sz="0" w:space="0" w:color="auto"/>
        <w:bottom w:val="none" w:sz="0" w:space="0" w:color="auto"/>
        <w:right w:val="none" w:sz="0" w:space="0" w:color="auto"/>
      </w:divBdr>
    </w:div>
    <w:div w:id="1411852367">
      <w:bodyDiv w:val="1"/>
      <w:marLeft w:val="0"/>
      <w:marRight w:val="0"/>
      <w:marTop w:val="0"/>
      <w:marBottom w:val="0"/>
      <w:divBdr>
        <w:top w:val="none" w:sz="0" w:space="0" w:color="auto"/>
        <w:left w:val="none" w:sz="0" w:space="0" w:color="auto"/>
        <w:bottom w:val="none" w:sz="0" w:space="0" w:color="auto"/>
        <w:right w:val="none" w:sz="0" w:space="0" w:color="auto"/>
      </w:divBdr>
    </w:div>
    <w:div w:id="1444114888">
      <w:bodyDiv w:val="1"/>
      <w:marLeft w:val="0"/>
      <w:marRight w:val="0"/>
      <w:marTop w:val="0"/>
      <w:marBottom w:val="0"/>
      <w:divBdr>
        <w:top w:val="none" w:sz="0" w:space="0" w:color="auto"/>
        <w:left w:val="none" w:sz="0" w:space="0" w:color="auto"/>
        <w:bottom w:val="none" w:sz="0" w:space="0" w:color="auto"/>
        <w:right w:val="none" w:sz="0" w:space="0" w:color="auto"/>
      </w:divBdr>
    </w:div>
    <w:div w:id="1452825843">
      <w:bodyDiv w:val="1"/>
      <w:marLeft w:val="0"/>
      <w:marRight w:val="0"/>
      <w:marTop w:val="0"/>
      <w:marBottom w:val="0"/>
      <w:divBdr>
        <w:top w:val="none" w:sz="0" w:space="0" w:color="auto"/>
        <w:left w:val="none" w:sz="0" w:space="0" w:color="auto"/>
        <w:bottom w:val="none" w:sz="0" w:space="0" w:color="auto"/>
        <w:right w:val="none" w:sz="0" w:space="0" w:color="auto"/>
      </w:divBdr>
    </w:div>
    <w:div w:id="1729765074">
      <w:bodyDiv w:val="1"/>
      <w:marLeft w:val="0"/>
      <w:marRight w:val="0"/>
      <w:marTop w:val="0"/>
      <w:marBottom w:val="0"/>
      <w:divBdr>
        <w:top w:val="none" w:sz="0" w:space="0" w:color="auto"/>
        <w:left w:val="none" w:sz="0" w:space="0" w:color="auto"/>
        <w:bottom w:val="none" w:sz="0" w:space="0" w:color="auto"/>
        <w:right w:val="none" w:sz="0" w:space="0" w:color="auto"/>
      </w:divBdr>
    </w:div>
    <w:div w:id="1765883607">
      <w:bodyDiv w:val="1"/>
      <w:marLeft w:val="0"/>
      <w:marRight w:val="0"/>
      <w:marTop w:val="0"/>
      <w:marBottom w:val="0"/>
      <w:divBdr>
        <w:top w:val="none" w:sz="0" w:space="0" w:color="auto"/>
        <w:left w:val="none" w:sz="0" w:space="0" w:color="auto"/>
        <w:bottom w:val="none" w:sz="0" w:space="0" w:color="auto"/>
        <w:right w:val="none" w:sz="0" w:space="0" w:color="auto"/>
      </w:divBdr>
    </w:div>
    <w:div w:id="1797987690">
      <w:bodyDiv w:val="1"/>
      <w:marLeft w:val="0"/>
      <w:marRight w:val="0"/>
      <w:marTop w:val="0"/>
      <w:marBottom w:val="0"/>
      <w:divBdr>
        <w:top w:val="none" w:sz="0" w:space="0" w:color="auto"/>
        <w:left w:val="none" w:sz="0" w:space="0" w:color="auto"/>
        <w:bottom w:val="none" w:sz="0" w:space="0" w:color="auto"/>
        <w:right w:val="none" w:sz="0" w:space="0" w:color="auto"/>
      </w:divBdr>
    </w:div>
    <w:div w:id="1955746361">
      <w:bodyDiv w:val="1"/>
      <w:marLeft w:val="0"/>
      <w:marRight w:val="0"/>
      <w:marTop w:val="0"/>
      <w:marBottom w:val="0"/>
      <w:divBdr>
        <w:top w:val="none" w:sz="0" w:space="0" w:color="auto"/>
        <w:left w:val="none" w:sz="0" w:space="0" w:color="auto"/>
        <w:bottom w:val="none" w:sz="0" w:space="0" w:color="auto"/>
        <w:right w:val="none" w:sz="0" w:space="0" w:color="auto"/>
      </w:divBdr>
    </w:div>
    <w:div w:id="21158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135625100114975" TargetMode="External"/><Relationship Id="rId13" Type="http://schemas.openxmlformats.org/officeDocument/2006/relationships/hyperlink" Target="http://www.transkulturellepsychiatrie.de/pdf/cu29,2+3_2006_S%20142-146%20Repr%20Oberg%20%25.pdf" TargetMode="External"/><Relationship Id="rId18" Type="http://schemas.openxmlformats.org/officeDocument/2006/relationships/hyperlink" Target="https://www.plymouth.ac.uk/uploads/production/document/path/5/5858/PedRIO_Paper_7_.pdf#page=3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zkornik@keele.ac.uk" TargetMode="External"/><Relationship Id="rId12" Type="http://schemas.openxmlformats.org/officeDocument/2006/relationships/hyperlink" Target="https://www.heacademy.ac.uk/resource/designing-effective-fieldwork-environmental-and-natural-sciences" TargetMode="External"/><Relationship Id="rId17" Type="http://schemas.openxmlformats.org/officeDocument/2006/relationships/hyperlink" Target="https://jadekeele.files.wordpress.com/2013/04/jade-international-edition.pdf" TargetMode="External"/><Relationship Id="rId2" Type="http://schemas.openxmlformats.org/officeDocument/2006/relationships/styles" Target="styles.xml"/><Relationship Id="rId16" Type="http://schemas.openxmlformats.org/officeDocument/2006/relationships/hyperlink" Target="http://www.qaa.ac.uk/assuring-standards-and-quality/the-quality-code/subject-benchmark-statemen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sa.ac.uk/" TargetMode="External"/><Relationship Id="rId5" Type="http://schemas.openxmlformats.org/officeDocument/2006/relationships/footnotes" Target="footnotes.xml"/><Relationship Id="rId15" Type="http://schemas.openxmlformats.org/officeDocument/2006/relationships/hyperlink" Target="http://www.qaa.ac.uk/en/Publications/Documents/TNE-China-Overview.pdf" TargetMode="External"/><Relationship Id="rId10" Type="http://schemas.openxmlformats.org/officeDocument/2006/relationships/hyperlink" Target="https://www.heacademy.ac.uk/system/files/resources/pedagogic_theory_0.pdf" TargetMode="External"/><Relationship Id="rId19" Type="http://schemas.openxmlformats.org/officeDocument/2006/relationships/hyperlink" Target="https://jadekeele.files.wordpress.com/2013/04/jade-international-edition.pdf" TargetMode="External"/><Relationship Id="rId4" Type="http://schemas.openxmlformats.org/officeDocument/2006/relationships/webSettings" Target="webSettings.xml"/><Relationship Id="rId9" Type="http://schemas.openxmlformats.org/officeDocument/2006/relationships/hyperlink" Target="http://www.britishcouncil.org/eumd-information-research-tne-uk-he.htm" TargetMode="External"/><Relationship Id="rId14" Type="http://schemas.openxmlformats.org/officeDocument/2006/relationships/hyperlink" Target="http://journals.sfu.ca/cjhe/index.php/cjhe/article/view/15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5392</Words>
  <Characters>30738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36058</CharactersWithSpaces>
  <SharedDoc>false</SharedDoc>
  <HLinks>
    <vt:vector size="78" baseType="variant">
      <vt:variant>
        <vt:i4>1310733</vt:i4>
      </vt:variant>
      <vt:variant>
        <vt:i4>42</vt:i4>
      </vt:variant>
      <vt:variant>
        <vt:i4>0</vt:i4>
      </vt:variant>
      <vt:variant>
        <vt:i4>5</vt:i4>
      </vt:variant>
      <vt:variant>
        <vt:lpwstr>https://jadekeele.files.wordpress.com/2013/04/jade-international-edition.pdf</vt:lpwstr>
      </vt:variant>
      <vt:variant>
        <vt:lpwstr/>
      </vt:variant>
      <vt:variant>
        <vt:i4>2949126</vt:i4>
      </vt:variant>
      <vt:variant>
        <vt:i4>39</vt:i4>
      </vt:variant>
      <vt:variant>
        <vt:i4>0</vt:i4>
      </vt:variant>
      <vt:variant>
        <vt:i4>5</vt:i4>
      </vt:variant>
      <vt:variant>
        <vt:lpwstr>https://www.plymouth.ac.uk/uploads/production/document/path/5/5858/PedRIO_Paper_7_.pdf</vt:lpwstr>
      </vt:variant>
      <vt:variant>
        <vt:lpwstr>page=36</vt:lpwstr>
      </vt:variant>
      <vt:variant>
        <vt:i4>1310733</vt:i4>
      </vt:variant>
      <vt:variant>
        <vt:i4>36</vt:i4>
      </vt:variant>
      <vt:variant>
        <vt:i4>0</vt:i4>
      </vt:variant>
      <vt:variant>
        <vt:i4>5</vt:i4>
      </vt:variant>
      <vt:variant>
        <vt:lpwstr>https://jadekeele.files.wordpress.com/2013/04/jade-international-edition.pdf</vt:lpwstr>
      </vt:variant>
      <vt:variant>
        <vt:lpwstr/>
      </vt:variant>
      <vt:variant>
        <vt:i4>524291</vt:i4>
      </vt:variant>
      <vt:variant>
        <vt:i4>30</vt:i4>
      </vt:variant>
      <vt:variant>
        <vt:i4>0</vt:i4>
      </vt:variant>
      <vt:variant>
        <vt:i4>5</vt:i4>
      </vt:variant>
      <vt:variant>
        <vt:lpwstr>http://www.qaa.ac.uk/assuring-standards-and-quality/the-quality-code/subject-benchmark-statements</vt:lpwstr>
      </vt:variant>
      <vt:variant>
        <vt:lpwstr/>
      </vt:variant>
      <vt:variant>
        <vt:i4>1638492</vt:i4>
      </vt:variant>
      <vt:variant>
        <vt:i4>27</vt:i4>
      </vt:variant>
      <vt:variant>
        <vt:i4>0</vt:i4>
      </vt:variant>
      <vt:variant>
        <vt:i4>5</vt:i4>
      </vt:variant>
      <vt:variant>
        <vt:lpwstr>http://www.qaa.ac.uk/en/Publications/Documents/TNE-China-Overview.pdf</vt:lpwstr>
      </vt:variant>
      <vt:variant>
        <vt:lpwstr/>
      </vt:variant>
      <vt:variant>
        <vt:i4>5898323</vt:i4>
      </vt:variant>
      <vt:variant>
        <vt:i4>24</vt:i4>
      </vt:variant>
      <vt:variant>
        <vt:i4>0</vt:i4>
      </vt:variant>
      <vt:variant>
        <vt:i4>5</vt:i4>
      </vt:variant>
      <vt:variant>
        <vt:lpwstr>http://journals.sfu.ca/cjhe/index.php/cjhe/article/view/1568</vt:lpwstr>
      </vt:variant>
      <vt:variant>
        <vt:lpwstr/>
      </vt:variant>
      <vt:variant>
        <vt:i4>1835015</vt:i4>
      </vt:variant>
      <vt:variant>
        <vt:i4>21</vt:i4>
      </vt:variant>
      <vt:variant>
        <vt:i4>0</vt:i4>
      </vt:variant>
      <vt:variant>
        <vt:i4>5</vt:i4>
      </vt:variant>
      <vt:variant>
        <vt:lpwstr>http://www.transkulturellepsychiatrie.de/pdf/cu29,2+3_2006_S 142-146 Repr Oberg %25.pdf</vt:lpwstr>
      </vt:variant>
      <vt:variant>
        <vt:lpwstr/>
      </vt:variant>
      <vt:variant>
        <vt:i4>6160465</vt:i4>
      </vt:variant>
      <vt:variant>
        <vt:i4>18</vt:i4>
      </vt:variant>
      <vt:variant>
        <vt:i4>0</vt:i4>
      </vt:variant>
      <vt:variant>
        <vt:i4>5</vt:i4>
      </vt:variant>
      <vt:variant>
        <vt:lpwstr>https://www.heacademy.ac.uk/resource/designing-effective-fieldwork-environmental-and-natural-sciences</vt:lpwstr>
      </vt:variant>
      <vt:variant>
        <vt:lpwstr/>
      </vt:variant>
      <vt:variant>
        <vt:i4>6815843</vt:i4>
      </vt:variant>
      <vt:variant>
        <vt:i4>15</vt:i4>
      </vt:variant>
      <vt:variant>
        <vt:i4>0</vt:i4>
      </vt:variant>
      <vt:variant>
        <vt:i4>5</vt:i4>
      </vt:variant>
      <vt:variant>
        <vt:lpwstr>https://www.hesa.ac.uk/</vt:lpwstr>
      </vt:variant>
      <vt:variant>
        <vt:lpwstr/>
      </vt:variant>
      <vt:variant>
        <vt:i4>2883624</vt:i4>
      </vt:variant>
      <vt:variant>
        <vt:i4>12</vt:i4>
      </vt:variant>
      <vt:variant>
        <vt:i4>0</vt:i4>
      </vt:variant>
      <vt:variant>
        <vt:i4>5</vt:i4>
      </vt:variant>
      <vt:variant>
        <vt:lpwstr>https://www.heacademy.ac.uk/system/files/resources/pedagogic_theory_0.pdf</vt:lpwstr>
      </vt:variant>
      <vt:variant>
        <vt:lpwstr/>
      </vt:variant>
      <vt:variant>
        <vt:i4>262165</vt:i4>
      </vt:variant>
      <vt:variant>
        <vt:i4>6</vt:i4>
      </vt:variant>
      <vt:variant>
        <vt:i4>0</vt:i4>
      </vt:variant>
      <vt:variant>
        <vt:i4>5</vt:i4>
      </vt:variant>
      <vt:variant>
        <vt:lpwstr>http://www.britishcouncil.org/eumd-information-research-tne-uk-he.htm</vt:lpwstr>
      </vt:variant>
      <vt:variant>
        <vt:lpwstr/>
      </vt:variant>
      <vt:variant>
        <vt:i4>5832788</vt:i4>
      </vt:variant>
      <vt:variant>
        <vt:i4>3</vt:i4>
      </vt:variant>
      <vt:variant>
        <vt:i4>0</vt:i4>
      </vt:variant>
      <vt:variant>
        <vt:i4>5</vt:i4>
      </vt:variant>
      <vt:variant>
        <vt:lpwstr>http://dx.doi.org/10.1080/135625100114975</vt:lpwstr>
      </vt:variant>
      <vt:variant>
        <vt:lpwstr/>
      </vt:variant>
      <vt:variant>
        <vt:i4>8061008</vt:i4>
      </vt:variant>
      <vt:variant>
        <vt:i4>0</vt:i4>
      </vt:variant>
      <vt:variant>
        <vt:i4>0</vt:i4>
      </vt:variant>
      <vt:variant>
        <vt:i4>5</vt:i4>
      </vt:variant>
      <vt:variant>
        <vt:lpwstr>mailto:k.szkornik@keele.ac.uk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Szkornik</dc:creator>
  <cp:lastModifiedBy>Katie Szkornik</cp:lastModifiedBy>
  <cp:revision>2</cp:revision>
  <cp:lastPrinted>2016-11-17T12:21:00Z</cp:lastPrinted>
  <dcterms:created xsi:type="dcterms:W3CDTF">2016-12-13T10:41:00Z</dcterms:created>
  <dcterms:modified xsi:type="dcterms:W3CDTF">2016-12-13T10:41:00Z</dcterms:modified>
</cp:coreProperties>
</file>