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492AE" w14:textId="77777777" w:rsidR="00FE461D" w:rsidRDefault="00707B6A" w:rsidP="00831AE3">
      <w:pPr>
        <w:pStyle w:val="Heading1"/>
        <w:ind w:firstLine="0"/>
        <w:rPr>
          <w:rFonts w:ascii="Times New Roman" w:hAnsi="Times New Roman" w:cs="Times New Roman"/>
          <w:b/>
          <w:color w:val="000000" w:themeColor="text1"/>
          <w:sz w:val="24"/>
          <w:szCs w:val="24"/>
        </w:rPr>
      </w:pPr>
      <w:r w:rsidRPr="003A674A">
        <w:rPr>
          <w:rFonts w:ascii="Times New Roman" w:hAnsi="Times New Roman" w:cs="Times New Roman"/>
          <w:b/>
          <w:color w:val="000000" w:themeColor="text1"/>
          <w:sz w:val="24"/>
          <w:szCs w:val="24"/>
        </w:rPr>
        <w:t>Incide</w:t>
      </w:r>
      <w:r w:rsidR="008C19D1" w:rsidRPr="003A674A">
        <w:rPr>
          <w:rFonts w:ascii="Times New Roman" w:hAnsi="Times New Roman" w:cs="Times New Roman"/>
          <w:b/>
          <w:color w:val="000000" w:themeColor="text1"/>
          <w:sz w:val="24"/>
          <w:szCs w:val="24"/>
        </w:rPr>
        <w:t>nce, determinants and outcomes</w:t>
      </w:r>
      <w:r w:rsidRPr="003A674A">
        <w:rPr>
          <w:rFonts w:ascii="Times New Roman" w:hAnsi="Times New Roman" w:cs="Times New Roman"/>
          <w:b/>
          <w:color w:val="000000" w:themeColor="text1"/>
          <w:sz w:val="24"/>
          <w:szCs w:val="24"/>
        </w:rPr>
        <w:t xml:space="preserve"> of left and right radial access</w:t>
      </w:r>
      <w:r w:rsidR="0050349B" w:rsidRPr="003A674A">
        <w:rPr>
          <w:rFonts w:ascii="Times New Roman" w:hAnsi="Times New Roman" w:cs="Times New Roman"/>
          <w:b/>
          <w:color w:val="000000" w:themeColor="text1"/>
          <w:sz w:val="24"/>
          <w:szCs w:val="24"/>
        </w:rPr>
        <w:t xml:space="preserve"> use</w:t>
      </w:r>
      <w:r w:rsidRPr="003A674A">
        <w:rPr>
          <w:rFonts w:ascii="Times New Roman" w:hAnsi="Times New Roman" w:cs="Times New Roman"/>
          <w:b/>
          <w:color w:val="000000" w:themeColor="text1"/>
          <w:sz w:val="24"/>
          <w:szCs w:val="24"/>
        </w:rPr>
        <w:t xml:space="preserve"> in patients undergoing percutaneous coronary intervention in </w:t>
      </w:r>
      <w:r w:rsidR="00450E9D">
        <w:rPr>
          <w:rFonts w:ascii="Times New Roman" w:hAnsi="Times New Roman" w:cs="Times New Roman"/>
          <w:b/>
          <w:color w:val="000000" w:themeColor="text1"/>
          <w:sz w:val="24"/>
          <w:szCs w:val="24"/>
        </w:rPr>
        <w:t xml:space="preserve">the </w:t>
      </w:r>
      <w:r w:rsidRPr="003A674A">
        <w:rPr>
          <w:rFonts w:ascii="Times New Roman" w:hAnsi="Times New Roman" w:cs="Times New Roman"/>
          <w:b/>
          <w:color w:val="000000" w:themeColor="text1"/>
          <w:sz w:val="24"/>
          <w:szCs w:val="24"/>
        </w:rPr>
        <w:t xml:space="preserve">United Kingdom, a national perspective using </w:t>
      </w:r>
      <w:r w:rsidR="00FB18DE" w:rsidRPr="003A674A">
        <w:rPr>
          <w:rFonts w:ascii="Times New Roman" w:hAnsi="Times New Roman" w:cs="Times New Roman"/>
          <w:b/>
          <w:color w:val="000000" w:themeColor="text1"/>
          <w:sz w:val="24"/>
          <w:szCs w:val="24"/>
        </w:rPr>
        <w:t xml:space="preserve">the </w:t>
      </w:r>
      <w:r w:rsidRPr="003A674A">
        <w:rPr>
          <w:rFonts w:ascii="Times New Roman" w:hAnsi="Times New Roman" w:cs="Times New Roman"/>
          <w:b/>
          <w:color w:val="000000" w:themeColor="text1"/>
          <w:sz w:val="24"/>
          <w:szCs w:val="24"/>
        </w:rPr>
        <w:t>British Cardiovascular Intervention Society (BCIS) dataset</w:t>
      </w:r>
    </w:p>
    <w:p w14:paraId="3F7A2B11" w14:textId="10E4BF1E" w:rsidR="00707B6A" w:rsidRDefault="00707B6A" w:rsidP="00831AE3">
      <w:pPr>
        <w:pStyle w:val="Heading1"/>
        <w:ind w:firstLine="0"/>
        <w:rPr>
          <w:rFonts w:ascii="Times New Roman" w:hAnsi="Times New Roman" w:cs="Times New Roman"/>
          <w:b/>
          <w:color w:val="000000" w:themeColor="text1"/>
          <w:sz w:val="24"/>
          <w:szCs w:val="24"/>
        </w:rPr>
      </w:pPr>
      <w:r w:rsidRPr="003A674A">
        <w:rPr>
          <w:rFonts w:ascii="Times New Roman" w:hAnsi="Times New Roman" w:cs="Times New Roman"/>
          <w:b/>
          <w:color w:val="000000" w:themeColor="text1"/>
          <w:sz w:val="24"/>
          <w:szCs w:val="24"/>
        </w:rPr>
        <w:t xml:space="preserve"> </w:t>
      </w:r>
    </w:p>
    <w:p w14:paraId="4CD306BD" w14:textId="32EED130" w:rsidR="00707B6A" w:rsidRPr="003A674A" w:rsidRDefault="00FE461D" w:rsidP="00FE461D">
      <w:pPr>
        <w:ind w:firstLine="0"/>
        <w:rPr>
          <w:rFonts w:ascii="Times New Roman" w:hAnsi="Times New Roman" w:cs="Times New Roman"/>
          <w:sz w:val="24"/>
          <w:szCs w:val="24"/>
        </w:rPr>
      </w:pPr>
      <w:r w:rsidRPr="00FE461D">
        <w:rPr>
          <w:rFonts w:ascii="Times New Roman" w:hAnsi="Times New Roman" w:cs="Times New Roman"/>
          <w:b/>
          <w:sz w:val="24"/>
          <w:szCs w:val="24"/>
        </w:rPr>
        <w:t xml:space="preserve">Short Running Title: </w:t>
      </w:r>
      <w:r w:rsidRPr="00FE461D">
        <w:rPr>
          <w:rFonts w:ascii="Times New Roman" w:hAnsi="Times New Roman" w:cs="Times New Roman"/>
          <w:sz w:val="24"/>
          <w:szCs w:val="24"/>
        </w:rPr>
        <w:t>left or right radial access and clinical outcomes</w:t>
      </w:r>
    </w:p>
    <w:p w14:paraId="56B65926" w14:textId="41834611" w:rsidR="00707B6A" w:rsidRPr="003A674A" w:rsidRDefault="0089016D" w:rsidP="00831AE3">
      <w:pPr>
        <w:ind w:firstLine="0"/>
        <w:rPr>
          <w:rFonts w:ascii="Times New Roman" w:hAnsi="Times New Roman" w:cs="Times New Roman"/>
          <w:sz w:val="24"/>
          <w:szCs w:val="24"/>
          <w:vertAlign w:val="superscript"/>
        </w:rPr>
      </w:pPr>
      <w:r w:rsidRPr="003A674A">
        <w:rPr>
          <w:rFonts w:ascii="Times New Roman" w:hAnsi="Times New Roman" w:cs="Times New Roman"/>
          <w:sz w:val="24"/>
          <w:szCs w:val="24"/>
        </w:rPr>
        <w:t>Muhammad Rashid</w:t>
      </w:r>
      <w:r w:rsidR="00723CDA" w:rsidRPr="003A674A">
        <w:rPr>
          <w:rFonts w:ascii="Times New Roman" w:hAnsi="Times New Roman" w:cs="Times New Roman"/>
          <w:sz w:val="24"/>
          <w:szCs w:val="24"/>
        </w:rPr>
        <w:t xml:space="preserve"> MBBS</w:t>
      </w:r>
      <w:r w:rsidR="00733A11" w:rsidRPr="003A674A">
        <w:rPr>
          <w:rFonts w:ascii="Times New Roman" w:hAnsi="Times New Roman" w:cs="Times New Roman"/>
          <w:sz w:val="24"/>
          <w:szCs w:val="24"/>
          <w:vertAlign w:val="superscript"/>
        </w:rPr>
        <w:t>1</w:t>
      </w:r>
      <w:r w:rsidRPr="003A674A">
        <w:rPr>
          <w:rFonts w:ascii="Times New Roman" w:hAnsi="Times New Roman" w:cs="Times New Roman"/>
          <w:sz w:val="24"/>
          <w:szCs w:val="24"/>
        </w:rPr>
        <w:t xml:space="preserve">, </w:t>
      </w:r>
      <w:r w:rsidR="008061A0" w:rsidRPr="003A674A">
        <w:rPr>
          <w:rFonts w:ascii="Times New Roman" w:hAnsi="Times New Roman" w:cs="Times New Roman"/>
          <w:sz w:val="24"/>
          <w:szCs w:val="24"/>
        </w:rPr>
        <w:t>Claire Lawson PhD</w:t>
      </w:r>
      <w:r w:rsidR="008061A0" w:rsidRPr="003A674A">
        <w:rPr>
          <w:rFonts w:ascii="Times New Roman" w:hAnsi="Times New Roman" w:cs="Times New Roman"/>
          <w:sz w:val="24"/>
          <w:szCs w:val="24"/>
          <w:vertAlign w:val="superscript"/>
        </w:rPr>
        <w:t>1</w:t>
      </w:r>
      <w:r w:rsidR="008061A0" w:rsidRPr="003A674A">
        <w:rPr>
          <w:rFonts w:ascii="Times New Roman" w:hAnsi="Times New Roman" w:cs="Times New Roman"/>
          <w:sz w:val="24"/>
          <w:szCs w:val="24"/>
        </w:rPr>
        <w:t>, Jessica Potts MSc</w:t>
      </w:r>
      <w:r w:rsidR="008061A0" w:rsidRPr="003A674A">
        <w:rPr>
          <w:rFonts w:ascii="Times New Roman" w:hAnsi="Times New Roman" w:cs="Times New Roman"/>
          <w:sz w:val="24"/>
          <w:szCs w:val="24"/>
          <w:vertAlign w:val="superscript"/>
        </w:rPr>
        <w:t>1</w:t>
      </w:r>
      <w:r w:rsidR="008061A0" w:rsidRPr="003A674A">
        <w:rPr>
          <w:rFonts w:ascii="Times New Roman" w:hAnsi="Times New Roman" w:cs="Times New Roman"/>
          <w:sz w:val="24"/>
          <w:szCs w:val="24"/>
        </w:rPr>
        <w:t xml:space="preserve">, </w:t>
      </w:r>
      <w:proofErr w:type="spellStart"/>
      <w:r w:rsidR="008061A0" w:rsidRPr="003A674A">
        <w:rPr>
          <w:rFonts w:ascii="Times New Roman" w:hAnsi="Times New Roman" w:cs="Times New Roman"/>
          <w:sz w:val="24"/>
          <w:szCs w:val="24"/>
        </w:rPr>
        <w:t>Evangelos</w:t>
      </w:r>
      <w:proofErr w:type="spellEnd"/>
      <w:r w:rsidR="008061A0" w:rsidRPr="003A674A">
        <w:rPr>
          <w:rFonts w:ascii="Times New Roman" w:hAnsi="Times New Roman" w:cs="Times New Roman"/>
          <w:sz w:val="24"/>
          <w:szCs w:val="24"/>
        </w:rPr>
        <w:t xml:space="preserve"> </w:t>
      </w:r>
      <w:proofErr w:type="spellStart"/>
      <w:r w:rsidR="008061A0" w:rsidRPr="003A674A">
        <w:rPr>
          <w:rFonts w:ascii="Times New Roman" w:hAnsi="Times New Roman" w:cs="Times New Roman"/>
          <w:sz w:val="24"/>
          <w:szCs w:val="24"/>
        </w:rPr>
        <w:t>Kontopantelis</w:t>
      </w:r>
      <w:proofErr w:type="spellEnd"/>
      <w:r w:rsidR="008061A0" w:rsidRPr="003A674A">
        <w:rPr>
          <w:rFonts w:ascii="Times New Roman" w:hAnsi="Times New Roman" w:cs="Times New Roman"/>
          <w:sz w:val="24"/>
          <w:szCs w:val="24"/>
        </w:rPr>
        <w:t xml:space="preserve"> PhD</w:t>
      </w:r>
      <w:r w:rsidR="008061A0" w:rsidRPr="003A674A">
        <w:rPr>
          <w:rFonts w:ascii="Times New Roman" w:hAnsi="Times New Roman" w:cs="Times New Roman"/>
          <w:sz w:val="24"/>
          <w:szCs w:val="24"/>
          <w:vertAlign w:val="superscript"/>
        </w:rPr>
        <w:t>3</w:t>
      </w:r>
      <w:r w:rsidR="008061A0" w:rsidRPr="003A674A">
        <w:rPr>
          <w:rFonts w:ascii="Times New Roman" w:hAnsi="Times New Roman" w:cs="Times New Roman"/>
          <w:sz w:val="24"/>
          <w:szCs w:val="24"/>
        </w:rPr>
        <w:t xml:space="preserve">, </w:t>
      </w:r>
      <w:r w:rsidR="00707B6A" w:rsidRPr="003A674A">
        <w:rPr>
          <w:rFonts w:ascii="Times New Roman" w:hAnsi="Times New Roman" w:cs="Times New Roman"/>
          <w:sz w:val="24"/>
          <w:szCs w:val="24"/>
        </w:rPr>
        <w:t>Chun S Kwok</w:t>
      </w:r>
      <w:r w:rsidR="00723CDA" w:rsidRPr="003A674A">
        <w:rPr>
          <w:rFonts w:ascii="Times New Roman" w:hAnsi="Times New Roman" w:cs="Times New Roman"/>
          <w:sz w:val="24"/>
          <w:szCs w:val="24"/>
        </w:rPr>
        <w:t xml:space="preserve"> MBBS</w:t>
      </w:r>
      <w:r w:rsidR="00733A11" w:rsidRPr="003A674A">
        <w:rPr>
          <w:rFonts w:ascii="Times New Roman" w:hAnsi="Times New Roman" w:cs="Times New Roman"/>
          <w:sz w:val="24"/>
          <w:szCs w:val="24"/>
          <w:vertAlign w:val="superscript"/>
        </w:rPr>
        <w:t>1,2</w:t>
      </w:r>
      <w:r w:rsidR="00707B6A" w:rsidRPr="003A674A">
        <w:rPr>
          <w:rFonts w:ascii="Times New Roman" w:hAnsi="Times New Roman" w:cs="Times New Roman"/>
          <w:sz w:val="24"/>
          <w:szCs w:val="24"/>
        </w:rPr>
        <w:t>,</w:t>
      </w:r>
      <w:r w:rsidRPr="003A674A">
        <w:rPr>
          <w:rFonts w:ascii="Times New Roman" w:hAnsi="Times New Roman" w:cs="Times New Roman"/>
          <w:sz w:val="24"/>
          <w:szCs w:val="24"/>
        </w:rPr>
        <w:t xml:space="preserve"> </w:t>
      </w:r>
      <w:r w:rsidR="006756C0" w:rsidRPr="003A674A">
        <w:rPr>
          <w:rFonts w:ascii="Times New Roman" w:hAnsi="Times New Roman" w:cs="Times New Roman"/>
          <w:sz w:val="24"/>
          <w:szCs w:val="24"/>
        </w:rPr>
        <w:t xml:space="preserve">Olivier </w:t>
      </w:r>
      <w:r w:rsidR="00213148" w:rsidRPr="003A674A">
        <w:rPr>
          <w:rFonts w:ascii="Times New Roman" w:hAnsi="Times New Roman" w:cs="Times New Roman"/>
          <w:sz w:val="24"/>
          <w:szCs w:val="24"/>
        </w:rPr>
        <w:t xml:space="preserve">F. </w:t>
      </w:r>
      <w:r w:rsidR="006756C0" w:rsidRPr="003A674A">
        <w:rPr>
          <w:rFonts w:ascii="Times New Roman" w:hAnsi="Times New Roman" w:cs="Times New Roman"/>
          <w:sz w:val="24"/>
          <w:szCs w:val="24"/>
        </w:rPr>
        <w:t>Bertrand</w:t>
      </w:r>
      <w:r w:rsidR="00FD155F" w:rsidRPr="003A674A">
        <w:rPr>
          <w:rFonts w:ascii="Times New Roman" w:hAnsi="Times New Roman" w:cs="Times New Roman"/>
          <w:sz w:val="24"/>
          <w:szCs w:val="24"/>
          <w:vertAlign w:val="superscript"/>
        </w:rPr>
        <w:t>4</w:t>
      </w:r>
      <w:r w:rsidR="006756C0" w:rsidRPr="003A674A">
        <w:rPr>
          <w:rFonts w:ascii="Times New Roman" w:hAnsi="Times New Roman" w:cs="Times New Roman"/>
          <w:sz w:val="24"/>
          <w:szCs w:val="24"/>
        </w:rPr>
        <w:t xml:space="preserve">, </w:t>
      </w:r>
      <w:r w:rsidR="00DA14D3" w:rsidRPr="003A674A">
        <w:rPr>
          <w:rFonts w:ascii="Times New Roman" w:hAnsi="Times New Roman" w:cs="Times New Roman"/>
          <w:sz w:val="24"/>
          <w:szCs w:val="24"/>
        </w:rPr>
        <w:t xml:space="preserve">Ahmad </w:t>
      </w:r>
      <w:proofErr w:type="spellStart"/>
      <w:r w:rsidR="00DA14D3" w:rsidRPr="003A674A">
        <w:rPr>
          <w:rFonts w:ascii="Times New Roman" w:hAnsi="Times New Roman" w:cs="Times New Roman"/>
          <w:sz w:val="24"/>
          <w:szCs w:val="24"/>
        </w:rPr>
        <w:t>Shoaib</w:t>
      </w:r>
      <w:proofErr w:type="spellEnd"/>
      <w:r w:rsidR="00723CDA" w:rsidRPr="003A674A">
        <w:rPr>
          <w:rFonts w:ascii="Times New Roman" w:hAnsi="Times New Roman" w:cs="Times New Roman"/>
          <w:sz w:val="24"/>
          <w:szCs w:val="24"/>
        </w:rPr>
        <w:t xml:space="preserve"> MBBS, MD</w:t>
      </w:r>
      <w:r w:rsidR="00733A11" w:rsidRPr="003A674A">
        <w:rPr>
          <w:rFonts w:ascii="Times New Roman" w:hAnsi="Times New Roman" w:cs="Times New Roman"/>
          <w:sz w:val="24"/>
          <w:szCs w:val="24"/>
          <w:vertAlign w:val="superscript"/>
        </w:rPr>
        <w:t>1,2</w:t>
      </w:r>
      <w:r w:rsidR="00DA14D3" w:rsidRPr="003A674A">
        <w:rPr>
          <w:rFonts w:ascii="Times New Roman" w:hAnsi="Times New Roman" w:cs="Times New Roman"/>
          <w:sz w:val="24"/>
          <w:szCs w:val="24"/>
        </w:rPr>
        <w:t>,</w:t>
      </w:r>
      <w:r w:rsidR="003452E6" w:rsidRPr="003A674A">
        <w:rPr>
          <w:rFonts w:ascii="Times New Roman" w:hAnsi="Times New Roman" w:cs="Times New Roman"/>
          <w:sz w:val="24"/>
          <w:szCs w:val="24"/>
        </w:rPr>
        <w:t xml:space="preserve"> </w:t>
      </w:r>
      <w:r w:rsidR="00707B6A" w:rsidRPr="003A674A">
        <w:rPr>
          <w:rFonts w:ascii="Times New Roman" w:hAnsi="Times New Roman" w:cs="Times New Roman"/>
          <w:sz w:val="24"/>
          <w:szCs w:val="24"/>
        </w:rPr>
        <w:t xml:space="preserve">Peter </w:t>
      </w:r>
      <w:proofErr w:type="spellStart"/>
      <w:r w:rsidR="00707B6A" w:rsidRPr="003A674A">
        <w:rPr>
          <w:rFonts w:ascii="Times New Roman" w:hAnsi="Times New Roman" w:cs="Times New Roman"/>
          <w:sz w:val="24"/>
          <w:szCs w:val="24"/>
        </w:rPr>
        <w:t>Ludman</w:t>
      </w:r>
      <w:proofErr w:type="spellEnd"/>
      <w:r w:rsidR="00723CDA" w:rsidRPr="003A674A">
        <w:rPr>
          <w:rFonts w:ascii="Times New Roman" w:hAnsi="Times New Roman" w:cs="Times New Roman"/>
          <w:sz w:val="24"/>
          <w:szCs w:val="24"/>
        </w:rPr>
        <w:t xml:space="preserve"> MD</w:t>
      </w:r>
      <w:r w:rsidR="009B6B68" w:rsidRPr="003A674A">
        <w:rPr>
          <w:rFonts w:ascii="Times New Roman" w:hAnsi="Times New Roman" w:cs="Times New Roman"/>
          <w:sz w:val="24"/>
          <w:szCs w:val="24"/>
          <w:vertAlign w:val="superscript"/>
        </w:rPr>
        <w:t>5</w:t>
      </w:r>
      <w:r w:rsidR="00707B6A" w:rsidRPr="003A674A">
        <w:rPr>
          <w:rFonts w:ascii="Times New Roman" w:hAnsi="Times New Roman" w:cs="Times New Roman"/>
          <w:sz w:val="24"/>
          <w:szCs w:val="24"/>
        </w:rPr>
        <w:t>, Tim Kinnaird</w:t>
      </w:r>
      <w:r w:rsidR="00723CDA" w:rsidRPr="003A674A">
        <w:rPr>
          <w:rFonts w:ascii="Times New Roman" w:hAnsi="Times New Roman" w:cs="Times New Roman"/>
          <w:sz w:val="24"/>
          <w:szCs w:val="24"/>
        </w:rPr>
        <w:t xml:space="preserve"> MBBCh</w:t>
      </w:r>
      <w:r w:rsidR="009B6B68" w:rsidRPr="003A674A">
        <w:rPr>
          <w:rFonts w:ascii="Times New Roman" w:hAnsi="Times New Roman" w:cs="Times New Roman"/>
          <w:sz w:val="24"/>
          <w:szCs w:val="24"/>
          <w:vertAlign w:val="superscript"/>
        </w:rPr>
        <w:t>6</w:t>
      </w:r>
      <w:r w:rsidR="00707B6A" w:rsidRPr="003A674A">
        <w:rPr>
          <w:rFonts w:ascii="Times New Roman" w:hAnsi="Times New Roman" w:cs="Times New Roman"/>
          <w:sz w:val="24"/>
          <w:szCs w:val="24"/>
        </w:rPr>
        <w:t xml:space="preserve">, Mark </w:t>
      </w:r>
      <w:r w:rsidR="009B6B68" w:rsidRPr="003A674A">
        <w:rPr>
          <w:rFonts w:ascii="Times New Roman" w:hAnsi="Times New Roman" w:cs="Times New Roman"/>
          <w:sz w:val="24"/>
          <w:szCs w:val="24"/>
        </w:rPr>
        <w:t>d</w:t>
      </w:r>
      <w:r w:rsidR="00707B6A" w:rsidRPr="003A674A">
        <w:rPr>
          <w:rFonts w:ascii="Times New Roman" w:hAnsi="Times New Roman" w:cs="Times New Roman"/>
          <w:sz w:val="24"/>
          <w:szCs w:val="24"/>
        </w:rPr>
        <w:t xml:space="preserve">e </w:t>
      </w:r>
      <w:proofErr w:type="spellStart"/>
      <w:r w:rsidR="00707B6A" w:rsidRPr="003A674A">
        <w:rPr>
          <w:rFonts w:ascii="Times New Roman" w:hAnsi="Times New Roman" w:cs="Times New Roman"/>
          <w:sz w:val="24"/>
          <w:szCs w:val="24"/>
        </w:rPr>
        <w:t>Belder</w:t>
      </w:r>
      <w:proofErr w:type="spellEnd"/>
      <w:r w:rsidR="00723CDA" w:rsidRPr="003A674A">
        <w:rPr>
          <w:rFonts w:ascii="Times New Roman" w:hAnsi="Times New Roman" w:cs="Times New Roman"/>
          <w:sz w:val="24"/>
          <w:szCs w:val="24"/>
        </w:rPr>
        <w:t xml:space="preserve"> MD</w:t>
      </w:r>
      <w:r w:rsidR="009B6B68" w:rsidRPr="003A674A">
        <w:rPr>
          <w:rFonts w:ascii="Times New Roman" w:hAnsi="Times New Roman" w:cs="Times New Roman"/>
          <w:sz w:val="24"/>
          <w:szCs w:val="24"/>
          <w:vertAlign w:val="superscript"/>
        </w:rPr>
        <w:t>7</w:t>
      </w:r>
      <w:r w:rsidR="00707B6A" w:rsidRPr="003A674A">
        <w:rPr>
          <w:rFonts w:ascii="Times New Roman" w:hAnsi="Times New Roman" w:cs="Times New Roman"/>
          <w:sz w:val="24"/>
          <w:szCs w:val="24"/>
        </w:rPr>
        <w:t>, James Nolan</w:t>
      </w:r>
      <w:r w:rsidR="00723CDA" w:rsidRPr="003A674A">
        <w:rPr>
          <w:rFonts w:ascii="Times New Roman" w:hAnsi="Times New Roman" w:cs="Times New Roman"/>
          <w:sz w:val="24"/>
          <w:szCs w:val="24"/>
        </w:rPr>
        <w:t xml:space="preserve"> MD</w:t>
      </w:r>
      <w:r w:rsidR="00733A11" w:rsidRPr="003A674A">
        <w:rPr>
          <w:rFonts w:ascii="Times New Roman" w:hAnsi="Times New Roman" w:cs="Times New Roman"/>
          <w:sz w:val="24"/>
          <w:szCs w:val="24"/>
          <w:vertAlign w:val="superscript"/>
        </w:rPr>
        <w:t>1,2</w:t>
      </w:r>
      <w:r w:rsidR="00707B6A" w:rsidRPr="003A674A">
        <w:rPr>
          <w:rFonts w:ascii="Times New Roman" w:hAnsi="Times New Roman" w:cs="Times New Roman"/>
          <w:sz w:val="24"/>
          <w:szCs w:val="24"/>
        </w:rPr>
        <w:t xml:space="preserve"> and Mamas </w:t>
      </w:r>
      <w:proofErr w:type="spellStart"/>
      <w:r w:rsidR="00707B6A" w:rsidRPr="003A674A">
        <w:rPr>
          <w:rFonts w:ascii="Times New Roman" w:hAnsi="Times New Roman" w:cs="Times New Roman"/>
          <w:sz w:val="24"/>
          <w:szCs w:val="24"/>
        </w:rPr>
        <w:t>Mamas</w:t>
      </w:r>
      <w:proofErr w:type="spellEnd"/>
      <w:r w:rsidR="00723CDA" w:rsidRPr="003A674A">
        <w:rPr>
          <w:rFonts w:ascii="Times New Roman" w:hAnsi="Times New Roman" w:cs="Times New Roman"/>
          <w:sz w:val="24"/>
          <w:szCs w:val="24"/>
        </w:rPr>
        <w:t xml:space="preserve"> </w:t>
      </w:r>
      <w:proofErr w:type="spellStart"/>
      <w:proofErr w:type="gramStart"/>
      <w:r w:rsidR="00723CDA" w:rsidRPr="003A674A">
        <w:rPr>
          <w:rFonts w:ascii="Times New Roman" w:hAnsi="Times New Roman" w:cs="Times New Roman"/>
          <w:sz w:val="24"/>
          <w:szCs w:val="24"/>
        </w:rPr>
        <w:t>BM,BCh</w:t>
      </w:r>
      <w:proofErr w:type="spellEnd"/>
      <w:proofErr w:type="gramEnd"/>
      <w:r w:rsidR="00723CDA" w:rsidRPr="003A674A">
        <w:rPr>
          <w:rFonts w:ascii="Times New Roman" w:hAnsi="Times New Roman" w:cs="Times New Roman"/>
          <w:sz w:val="24"/>
          <w:szCs w:val="24"/>
        </w:rPr>
        <w:t>, DPhil</w:t>
      </w:r>
      <w:r w:rsidR="00733A11" w:rsidRPr="003A674A">
        <w:rPr>
          <w:rFonts w:ascii="Times New Roman" w:hAnsi="Times New Roman" w:cs="Times New Roman"/>
          <w:sz w:val="24"/>
          <w:szCs w:val="24"/>
          <w:vertAlign w:val="superscript"/>
        </w:rPr>
        <w:t>1,2</w:t>
      </w:r>
    </w:p>
    <w:p w14:paraId="0967EDF2" w14:textId="73202178" w:rsidR="00733A11" w:rsidRPr="003A674A" w:rsidRDefault="00733A11" w:rsidP="00733A11">
      <w:pPr>
        <w:pStyle w:val="ListParagraph"/>
        <w:numPr>
          <w:ilvl w:val="0"/>
          <w:numId w:val="4"/>
        </w:numPr>
        <w:spacing w:after="200" w:line="480" w:lineRule="auto"/>
        <w:rPr>
          <w:rFonts w:ascii="Times New Roman" w:hAnsi="Times New Roman" w:cs="Times New Roman"/>
          <w:sz w:val="24"/>
          <w:szCs w:val="24"/>
        </w:rPr>
      </w:pPr>
      <w:proofErr w:type="spellStart"/>
      <w:r w:rsidRPr="003A674A">
        <w:rPr>
          <w:rFonts w:ascii="Times New Roman" w:hAnsi="Times New Roman" w:cs="Times New Roman"/>
          <w:sz w:val="24"/>
          <w:szCs w:val="24"/>
        </w:rPr>
        <w:t>Keele</w:t>
      </w:r>
      <w:proofErr w:type="spellEnd"/>
      <w:r w:rsidRPr="003A674A">
        <w:rPr>
          <w:rFonts w:ascii="Times New Roman" w:hAnsi="Times New Roman" w:cs="Times New Roman"/>
          <w:sz w:val="24"/>
          <w:szCs w:val="24"/>
        </w:rPr>
        <w:t xml:space="preserve"> Cardiovascular Research Group, Centre for Prognosis Research, Institute of Primary Care and Health Sciences, </w:t>
      </w:r>
      <w:proofErr w:type="spellStart"/>
      <w:r w:rsidRPr="003A674A">
        <w:rPr>
          <w:rFonts w:ascii="Times New Roman" w:hAnsi="Times New Roman" w:cs="Times New Roman"/>
          <w:sz w:val="24"/>
          <w:szCs w:val="24"/>
        </w:rPr>
        <w:t>Keele</w:t>
      </w:r>
      <w:proofErr w:type="spellEnd"/>
      <w:r w:rsidRPr="003A674A">
        <w:rPr>
          <w:rFonts w:ascii="Times New Roman" w:hAnsi="Times New Roman" w:cs="Times New Roman"/>
          <w:sz w:val="24"/>
          <w:szCs w:val="24"/>
        </w:rPr>
        <w:t xml:space="preserve"> University, UK</w:t>
      </w:r>
    </w:p>
    <w:p w14:paraId="4504DB86" w14:textId="77777777" w:rsidR="00733A11" w:rsidRPr="003A674A" w:rsidRDefault="00733A11" w:rsidP="00733A11">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Academic Department of Cardiology, Royal Stoke Hospital, University Hospital North Midlands, Stoke-On-Tent, UK</w:t>
      </w:r>
    </w:p>
    <w:p w14:paraId="07B8C8A9" w14:textId="32C5A44B" w:rsidR="00733A11" w:rsidRPr="003A674A" w:rsidRDefault="00C458C8" w:rsidP="00733A11">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Faculty of Biology</w:t>
      </w:r>
      <w:r w:rsidR="00560417" w:rsidRPr="003A674A">
        <w:rPr>
          <w:rFonts w:ascii="Times New Roman" w:hAnsi="Times New Roman" w:cs="Times New Roman"/>
          <w:sz w:val="24"/>
          <w:szCs w:val="24"/>
        </w:rPr>
        <w:t>,</w:t>
      </w:r>
      <w:r w:rsidRPr="003A674A">
        <w:rPr>
          <w:rFonts w:ascii="Times New Roman" w:hAnsi="Times New Roman" w:cs="Times New Roman"/>
          <w:sz w:val="24"/>
          <w:szCs w:val="24"/>
        </w:rPr>
        <w:t xml:space="preserve"> Medicine and Health</w:t>
      </w:r>
      <w:r w:rsidR="00733A11" w:rsidRPr="003A674A">
        <w:rPr>
          <w:rFonts w:ascii="Times New Roman" w:hAnsi="Times New Roman" w:cs="Times New Roman"/>
          <w:sz w:val="24"/>
          <w:szCs w:val="24"/>
        </w:rPr>
        <w:t>, University of Manchester, Manchester</w:t>
      </w:r>
    </w:p>
    <w:p w14:paraId="593F7297" w14:textId="415C2ADB" w:rsidR="00FD155F" w:rsidRPr="003A674A" w:rsidRDefault="00FD155F" w:rsidP="00FD155F">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Quebec Heart-Lung Institute, Laval University, Quebec City, Quebec, Canada</w:t>
      </w:r>
    </w:p>
    <w:p w14:paraId="5162E9E3" w14:textId="73217DD3" w:rsidR="00733A11" w:rsidRPr="003A674A" w:rsidRDefault="00733A11" w:rsidP="00733A11">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 xml:space="preserve">Queen Elizabeth </w:t>
      </w:r>
      <w:r w:rsidR="009B6B68" w:rsidRPr="003A674A">
        <w:rPr>
          <w:rFonts w:ascii="Times New Roman" w:hAnsi="Times New Roman" w:cs="Times New Roman"/>
          <w:sz w:val="24"/>
          <w:szCs w:val="24"/>
        </w:rPr>
        <w:t>H</w:t>
      </w:r>
      <w:r w:rsidRPr="003A674A">
        <w:rPr>
          <w:rFonts w:ascii="Times New Roman" w:hAnsi="Times New Roman" w:cs="Times New Roman"/>
          <w:sz w:val="24"/>
          <w:szCs w:val="24"/>
        </w:rPr>
        <w:t>ospital, Birmingham, UK</w:t>
      </w:r>
    </w:p>
    <w:p w14:paraId="466DBFD9" w14:textId="77777777" w:rsidR="00D91117" w:rsidRPr="003A674A" w:rsidRDefault="00D91117" w:rsidP="00D91117">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Department of Cardiology, University Hospital of Wales, Cardiff, UK</w:t>
      </w:r>
    </w:p>
    <w:p w14:paraId="64A210BB" w14:textId="3C962AFE" w:rsidR="00D91117" w:rsidRPr="00FE461D" w:rsidRDefault="00D91117" w:rsidP="00FE461D">
      <w:pPr>
        <w:pStyle w:val="ListParagraph"/>
        <w:numPr>
          <w:ilvl w:val="0"/>
          <w:numId w:val="4"/>
        </w:numPr>
        <w:spacing w:after="200" w:line="480" w:lineRule="auto"/>
        <w:rPr>
          <w:rFonts w:ascii="Times New Roman" w:hAnsi="Times New Roman" w:cs="Times New Roman"/>
          <w:sz w:val="24"/>
          <w:szCs w:val="24"/>
        </w:rPr>
      </w:pPr>
      <w:r w:rsidRPr="003A674A">
        <w:rPr>
          <w:rFonts w:ascii="Times New Roman" w:hAnsi="Times New Roman" w:cs="Times New Roman"/>
          <w:sz w:val="24"/>
          <w:szCs w:val="24"/>
        </w:rPr>
        <w:t>The James Cook University Hospital, Middlesbrough, UK</w:t>
      </w:r>
    </w:p>
    <w:p w14:paraId="4D524A57" w14:textId="77777777" w:rsidR="00D91117" w:rsidRPr="003A674A" w:rsidRDefault="00D91117" w:rsidP="00D91117">
      <w:pPr>
        <w:spacing w:after="200" w:line="480" w:lineRule="auto"/>
        <w:jc w:val="left"/>
        <w:rPr>
          <w:rFonts w:ascii="Times New Roman" w:hAnsi="Times New Roman" w:cs="Times New Roman"/>
          <w:b/>
          <w:bCs/>
          <w:sz w:val="24"/>
          <w:szCs w:val="24"/>
          <w:lang w:val="en-US"/>
        </w:rPr>
      </w:pPr>
      <w:r w:rsidRPr="003A674A">
        <w:rPr>
          <w:rFonts w:ascii="Times New Roman" w:hAnsi="Times New Roman" w:cs="Times New Roman"/>
          <w:b/>
          <w:bCs/>
          <w:sz w:val="24"/>
          <w:szCs w:val="24"/>
          <w:lang w:val="en-US"/>
        </w:rPr>
        <w:t xml:space="preserve">Corresponding Author: </w:t>
      </w:r>
    </w:p>
    <w:p w14:paraId="68FAC24C" w14:textId="0DDBECC1" w:rsidR="00D91117" w:rsidRPr="003A674A" w:rsidRDefault="003B292C" w:rsidP="00D91117">
      <w:pPr>
        <w:spacing w:after="200" w:line="240" w:lineRule="auto"/>
        <w:jc w:val="left"/>
        <w:rPr>
          <w:rFonts w:ascii="Times New Roman" w:hAnsi="Times New Roman" w:cs="Times New Roman"/>
          <w:sz w:val="24"/>
          <w:szCs w:val="24"/>
          <w:lang w:val="en-US"/>
        </w:rPr>
      </w:pP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Muhammad Rashid</w:t>
      </w:r>
    </w:p>
    <w:p w14:paraId="76FCBD84" w14:textId="77777777" w:rsidR="00D91117" w:rsidRPr="003A674A" w:rsidRDefault="00D91117" w:rsidP="00D91117">
      <w:pPr>
        <w:spacing w:after="200" w:line="240" w:lineRule="auto"/>
        <w:jc w:val="left"/>
        <w:rPr>
          <w:rFonts w:ascii="Times New Roman" w:hAnsi="Times New Roman" w:cs="Times New Roman"/>
          <w:sz w:val="24"/>
          <w:szCs w:val="24"/>
          <w:lang w:val="en-US"/>
        </w:rPr>
      </w:pPr>
      <w:proofErr w:type="spellStart"/>
      <w:r w:rsidRPr="003A674A">
        <w:rPr>
          <w:rFonts w:ascii="Times New Roman" w:hAnsi="Times New Roman" w:cs="Times New Roman"/>
          <w:sz w:val="24"/>
          <w:szCs w:val="24"/>
          <w:lang w:val="en-US"/>
        </w:rPr>
        <w:t>Keele</w:t>
      </w:r>
      <w:proofErr w:type="spellEnd"/>
      <w:r w:rsidRPr="003A674A">
        <w:rPr>
          <w:rFonts w:ascii="Times New Roman" w:hAnsi="Times New Roman" w:cs="Times New Roman"/>
          <w:sz w:val="24"/>
          <w:szCs w:val="24"/>
          <w:lang w:val="en-US"/>
        </w:rPr>
        <w:t xml:space="preserve"> Cardiovascular Research Group</w:t>
      </w:r>
    </w:p>
    <w:p w14:paraId="58FF5DF9" w14:textId="77777777" w:rsidR="00D91117" w:rsidRPr="003A674A" w:rsidRDefault="00D91117" w:rsidP="00D91117">
      <w:pPr>
        <w:spacing w:after="200" w:line="240" w:lineRule="auto"/>
        <w:jc w:val="left"/>
        <w:rPr>
          <w:rFonts w:ascii="Times New Roman" w:hAnsi="Times New Roman" w:cs="Times New Roman"/>
          <w:sz w:val="24"/>
          <w:szCs w:val="24"/>
          <w:lang w:val="en-US"/>
        </w:rPr>
      </w:pPr>
      <w:proofErr w:type="spellStart"/>
      <w:r w:rsidRPr="003A674A">
        <w:rPr>
          <w:rFonts w:ascii="Times New Roman" w:hAnsi="Times New Roman" w:cs="Times New Roman"/>
          <w:sz w:val="24"/>
          <w:szCs w:val="24"/>
          <w:lang w:val="en-US"/>
        </w:rPr>
        <w:t>Keele</w:t>
      </w:r>
      <w:proofErr w:type="spellEnd"/>
      <w:r w:rsidRPr="003A674A">
        <w:rPr>
          <w:rFonts w:ascii="Times New Roman" w:hAnsi="Times New Roman" w:cs="Times New Roman"/>
          <w:sz w:val="24"/>
          <w:szCs w:val="24"/>
          <w:lang w:val="en-US"/>
        </w:rPr>
        <w:t xml:space="preserve"> University, Stoke-on-Trent, </w:t>
      </w:r>
    </w:p>
    <w:p w14:paraId="57C4FE62" w14:textId="77777777" w:rsidR="00D91117" w:rsidRPr="003A674A" w:rsidRDefault="00D91117" w:rsidP="00D91117">
      <w:pPr>
        <w:spacing w:after="200" w:line="240" w:lineRule="auto"/>
        <w:jc w:val="left"/>
        <w:rPr>
          <w:rFonts w:ascii="Times New Roman" w:hAnsi="Times New Roman" w:cs="Times New Roman"/>
          <w:sz w:val="24"/>
          <w:szCs w:val="24"/>
          <w:lang w:val="en-US"/>
        </w:rPr>
      </w:pPr>
      <w:r w:rsidRPr="003A674A">
        <w:rPr>
          <w:rFonts w:ascii="Times New Roman" w:hAnsi="Times New Roman" w:cs="Times New Roman"/>
          <w:sz w:val="24"/>
          <w:szCs w:val="24"/>
          <w:lang w:val="en-US"/>
        </w:rPr>
        <w:t>United Kingdom, ST4 7QB</w:t>
      </w:r>
    </w:p>
    <w:p w14:paraId="3B5FE924" w14:textId="7BC7BBF6" w:rsidR="00D91117" w:rsidRPr="003A674A" w:rsidRDefault="00D91117" w:rsidP="00D91117">
      <w:pPr>
        <w:spacing w:after="200" w:line="240" w:lineRule="auto"/>
        <w:jc w:val="left"/>
        <w:rPr>
          <w:rFonts w:ascii="Times New Roman" w:hAnsi="Times New Roman" w:cs="Times New Roman"/>
          <w:b/>
          <w:sz w:val="24"/>
          <w:szCs w:val="24"/>
          <w:lang w:val="en-US"/>
        </w:rPr>
      </w:pPr>
      <w:r w:rsidRPr="003A674A">
        <w:rPr>
          <w:rFonts w:ascii="Times New Roman" w:hAnsi="Times New Roman" w:cs="Times New Roman"/>
          <w:b/>
          <w:sz w:val="24"/>
          <w:szCs w:val="24"/>
          <w:lang w:val="en-US"/>
        </w:rPr>
        <w:t xml:space="preserve">Email: </w:t>
      </w:r>
      <w:hyperlink r:id="rId6" w:history="1">
        <w:r w:rsidR="003B292C" w:rsidRPr="00B223E8">
          <w:rPr>
            <w:rStyle w:val="Hyperlink"/>
            <w:rFonts w:ascii="Times New Roman" w:hAnsi="Times New Roman" w:cs="Times New Roman"/>
            <w:sz w:val="24"/>
            <w:szCs w:val="24"/>
            <w:lang w:val="en-US"/>
          </w:rPr>
          <w:t>doctorrashid7@gmail.com</w:t>
        </w:r>
      </w:hyperlink>
    </w:p>
    <w:p w14:paraId="697FE75D" w14:textId="77777777" w:rsidR="00D91117" w:rsidRPr="003A674A" w:rsidRDefault="00D91117" w:rsidP="00D91117">
      <w:pPr>
        <w:spacing w:after="200" w:line="240" w:lineRule="auto"/>
        <w:jc w:val="left"/>
        <w:rPr>
          <w:rFonts w:ascii="Times New Roman" w:hAnsi="Times New Roman" w:cs="Times New Roman"/>
          <w:sz w:val="24"/>
          <w:szCs w:val="24"/>
          <w:lang w:val="en-US"/>
        </w:rPr>
      </w:pPr>
      <w:r w:rsidRPr="003A674A">
        <w:rPr>
          <w:rFonts w:ascii="Times New Roman" w:hAnsi="Times New Roman" w:cs="Times New Roman"/>
          <w:b/>
          <w:sz w:val="24"/>
          <w:szCs w:val="24"/>
          <w:lang w:val="en-US"/>
        </w:rPr>
        <w:t xml:space="preserve">Phone: </w:t>
      </w:r>
      <w:r w:rsidRPr="003A674A">
        <w:rPr>
          <w:rFonts w:ascii="Times New Roman" w:hAnsi="Times New Roman" w:cs="Times New Roman"/>
          <w:sz w:val="24"/>
          <w:szCs w:val="24"/>
          <w:lang w:val="en-US"/>
        </w:rPr>
        <w:t>+441782671621</w:t>
      </w:r>
    </w:p>
    <w:p w14:paraId="6E0E4153" w14:textId="6535AB62" w:rsidR="00733A11" w:rsidRPr="003A674A" w:rsidRDefault="00D91117" w:rsidP="00CC29C7">
      <w:pPr>
        <w:spacing w:after="200" w:line="240" w:lineRule="auto"/>
        <w:jc w:val="left"/>
        <w:rPr>
          <w:rFonts w:ascii="Times New Roman" w:hAnsi="Times New Roman" w:cs="Times New Roman"/>
          <w:b/>
          <w:sz w:val="24"/>
          <w:szCs w:val="24"/>
        </w:rPr>
      </w:pPr>
      <w:r w:rsidRPr="003A674A">
        <w:rPr>
          <w:rFonts w:ascii="Times New Roman" w:hAnsi="Times New Roman" w:cs="Times New Roman"/>
          <w:b/>
          <w:sz w:val="24"/>
          <w:szCs w:val="24"/>
          <w:lang w:val="en-US"/>
        </w:rPr>
        <w:t xml:space="preserve">Fax: </w:t>
      </w:r>
      <w:r w:rsidRPr="003A674A">
        <w:rPr>
          <w:rFonts w:ascii="Times New Roman" w:hAnsi="Times New Roman" w:cs="Times New Roman"/>
          <w:sz w:val="24"/>
          <w:szCs w:val="24"/>
          <w:lang w:val="en-US"/>
        </w:rPr>
        <w:t>+441782674467</w:t>
      </w:r>
    </w:p>
    <w:p w14:paraId="505EA957" w14:textId="33635B16" w:rsidR="008174FC" w:rsidRPr="003A674A" w:rsidRDefault="00D91117" w:rsidP="00831AE3">
      <w:pPr>
        <w:ind w:firstLine="0"/>
        <w:rPr>
          <w:rFonts w:ascii="Times New Roman" w:hAnsi="Times New Roman" w:cs="Times New Roman"/>
          <w:b/>
          <w:sz w:val="24"/>
          <w:szCs w:val="24"/>
        </w:rPr>
      </w:pPr>
      <w:r w:rsidRPr="003A674A">
        <w:rPr>
          <w:rFonts w:ascii="Times New Roman" w:hAnsi="Times New Roman" w:cs="Times New Roman"/>
          <w:b/>
          <w:sz w:val="24"/>
          <w:szCs w:val="24"/>
        </w:rPr>
        <w:lastRenderedPageBreak/>
        <w:t>Abstract</w:t>
      </w:r>
    </w:p>
    <w:p w14:paraId="5A935C73" w14:textId="5A10B484" w:rsidR="008174FC" w:rsidRPr="003A674A" w:rsidRDefault="008174FC" w:rsidP="00831AE3">
      <w:pPr>
        <w:ind w:firstLine="0"/>
        <w:rPr>
          <w:rFonts w:ascii="Times New Roman" w:hAnsi="Times New Roman" w:cs="Times New Roman"/>
          <w:sz w:val="24"/>
          <w:szCs w:val="24"/>
        </w:rPr>
      </w:pPr>
      <w:r w:rsidRPr="003A674A">
        <w:rPr>
          <w:rFonts w:ascii="Times New Roman" w:hAnsi="Times New Roman" w:cs="Times New Roman"/>
          <w:b/>
          <w:sz w:val="24"/>
          <w:szCs w:val="24"/>
        </w:rPr>
        <w:t xml:space="preserve">Background: </w:t>
      </w:r>
      <w:r w:rsidRPr="003A674A">
        <w:rPr>
          <w:rFonts w:ascii="Times New Roman" w:hAnsi="Times New Roman" w:cs="Times New Roman"/>
          <w:sz w:val="24"/>
          <w:szCs w:val="24"/>
        </w:rPr>
        <w:t xml:space="preserve">Left radial </w:t>
      </w:r>
      <w:r w:rsidR="00986A1B" w:rsidRPr="003A674A">
        <w:rPr>
          <w:rFonts w:ascii="Times New Roman" w:hAnsi="Times New Roman" w:cs="Times New Roman"/>
          <w:sz w:val="24"/>
          <w:szCs w:val="24"/>
        </w:rPr>
        <w:t>access</w:t>
      </w:r>
      <w:r w:rsidR="00F8024E" w:rsidRPr="003A674A">
        <w:rPr>
          <w:rFonts w:ascii="Times New Roman" w:hAnsi="Times New Roman" w:cs="Times New Roman"/>
          <w:sz w:val="24"/>
          <w:szCs w:val="24"/>
        </w:rPr>
        <w:t xml:space="preserve"> </w:t>
      </w:r>
      <w:r w:rsidRPr="003A674A">
        <w:rPr>
          <w:rFonts w:ascii="Times New Roman" w:hAnsi="Times New Roman" w:cs="Times New Roman"/>
          <w:sz w:val="24"/>
          <w:szCs w:val="24"/>
        </w:rPr>
        <w:t>(LRA</w:t>
      </w:r>
      <w:r w:rsidR="00986A1B" w:rsidRPr="003A674A">
        <w:rPr>
          <w:rFonts w:ascii="Times New Roman" w:hAnsi="Times New Roman" w:cs="Times New Roman"/>
          <w:sz w:val="24"/>
          <w:szCs w:val="24"/>
        </w:rPr>
        <w:t>)</w:t>
      </w:r>
      <w:r w:rsidR="00F8024E" w:rsidRPr="003A674A">
        <w:rPr>
          <w:rFonts w:ascii="Times New Roman" w:hAnsi="Times New Roman" w:cs="Times New Roman"/>
          <w:sz w:val="24"/>
          <w:szCs w:val="24"/>
        </w:rPr>
        <w:t xml:space="preserve"> </w:t>
      </w:r>
      <w:r w:rsidRPr="003A674A">
        <w:rPr>
          <w:rFonts w:ascii="Times New Roman" w:hAnsi="Times New Roman" w:cs="Times New Roman"/>
          <w:sz w:val="24"/>
          <w:szCs w:val="24"/>
        </w:rPr>
        <w:t>has been shown to offer procedural advantage</w:t>
      </w:r>
      <w:r w:rsidR="008061A0" w:rsidRPr="003A674A">
        <w:rPr>
          <w:rFonts w:ascii="Times New Roman" w:hAnsi="Times New Roman" w:cs="Times New Roman"/>
          <w:sz w:val="24"/>
          <w:szCs w:val="24"/>
        </w:rPr>
        <w:t>s</w:t>
      </w:r>
      <w:r w:rsidRPr="003A674A">
        <w:rPr>
          <w:rFonts w:ascii="Times New Roman" w:hAnsi="Times New Roman" w:cs="Times New Roman"/>
          <w:sz w:val="24"/>
          <w:szCs w:val="24"/>
        </w:rPr>
        <w:t xml:space="preserve"> over right radial </w:t>
      </w:r>
      <w:r w:rsidR="00986A1B" w:rsidRPr="003A674A">
        <w:rPr>
          <w:rFonts w:ascii="Times New Roman" w:hAnsi="Times New Roman" w:cs="Times New Roman"/>
          <w:sz w:val="24"/>
          <w:szCs w:val="24"/>
        </w:rPr>
        <w:t>access</w:t>
      </w:r>
      <w:r w:rsidR="00F8024E" w:rsidRPr="003A674A">
        <w:rPr>
          <w:rFonts w:ascii="Times New Roman" w:hAnsi="Times New Roman" w:cs="Times New Roman"/>
          <w:sz w:val="24"/>
          <w:szCs w:val="24"/>
        </w:rPr>
        <w:t xml:space="preserve"> </w:t>
      </w:r>
      <w:r w:rsidR="00986A1B" w:rsidRPr="003A674A">
        <w:rPr>
          <w:rFonts w:ascii="Times New Roman" w:hAnsi="Times New Roman" w:cs="Times New Roman"/>
          <w:sz w:val="24"/>
          <w:szCs w:val="24"/>
        </w:rPr>
        <w:t>(RRA)</w:t>
      </w:r>
      <w:r w:rsidR="0069684E">
        <w:rPr>
          <w:rFonts w:ascii="Times New Roman" w:hAnsi="Times New Roman" w:cs="Times New Roman"/>
          <w:sz w:val="24"/>
          <w:szCs w:val="24"/>
        </w:rPr>
        <w:t xml:space="preserve"> in PCI</w:t>
      </w:r>
      <w:r w:rsidR="00F8024E" w:rsidRPr="003A674A">
        <w:rPr>
          <w:rFonts w:ascii="Times New Roman" w:hAnsi="Times New Roman" w:cs="Times New Roman"/>
          <w:sz w:val="24"/>
          <w:szCs w:val="24"/>
        </w:rPr>
        <w:t xml:space="preserve"> </w:t>
      </w:r>
      <w:r w:rsidR="00361727" w:rsidRPr="003A674A">
        <w:rPr>
          <w:rFonts w:ascii="Times New Roman" w:hAnsi="Times New Roman" w:cs="Times New Roman"/>
          <w:sz w:val="24"/>
          <w:szCs w:val="24"/>
        </w:rPr>
        <w:t>although</w:t>
      </w:r>
      <w:r w:rsidRPr="003A674A">
        <w:rPr>
          <w:rFonts w:ascii="Times New Roman" w:hAnsi="Times New Roman" w:cs="Times New Roman"/>
          <w:sz w:val="24"/>
          <w:szCs w:val="24"/>
        </w:rPr>
        <w:t xml:space="preserve"> </w:t>
      </w:r>
      <w:r w:rsidR="00F8024E" w:rsidRPr="003A674A">
        <w:rPr>
          <w:rFonts w:ascii="Times New Roman" w:hAnsi="Times New Roman" w:cs="Times New Roman"/>
          <w:sz w:val="24"/>
          <w:szCs w:val="24"/>
        </w:rPr>
        <w:t>few</w:t>
      </w:r>
      <w:r w:rsidRPr="003A674A">
        <w:rPr>
          <w:rFonts w:ascii="Times New Roman" w:hAnsi="Times New Roman" w:cs="Times New Roman"/>
          <w:sz w:val="24"/>
          <w:szCs w:val="24"/>
        </w:rPr>
        <w:t xml:space="preserve"> data </w:t>
      </w:r>
      <w:r w:rsidR="00361727" w:rsidRPr="003A674A">
        <w:rPr>
          <w:rFonts w:ascii="Times New Roman" w:hAnsi="Times New Roman" w:cs="Times New Roman"/>
          <w:sz w:val="24"/>
          <w:szCs w:val="24"/>
        </w:rPr>
        <w:t>exist from a national perspective ar</w:t>
      </w:r>
      <w:r w:rsidR="001E7509">
        <w:rPr>
          <w:rFonts w:ascii="Times New Roman" w:hAnsi="Times New Roman" w:cs="Times New Roman"/>
          <w:sz w:val="24"/>
          <w:szCs w:val="24"/>
        </w:rPr>
        <w:t xml:space="preserve">ound </w:t>
      </w:r>
      <w:r w:rsidR="00D07DFC" w:rsidRPr="003A674A">
        <w:rPr>
          <w:rFonts w:ascii="Times New Roman" w:hAnsi="Times New Roman" w:cs="Times New Roman"/>
          <w:sz w:val="24"/>
          <w:szCs w:val="24"/>
        </w:rPr>
        <w:t xml:space="preserve">its </w:t>
      </w:r>
      <w:r w:rsidR="001303FD">
        <w:rPr>
          <w:rFonts w:ascii="Times New Roman" w:hAnsi="Times New Roman" w:cs="Times New Roman"/>
          <w:sz w:val="24"/>
          <w:szCs w:val="24"/>
        </w:rPr>
        <w:t xml:space="preserve">use and </w:t>
      </w:r>
      <w:r w:rsidR="00D07DFC" w:rsidRPr="003A674A">
        <w:rPr>
          <w:rFonts w:ascii="Times New Roman" w:hAnsi="Times New Roman" w:cs="Times New Roman"/>
          <w:sz w:val="24"/>
          <w:szCs w:val="24"/>
        </w:rPr>
        <w:t xml:space="preserve">association with </w:t>
      </w:r>
      <w:r w:rsidRPr="003A674A">
        <w:rPr>
          <w:rFonts w:ascii="Times New Roman" w:hAnsi="Times New Roman" w:cs="Times New Roman"/>
          <w:sz w:val="24"/>
          <w:szCs w:val="24"/>
        </w:rPr>
        <w:t xml:space="preserve">clinical outcomes. </w:t>
      </w:r>
    </w:p>
    <w:p w14:paraId="624E8C8E" w14:textId="1742B02F" w:rsidR="00D1237A" w:rsidRPr="003A674A" w:rsidRDefault="008174FC" w:rsidP="00831AE3">
      <w:pPr>
        <w:ind w:firstLine="0"/>
        <w:rPr>
          <w:rFonts w:ascii="Times New Roman" w:hAnsi="Times New Roman" w:cs="Times New Roman"/>
          <w:sz w:val="24"/>
          <w:szCs w:val="24"/>
        </w:rPr>
      </w:pPr>
      <w:r w:rsidRPr="003A674A">
        <w:rPr>
          <w:rFonts w:ascii="Times New Roman" w:hAnsi="Times New Roman" w:cs="Times New Roman"/>
          <w:b/>
          <w:sz w:val="24"/>
          <w:szCs w:val="24"/>
        </w:rPr>
        <w:t xml:space="preserve">Objectives: </w:t>
      </w:r>
      <w:r w:rsidR="00D1237A" w:rsidRPr="003A674A">
        <w:rPr>
          <w:rFonts w:ascii="Times New Roman" w:hAnsi="Times New Roman" w:cs="Times New Roman"/>
          <w:sz w:val="24"/>
          <w:szCs w:val="24"/>
        </w:rPr>
        <w:t xml:space="preserve"> To determine the relationsh</w:t>
      </w:r>
      <w:r w:rsidR="00D07DFC" w:rsidRPr="003A674A">
        <w:rPr>
          <w:rFonts w:ascii="Times New Roman" w:hAnsi="Times New Roman" w:cs="Times New Roman"/>
          <w:sz w:val="24"/>
          <w:szCs w:val="24"/>
        </w:rPr>
        <w:t xml:space="preserve">ips </w:t>
      </w:r>
      <w:r w:rsidR="00F8024E" w:rsidRPr="003A674A">
        <w:rPr>
          <w:rFonts w:ascii="Times New Roman" w:hAnsi="Times New Roman" w:cs="Times New Roman"/>
          <w:sz w:val="24"/>
          <w:szCs w:val="24"/>
        </w:rPr>
        <w:t>between</w:t>
      </w:r>
      <w:r w:rsidR="00D07DFC" w:rsidRPr="003A674A">
        <w:rPr>
          <w:rFonts w:ascii="Times New Roman" w:hAnsi="Times New Roman" w:cs="Times New Roman"/>
          <w:sz w:val="24"/>
          <w:szCs w:val="24"/>
        </w:rPr>
        <w:t xml:space="preserve"> LRA or RRA and clinical</w:t>
      </w:r>
      <w:r w:rsidR="00D1237A" w:rsidRPr="003A674A">
        <w:rPr>
          <w:rFonts w:ascii="Times New Roman" w:hAnsi="Times New Roman" w:cs="Times New Roman"/>
          <w:sz w:val="24"/>
          <w:szCs w:val="24"/>
        </w:rPr>
        <w:t xml:space="preserve"> outcomes using</w:t>
      </w:r>
      <w:r w:rsidR="007B69A7" w:rsidRPr="003A674A">
        <w:rPr>
          <w:rFonts w:ascii="Times New Roman" w:hAnsi="Times New Roman" w:cs="Times New Roman"/>
          <w:sz w:val="24"/>
          <w:szCs w:val="24"/>
        </w:rPr>
        <w:t xml:space="preserve"> the</w:t>
      </w:r>
      <w:r w:rsidR="00D1237A" w:rsidRPr="003A674A">
        <w:rPr>
          <w:rFonts w:ascii="Times New Roman" w:hAnsi="Times New Roman" w:cs="Times New Roman"/>
          <w:sz w:val="24"/>
          <w:szCs w:val="24"/>
        </w:rPr>
        <w:t xml:space="preserve"> British Cardiovascular Intervention Society (BCIS) </w:t>
      </w:r>
      <w:r w:rsidR="007B69A7" w:rsidRPr="003A674A">
        <w:rPr>
          <w:rFonts w:ascii="Times New Roman" w:hAnsi="Times New Roman" w:cs="Times New Roman"/>
          <w:sz w:val="24"/>
          <w:szCs w:val="24"/>
        </w:rPr>
        <w:t>database</w:t>
      </w:r>
      <w:r w:rsidR="00D1237A" w:rsidRPr="003A674A">
        <w:rPr>
          <w:rFonts w:ascii="Times New Roman" w:hAnsi="Times New Roman" w:cs="Times New Roman"/>
          <w:sz w:val="24"/>
          <w:szCs w:val="24"/>
        </w:rPr>
        <w:t>.</w:t>
      </w:r>
    </w:p>
    <w:p w14:paraId="7A73092F" w14:textId="304C77B2" w:rsidR="008174FC" w:rsidRPr="003A674A" w:rsidRDefault="00D1237A" w:rsidP="00831AE3">
      <w:pPr>
        <w:ind w:firstLine="0"/>
        <w:rPr>
          <w:rFonts w:ascii="Times New Roman" w:hAnsi="Times New Roman" w:cs="Times New Roman"/>
          <w:sz w:val="24"/>
          <w:szCs w:val="24"/>
        </w:rPr>
      </w:pPr>
      <w:r w:rsidRPr="003A674A">
        <w:rPr>
          <w:rFonts w:ascii="Times New Roman" w:hAnsi="Times New Roman" w:cs="Times New Roman"/>
          <w:b/>
          <w:sz w:val="24"/>
          <w:szCs w:val="24"/>
        </w:rPr>
        <w:t xml:space="preserve">Methods: </w:t>
      </w:r>
      <w:r w:rsidR="009E3E63">
        <w:rPr>
          <w:rFonts w:ascii="Times New Roman" w:hAnsi="Times New Roman" w:cs="Times New Roman"/>
          <w:sz w:val="24"/>
          <w:szCs w:val="24"/>
        </w:rPr>
        <w:t xml:space="preserve">We </w:t>
      </w:r>
      <w:r w:rsidRPr="003A674A">
        <w:rPr>
          <w:rFonts w:ascii="Times New Roman" w:hAnsi="Times New Roman" w:cs="Times New Roman"/>
          <w:sz w:val="24"/>
          <w:szCs w:val="24"/>
        </w:rPr>
        <w:t>investigate</w:t>
      </w:r>
      <w:r w:rsidR="009E3E63">
        <w:rPr>
          <w:rFonts w:ascii="Times New Roman" w:hAnsi="Times New Roman" w:cs="Times New Roman"/>
          <w:sz w:val="24"/>
          <w:szCs w:val="24"/>
        </w:rPr>
        <w:t>d</w:t>
      </w:r>
      <w:r w:rsidRPr="003A674A">
        <w:rPr>
          <w:rFonts w:ascii="Times New Roman" w:hAnsi="Times New Roman" w:cs="Times New Roman"/>
          <w:sz w:val="24"/>
          <w:szCs w:val="24"/>
        </w:rPr>
        <w:t xml:space="preserve"> the relationship between use of </w:t>
      </w:r>
      <w:r w:rsidR="0069684E">
        <w:rPr>
          <w:rFonts w:ascii="Times New Roman" w:hAnsi="Times New Roman" w:cs="Times New Roman"/>
          <w:sz w:val="24"/>
          <w:szCs w:val="24"/>
        </w:rPr>
        <w:t>LRA or RRA</w:t>
      </w:r>
      <w:r w:rsidRPr="003A674A">
        <w:rPr>
          <w:rFonts w:ascii="Times New Roman" w:hAnsi="Times New Roman" w:cs="Times New Roman"/>
          <w:sz w:val="24"/>
          <w:szCs w:val="24"/>
        </w:rPr>
        <w:t xml:space="preserve"> and clinical outcomes of in-hospital or 30-day mortality, </w:t>
      </w:r>
      <w:r w:rsidR="004C4C8B" w:rsidRPr="003A674A">
        <w:rPr>
          <w:rFonts w:ascii="Times New Roman" w:hAnsi="Times New Roman" w:cs="Times New Roman"/>
          <w:sz w:val="24"/>
          <w:szCs w:val="24"/>
        </w:rPr>
        <w:t>Major Advers</w:t>
      </w:r>
      <w:r w:rsidR="004C4C8B">
        <w:rPr>
          <w:rFonts w:ascii="Times New Roman" w:hAnsi="Times New Roman" w:cs="Times New Roman"/>
          <w:sz w:val="24"/>
          <w:szCs w:val="24"/>
        </w:rPr>
        <w:t>e Cardiovascular Events (MACE), in-hospital stroke and</w:t>
      </w:r>
      <w:r w:rsidRPr="003A674A">
        <w:rPr>
          <w:rFonts w:ascii="Times New Roman" w:hAnsi="Times New Roman" w:cs="Times New Roman"/>
          <w:sz w:val="24"/>
          <w:szCs w:val="24"/>
        </w:rPr>
        <w:t xml:space="preserve"> major bleeding compl</w:t>
      </w:r>
      <w:r w:rsidR="004C4C8B">
        <w:rPr>
          <w:rFonts w:ascii="Times New Roman" w:hAnsi="Times New Roman" w:cs="Times New Roman"/>
          <w:sz w:val="24"/>
          <w:szCs w:val="24"/>
        </w:rPr>
        <w:t>ications</w:t>
      </w:r>
      <w:r w:rsidR="0069684E" w:rsidRPr="0069684E">
        <w:rPr>
          <w:rFonts w:ascii="Times New Roman" w:hAnsi="Times New Roman" w:cs="Times New Roman"/>
          <w:sz w:val="24"/>
          <w:szCs w:val="24"/>
        </w:rPr>
        <w:t xml:space="preserve"> </w:t>
      </w:r>
      <w:r w:rsidR="0069684E">
        <w:rPr>
          <w:rFonts w:ascii="Times New Roman" w:hAnsi="Times New Roman" w:cs="Times New Roman"/>
          <w:sz w:val="24"/>
          <w:szCs w:val="24"/>
        </w:rPr>
        <w:t>in p</w:t>
      </w:r>
      <w:r w:rsidR="0069684E" w:rsidRPr="003A674A">
        <w:rPr>
          <w:rFonts w:ascii="Times New Roman" w:hAnsi="Times New Roman" w:cs="Times New Roman"/>
          <w:sz w:val="24"/>
          <w:szCs w:val="24"/>
        </w:rPr>
        <w:t>atients undergoing PCI between 2007 to 2014</w:t>
      </w:r>
      <w:r w:rsidR="004C4C8B">
        <w:rPr>
          <w:rFonts w:ascii="Times New Roman" w:hAnsi="Times New Roman" w:cs="Times New Roman"/>
          <w:sz w:val="24"/>
          <w:szCs w:val="24"/>
        </w:rPr>
        <w:t>.</w:t>
      </w:r>
    </w:p>
    <w:p w14:paraId="714AAD83" w14:textId="0098B61E" w:rsidR="006F0CCA" w:rsidRDefault="00D1237A" w:rsidP="00831AE3">
      <w:pPr>
        <w:ind w:firstLine="0"/>
        <w:rPr>
          <w:rFonts w:ascii="Times New Roman" w:hAnsi="Times New Roman" w:cs="Times New Roman"/>
          <w:sz w:val="24"/>
          <w:szCs w:val="24"/>
        </w:rPr>
      </w:pPr>
      <w:r w:rsidRPr="003A674A">
        <w:rPr>
          <w:rFonts w:ascii="Times New Roman" w:hAnsi="Times New Roman" w:cs="Times New Roman"/>
          <w:b/>
          <w:sz w:val="24"/>
          <w:szCs w:val="24"/>
        </w:rPr>
        <w:t xml:space="preserve">Results:  </w:t>
      </w:r>
      <w:r w:rsidR="00735D55" w:rsidRPr="003A674A">
        <w:rPr>
          <w:rFonts w:ascii="Times New Roman" w:hAnsi="Times New Roman" w:cs="Times New Roman"/>
          <w:sz w:val="24"/>
          <w:szCs w:val="24"/>
        </w:rPr>
        <w:t>Out of 342,806</w:t>
      </w:r>
      <w:r w:rsidR="00380C17" w:rsidRPr="003A674A">
        <w:rPr>
          <w:rFonts w:ascii="Times New Roman" w:hAnsi="Times New Roman" w:cs="Times New Roman"/>
          <w:sz w:val="24"/>
          <w:szCs w:val="24"/>
        </w:rPr>
        <w:t xml:space="preserve"> cases</w:t>
      </w:r>
      <w:r w:rsidR="00195FEA" w:rsidRPr="003A674A">
        <w:rPr>
          <w:rFonts w:ascii="Times New Roman" w:hAnsi="Times New Roman" w:cs="Times New Roman"/>
          <w:sz w:val="24"/>
          <w:szCs w:val="24"/>
        </w:rPr>
        <w:t xml:space="preserve"> identified</w:t>
      </w:r>
      <w:r w:rsidR="00735D55" w:rsidRPr="003A674A">
        <w:rPr>
          <w:rFonts w:ascii="Times New Roman" w:hAnsi="Times New Roman" w:cs="Times New Roman"/>
          <w:sz w:val="24"/>
          <w:szCs w:val="24"/>
        </w:rPr>
        <w:t>, 328,495</w:t>
      </w:r>
      <w:r w:rsidR="00195FEA" w:rsidRPr="003A674A">
        <w:rPr>
          <w:rFonts w:ascii="Times New Roman" w:hAnsi="Times New Roman" w:cs="Times New Roman"/>
          <w:sz w:val="24"/>
          <w:szCs w:val="24"/>
        </w:rPr>
        <w:t xml:space="preserve"> (96%) were RRA and </w:t>
      </w:r>
      <w:r w:rsidR="00E41E92" w:rsidRPr="003A674A">
        <w:rPr>
          <w:rFonts w:ascii="Times New Roman" w:hAnsi="Times New Roman" w:cs="Times New Roman"/>
          <w:sz w:val="24"/>
          <w:szCs w:val="24"/>
        </w:rPr>
        <w:t>14,311</w:t>
      </w:r>
      <w:r w:rsidR="00195FEA" w:rsidRPr="003A674A">
        <w:rPr>
          <w:rFonts w:ascii="Times New Roman" w:hAnsi="Times New Roman" w:cs="Times New Roman"/>
          <w:sz w:val="24"/>
          <w:szCs w:val="24"/>
        </w:rPr>
        <w:t xml:space="preserve"> (</w:t>
      </w:r>
      <w:r w:rsidR="00986A1B" w:rsidRPr="003A674A">
        <w:rPr>
          <w:rFonts w:ascii="Times New Roman" w:hAnsi="Times New Roman" w:cs="Times New Roman"/>
          <w:sz w:val="24"/>
          <w:szCs w:val="24"/>
        </w:rPr>
        <w:t>4</w:t>
      </w:r>
      <w:r w:rsidR="00195FEA" w:rsidRPr="003A674A">
        <w:rPr>
          <w:rFonts w:ascii="Times New Roman" w:hAnsi="Times New Roman" w:cs="Times New Roman"/>
          <w:sz w:val="24"/>
          <w:szCs w:val="24"/>
        </w:rPr>
        <w:t>%)</w:t>
      </w:r>
      <w:r w:rsidR="00E41E92" w:rsidRPr="003A674A">
        <w:rPr>
          <w:rFonts w:ascii="Times New Roman" w:hAnsi="Times New Roman" w:cs="Times New Roman"/>
          <w:sz w:val="24"/>
          <w:szCs w:val="24"/>
        </w:rPr>
        <w:t xml:space="preserve"> </w:t>
      </w:r>
      <w:r w:rsidR="001E7509">
        <w:rPr>
          <w:rFonts w:ascii="Times New Roman" w:hAnsi="Times New Roman" w:cs="Times New Roman"/>
          <w:sz w:val="24"/>
          <w:szCs w:val="24"/>
        </w:rPr>
        <w:t>were LRA</w:t>
      </w:r>
      <w:r w:rsidR="007A417D">
        <w:rPr>
          <w:rFonts w:ascii="Times New Roman" w:hAnsi="Times New Roman" w:cs="Times New Roman"/>
          <w:sz w:val="24"/>
          <w:szCs w:val="24"/>
        </w:rPr>
        <w:t>.</w:t>
      </w:r>
      <w:r w:rsidR="001E7509">
        <w:rPr>
          <w:rFonts w:ascii="Times New Roman" w:hAnsi="Times New Roman" w:cs="Times New Roman"/>
          <w:sz w:val="24"/>
          <w:szCs w:val="24"/>
        </w:rPr>
        <w:t xml:space="preserve"> </w:t>
      </w:r>
      <w:r w:rsidR="007A417D">
        <w:rPr>
          <w:rFonts w:ascii="Times New Roman" w:hAnsi="Times New Roman" w:cs="Times New Roman"/>
          <w:sz w:val="24"/>
          <w:szCs w:val="24"/>
        </w:rPr>
        <w:t>U</w:t>
      </w:r>
      <w:r w:rsidR="00735D55" w:rsidRPr="003A674A">
        <w:rPr>
          <w:rFonts w:ascii="Times New Roman" w:hAnsi="Times New Roman" w:cs="Times New Roman"/>
          <w:sz w:val="24"/>
          <w:szCs w:val="24"/>
        </w:rPr>
        <w:t xml:space="preserve">se of </w:t>
      </w:r>
      <w:r w:rsidR="001E7509">
        <w:rPr>
          <w:rFonts w:ascii="Times New Roman" w:hAnsi="Times New Roman" w:cs="Times New Roman"/>
          <w:sz w:val="24"/>
          <w:szCs w:val="24"/>
        </w:rPr>
        <w:t>LRA increased from 3.2% to 4.6%</w:t>
      </w:r>
      <w:r w:rsidR="007A417D">
        <w:rPr>
          <w:rFonts w:ascii="Times New Roman" w:hAnsi="Times New Roman" w:cs="Times New Roman"/>
          <w:sz w:val="24"/>
          <w:szCs w:val="24"/>
        </w:rPr>
        <w:t xml:space="preserve"> between 2007 to 2014</w:t>
      </w:r>
      <w:r w:rsidR="00735D55" w:rsidRPr="003A674A">
        <w:rPr>
          <w:rFonts w:ascii="Times New Roman" w:hAnsi="Times New Roman" w:cs="Times New Roman"/>
          <w:sz w:val="24"/>
          <w:szCs w:val="24"/>
        </w:rPr>
        <w:t xml:space="preserve">. </w:t>
      </w:r>
      <w:r w:rsidR="006B4B96" w:rsidRPr="003A674A">
        <w:rPr>
          <w:rFonts w:ascii="Times New Roman" w:hAnsi="Times New Roman" w:cs="Times New Roman"/>
          <w:sz w:val="24"/>
          <w:szCs w:val="24"/>
        </w:rPr>
        <w:t>In patients undergoing</w:t>
      </w:r>
      <w:r w:rsidR="00DC61A1" w:rsidRPr="003A674A">
        <w:rPr>
          <w:rFonts w:ascii="Times New Roman" w:hAnsi="Times New Roman" w:cs="Times New Roman"/>
          <w:sz w:val="24"/>
          <w:szCs w:val="24"/>
        </w:rPr>
        <w:t xml:space="preserve"> a</w:t>
      </w:r>
      <w:r w:rsidR="006B4B96" w:rsidRPr="003A674A">
        <w:rPr>
          <w:rFonts w:ascii="Times New Roman" w:hAnsi="Times New Roman" w:cs="Times New Roman"/>
          <w:sz w:val="24"/>
          <w:szCs w:val="24"/>
        </w:rPr>
        <w:t xml:space="preserve"> repeat PCI procedure, </w:t>
      </w:r>
      <w:r w:rsidR="00E40D65" w:rsidRPr="003A674A">
        <w:rPr>
          <w:rFonts w:ascii="Times New Roman" w:hAnsi="Times New Roman" w:cs="Times New Roman"/>
          <w:sz w:val="24"/>
          <w:szCs w:val="24"/>
        </w:rPr>
        <w:t xml:space="preserve">the </w:t>
      </w:r>
      <w:r w:rsidR="00B6515D" w:rsidRPr="003A674A">
        <w:rPr>
          <w:rFonts w:ascii="Times New Roman" w:hAnsi="Times New Roman" w:cs="Times New Roman"/>
          <w:sz w:val="24"/>
          <w:szCs w:val="24"/>
        </w:rPr>
        <w:t>use of RRA</w:t>
      </w:r>
      <w:r w:rsidR="006B4B96" w:rsidRPr="003A674A">
        <w:rPr>
          <w:rFonts w:ascii="Times New Roman" w:hAnsi="Times New Roman" w:cs="Times New Roman"/>
          <w:sz w:val="24"/>
          <w:szCs w:val="24"/>
        </w:rPr>
        <w:t xml:space="preserve"> </w:t>
      </w:r>
      <w:r w:rsidR="00B6515D" w:rsidRPr="003A674A">
        <w:rPr>
          <w:rFonts w:ascii="Times New Roman" w:hAnsi="Times New Roman" w:cs="Times New Roman"/>
          <w:sz w:val="24"/>
          <w:szCs w:val="24"/>
        </w:rPr>
        <w:t>dropped to 72% at second procedure and was even lower in females (65%) and patients age &gt; 75 (7</w:t>
      </w:r>
      <w:r w:rsidR="006B4B96" w:rsidRPr="003A674A">
        <w:rPr>
          <w:rFonts w:ascii="Times New Roman" w:hAnsi="Times New Roman" w:cs="Times New Roman"/>
          <w:sz w:val="24"/>
          <w:szCs w:val="24"/>
        </w:rPr>
        <w:t xml:space="preserve">0%). </w:t>
      </w:r>
      <w:r w:rsidR="007A417D">
        <w:rPr>
          <w:rFonts w:ascii="Times New Roman" w:hAnsi="Times New Roman" w:cs="Times New Roman"/>
          <w:sz w:val="24"/>
          <w:szCs w:val="24"/>
        </w:rPr>
        <w:t xml:space="preserve">Use of </w:t>
      </w:r>
      <w:r w:rsidR="00213148" w:rsidRPr="003A674A">
        <w:rPr>
          <w:rFonts w:ascii="Times New Roman" w:hAnsi="Times New Roman" w:cs="Times New Roman"/>
          <w:sz w:val="24"/>
          <w:szCs w:val="24"/>
        </w:rPr>
        <w:t xml:space="preserve">LRA </w:t>
      </w:r>
      <w:r w:rsidR="007A417D">
        <w:rPr>
          <w:rFonts w:ascii="Times New Roman" w:hAnsi="Times New Roman" w:cs="Times New Roman"/>
          <w:sz w:val="24"/>
          <w:szCs w:val="24"/>
        </w:rPr>
        <w:t>(compared to RRA) was not associated with significant differences</w:t>
      </w:r>
      <w:r w:rsidR="00213148" w:rsidRPr="003A674A">
        <w:rPr>
          <w:rFonts w:ascii="Times New Roman" w:hAnsi="Times New Roman" w:cs="Times New Roman"/>
          <w:sz w:val="24"/>
          <w:szCs w:val="24"/>
        </w:rPr>
        <w:t xml:space="preserve"> </w:t>
      </w:r>
      <w:r w:rsidR="006B4B96" w:rsidRPr="003A674A">
        <w:rPr>
          <w:rFonts w:ascii="Times New Roman" w:hAnsi="Times New Roman" w:cs="Times New Roman"/>
          <w:sz w:val="24"/>
          <w:szCs w:val="24"/>
        </w:rPr>
        <w:t xml:space="preserve">in-hospital mortality (OR 1.19 95% CI 0.90-1.57 p= 0.20), </w:t>
      </w:r>
      <w:r w:rsidR="008E4E29" w:rsidRPr="003A674A">
        <w:rPr>
          <w:rFonts w:ascii="Times New Roman" w:hAnsi="Times New Roman" w:cs="Times New Roman"/>
          <w:sz w:val="24"/>
          <w:szCs w:val="24"/>
        </w:rPr>
        <w:t>30-day</w:t>
      </w:r>
      <w:r w:rsidR="006B4B96" w:rsidRPr="003A674A">
        <w:rPr>
          <w:rFonts w:ascii="Times New Roman" w:hAnsi="Times New Roman" w:cs="Times New Roman"/>
          <w:sz w:val="24"/>
          <w:szCs w:val="24"/>
        </w:rPr>
        <w:t xml:space="preserve"> mortality (O</w:t>
      </w:r>
      <w:r w:rsidR="004201A3" w:rsidRPr="003A674A">
        <w:rPr>
          <w:rFonts w:ascii="Times New Roman" w:hAnsi="Times New Roman" w:cs="Times New Roman"/>
          <w:sz w:val="24"/>
          <w:szCs w:val="24"/>
        </w:rPr>
        <w:t>R 1.17 95%CI 0.93-1.74 p=0.16)</w:t>
      </w:r>
      <w:r w:rsidR="006B4B96" w:rsidRPr="003A674A">
        <w:rPr>
          <w:rFonts w:ascii="Times New Roman" w:hAnsi="Times New Roman" w:cs="Times New Roman"/>
          <w:sz w:val="24"/>
          <w:szCs w:val="24"/>
        </w:rPr>
        <w:t>, MACE (OR 1.06 95%CI 0.86-1.32 p=0.56)</w:t>
      </w:r>
      <w:r w:rsidR="00E40D65" w:rsidRPr="003A674A">
        <w:rPr>
          <w:rFonts w:ascii="Times New Roman" w:hAnsi="Times New Roman" w:cs="Times New Roman"/>
          <w:sz w:val="24"/>
          <w:szCs w:val="24"/>
        </w:rPr>
        <w:t>,</w:t>
      </w:r>
      <w:r w:rsidR="00213148" w:rsidRPr="003A674A">
        <w:rPr>
          <w:rFonts w:ascii="Times New Roman" w:hAnsi="Times New Roman" w:cs="Times New Roman"/>
          <w:sz w:val="24"/>
          <w:szCs w:val="24"/>
        </w:rPr>
        <w:t xml:space="preserve"> </w:t>
      </w:r>
      <w:r w:rsidR="006B4B96" w:rsidRPr="003A674A">
        <w:rPr>
          <w:rFonts w:ascii="Times New Roman" w:hAnsi="Times New Roman" w:cs="Times New Roman"/>
          <w:sz w:val="24"/>
          <w:szCs w:val="24"/>
        </w:rPr>
        <w:t>major bleeding (OR 1.22 95%CI 0.87-1.77 p=0.24)</w:t>
      </w:r>
      <w:r w:rsidR="00213148" w:rsidRPr="003A674A">
        <w:rPr>
          <w:rFonts w:ascii="Times New Roman" w:hAnsi="Times New Roman" w:cs="Times New Roman"/>
          <w:sz w:val="24"/>
          <w:szCs w:val="24"/>
        </w:rPr>
        <w:t>.</w:t>
      </w:r>
      <w:r w:rsidR="00E40D65" w:rsidRPr="003A674A">
        <w:rPr>
          <w:rFonts w:ascii="Times New Roman" w:hAnsi="Times New Roman" w:cs="Times New Roman"/>
          <w:sz w:val="24"/>
          <w:szCs w:val="24"/>
        </w:rPr>
        <w:t xml:space="preserve"> </w:t>
      </w:r>
      <w:r w:rsidR="006F0CCA">
        <w:rPr>
          <w:rFonts w:ascii="Times New Roman" w:hAnsi="Times New Roman" w:cs="Times New Roman"/>
          <w:sz w:val="24"/>
          <w:szCs w:val="24"/>
        </w:rPr>
        <w:t xml:space="preserve">In propensity match analysis, </w:t>
      </w:r>
      <w:r w:rsidR="006F0CCA" w:rsidRPr="003A674A">
        <w:rPr>
          <w:rFonts w:ascii="Times New Roman" w:hAnsi="Times New Roman" w:cs="Times New Roman"/>
          <w:sz w:val="24"/>
          <w:szCs w:val="24"/>
        </w:rPr>
        <w:t>LRA was associated with a significant decrease</w:t>
      </w:r>
      <w:r w:rsidR="006F0CCA">
        <w:rPr>
          <w:rFonts w:ascii="Times New Roman" w:hAnsi="Times New Roman" w:cs="Times New Roman"/>
          <w:sz w:val="24"/>
          <w:szCs w:val="24"/>
        </w:rPr>
        <w:t xml:space="preserve"> in in-hospital stroke</w:t>
      </w:r>
      <w:r w:rsidR="006F0CCA" w:rsidRPr="003A674A">
        <w:rPr>
          <w:rFonts w:ascii="Times New Roman" w:hAnsi="Times New Roman" w:cs="Times New Roman"/>
          <w:sz w:val="24"/>
          <w:szCs w:val="24"/>
        </w:rPr>
        <w:t xml:space="preserve"> (</w:t>
      </w:r>
      <w:r w:rsidR="006F0CCA">
        <w:rPr>
          <w:rFonts w:ascii="Times New Roman" w:hAnsi="Times New Roman" w:cs="Times New Roman"/>
          <w:sz w:val="24"/>
          <w:szCs w:val="24"/>
        </w:rPr>
        <w:t xml:space="preserve">average treatment effect </w:t>
      </w:r>
      <w:r w:rsidR="006F0CCA" w:rsidRPr="003A674A">
        <w:rPr>
          <w:rFonts w:ascii="Times New Roman" w:hAnsi="Times New Roman" w:cs="Times New Roman"/>
          <w:sz w:val="24"/>
          <w:szCs w:val="24"/>
        </w:rPr>
        <w:t>coefficient 0.000977 95%CI -0.001654 to -0.00299, p=0.005).</w:t>
      </w:r>
    </w:p>
    <w:p w14:paraId="35B8F15E" w14:textId="3882BB43" w:rsidR="007863EA" w:rsidRDefault="006B4B96" w:rsidP="00831AE3">
      <w:pPr>
        <w:ind w:firstLine="0"/>
        <w:rPr>
          <w:rFonts w:ascii="Times New Roman" w:hAnsi="Times New Roman" w:cs="Times New Roman"/>
          <w:sz w:val="24"/>
          <w:szCs w:val="24"/>
        </w:rPr>
      </w:pPr>
      <w:r w:rsidRPr="003A674A">
        <w:rPr>
          <w:rFonts w:ascii="Times New Roman" w:hAnsi="Times New Roman" w:cs="Times New Roman"/>
          <w:b/>
          <w:sz w:val="24"/>
          <w:szCs w:val="24"/>
        </w:rPr>
        <w:t xml:space="preserve">Conclusion: </w:t>
      </w:r>
      <w:r w:rsidR="00213148" w:rsidRPr="003A674A">
        <w:rPr>
          <w:rFonts w:ascii="Times New Roman" w:hAnsi="Times New Roman" w:cs="Times New Roman"/>
          <w:sz w:val="24"/>
          <w:szCs w:val="24"/>
        </w:rPr>
        <w:t>In this large PCI database, u</w:t>
      </w:r>
      <w:r w:rsidR="00B6515D" w:rsidRPr="003A674A">
        <w:rPr>
          <w:rFonts w:ascii="Times New Roman" w:hAnsi="Times New Roman" w:cs="Times New Roman"/>
          <w:sz w:val="24"/>
          <w:szCs w:val="24"/>
        </w:rPr>
        <w:t>se of LRA</w:t>
      </w:r>
      <w:r w:rsidR="005D0069" w:rsidRPr="003A674A">
        <w:rPr>
          <w:rFonts w:ascii="Times New Roman" w:hAnsi="Times New Roman" w:cs="Times New Roman"/>
          <w:sz w:val="24"/>
          <w:szCs w:val="24"/>
        </w:rPr>
        <w:t xml:space="preserve"> </w:t>
      </w:r>
      <w:r w:rsidR="009D037E" w:rsidRPr="003A674A">
        <w:rPr>
          <w:rFonts w:ascii="Times New Roman" w:hAnsi="Times New Roman" w:cs="Times New Roman"/>
          <w:sz w:val="24"/>
          <w:szCs w:val="24"/>
        </w:rPr>
        <w:t xml:space="preserve">is </w:t>
      </w:r>
      <w:r w:rsidR="005D0069" w:rsidRPr="003A674A">
        <w:rPr>
          <w:rFonts w:ascii="Times New Roman" w:hAnsi="Times New Roman" w:cs="Times New Roman"/>
          <w:sz w:val="24"/>
          <w:szCs w:val="24"/>
        </w:rPr>
        <w:t>limited compared to RRA</w:t>
      </w:r>
      <w:r w:rsidR="00B6515D" w:rsidRPr="003A674A">
        <w:rPr>
          <w:rFonts w:ascii="Times New Roman" w:hAnsi="Times New Roman" w:cs="Times New Roman"/>
          <w:sz w:val="24"/>
          <w:szCs w:val="24"/>
        </w:rPr>
        <w:t xml:space="preserve"> but conveys no increased risk of adverse outcomes </w:t>
      </w:r>
      <w:r w:rsidR="007A417D">
        <w:rPr>
          <w:rFonts w:ascii="Times New Roman" w:hAnsi="Times New Roman" w:cs="Times New Roman"/>
          <w:sz w:val="24"/>
          <w:szCs w:val="24"/>
        </w:rPr>
        <w:t>but</w:t>
      </w:r>
      <w:r w:rsidR="007A417D" w:rsidRPr="003A674A">
        <w:rPr>
          <w:rFonts w:ascii="Times New Roman" w:hAnsi="Times New Roman" w:cs="Times New Roman"/>
          <w:sz w:val="24"/>
          <w:szCs w:val="24"/>
        </w:rPr>
        <w:t xml:space="preserve"> </w:t>
      </w:r>
      <w:r w:rsidR="00B6515D" w:rsidRPr="003A674A">
        <w:rPr>
          <w:rFonts w:ascii="Times New Roman" w:hAnsi="Times New Roman" w:cs="Times New Roman"/>
          <w:sz w:val="24"/>
          <w:szCs w:val="24"/>
        </w:rPr>
        <w:t>may be associated with reduction in PCI related stroke complication</w:t>
      </w:r>
      <w:r w:rsidR="007A417D">
        <w:rPr>
          <w:rFonts w:ascii="Times New Roman" w:hAnsi="Times New Roman" w:cs="Times New Roman"/>
          <w:sz w:val="24"/>
          <w:szCs w:val="24"/>
        </w:rPr>
        <w:t>s</w:t>
      </w:r>
      <w:r w:rsidR="00B01552" w:rsidRPr="003A674A">
        <w:rPr>
          <w:rFonts w:ascii="Times New Roman" w:hAnsi="Times New Roman" w:cs="Times New Roman"/>
          <w:sz w:val="24"/>
          <w:szCs w:val="24"/>
        </w:rPr>
        <w:t>.</w:t>
      </w:r>
    </w:p>
    <w:p w14:paraId="0A56CC97" w14:textId="4F27340D" w:rsidR="003B292C" w:rsidRPr="003B292C" w:rsidRDefault="003B292C" w:rsidP="00831AE3">
      <w:pPr>
        <w:ind w:firstLine="0"/>
        <w:rPr>
          <w:rFonts w:ascii="Times New Roman" w:hAnsi="Times New Roman" w:cs="Times New Roman"/>
          <w:sz w:val="24"/>
          <w:szCs w:val="24"/>
        </w:rPr>
      </w:pPr>
      <w:r>
        <w:rPr>
          <w:rFonts w:ascii="Times New Roman" w:hAnsi="Times New Roman" w:cs="Times New Roman"/>
          <w:b/>
          <w:sz w:val="24"/>
          <w:szCs w:val="24"/>
        </w:rPr>
        <w:t xml:space="preserve">Keywords: </w:t>
      </w:r>
      <w:bookmarkStart w:id="0" w:name="_GoBack"/>
      <w:bookmarkEnd w:id="0"/>
      <w:r w:rsidRPr="003B292C">
        <w:rPr>
          <w:rFonts w:ascii="Times New Roman" w:hAnsi="Times New Roman" w:cs="Times New Roman"/>
          <w:sz w:val="24"/>
          <w:szCs w:val="24"/>
          <w:highlight w:val="yellow"/>
        </w:rPr>
        <w:t>Right radial access, Left radial access, Successive PCI, in-hospital stroke, major bleeding, Major Adverse Cardiac Events (MACE), in hospital and 30-day mortality.</w:t>
      </w:r>
      <w:r>
        <w:rPr>
          <w:rFonts w:ascii="Times New Roman" w:hAnsi="Times New Roman" w:cs="Times New Roman"/>
          <w:sz w:val="24"/>
          <w:szCs w:val="24"/>
        </w:rPr>
        <w:t xml:space="preserve"> </w:t>
      </w:r>
    </w:p>
    <w:p w14:paraId="1A7C9B6F" w14:textId="3963B655" w:rsidR="004C4C8B" w:rsidRDefault="004C4C8B" w:rsidP="00831AE3">
      <w:pPr>
        <w:ind w:firstLine="0"/>
        <w:rPr>
          <w:rFonts w:ascii="Times New Roman" w:hAnsi="Times New Roman" w:cs="Times New Roman"/>
          <w:sz w:val="24"/>
          <w:szCs w:val="24"/>
        </w:rPr>
      </w:pPr>
    </w:p>
    <w:p w14:paraId="37405F63" w14:textId="77777777" w:rsidR="009E3E63" w:rsidRDefault="009E3E63" w:rsidP="004C4C8B">
      <w:pPr>
        <w:ind w:firstLine="0"/>
        <w:rPr>
          <w:rFonts w:ascii="Times New Roman" w:hAnsi="Times New Roman" w:cs="Times New Roman"/>
          <w:b/>
          <w:sz w:val="24"/>
          <w:szCs w:val="24"/>
        </w:rPr>
      </w:pPr>
    </w:p>
    <w:p w14:paraId="5A492A57" w14:textId="77777777" w:rsidR="009E3E63" w:rsidRDefault="009E3E63" w:rsidP="004C4C8B">
      <w:pPr>
        <w:ind w:firstLine="0"/>
        <w:rPr>
          <w:rFonts w:ascii="Times New Roman" w:hAnsi="Times New Roman" w:cs="Times New Roman"/>
          <w:b/>
          <w:sz w:val="24"/>
          <w:szCs w:val="24"/>
        </w:rPr>
      </w:pPr>
    </w:p>
    <w:p w14:paraId="0BE452F9" w14:textId="77777777" w:rsidR="009E3E63" w:rsidRDefault="009E3E63" w:rsidP="004C4C8B">
      <w:pPr>
        <w:ind w:firstLine="0"/>
        <w:rPr>
          <w:rFonts w:ascii="Times New Roman" w:hAnsi="Times New Roman" w:cs="Times New Roman"/>
          <w:b/>
          <w:sz w:val="24"/>
          <w:szCs w:val="24"/>
        </w:rPr>
      </w:pPr>
    </w:p>
    <w:p w14:paraId="69F144A9" w14:textId="77777777" w:rsidR="00F65837" w:rsidRDefault="00F65837" w:rsidP="004C4C8B">
      <w:pPr>
        <w:ind w:firstLine="0"/>
        <w:rPr>
          <w:rFonts w:ascii="Times New Roman" w:hAnsi="Times New Roman" w:cs="Times New Roman"/>
          <w:b/>
          <w:sz w:val="24"/>
          <w:szCs w:val="24"/>
        </w:rPr>
      </w:pPr>
    </w:p>
    <w:p w14:paraId="67E3F4F0" w14:textId="77777777" w:rsidR="00F65837" w:rsidRDefault="00F65837" w:rsidP="004C4C8B">
      <w:pPr>
        <w:ind w:firstLine="0"/>
        <w:rPr>
          <w:rFonts w:ascii="Times New Roman" w:hAnsi="Times New Roman" w:cs="Times New Roman"/>
          <w:b/>
          <w:sz w:val="24"/>
          <w:szCs w:val="24"/>
        </w:rPr>
      </w:pPr>
    </w:p>
    <w:p w14:paraId="31C03886" w14:textId="71024861" w:rsidR="009E3E63" w:rsidRDefault="009E3E63" w:rsidP="004C4C8B">
      <w:pPr>
        <w:ind w:firstLine="0"/>
        <w:rPr>
          <w:rFonts w:ascii="Times New Roman" w:hAnsi="Times New Roman" w:cs="Times New Roman"/>
          <w:b/>
          <w:sz w:val="24"/>
          <w:szCs w:val="24"/>
        </w:rPr>
      </w:pPr>
    </w:p>
    <w:p w14:paraId="7F9F9A36" w14:textId="77777777" w:rsidR="009A35B0" w:rsidRDefault="009A35B0" w:rsidP="004C4C8B">
      <w:pPr>
        <w:ind w:firstLine="0"/>
        <w:rPr>
          <w:rFonts w:ascii="Times New Roman" w:hAnsi="Times New Roman" w:cs="Times New Roman"/>
          <w:b/>
          <w:sz w:val="24"/>
          <w:szCs w:val="24"/>
        </w:rPr>
      </w:pPr>
    </w:p>
    <w:p w14:paraId="1AAEDE4E" w14:textId="5A887CE8" w:rsidR="004C4C8B" w:rsidRDefault="004C4C8B" w:rsidP="004C4C8B">
      <w:pPr>
        <w:ind w:firstLine="0"/>
        <w:rPr>
          <w:rFonts w:ascii="Times New Roman" w:hAnsi="Times New Roman" w:cs="Times New Roman"/>
          <w:b/>
          <w:sz w:val="24"/>
          <w:szCs w:val="24"/>
        </w:rPr>
      </w:pPr>
      <w:r w:rsidRPr="004C4C8B">
        <w:rPr>
          <w:rFonts w:ascii="Times New Roman" w:hAnsi="Times New Roman" w:cs="Times New Roman"/>
          <w:b/>
          <w:sz w:val="24"/>
          <w:szCs w:val="24"/>
        </w:rPr>
        <w:t>Condensed abstract:</w:t>
      </w:r>
    </w:p>
    <w:p w14:paraId="412CC1CC" w14:textId="5B1500EA" w:rsidR="006F0CCA" w:rsidRPr="006F0CCA" w:rsidRDefault="006F0CCA" w:rsidP="004C4C8B">
      <w:pPr>
        <w:ind w:firstLine="0"/>
        <w:rPr>
          <w:rFonts w:ascii="Times New Roman" w:hAnsi="Times New Roman" w:cs="Times New Roman"/>
          <w:sz w:val="24"/>
          <w:szCs w:val="24"/>
        </w:rPr>
      </w:pPr>
      <w:r>
        <w:rPr>
          <w:rFonts w:ascii="Times New Roman" w:hAnsi="Times New Roman" w:cs="Times New Roman"/>
          <w:sz w:val="24"/>
          <w:szCs w:val="24"/>
        </w:rPr>
        <w:t xml:space="preserve">Left radial access (LRA) has been shown to offer procedural efficacy over right radial </w:t>
      </w:r>
      <w:r w:rsidR="00B3618D">
        <w:rPr>
          <w:rFonts w:ascii="Times New Roman" w:hAnsi="Times New Roman" w:cs="Times New Roman"/>
          <w:sz w:val="24"/>
          <w:szCs w:val="24"/>
        </w:rPr>
        <w:t>access (</w:t>
      </w:r>
      <w:r>
        <w:rPr>
          <w:rFonts w:ascii="Times New Roman" w:hAnsi="Times New Roman" w:cs="Times New Roman"/>
          <w:sz w:val="24"/>
          <w:szCs w:val="24"/>
        </w:rPr>
        <w:t xml:space="preserve">RRA). </w:t>
      </w:r>
      <w:r w:rsidR="00B3618D">
        <w:rPr>
          <w:rFonts w:ascii="Times New Roman" w:hAnsi="Times New Roman" w:cs="Times New Roman"/>
          <w:sz w:val="24"/>
          <w:szCs w:val="24"/>
        </w:rPr>
        <w:t xml:space="preserve">In this study, we explored the national use of LRA, access site switch in patients undergoing repeat PCI after RRA and association between use of either access with clinical outcomes. Our results suggest that use of LRA remains modestly low at 4% compared to RRA (96%). Use of LRA is not associated with increased risk of in-hospital or 30-day mortality, major adverse cardiovascular events or major bleeding complications but may be associated with decreased risk of PCI related stroke complication. </w:t>
      </w:r>
      <w:r w:rsidR="002C2286">
        <w:rPr>
          <w:rFonts w:ascii="Times New Roman" w:hAnsi="Times New Roman" w:cs="Times New Roman"/>
          <w:sz w:val="24"/>
          <w:szCs w:val="24"/>
        </w:rPr>
        <w:t xml:space="preserve">Despite </w:t>
      </w:r>
      <w:r w:rsidR="00B3618D">
        <w:rPr>
          <w:rFonts w:ascii="Times New Roman" w:hAnsi="Times New Roman" w:cs="Times New Roman"/>
          <w:sz w:val="24"/>
          <w:szCs w:val="24"/>
        </w:rPr>
        <w:t xml:space="preserve">of these advantages, femoral access is still predominantly (23.5%) used in patients requiring repeat PCI following a first RRA PCI procedure compared to LRA (4.5%). </w:t>
      </w:r>
    </w:p>
    <w:p w14:paraId="42EECB16" w14:textId="77777777" w:rsidR="004C4C8B" w:rsidRPr="004C4C8B" w:rsidRDefault="004C4C8B" w:rsidP="004C4C8B">
      <w:pPr>
        <w:ind w:firstLine="0"/>
        <w:rPr>
          <w:rFonts w:ascii="Times New Roman" w:hAnsi="Times New Roman" w:cs="Times New Roman"/>
          <w:b/>
          <w:sz w:val="24"/>
          <w:szCs w:val="24"/>
        </w:rPr>
      </w:pPr>
      <w:r w:rsidRPr="004C4C8B">
        <w:rPr>
          <w:rFonts w:ascii="Times New Roman" w:hAnsi="Times New Roman" w:cs="Times New Roman"/>
          <w:b/>
          <w:sz w:val="24"/>
          <w:szCs w:val="24"/>
        </w:rPr>
        <w:t xml:space="preserve">Clinical Perspective: </w:t>
      </w:r>
    </w:p>
    <w:p w14:paraId="5DF1DB9D" w14:textId="7F647ECD" w:rsidR="004C4C8B" w:rsidRPr="004C4C8B" w:rsidRDefault="004C4C8B" w:rsidP="004C4C8B">
      <w:pPr>
        <w:ind w:firstLine="0"/>
        <w:rPr>
          <w:rFonts w:ascii="Times New Roman" w:hAnsi="Times New Roman" w:cs="Times New Roman"/>
          <w:sz w:val="24"/>
          <w:szCs w:val="24"/>
        </w:rPr>
      </w:pPr>
      <w:r w:rsidRPr="004C4C8B">
        <w:rPr>
          <w:rFonts w:ascii="Times New Roman" w:hAnsi="Times New Roman" w:cs="Times New Roman"/>
          <w:b/>
          <w:sz w:val="24"/>
          <w:szCs w:val="24"/>
        </w:rPr>
        <w:t>WHAT IS KNOWN?</w:t>
      </w:r>
      <w:r w:rsidR="00E253B4">
        <w:rPr>
          <w:rFonts w:ascii="Times New Roman" w:hAnsi="Times New Roman" w:cs="Times New Roman"/>
          <w:sz w:val="24"/>
          <w:szCs w:val="24"/>
        </w:rPr>
        <w:t xml:space="preserve"> Use of left radial access (LRA) has been shown to have better procedural efficacy compared to right radial access (RRA)</w:t>
      </w:r>
      <w:r w:rsidRPr="004C4C8B">
        <w:rPr>
          <w:rFonts w:ascii="Times New Roman" w:hAnsi="Times New Roman" w:cs="Times New Roman"/>
          <w:sz w:val="24"/>
          <w:szCs w:val="24"/>
        </w:rPr>
        <w:t xml:space="preserve">.  </w:t>
      </w:r>
    </w:p>
    <w:p w14:paraId="228300F6" w14:textId="2A71BFFC" w:rsidR="004C4C8B" w:rsidRPr="004C4C8B" w:rsidRDefault="004C4C8B" w:rsidP="004C4C8B">
      <w:pPr>
        <w:ind w:firstLine="0"/>
        <w:rPr>
          <w:rFonts w:ascii="Times New Roman" w:hAnsi="Times New Roman" w:cs="Times New Roman"/>
          <w:sz w:val="24"/>
          <w:szCs w:val="24"/>
        </w:rPr>
      </w:pPr>
      <w:r w:rsidRPr="004C4C8B">
        <w:rPr>
          <w:rFonts w:ascii="Times New Roman" w:hAnsi="Times New Roman" w:cs="Times New Roman"/>
          <w:b/>
          <w:sz w:val="24"/>
          <w:szCs w:val="24"/>
        </w:rPr>
        <w:t>WHAT IS NEW?</w:t>
      </w:r>
      <w:r w:rsidR="00E253B4">
        <w:rPr>
          <w:rFonts w:ascii="Times New Roman" w:hAnsi="Times New Roman" w:cs="Times New Roman"/>
          <w:sz w:val="24"/>
          <w:szCs w:val="24"/>
        </w:rPr>
        <w:t xml:space="preserve"> Using the BCIS registry</w:t>
      </w:r>
      <w:r w:rsidR="00E253B4" w:rsidRPr="004C4C8B">
        <w:rPr>
          <w:rFonts w:ascii="Times New Roman" w:hAnsi="Times New Roman" w:cs="Times New Roman"/>
          <w:sz w:val="24"/>
          <w:szCs w:val="24"/>
        </w:rPr>
        <w:t>, we</w:t>
      </w:r>
      <w:r w:rsidR="00E253B4">
        <w:rPr>
          <w:rFonts w:ascii="Times New Roman" w:hAnsi="Times New Roman" w:cs="Times New Roman"/>
          <w:sz w:val="24"/>
          <w:szCs w:val="24"/>
        </w:rPr>
        <w:t xml:space="preserve"> investigated the temporal changes in use of LRA and its association with clinical outcomes</w:t>
      </w:r>
      <w:r w:rsidR="00E253B4" w:rsidRPr="004C4C8B">
        <w:rPr>
          <w:rFonts w:ascii="Times New Roman" w:hAnsi="Times New Roman" w:cs="Times New Roman"/>
          <w:sz w:val="24"/>
          <w:szCs w:val="24"/>
        </w:rPr>
        <w:t>.</w:t>
      </w:r>
      <w:r w:rsidR="00E253B4">
        <w:rPr>
          <w:rFonts w:ascii="Times New Roman" w:hAnsi="Times New Roman" w:cs="Times New Roman"/>
          <w:sz w:val="24"/>
          <w:szCs w:val="24"/>
        </w:rPr>
        <w:t xml:space="preserve"> We found that use of LRA remains modestly low in national practice (4%) compared to RRA (96%).</w:t>
      </w:r>
      <w:r w:rsidR="003F592D">
        <w:rPr>
          <w:rFonts w:ascii="Times New Roman" w:hAnsi="Times New Roman" w:cs="Times New Roman"/>
          <w:sz w:val="24"/>
          <w:szCs w:val="24"/>
        </w:rPr>
        <w:t xml:space="preserve"> Approximately one third of the patients undergoing RRA PCI at the first procedure will have their access changed to femoral route at the subsequent PCI.</w:t>
      </w:r>
      <w:r w:rsidR="00E253B4">
        <w:rPr>
          <w:rFonts w:ascii="Times New Roman" w:hAnsi="Times New Roman" w:cs="Times New Roman"/>
          <w:sz w:val="24"/>
          <w:szCs w:val="24"/>
        </w:rPr>
        <w:t xml:space="preserve"> LRA does not confer patients to increase risk of in-hospital or 30-day mortality, MACE and major bleeding complications</w:t>
      </w:r>
      <w:r w:rsidRPr="004C4C8B">
        <w:rPr>
          <w:rFonts w:ascii="Times New Roman" w:hAnsi="Times New Roman" w:cs="Times New Roman"/>
          <w:sz w:val="24"/>
          <w:szCs w:val="24"/>
        </w:rPr>
        <w:t>.</w:t>
      </w:r>
      <w:r w:rsidR="00E253B4">
        <w:rPr>
          <w:rFonts w:ascii="Times New Roman" w:hAnsi="Times New Roman" w:cs="Times New Roman"/>
          <w:sz w:val="24"/>
          <w:szCs w:val="24"/>
        </w:rPr>
        <w:t xml:space="preserve"> </w:t>
      </w:r>
      <w:r w:rsidR="00DA714E">
        <w:rPr>
          <w:rFonts w:ascii="Times New Roman" w:hAnsi="Times New Roman" w:cs="Times New Roman"/>
          <w:sz w:val="24"/>
          <w:szCs w:val="24"/>
        </w:rPr>
        <w:t>However,</w:t>
      </w:r>
      <w:r w:rsidR="00E253B4">
        <w:rPr>
          <w:rFonts w:ascii="Times New Roman" w:hAnsi="Times New Roman" w:cs="Times New Roman"/>
          <w:sz w:val="24"/>
          <w:szCs w:val="24"/>
        </w:rPr>
        <w:t xml:space="preserve"> it may be associated with </w:t>
      </w:r>
      <w:r w:rsidR="00F41F83">
        <w:rPr>
          <w:rFonts w:ascii="Times New Roman" w:hAnsi="Times New Roman" w:cs="Times New Roman"/>
          <w:sz w:val="24"/>
          <w:szCs w:val="24"/>
        </w:rPr>
        <w:t>reduced risk of</w:t>
      </w:r>
      <w:r w:rsidR="00E253B4">
        <w:rPr>
          <w:rFonts w:ascii="Times New Roman" w:hAnsi="Times New Roman" w:cs="Times New Roman"/>
          <w:sz w:val="24"/>
          <w:szCs w:val="24"/>
        </w:rPr>
        <w:t xml:space="preserve"> PCI related in-hospital stroke complication</w:t>
      </w:r>
      <w:r w:rsidR="00F41F83">
        <w:rPr>
          <w:rFonts w:ascii="Times New Roman" w:hAnsi="Times New Roman" w:cs="Times New Roman"/>
          <w:sz w:val="24"/>
          <w:szCs w:val="24"/>
        </w:rPr>
        <w:t>s</w:t>
      </w:r>
      <w:r w:rsidR="00E253B4">
        <w:rPr>
          <w:rFonts w:ascii="Times New Roman" w:hAnsi="Times New Roman" w:cs="Times New Roman"/>
          <w:sz w:val="24"/>
          <w:szCs w:val="24"/>
        </w:rPr>
        <w:t xml:space="preserve">. </w:t>
      </w:r>
      <w:r w:rsidRPr="004C4C8B">
        <w:rPr>
          <w:rFonts w:ascii="Times New Roman" w:hAnsi="Times New Roman" w:cs="Times New Roman"/>
          <w:sz w:val="24"/>
          <w:szCs w:val="24"/>
        </w:rPr>
        <w:t xml:space="preserve"> </w:t>
      </w:r>
    </w:p>
    <w:p w14:paraId="16C89890" w14:textId="277D1894" w:rsidR="004C4C8B" w:rsidRPr="004C4C8B" w:rsidRDefault="004C4C8B" w:rsidP="004C4C8B">
      <w:pPr>
        <w:ind w:firstLine="0"/>
        <w:rPr>
          <w:rFonts w:ascii="Times New Roman" w:hAnsi="Times New Roman" w:cs="Times New Roman"/>
          <w:sz w:val="24"/>
          <w:szCs w:val="24"/>
        </w:rPr>
      </w:pPr>
      <w:r w:rsidRPr="004C4C8B">
        <w:rPr>
          <w:rFonts w:ascii="Times New Roman" w:hAnsi="Times New Roman" w:cs="Times New Roman"/>
          <w:b/>
          <w:sz w:val="24"/>
          <w:szCs w:val="24"/>
        </w:rPr>
        <w:t>WHAT IS NEXT?</w:t>
      </w:r>
      <w:r w:rsidR="00E253B4">
        <w:rPr>
          <w:rFonts w:ascii="Times New Roman" w:hAnsi="Times New Roman" w:cs="Times New Roman"/>
          <w:sz w:val="24"/>
          <w:szCs w:val="24"/>
        </w:rPr>
        <w:t xml:space="preserve"> LRA offers a safe alternative access site and may help to reduce PCI related stroke complications</w:t>
      </w:r>
      <w:r w:rsidRPr="004C4C8B">
        <w:rPr>
          <w:rFonts w:ascii="Times New Roman" w:hAnsi="Times New Roman" w:cs="Times New Roman"/>
          <w:sz w:val="24"/>
          <w:szCs w:val="24"/>
        </w:rPr>
        <w:t>.</w:t>
      </w:r>
      <w:r w:rsidR="009F57F0">
        <w:rPr>
          <w:rFonts w:ascii="Times New Roman" w:hAnsi="Times New Roman" w:cs="Times New Roman"/>
          <w:sz w:val="24"/>
          <w:szCs w:val="24"/>
        </w:rPr>
        <w:t xml:space="preserve"> </w:t>
      </w:r>
      <w:r w:rsidR="00DE369E">
        <w:rPr>
          <w:rFonts w:ascii="Times New Roman" w:hAnsi="Times New Roman" w:cs="Times New Roman"/>
          <w:sz w:val="24"/>
          <w:szCs w:val="24"/>
        </w:rPr>
        <w:t>A greater</w:t>
      </w:r>
      <w:r w:rsidR="002C2286">
        <w:rPr>
          <w:rFonts w:ascii="Times New Roman" w:hAnsi="Times New Roman" w:cs="Times New Roman"/>
          <w:sz w:val="24"/>
          <w:szCs w:val="24"/>
        </w:rPr>
        <w:t xml:space="preserve"> understanding </w:t>
      </w:r>
      <w:r w:rsidR="0039584D">
        <w:rPr>
          <w:rFonts w:ascii="Times New Roman" w:hAnsi="Times New Roman" w:cs="Times New Roman"/>
          <w:sz w:val="24"/>
          <w:szCs w:val="24"/>
        </w:rPr>
        <w:t xml:space="preserve">for the </w:t>
      </w:r>
      <w:r w:rsidR="002C2286">
        <w:rPr>
          <w:rFonts w:ascii="Times New Roman" w:hAnsi="Times New Roman" w:cs="Times New Roman"/>
          <w:sz w:val="24"/>
          <w:szCs w:val="24"/>
        </w:rPr>
        <w:t xml:space="preserve">reasons of higher access site switch from </w:t>
      </w:r>
      <w:r w:rsidR="00073670">
        <w:rPr>
          <w:rFonts w:ascii="Times New Roman" w:hAnsi="Times New Roman" w:cs="Times New Roman"/>
          <w:sz w:val="24"/>
          <w:szCs w:val="24"/>
        </w:rPr>
        <w:t>radial</w:t>
      </w:r>
      <w:r w:rsidR="002C2286">
        <w:rPr>
          <w:rFonts w:ascii="Times New Roman" w:hAnsi="Times New Roman" w:cs="Times New Roman"/>
          <w:sz w:val="24"/>
          <w:szCs w:val="24"/>
        </w:rPr>
        <w:t xml:space="preserve"> to femoral </w:t>
      </w:r>
      <w:r w:rsidR="00073670">
        <w:rPr>
          <w:rFonts w:ascii="Times New Roman" w:hAnsi="Times New Roman" w:cs="Times New Roman"/>
          <w:sz w:val="24"/>
          <w:szCs w:val="24"/>
        </w:rPr>
        <w:t>rather than contralateral arm</w:t>
      </w:r>
      <w:r w:rsidR="0039584D">
        <w:rPr>
          <w:rFonts w:ascii="Times New Roman" w:hAnsi="Times New Roman" w:cs="Times New Roman"/>
          <w:sz w:val="24"/>
          <w:szCs w:val="24"/>
        </w:rPr>
        <w:t xml:space="preserve"> is needed with educational program development</w:t>
      </w:r>
      <w:r w:rsidR="009C6C57">
        <w:rPr>
          <w:rFonts w:ascii="Times New Roman" w:hAnsi="Times New Roman" w:cs="Times New Roman"/>
          <w:sz w:val="24"/>
          <w:szCs w:val="24"/>
        </w:rPr>
        <w:t xml:space="preserve"> to improve </w:t>
      </w:r>
      <w:r w:rsidR="00386EA1">
        <w:rPr>
          <w:rFonts w:ascii="Times New Roman" w:hAnsi="Times New Roman" w:cs="Times New Roman"/>
          <w:sz w:val="24"/>
          <w:szCs w:val="24"/>
        </w:rPr>
        <w:t>familiarity</w:t>
      </w:r>
      <w:r w:rsidR="009C6C57">
        <w:rPr>
          <w:rFonts w:ascii="Times New Roman" w:hAnsi="Times New Roman" w:cs="Times New Roman"/>
          <w:sz w:val="24"/>
          <w:szCs w:val="24"/>
        </w:rPr>
        <w:t xml:space="preserve"> amongst operators </w:t>
      </w:r>
      <w:r w:rsidR="00C26721">
        <w:rPr>
          <w:rFonts w:ascii="Times New Roman" w:hAnsi="Times New Roman" w:cs="Times New Roman"/>
          <w:sz w:val="24"/>
          <w:szCs w:val="24"/>
        </w:rPr>
        <w:t xml:space="preserve">for </w:t>
      </w:r>
      <w:r w:rsidR="000F744B">
        <w:rPr>
          <w:rFonts w:ascii="Times New Roman" w:hAnsi="Times New Roman" w:cs="Times New Roman"/>
          <w:sz w:val="24"/>
          <w:szCs w:val="24"/>
        </w:rPr>
        <w:t xml:space="preserve">the </w:t>
      </w:r>
      <w:r w:rsidR="009C6C57">
        <w:rPr>
          <w:rFonts w:ascii="Times New Roman" w:hAnsi="Times New Roman" w:cs="Times New Roman"/>
          <w:sz w:val="24"/>
          <w:szCs w:val="24"/>
        </w:rPr>
        <w:t>LRA</w:t>
      </w:r>
      <w:r w:rsidR="00C26721">
        <w:rPr>
          <w:rFonts w:ascii="Times New Roman" w:hAnsi="Times New Roman" w:cs="Times New Roman"/>
          <w:sz w:val="24"/>
          <w:szCs w:val="24"/>
        </w:rPr>
        <w:t xml:space="preserve"> </w:t>
      </w:r>
      <w:r w:rsidR="000F744B">
        <w:rPr>
          <w:rFonts w:ascii="Times New Roman" w:hAnsi="Times New Roman" w:cs="Times New Roman"/>
          <w:sz w:val="24"/>
          <w:szCs w:val="24"/>
        </w:rPr>
        <w:t>approach</w:t>
      </w:r>
      <w:r w:rsidR="002C2286">
        <w:rPr>
          <w:rFonts w:ascii="Times New Roman" w:hAnsi="Times New Roman" w:cs="Times New Roman"/>
          <w:sz w:val="24"/>
          <w:szCs w:val="24"/>
        </w:rPr>
        <w:t xml:space="preserve">. </w:t>
      </w:r>
    </w:p>
    <w:p w14:paraId="4156BFE2" w14:textId="74E08548" w:rsidR="004C4C8B" w:rsidRPr="004C4C8B" w:rsidRDefault="004C4C8B" w:rsidP="004C4C8B">
      <w:pPr>
        <w:ind w:firstLine="0"/>
        <w:rPr>
          <w:rFonts w:ascii="Times New Roman" w:hAnsi="Times New Roman" w:cs="Times New Roman"/>
          <w:sz w:val="24"/>
          <w:szCs w:val="24"/>
        </w:rPr>
      </w:pPr>
      <w:r w:rsidRPr="004C4C8B">
        <w:rPr>
          <w:rFonts w:ascii="Times New Roman" w:hAnsi="Times New Roman" w:cs="Times New Roman"/>
          <w:b/>
          <w:sz w:val="24"/>
          <w:szCs w:val="24"/>
        </w:rPr>
        <w:t>Abbreviations</w:t>
      </w:r>
      <w:r w:rsidRPr="004C4C8B">
        <w:rPr>
          <w:rFonts w:ascii="Times New Roman" w:hAnsi="Times New Roman" w:cs="Times New Roman"/>
          <w:sz w:val="24"/>
          <w:szCs w:val="24"/>
        </w:rPr>
        <w:t>: PCI (percutaneous coronary intervention), TRA (</w:t>
      </w:r>
      <w:proofErr w:type="spellStart"/>
      <w:r w:rsidRPr="004C4C8B">
        <w:rPr>
          <w:rFonts w:ascii="Times New Roman" w:hAnsi="Times New Roman" w:cs="Times New Roman"/>
          <w:sz w:val="24"/>
          <w:szCs w:val="24"/>
        </w:rPr>
        <w:t>Transradial</w:t>
      </w:r>
      <w:proofErr w:type="spellEnd"/>
      <w:r w:rsidRPr="004C4C8B">
        <w:rPr>
          <w:rFonts w:ascii="Times New Roman" w:hAnsi="Times New Roman" w:cs="Times New Roman"/>
          <w:sz w:val="24"/>
          <w:szCs w:val="24"/>
        </w:rPr>
        <w:t xml:space="preserve"> access), TFA (</w:t>
      </w:r>
      <w:proofErr w:type="spellStart"/>
      <w:r w:rsidRPr="004C4C8B">
        <w:rPr>
          <w:rFonts w:ascii="Times New Roman" w:hAnsi="Times New Roman" w:cs="Times New Roman"/>
          <w:sz w:val="24"/>
          <w:szCs w:val="24"/>
        </w:rPr>
        <w:t>Transfemoral</w:t>
      </w:r>
      <w:proofErr w:type="spellEnd"/>
      <w:r w:rsidRPr="004C4C8B">
        <w:rPr>
          <w:rFonts w:ascii="Times New Roman" w:hAnsi="Times New Roman" w:cs="Times New Roman"/>
          <w:sz w:val="24"/>
          <w:szCs w:val="24"/>
        </w:rPr>
        <w:t xml:space="preserve"> </w:t>
      </w:r>
      <w:r w:rsidR="00F36547">
        <w:rPr>
          <w:rFonts w:ascii="Times New Roman" w:hAnsi="Times New Roman" w:cs="Times New Roman"/>
          <w:sz w:val="24"/>
          <w:szCs w:val="24"/>
        </w:rPr>
        <w:t>access), LRA (left radial access), RRA</w:t>
      </w:r>
      <w:r w:rsidR="00B8050B">
        <w:rPr>
          <w:rFonts w:ascii="Times New Roman" w:hAnsi="Times New Roman" w:cs="Times New Roman"/>
          <w:sz w:val="24"/>
          <w:szCs w:val="24"/>
        </w:rPr>
        <w:t xml:space="preserve"> </w:t>
      </w:r>
      <w:r w:rsidR="00F36547">
        <w:rPr>
          <w:rFonts w:ascii="Times New Roman" w:hAnsi="Times New Roman" w:cs="Times New Roman"/>
          <w:sz w:val="24"/>
          <w:szCs w:val="24"/>
        </w:rPr>
        <w:t>(right radial access)</w:t>
      </w:r>
      <w:r w:rsidR="001E2C6F">
        <w:rPr>
          <w:rFonts w:ascii="Times New Roman" w:hAnsi="Times New Roman" w:cs="Times New Roman"/>
          <w:sz w:val="24"/>
          <w:szCs w:val="24"/>
        </w:rPr>
        <w:t>, BCIS (</w:t>
      </w:r>
      <w:r w:rsidRPr="004C4C8B">
        <w:rPr>
          <w:rFonts w:ascii="Times New Roman" w:hAnsi="Times New Roman" w:cs="Times New Roman"/>
          <w:sz w:val="24"/>
          <w:szCs w:val="24"/>
        </w:rPr>
        <w:t>British Cardiovascular Intervention Society),</w:t>
      </w:r>
    </w:p>
    <w:p w14:paraId="13106670" w14:textId="77777777" w:rsidR="007863EA" w:rsidRPr="003A674A" w:rsidRDefault="007863EA" w:rsidP="006B4B96">
      <w:pPr>
        <w:rPr>
          <w:rFonts w:ascii="Times New Roman" w:hAnsi="Times New Roman" w:cs="Times New Roman"/>
          <w:sz w:val="24"/>
          <w:szCs w:val="24"/>
        </w:rPr>
      </w:pPr>
    </w:p>
    <w:p w14:paraId="24634CEE" w14:textId="77777777" w:rsidR="00054F46" w:rsidRPr="003A674A" w:rsidRDefault="00054F46" w:rsidP="00831AE3">
      <w:pPr>
        <w:pStyle w:val="Heading1"/>
        <w:ind w:firstLine="0"/>
        <w:rPr>
          <w:rFonts w:ascii="Times New Roman" w:eastAsiaTheme="minorHAnsi" w:hAnsi="Times New Roman" w:cs="Times New Roman"/>
          <w:color w:val="auto"/>
          <w:sz w:val="24"/>
          <w:szCs w:val="24"/>
        </w:rPr>
      </w:pPr>
    </w:p>
    <w:p w14:paraId="7C3C8E75" w14:textId="5B2B9476" w:rsidR="00195FEA" w:rsidRPr="003A674A" w:rsidRDefault="00195FEA" w:rsidP="00073670">
      <w:pPr>
        <w:ind w:firstLine="0"/>
        <w:rPr>
          <w:rFonts w:ascii="Times New Roman" w:hAnsi="Times New Roman" w:cs="Times New Roman"/>
          <w:sz w:val="24"/>
          <w:szCs w:val="24"/>
        </w:rPr>
      </w:pPr>
    </w:p>
    <w:p w14:paraId="02736F66" w14:textId="406E06DA" w:rsidR="00735D55" w:rsidRPr="003A674A" w:rsidRDefault="00C33F07" w:rsidP="00986A1B">
      <w:pPr>
        <w:pStyle w:val="Heading1"/>
        <w:ind w:firstLine="0"/>
        <w:rPr>
          <w:rFonts w:ascii="Times New Roman" w:hAnsi="Times New Roman" w:cs="Times New Roman"/>
          <w:sz w:val="24"/>
          <w:szCs w:val="24"/>
        </w:rPr>
      </w:pPr>
      <w:r w:rsidRPr="003A674A">
        <w:rPr>
          <w:rFonts w:ascii="Times New Roman" w:hAnsi="Times New Roman" w:cs="Times New Roman"/>
          <w:b/>
          <w:color w:val="000000" w:themeColor="text1"/>
          <w:sz w:val="24"/>
          <w:szCs w:val="24"/>
        </w:rPr>
        <w:t xml:space="preserve">Introduction: </w:t>
      </w:r>
    </w:p>
    <w:p w14:paraId="0F4E87E8" w14:textId="2D019241" w:rsidR="00831AE3" w:rsidRPr="003A674A" w:rsidRDefault="006F1A22" w:rsidP="00E959F8">
      <w:pPr>
        <w:ind w:firstLine="0"/>
        <w:rPr>
          <w:rFonts w:ascii="Times New Roman" w:hAnsi="Times New Roman" w:cs="Times New Roman"/>
          <w:sz w:val="24"/>
          <w:szCs w:val="24"/>
        </w:rPr>
      </w:pPr>
      <w:r w:rsidRPr="003A674A">
        <w:rPr>
          <w:rFonts w:ascii="Times New Roman" w:hAnsi="Times New Roman" w:cs="Times New Roman"/>
          <w:sz w:val="24"/>
          <w:szCs w:val="24"/>
        </w:rPr>
        <w:tab/>
      </w:r>
      <w:r w:rsidR="00FB18DE" w:rsidRPr="003A674A">
        <w:rPr>
          <w:rFonts w:ascii="Times New Roman" w:hAnsi="Times New Roman" w:cs="Times New Roman"/>
          <w:sz w:val="24"/>
          <w:szCs w:val="24"/>
        </w:rPr>
        <w:t>T</w:t>
      </w:r>
      <w:r w:rsidR="00B6515D" w:rsidRPr="003A674A">
        <w:rPr>
          <w:rFonts w:ascii="Times New Roman" w:hAnsi="Times New Roman" w:cs="Times New Roman"/>
          <w:sz w:val="24"/>
          <w:szCs w:val="24"/>
        </w:rPr>
        <w:t>he radial artery</w:t>
      </w:r>
      <w:r w:rsidR="009A2CFE" w:rsidRPr="003A674A">
        <w:rPr>
          <w:rFonts w:ascii="Times New Roman" w:hAnsi="Times New Roman" w:cs="Times New Roman"/>
          <w:sz w:val="24"/>
          <w:szCs w:val="24"/>
        </w:rPr>
        <w:t xml:space="preserve"> </w:t>
      </w:r>
      <w:r w:rsidR="00032ECB" w:rsidRPr="003A674A">
        <w:rPr>
          <w:rFonts w:ascii="Times New Roman" w:hAnsi="Times New Roman" w:cs="Times New Roman"/>
          <w:sz w:val="24"/>
          <w:szCs w:val="24"/>
        </w:rPr>
        <w:t xml:space="preserve">is now the most </w:t>
      </w:r>
      <w:r w:rsidR="001C464A" w:rsidRPr="003A674A">
        <w:rPr>
          <w:rFonts w:ascii="Times New Roman" w:hAnsi="Times New Roman" w:cs="Times New Roman"/>
          <w:sz w:val="24"/>
          <w:szCs w:val="24"/>
        </w:rPr>
        <w:t xml:space="preserve">common </w:t>
      </w:r>
      <w:r w:rsidR="00032ECB" w:rsidRPr="003A674A">
        <w:rPr>
          <w:rFonts w:ascii="Times New Roman" w:hAnsi="Times New Roman" w:cs="Times New Roman"/>
          <w:sz w:val="24"/>
          <w:szCs w:val="24"/>
        </w:rPr>
        <w:t xml:space="preserve">vascular access </w:t>
      </w:r>
      <w:r w:rsidR="001C464A" w:rsidRPr="003A674A">
        <w:rPr>
          <w:rFonts w:ascii="Times New Roman" w:hAnsi="Times New Roman" w:cs="Times New Roman"/>
          <w:sz w:val="24"/>
          <w:szCs w:val="24"/>
        </w:rPr>
        <w:t xml:space="preserve">site utilised </w:t>
      </w:r>
      <w:r w:rsidR="00032ECB" w:rsidRPr="003A674A">
        <w:rPr>
          <w:rFonts w:ascii="Times New Roman" w:hAnsi="Times New Roman" w:cs="Times New Roman"/>
          <w:sz w:val="24"/>
          <w:szCs w:val="24"/>
        </w:rPr>
        <w:t xml:space="preserve">for </w:t>
      </w:r>
      <w:r w:rsidR="001C464A" w:rsidRPr="003A674A">
        <w:rPr>
          <w:rFonts w:ascii="Times New Roman" w:hAnsi="Times New Roman" w:cs="Times New Roman"/>
          <w:sz w:val="24"/>
          <w:szCs w:val="24"/>
        </w:rPr>
        <w:t xml:space="preserve">percutaneous </w:t>
      </w:r>
      <w:r w:rsidR="00032ECB" w:rsidRPr="003A674A">
        <w:rPr>
          <w:rFonts w:ascii="Times New Roman" w:hAnsi="Times New Roman" w:cs="Times New Roman"/>
          <w:sz w:val="24"/>
          <w:szCs w:val="24"/>
        </w:rPr>
        <w:t xml:space="preserve">coronary interventions </w:t>
      </w:r>
      <w:r w:rsidR="001C464A" w:rsidRPr="003A674A">
        <w:rPr>
          <w:rFonts w:ascii="Times New Roman" w:hAnsi="Times New Roman" w:cs="Times New Roman"/>
          <w:sz w:val="24"/>
          <w:szCs w:val="24"/>
        </w:rPr>
        <w:t xml:space="preserve">(PCI) across many European </w:t>
      </w:r>
      <w:r w:rsidR="001C464A" w:rsidRPr="003A674A">
        <w:rPr>
          <w:rFonts w:ascii="Times New Roman" w:hAnsi="Times New Roman" w:cs="Times New Roman"/>
          <w:sz w:val="24"/>
          <w:szCs w:val="24"/>
        </w:rPr>
        <w:fldChar w:fldCharType="begin"/>
      </w:r>
      <w:r w:rsidR="001C464A" w:rsidRPr="003A674A">
        <w:rPr>
          <w:rFonts w:ascii="Times New Roman" w:hAnsi="Times New Roman" w:cs="Times New Roman"/>
          <w:sz w:val="24"/>
          <w:szCs w:val="24"/>
        </w:rPr>
        <w:instrText>ADDIN RW.CITE{{31 Roffi,M. 2016}}</w:instrText>
      </w:r>
      <w:r w:rsidR="001C464A" w:rsidRPr="003A674A">
        <w:rPr>
          <w:rFonts w:ascii="Times New Roman" w:hAnsi="Times New Roman" w:cs="Times New Roman"/>
          <w:sz w:val="24"/>
          <w:szCs w:val="24"/>
        </w:rPr>
        <w:fldChar w:fldCharType="separate"/>
      </w:r>
      <w:r w:rsidR="00467F78" w:rsidRPr="003A674A">
        <w:rPr>
          <w:rFonts w:ascii="Times New Roman" w:hAnsi="Times New Roman" w:cs="Times New Roman"/>
          <w:sz w:val="24"/>
          <w:szCs w:val="24"/>
        </w:rPr>
        <w:t>(1)</w:t>
      </w:r>
      <w:r w:rsidR="001C464A" w:rsidRPr="003A674A">
        <w:rPr>
          <w:rFonts w:ascii="Times New Roman" w:hAnsi="Times New Roman" w:cs="Times New Roman"/>
          <w:sz w:val="24"/>
          <w:szCs w:val="24"/>
        </w:rPr>
        <w:fldChar w:fldCharType="end"/>
      </w:r>
      <w:r w:rsidR="00E40D65" w:rsidRPr="003A674A">
        <w:rPr>
          <w:rFonts w:ascii="Times New Roman" w:hAnsi="Times New Roman" w:cs="Times New Roman"/>
          <w:sz w:val="24"/>
          <w:szCs w:val="24"/>
        </w:rPr>
        <w:t>,</w:t>
      </w:r>
      <w:r w:rsidR="001C464A" w:rsidRPr="003A674A">
        <w:rPr>
          <w:rFonts w:ascii="Times New Roman" w:hAnsi="Times New Roman" w:cs="Times New Roman"/>
          <w:sz w:val="24"/>
          <w:szCs w:val="24"/>
        </w:rPr>
        <w:t xml:space="preserve"> Canadian and South Asian countries</w:t>
      </w:r>
      <w:r w:rsidR="00E959F8" w:rsidRPr="003A674A">
        <w:rPr>
          <w:rFonts w:ascii="Times New Roman" w:hAnsi="Times New Roman" w:cs="Times New Roman"/>
          <w:sz w:val="24"/>
          <w:szCs w:val="24"/>
        </w:rPr>
        <w:t xml:space="preserve"> </w:t>
      </w:r>
      <w:r w:rsidR="00467F78" w:rsidRPr="003A674A">
        <w:rPr>
          <w:rFonts w:ascii="Times New Roman" w:hAnsi="Times New Roman" w:cs="Times New Roman"/>
          <w:sz w:val="24"/>
          <w:szCs w:val="24"/>
        </w:rPr>
        <w:fldChar w:fldCharType="begin"/>
      </w:r>
      <w:r w:rsidR="00103E9E" w:rsidRPr="003A674A">
        <w:rPr>
          <w:rFonts w:ascii="Times New Roman" w:hAnsi="Times New Roman" w:cs="Times New Roman"/>
          <w:sz w:val="24"/>
          <w:szCs w:val="24"/>
        </w:rPr>
        <w:instrText>ADDIN RW.CITE{{452 Caputo,R.P. 2011; 454 Sachdeva,S. 2014}}</w:instrText>
      </w:r>
      <w:r w:rsidR="00467F78"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(2, 3)</w:t>
      </w:r>
      <w:r w:rsidR="00467F78" w:rsidRPr="003A674A">
        <w:rPr>
          <w:rFonts w:ascii="Times New Roman" w:hAnsi="Times New Roman" w:cs="Times New Roman"/>
          <w:sz w:val="24"/>
          <w:szCs w:val="24"/>
        </w:rPr>
        <w:fldChar w:fldCharType="end"/>
      </w:r>
      <w:r w:rsidR="001C464A" w:rsidRPr="003A674A">
        <w:rPr>
          <w:rFonts w:ascii="Times New Roman" w:hAnsi="Times New Roman" w:cs="Times New Roman"/>
          <w:sz w:val="24"/>
          <w:szCs w:val="24"/>
        </w:rPr>
        <w:t xml:space="preserve"> </w:t>
      </w:r>
      <w:r w:rsidR="00032ECB" w:rsidRPr="003A674A">
        <w:rPr>
          <w:rFonts w:ascii="Times New Roman" w:hAnsi="Times New Roman" w:cs="Times New Roman"/>
          <w:sz w:val="24"/>
          <w:szCs w:val="24"/>
        </w:rPr>
        <w:t>and co</w:t>
      </w:r>
      <w:r w:rsidR="00D5769A" w:rsidRPr="003A674A">
        <w:rPr>
          <w:rFonts w:ascii="Times New Roman" w:hAnsi="Times New Roman" w:cs="Times New Roman"/>
          <w:sz w:val="24"/>
          <w:szCs w:val="24"/>
        </w:rPr>
        <w:t>ntinue</w:t>
      </w:r>
      <w:r w:rsidR="009A2CFE" w:rsidRPr="003A674A">
        <w:rPr>
          <w:rFonts w:ascii="Times New Roman" w:hAnsi="Times New Roman" w:cs="Times New Roman"/>
          <w:sz w:val="24"/>
          <w:szCs w:val="24"/>
        </w:rPr>
        <w:t>s</w:t>
      </w:r>
      <w:r w:rsidR="00D5769A" w:rsidRPr="003A674A">
        <w:rPr>
          <w:rFonts w:ascii="Times New Roman" w:hAnsi="Times New Roman" w:cs="Times New Roman"/>
          <w:sz w:val="24"/>
          <w:szCs w:val="24"/>
        </w:rPr>
        <w:t xml:space="preserve"> to gain popularity in</w:t>
      </w:r>
      <w:r w:rsidR="009A2CFE" w:rsidRPr="003A674A">
        <w:rPr>
          <w:rFonts w:ascii="Times New Roman" w:hAnsi="Times New Roman" w:cs="Times New Roman"/>
          <w:sz w:val="24"/>
          <w:szCs w:val="24"/>
        </w:rPr>
        <w:t xml:space="preserve"> the</w:t>
      </w:r>
      <w:r w:rsidR="00D5769A" w:rsidRPr="003A674A">
        <w:rPr>
          <w:rFonts w:ascii="Times New Roman" w:hAnsi="Times New Roman" w:cs="Times New Roman"/>
          <w:sz w:val="24"/>
          <w:szCs w:val="24"/>
        </w:rPr>
        <w:t xml:space="preserve"> US</w:t>
      </w:r>
      <w:r w:rsidR="00C2275F">
        <w:rPr>
          <w:rFonts w:ascii="Times New Roman" w:hAnsi="Times New Roman" w:cs="Times New Roman"/>
          <w:sz w:val="24"/>
          <w:szCs w:val="24"/>
        </w:rPr>
        <w:t xml:space="preserve"> </w:t>
      </w:r>
      <w:r w:rsidR="00D5769A" w:rsidRPr="003A674A">
        <w:rPr>
          <w:rFonts w:ascii="Times New Roman" w:hAnsi="Times New Roman" w:cs="Times New Roman"/>
          <w:sz w:val="24"/>
          <w:szCs w:val="24"/>
        </w:rPr>
        <w:fldChar w:fldCharType="begin"/>
      </w:r>
      <w:r w:rsidR="00B84921" w:rsidRPr="003A674A">
        <w:rPr>
          <w:rFonts w:ascii="Times New Roman" w:hAnsi="Times New Roman" w:cs="Times New Roman"/>
          <w:sz w:val="24"/>
          <w:szCs w:val="24"/>
        </w:rPr>
        <w:instrText>ADDIN RW.CITE{{206 Feldman,D.N. 2013; 456 Yeh,R.W. 2017}}</w:instrText>
      </w:r>
      <w:r w:rsidR="00D5769A"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(4, 5)</w:t>
      </w:r>
      <w:r w:rsidR="00D5769A" w:rsidRPr="003A674A">
        <w:rPr>
          <w:rFonts w:ascii="Times New Roman" w:hAnsi="Times New Roman" w:cs="Times New Roman"/>
          <w:sz w:val="24"/>
          <w:szCs w:val="24"/>
        </w:rPr>
        <w:fldChar w:fldCharType="end"/>
      </w:r>
      <w:r w:rsidR="00032ECB" w:rsidRPr="003A674A">
        <w:rPr>
          <w:rFonts w:ascii="Times New Roman" w:hAnsi="Times New Roman" w:cs="Times New Roman"/>
          <w:sz w:val="24"/>
          <w:szCs w:val="24"/>
        </w:rPr>
        <w:t xml:space="preserve">. </w:t>
      </w:r>
      <w:r w:rsidR="000D01E9" w:rsidRPr="003A674A">
        <w:rPr>
          <w:rFonts w:ascii="Times New Roman" w:hAnsi="Times New Roman" w:cs="Times New Roman"/>
          <w:sz w:val="24"/>
          <w:szCs w:val="24"/>
        </w:rPr>
        <w:t xml:space="preserve">The main advantages of </w:t>
      </w:r>
      <w:proofErr w:type="spellStart"/>
      <w:r w:rsidR="00E40D65" w:rsidRPr="003A674A">
        <w:rPr>
          <w:rFonts w:ascii="Times New Roman" w:hAnsi="Times New Roman" w:cs="Times New Roman"/>
          <w:sz w:val="24"/>
          <w:szCs w:val="24"/>
        </w:rPr>
        <w:t>transradial</w:t>
      </w:r>
      <w:proofErr w:type="spellEnd"/>
      <w:r w:rsidR="00E40D65" w:rsidRPr="003A674A">
        <w:rPr>
          <w:rFonts w:ascii="Times New Roman" w:hAnsi="Times New Roman" w:cs="Times New Roman"/>
          <w:sz w:val="24"/>
          <w:szCs w:val="24"/>
        </w:rPr>
        <w:t xml:space="preserve"> access (</w:t>
      </w:r>
      <w:r w:rsidR="000D01E9" w:rsidRPr="003A674A">
        <w:rPr>
          <w:rFonts w:ascii="Times New Roman" w:hAnsi="Times New Roman" w:cs="Times New Roman"/>
          <w:sz w:val="24"/>
          <w:szCs w:val="24"/>
        </w:rPr>
        <w:t>TRA</w:t>
      </w:r>
      <w:r w:rsidR="00E40D65" w:rsidRPr="003A674A">
        <w:rPr>
          <w:rFonts w:ascii="Times New Roman" w:hAnsi="Times New Roman" w:cs="Times New Roman"/>
          <w:sz w:val="24"/>
          <w:szCs w:val="24"/>
        </w:rPr>
        <w:t>)</w:t>
      </w:r>
      <w:r w:rsidR="000D01E9" w:rsidRPr="003A674A">
        <w:rPr>
          <w:rFonts w:ascii="Times New Roman" w:hAnsi="Times New Roman" w:cs="Times New Roman"/>
          <w:sz w:val="24"/>
          <w:szCs w:val="24"/>
        </w:rPr>
        <w:t xml:space="preserve"> over </w:t>
      </w:r>
      <w:proofErr w:type="spellStart"/>
      <w:r w:rsidR="00651E96" w:rsidRPr="003A674A">
        <w:rPr>
          <w:rFonts w:ascii="Times New Roman" w:hAnsi="Times New Roman" w:cs="Times New Roman"/>
          <w:sz w:val="24"/>
          <w:szCs w:val="24"/>
        </w:rPr>
        <w:t>trans</w:t>
      </w:r>
      <w:r w:rsidR="00595E50" w:rsidRPr="003A674A">
        <w:rPr>
          <w:rFonts w:ascii="Times New Roman" w:hAnsi="Times New Roman" w:cs="Times New Roman"/>
          <w:sz w:val="24"/>
          <w:szCs w:val="24"/>
        </w:rPr>
        <w:t>femoral</w:t>
      </w:r>
      <w:proofErr w:type="spellEnd"/>
      <w:r w:rsidR="000D01E9" w:rsidRPr="003A674A">
        <w:rPr>
          <w:rFonts w:ascii="Times New Roman" w:hAnsi="Times New Roman" w:cs="Times New Roman"/>
          <w:sz w:val="24"/>
          <w:szCs w:val="24"/>
        </w:rPr>
        <w:t xml:space="preserve"> access (TFA</w:t>
      </w:r>
      <w:r w:rsidR="009B45EC" w:rsidRPr="003A674A">
        <w:rPr>
          <w:rFonts w:ascii="Times New Roman" w:hAnsi="Times New Roman" w:cs="Times New Roman"/>
          <w:sz w:val="24"/>
          <w:szCs w:val="24"/>
        </w:rPr>
        <w:t xml:space="preserve">) </w:t>
      </w:r>
      <w:r w:rsidR="00E40D65" w:rsidRPr="003A674A">
        <w:rPr>
          <w:rFonts w:ascii="Times New Roman" w:hAnsi="Times New Roman" w:cs="Times New Roman"/>
          <w:sz w:val="24"/>
          <w:szCs w:val="24"/>
        </w:rPr>
        <w:t xml:space="preserve">include a </w:t>
      </w:r>
      <w:r w:rsidR="009B45EC" w:rsidRPr="003A674A">
        <w:rPr>
          <w:rFonts w:ascii="Times New Roman" w:hAnsi="Times New Roman" w:cs="Times New Roman"/>
          <w:sz w:val="24"/>
          <w:szCs w:val="24"/>
        </w:rPr>
        <w:t xml:space="preserve">lower incidence of </w:t>
      </w:r>
      <w:r w:rsidR="000D01E9" w:rsidRPr="003A674A">
        <w:rPr>
          <w:rFonts w:ascii="Times New Roman" w:hAnsi="Times New Roman" w:cs="Times New Roman"/>
          <w:sz w:val="24"/>
          <w:szCs w:val="24"/>
        </w:rPr>
        <w:t>vascular complications,</w:t>
      </w:r>
      <w:r w:rsidR="009B45EC" w:rsidRPr="003A674A">
        <w:rPr>
          <w:rFonts w:ascii="Times New Roman" w:hAnsi="Times New Roman" w:cs="Times New Roman"/>
          <w:sz w:val="24"/>
          <w:szCs w:val="24"/>
        </w:rPr>
        <w:t xml:space="preserve"> significant reduction</w:t>
      </w:r>
      <w:r w:rsidR="00DF34C1" w:rsidRPr="003A674A">
        <w:rPr>
          <w:rFonts w:ascii="Times New Roman" w:hAnsi="Times New Roman" w:cs="Times New Roman"/>
          <w:sz w:val="24"/>
          <w:szCs w:val="24"/>
        </w:rPr>
        <w:t>s</w:t>
      </w:r>
      <w:r w:rsidR="009B45EC" w:rsidRPr="003A674A">
        <w:rPr>
          <w:rFonts w:ascii="Times New Roman" w:hAnsi="Times New Roman" w:cs="Times New Roman"/>
          <w:sz w:val="24"/>
          <w:szCs w:val="24"/>
        </w:rPr>
        <w:t xml:space="preserve"> in major bleeding, </w:t>
      </w:r>
      <w:r w:rsidR="00E40D65" w:rsidRPr="003A674A">
        <w:rPr>
          <w:rFonts w:ascii="Times New Roman" w:hAnsi="Times New Roman" w:cs="Times New Roman"/>
          <w:sz w:val="24"/>
          <w:szCs w:val="24"/>
        </w:rPr>
        <w:t xml:space="preserve">a lower rate of </w:t>
      </w:r>
      <w:r w:rsidR="009B45EC" w:rsidRPr="003A674A">
        <w:rPr>
          <w:rFonts w:ascii="Times New Roman" w:hAnsi="Times New Roman" w:cs="Times New Roman"/>
          <w:sz w:val="24"/>
          <w:szCs w:val="24"/>
        </w:rPr>
        <w:t xml:space="preserve">MACE </w:t>
      </w:r>
      <w:r w:rsidR="006931CD" w:rsidRPr="003A674A">
        <w:rPr>
          <w:rFonts w:ascii="Times New Roman" w:hAnsi="Times New Roman" w:cs="Times New Roman"/>
          <w:sz w:val="24"/>
          <w:szCs w:val="24"/>
        </w:rPr>
        <w:t>and</w:t>
      </w:r>
      <w:r w:rsidR="00E40D65" w:rsidRPr="003A674A">
        <w:rPr>
          <w:rFonts w:ascii="Times New Roman" w:hAnsi="Times New Roman" w:cs="Times New Roman"/>
          <w:sz w:val="24"/>
          <w:szCs w:val="24"/>
        </w:rPr>
        <w:t>, in some settings,</w:t>
      </w:r>
      <w:r w:rsidR="006931CD" w:rsidRPr="003A674A">
        <w:rPr>
          <w:rFonts w:ascii="Times New Roman" w:hAnsi="Times New Roman" w:cs="Times New Roman"/>
          <w:sz w:val="24"/>
          <w:szCs w:val="24"/>
        </w:rPr>
        <w:t xml:space="preserve"> death</w:t>
      </w:r>
      <w:r w:rsidR="00C2275F">
        <w:rPr>
          <w:rFonts w:ascii="Times New Roman" w:hAnsi="Times New Roman" w:cs="Times New Roman"/>
          <w:sz w:val="24"/>
          <w:szCs w:val="24"/>
        </w:rPr>
        <w:t xml:space="preserve"> </w:t>
      </w:r>
      <w:r w:rsidR="009A2CFE" w:rsidRPr="003A674A">
        <w:rPr>
          <w:rFonts w:ascii="Times New Roman" w:hAnsi="Times New Roman" w:cs="Times New Roman"/>
          <w:sz w:val="24"/>
          <w:szCs w:val="24"/>
        </w:rPr>
        <w:fldChar w:fldCharType="begin"/>
      </w:r>
      <w:r w:rsidR="009A2CFE" w:rsidRPr="003A674A">
        <w:rPr>
          <w:rFonts w:ascii="Times New Roman" w:hAnsi="Times New Roman" w:cs="Times New Roman"/>
          <w:sz w:val="24"/>
          <w:szCs w:val="24"/>
        </w:rPr>
        <w:instrText>ADDIN RW.CITE{{188 Valgimigli,M. 2015; 178 Jolly,S.S. 2011; 316 Mehta,ShamirR 2012}}</w:instrText>
      </w:r>
      <w:r w:rsidR="009A2CFE"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(6-8)</w:t>
      </w:r>
      <w:r w:rsidR="009A2CFE" w:rsidRPr="003A674A">
        <w:rPr>
          <w:rFonts w:ascii="Times New Roman" w:hAnsi="Times New Roman" w:cs="Times New Roman"/>
          <w:sz w:val="24"/>
          <w:szCs w:val="24"/>
        </w:rPr>
        <w:fldChar w:fldCharType="end"/>
      </w:r>
      <w:r w:rsidR="009A2CFE" w:rsidRPr="003A674A">
        <w:rPr>
          <w:rFonts w:ascii="Times New Roman" w:hAnsi="Times New Roman" w:cs="Times New Roman"/>
          <w:sz w:val="24"/>
          <w:szCs w:val="24"/>
        </w:rPr>
        <w:t xml:space="preserve"> </w:t>
      </w:r>
      <w:r w:rsidR="00E40D65" w:rsidRPr="003A674A">
        <w:rPr>
          <w:rFonts w:ascii="Times New Roman" w:hAnsi="Times New Roman" w:cs="Times New Roman"/>
          <w:sz w:val="24"/>
          <w:szCs w:val="24"/>
        </w:rPr>
        <w:t xml:space="preserve">as well as </w:t>
      </w:r>
      <w:r w:rsidR="00AD038E" w:rsidRPr="003A674A">
        <w:rPr>
          <w:rFonts w:ascii="Times New Roman" w:hAnsi="Times New Roman" w:cs="Times New Roman"/>
          <w:sz w:val="24"/>
          <w:szCs w:val="24"/>
        </w:rPr>
        <w:t>earl</w:t>
      </w:r>
      <w:r w:rsidR="009A2CFE" w:rsidRPr="003A674A">
        <w:rPr>
          <w:rFonts w:ascii="Times New Roman" w:hAnsi="Times New Roman" w:cs="Times New Roman"/>
          <w:sz w:val="24"/>
          <w:szCs w:val="24"/>
        </w:rPr>
        <w:t>ier</w:t>
      </w:r>
      <w:r w:rsidR="00AD038E" w:rsidRPr="003A674A">
        <w:rPr>
          <w:rFonts w:ascii="Times New Roman" w:hAnsi="Times New Roman" w:cs="Times New Roman"/>
          <w:sz w:val="24"/>
          <w:szCs w:val="24"/>
        </w:rPr>
        <w:t xml:space="preserve"> ambulation, </w:t>
      </w:r>
      <w:r w:rsidR="00290621" w:rsidRPr="003A674A">
        <w:rPr>
          <w:rFonts w:ascii="Times New Roman" w:hAnsi="Times New Roman" w:cs="Times New Roman"/>
          <w:sz w:val="24"/>
          <w:szCs w:val="24"/>
        </w:rPr>
        <w:t xml:space="preserve">shorter hospital stay and greater </w:t>
      </w:r>
      <w:r w:rsidR="00AE3CF2" w:rsidRPr="003A674A">
        <w:rPr>
          <w:rFonts w:ascii="Times New Roman" w:hAnsi="Times New Roman" w:cs="Times New Roman"/>
          <w:sz w:val="24"/>
          <w:szCs w:val="24"/>
        </w:rPr>
        <w:t>patient satisfaction</w:t>
      </w:r>
      <w:r w:rsidR="00063A63" w:rsidRPr="003A674A">
        <w:rPr>
          <w:rFonts w:ascii="Times New Roman" w:hAnsi="Times New Roman" w:cs="Times New Roman"/>
          <w:sz w:val="24"/>
          <w:szCs w:val="24"/>
        </w:rPr>
        <w:t xml:space="preserve"> </w:t>
      </w:r>
      <w:r w:rsidR="00063A63" w:rsidRPr="003A674A">
        <w:rPr>
          <w:rFonts w:ascii="Times New Roman" w:hAnsi="Times New Roman" w:cs="Times New Roman"/>
          <w:sz w:val="24"/>
          <w:szCs w:val="24"/>
        </w:rPr>
        <w:fldChar w:fldCharType="begin"/>
      </w:r>
      <w:r w:rsidR="00063A63" w:rsidRPr="003A674A">
        <w:rPr>
          <w:rFonts w:ascii="Times New Roman" w:hAnsi="Times New Roman" w:cs="Times New Roman"/>
          <w:sz w:val="24"/>
          <w:szCs w:val="24"/>
        </w:rPr>
        <w:instrText>ADDIN RW.CITE{{430 Amin,A.P. 2017; 429 Hess,C.N. 2015}}</w:instrText>
      </w:r>
      <w:r w:rsidR="00063A63"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(9, 10)</w:t>
      </w:r>
      <w:r w:rsidR="00063A63" w:rsidRPr="003A674A">
        <w:rPr>
          <w:rFonts w:ascii="Times New Roman" w:hAnsi="Times New Roman" w:cs="Times New Roman"/>
          <w:sz w:val="24"/>
          <w:szCs w:val="24"/>
        </w:rPr>
        <w:fldChar w:fldCharType="end"/>
      </w:r>
      <w:r w:rsidR="00290621" w:rsidRPr="003A674A">
        <w:rPr>
          <w:rFonts w:ascii="Times New Roman" w:hAnsi="Times New Roman" w:cs="Times New Roman"/>
          <w:sz w:val="24"/>
          <w:szCs w:val="24"/>
        </w:rPr>
        <w:t xml:space="preserve">. </w:t>
      </w:r>
      <w:r w:rsidR="00AE3CF2" w:rsidRPr="003A674A">
        <w:rPr>
          <w:rFonts w:ascii="Times New Roman" w:hAnsi="Times New Roman" w:cs="Times New Roman"/>
          <w:sz w:val="24"/>
          <w:szCs w:val="24"/>
        </w:rPr>
        <w:t xml:space="preserve"> </w:t>
      </w:r>
      <w:r w:rsidR="00103E9E" w:rsidRPr="003A674A">
        <w:rPr>
          <w:rFonts w:ascii="Times New Roman" w:hAnsi="Times New Roman" w:cs="Times New Roman"/>
          <w:sz w:val="24"/>
          <w:szCs w:val="24"/>
        </w:rPr>
        <w:t xml:space="preserve">Most </w:t>
      </w:r>
      <w:r w:rsidR="00D264A1" w:rsidRPr="003A674A">
        <w:rPr>
          <w:rFonts w:ascii="Times New Roman" w:hAnsi="Times New Roman" w:cs="Times New Roman"/>
          <w:sz w:val="24"/>
          <w:szCs w:val="24"/>
        </w:rPr>
        <w:t xml:space="preserve">radial </w:t>
      </w:r>
      <w:r w:rsidR="00103E9E" w:rsidRPr="003A674A">
        <w:rPr>
          <w:rFonts w:ascii="Times New Roman" w:hAnsi="Times New Roman" w:cs="Times New Roman"/>
          <w:sz w:val="24"/>
          <w:szCs w:val="24"/>
        </w:rPr>
        <w:t>operators use</w:t>
      </w:r>
      <w:r w:rsidR="00D264A1" w:rsidRPr="003A674A">
        <w:rPr>
          <w:rFonts w:ascii="Times New Roman" w:hAnsi="Times New Roman" w:cs="Times New Roman"/>
          <w:sz w:val="24"/>
          <w:szCs w:val="24"/>
        </w:rPr>
        <w:t xml:space="preserve"> the</w:t>
      </w:r>
      <w:r w:rsidR="00D33C2E" w:rsidRPr="003A674A">
        <w:rPr>
          <w:rFonts w:ascii="Times New Roman" w:hAnsi="Times New Roman" w:cs="Times New Roman"/>
          <w:sz w:val="24"/>
          <w:szCs w:val="24"/>
        </w:rPr>
        <w:t xml:space="preserve"> right radial access</w:t>
      </w:r>
      <w:r w:rsidR="00103E9E" w:rsidRPr="003A674A">
        <w:rPr>
          <w:rFonts w:ascii="Times New Roman" w:hAnsi="Times New Roman" w:cs="Times New Roman"/>
          <w:sz w:val="24"/>
          <w:szCs w:val="24"/>
        </w:rPr>
        <w:t xml:space="preserve"> (RRA) as </w:t>
      </w:r>
      <w:r w:rsidR="00D264A1" w:rsidRPr="003A674A">
        <w:rPr>
          <w:rFonts w:ascii="Times New Roman" w:hAnsi="Times New Roman" w:cs="Times New Roman"/>
          <w:sz w:val="24"/>
          <w:szCs w:val="24"/>
        </w:rPr>
        <w:t xml:space="preserve">their </w:t>
      </w:r>
      <w:r w:rsidR="00103E9E" w:rsidRPr="003A674A">
        <w:rPr>
          <w:rFonts w:ascii="Times New Roman" w:hAnsi="Times New Roman" w:cs="Times New Roman"/>
          <w:sz w:val="24"/>
          <w:szCs w:val="24"/>
        </w:rPr>
        <w:t xml:space="preserve">initial access site </w:t>
      </w:r>
      <w:r w:rsidR="004F4EAF" w:rsidRPr="003A674A">
        <w:rPr>
          <w:rFonts w:ascii="Times New Roman" w:hAnsi="Times New Roman" w:cs="Times New Roman"/>
          <w:sz w:val="24"/>
          <w:szCs w:val="24"/>
        </w:rPr>
        <w:t>due to ease of working on the right hand side of the patients</w:t>
      </w:r>
      <w:r w:rsidR="00103E9E" w:rsidRPr="003A674A">
        <w:rPr>
          <w:rFonts w:ascii="Times New Roman" w:hAnsi="Times New Roman" w:cs="Times New Roman"/>
          <w:sz w:val="24"/>
          <w:szCs w:val="24"/>
        </w:rPr>
        <w:t xml:space="preserve"> and catheter lab setup</w:t>
      </w:r>
      <w:r w:rsidR="00C2275F">
        <w:rPr>
          <w:rFonts w:ascii="Times New Roman" w:hAnsi="Times New Roman" w:cs="Times New Roman"/>
          <w:sz w:val="24"/>
          <w:szCs w:val="24"/>
        </w:rPr>
        <w:t xml:space="preserve"> </w:t>
      </w:r>
      <w:r w:rsidR="00103E9E" w:rsidRPr="003A674A">
        <w:rPr>
          <w:rFonts w:ascii="Times New Roman" w:hAnsi="Times New Roman" w:cs="Times New Roman"/>
          <w:sz w:val="24"/>
          <w:szCs w:val="24"/>
        </w:rPr>
        <w:fldChar w:fldCharType="begin"/>
      </w:r>
      <w:r w:rsidR="00103E9E" w:rsidRPr="003A674A">
        <w:rPr>
          <w:rFonts w:ascii="Times New Roman" w:hAnsi="Times New Roman" w:cs="Times New Roman"/>
          <w:sz w:val="24"/>
          <w:szCs w:val="24"/>
        </w:rPr>
        <w:instrText>ADDIN RW.CITE{{453 Bertrand,O.F. 2010}}</w:instrText>
      </w:r>
      <w:r w:rsidR="00103E9E"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(11)</w:t>
      </w:r>
      <w:r w:rsidR="00103E9E" w:rsidRPr="003A674A">
        <w:rPr>
          <w:rFonts w:ascii="Times New Roman" w:hAnsi="Times New Roman" w:cs="Times New Roman"/>
          <w:sz w:val="24"/>
          <w:szCs w:val="24"/>
        </w:rPr>
        <w:fldChar w:fldCharType="end"/>
      </w:r>
      <w:r w:rsidR="004F4EAF" w:rsidRPr="003A674A">
        <w:rPr>
          <w:rFonts w:ascii="Times New Roman" w:hAnsi="Times New Roman" w:cs="Times New Roman"/>
          <w:sz w:val="24"/>
          <w:szCs w:val="24"/>
        </w:rPr>
        <w:t xml:space="preserve">. </w:t>
      </w:r>
      <w:r w:rsidR="00C67242" w:rsidRPr="003A674A">
        <w:rPr>
          <w:rFonts w:ascii="Times New Roman" w:hAnsi="Times New Roman" w:cs="Times New Roman"/>
          <w:sz w:val="24"/>
          <w:szCs w:val="24"/>
        </w:rPr>
        <w:t xml:space="preserve">However, radial </w:t>
      </w:r>
      <w:r w:rsidR="003A3D3D" w:rsidRPr="003A674A">
        <w:rPr>
          <w:rFonts w:ascii="Times New Roman" w:hAnsi="Times New Roman" w:cs="Times New Roman"/>
          <w:sz w:val="24"/>
          <w:szCs w:val="24"/>
        </w:rPr>
        <w:t xml:space="preserve">operators </w:t>
      </w:r>
      <w:r w:rsidR="00C67242" w:rsidRPr="003A674A">
        <w:rPr>
          <w:rFonts w:ascii="Times New Roman" w:hAnsi="Times New Roman" w:cs="Times New Roman"/>
          <w:sz w:val="24"/>
          <w:szCs w:val="24"/>
        </w:rPr>
        <w:t xml:space="preserve">may </w:t>
      </w:r>
      <w:r w:rsidR="003A3D3D" w:rsidRPr="003A674A">
        <w:rPr>
          <w:rFonts w:ascii="Times New Roman" w:hAnsi="Times New Roman" w:cs="Times New Roman"/>
          <w:sz w:val="24"/>
          <w:szCs w:val="24"/>
        </w:rPr>
        <w:t>need to switch to</w:t>
      </w:r>
      <w:r w:rsidR="00C67242" w:rsidRPr="003A674A">
        <w:rPr>
          <w:rFonts w:ascii="Times New Roman" w:hAnsi="Times New Roman" w:cs="Times New Roman"/>
          <w:sz w:val="24"/>
          <w:szCs w:val="24"/>
        </w:rPr>
        <w:t xml:space="preserve"> the</w:t>
      </w:r>
      <w:r w:rsidR="003A3D3D" w:rsidRPr="003A674A">
        <w:rPr>
          <w:rFonts w:ascii="Times New Roman" w:hAnsi="Times New Roman" w:cs="Times New Roman"/>
          <w:sz w:val="24"/>
          <w:szCs w:val="24"/>
        </w:rPr>
        <w:t xml:space="preserve"> left side </w:t>
      </w:r>
      <w:r w:rsidR="00D56949" w:rsidRPr="003A674A">
        <w:rPr>
          <w:rFonts w:ascii="Times New Roman" w:hAnsi="Times New Roman" w:cs="Times New Roman"/>
          <w:sz w:val="24"/>
          <w:szCs w:val="24"/>
        </w:rPr>
        <w:t xml:space="preserve">in </w:t>
      </w:r>
      <w:r w:rsidR="00F31489" w:rsidRPr="003A674A">
        <w:rPr>
          <w:rFonts w:ascii="Times New Roman" w:hAnsi="Times New Roman" w:cs="Times New Roman"/>
          <w:sz w:val="24"/>
          <w:szCs w:val="24"/>
        </w:rPr>
        <w:t xml:space="preserve">the </w:t>
      </w:r>
      <w:r w:rsidR="00D56949" w:rsidRPr="003A674A">
        <w:rPr>
          <w:rFonts w:ascii="Times New Roman" w:hAnsi="Times New Roman" w:cs="Times New Roman"/>
          <w:sz w:val="24"/>
          <w:szCs w:val="24"/>
        </w:rPr>
        <w:t>event of radial artery spasm</w:t>
      </w:r>
      <w:r w:rsidR="00C2275F">
        <w:rPr>
          <w:rFonts w:ascii="Times New Roman" w:hAnsi="Times New Roman" w:cs="Times New Roman"/>
          <w:sz w:val="24"/>
          <w:szCs w:val="24"/>
        </w:rPr>
        <w:t xml:space="preserve"> </w:t>
      </w:r>
      <w:r w:rsidR="006A2078" w:rsidRPr="003A674A">
        <w:rPr>
          <w:rFonts w:ascii="Times New Roman" w:hAnsi="Times New Roman" w:cs="Times New Roman"/>
          <w:sz w:val="24"/>
          <w:szCs w:val="24"/>
        </w:rPr>
        <w:fldChar w:fldCharType="begin"/>
      </w:r>
      <w:r w:rsidR="006A2078" w:rsidRPr="003A674A">
        <w:rPr>
          <w:rFonts w:ascii="Times New Roman" w:hAnsi="Times New Roman" w:cs="Times New Roman"/>
          <w:sz w:val="24"/>
          <w:szCs w:val="24"/>
        </w:rPr>
        <w:instrText>ADDIN RW.CITE{{216 Kwok,C.S. 2015}}</w:instrText>
      </w:r>
      <w:r w:rsidR="006A2078"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(12)</w:t>
      </w:r>
      <w:r w:rsidR="006A2078" w:rsidRPr="003A674A">
        <w:rPr>
          <w:rFonts w:ascii="Times New Roman" w:hAnsi="Times New Roman" w:cs="Times New Roman"/>
          <w:sz w:val="24"/>
          <w:szCs w:val="24"/>
        </w:rPr>
        <w:fldChar w:fldCharType="end"/>
      </w:r>
      <w:r w:rsidR="00D56949" w:rsidRPr="003A674A">
        <w:rPr>
          <w:rFonts w:ascii="Times New Roman" w:hAnsi="Times New Roman" w:cs="Times New Roman"/>
          <w:sz w:val="24"/>
          <w:szCs w:val="24"/>
        </w:rPr>
        <w:t>, radial artery occlusion</w:t>
      </w:r>
      <w:r w:rsidR="00C2275F">
        <w:rPr>
          <w:rFonts w:ascii="Times New Roman" w:hAnsi="Times New Roman" w:cs="Times New Roman"/>
          <w:sz w:val="24"/>
          <w:szCs w:val="24"/>
        </w:rPr>
        <w:t xml:space="preserve"> </w:t>
      </w:r>
      <w:r w:rsidR="006A2078" w:rsidRPr="003A674A">
        <w:rPr>
          <w:rFonts w:ascii="Times New Roman" w:hAnsi="Times New Roman" w:cs="Times New Roman"/>
          <w:sz w:val="24"/>
          <w:szCs w:val="24"/>
        </w:rPr>
        <w:fldChar w:fldCharType="begin"/>
      </w:r>
      <w:r w:rsidR="006A2078" w:rsidRPr="003A674A">
        <w:rPr>
          <w:rFonts w:ascii="Times New Roman" w:hAnsi="Times New Roman" w:cs="Times New Roman"/>
          <w:sz w:val="24"/>
          <w:szCs w:val="24"/>
        </w:rPr>
        <w:instrText>ADDIN RW.CITE{{181 Rashid,M. 2016}}</w:instrText>
      </w:r>
      <w:r w:rsidR="006A2078"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(13)</w:t>
      </w:r>
      <w:r w:rsidR="006A2078" w:rsidRPr="003A674A">
        <w:rPr>
          <w:rFonts w:ascii="Times New Roman" w:hAnsi="Times New Roman" w:cs="Times New Roman"/>
          <w:sz w:val="24"/>
          <w:szCs w:val="24"/>
        </w:rPr>
        <w:fldChar w:fldCharType="end"/>
      </w:r>
      <w:r w:rsidR="00D56949" w:rsidRPr="003A674A">
        <w:rPr>
          <w:rFonts w:ascii="Times New Roman" w:hAnsi="Times New Roman" w:cs="Times New Roman"/>
          <w:sz w:val="24"/>
          <w:szCs w:val="24"/>
        </w:rPr>
        <w:t xml:space="preserve">, </w:t>
      </w:r>
      <w:r w:rsidR="00F31489" w:rsidRPr="003A674A">
        <w:rPr>
          <w:rFonts w:ascii="Times New Roman" w:hAnsi="Times New Roman" w:cs="Times New Roman"/>
          <w:sz w:val="24"/>
          <w:szCs w:val="24"/>
        </w:rPr>
        <w:t xml:space="preserve">the </w:t>
      </w:r>
      <w:r w:rsidR="006A2078" w:rsidRPr="003A674A">
        <w:rPr>
          <w:rFonts w:ascii="Times New Roman" w:hAnsi="Times New Roman" w:cs="Times New Roman"/>
          <w:sz w:val="24"/>
          <w:szCs w:val="24"/>
        </w:rPr>
        <w:t>presence of arteriovenous shunt in the</w:t>
      </w:r>
      <w:r w:rsidR="004B6C0F" w:rsidRPr="003A674A">
        <w:rPr>
          <w:rFonts w:ascii="Times New Roman" w:hAnsi="Times New Roman" w:cs="Times New Roman"/>
          <w:sz w:val="24"/>
          <w:szCs w:val="24"/>
        </w:rPr>
        <w:t xml:space="preserve"> right arm, or presence of extreme tortuosity in the right forearm or right subclavian artery</w:t>
      </w:r>
      <w:r w:rsidR="00C2275F">
        <w:rPr>
          <w:rFonts w:ascii="Times New Roman" w:hAnsi="Times New Roman" w:cs="Times New Roman"/>
          <w:sz w:val="24"/>
          <w:szCs w:val="24"/>
        </w:rPr>
        <w:t xml:space="preserve"> </w:t>
      </w:r>
      <w:r w:rsidR="00B919CD" w:rsidRPr="003A674A">
        <w:rPr>
          <w:rFonts w:ascii="Times New Roman" w:hAnsi="Times New Roman" w:cs="Times New Roman"/>
          <w:sz w:val="24"/>
          <w:szCs w:val="24"/>
        </w:rPr>
        <w:fldChar w:fldCharType="begin"/>
      </w:r>
      <w:r w:rsidR="00FE4B01" w:rsidRPr="003A674A">
        <w:rPr>
          <w:rFonts w:ascii="Times New Roman" w:hAnsi="Times New Roman" w:cs="Times New Roman"/>
          <w:sz w:val="24"/>
          <w:szCs w:val="24"/>
        </w:rPr>
        <w:instrText>ADDIN RW.CITE{{434 Kawashima,O. 2004; 443 Lo,T.S. 2009}}</w:instrText>
      </w:r>
      <w:r w:rsidR="00B919CD"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(14, 15)</w:t>
      </w:r>
      <w:r w:rsidR="00B919CD" w:rsidRPr="003A674A">
        <w:rPr>
          <w:rFonts w:ascii="Times New Roman" w:hAnsi="Times New Roman" w:cs="Times New Roman"/>
          <w:sz w:val="24"/>
          <w:szCs w:val="24"/>
        </w:rPr>
        <w:fldChar w:fldCharType="end"/>
      </w:r>
      <w:r w:rsidR="008651B7" w:rsidRPr="003A674A">
        <w:rPr>
          <w:rFonts w:ascii="Times New Roman" w:hAnsi="Times New Roman" w:cs="Times New Roman"/>
          <w:sz w:val="24"/>
          <w:szCs w:val="24"/>
        </w:rPr>
        <w:t>.</w:t>
      </w:r>
      <w:r w:rsidR="00204539" w:rsidRPr="003A674A">
        <w:rPr>
          <w:rFonts w:ascii="Times New Roman" w:hAnsi="Times New Roman" w:cs="Times New Roman"/>
          <w:sz w:val="24"/>
          <w:szCs w:val="24"/>
        </w:rPr>
        <w:t xml:space="preserve"> L</w:t>
      </w:r>
      <w:r w:rsidR="004B6C0F" w:rsidRPr="003A674A">
        <w:rPr>
          <w:rFonts w:ascii="Times New Roman" w:hAnsi="Times New Roman" w:cs="Times New Roman"/>
          <w:sz w:val="24"/>
          <w:szCs w:val="24"/>
        </w:rPr>
        <w:t xml:space="preserve">eft radial </w:t>
      </w:r>
      <w:r w:rsidR="00D33C2E" w:rsidRPr="003A674A">
        <w:rPr>
          <w:rFonts w:ascii="Times New Roman" w:hAnsi="Times New Roman" w:cs="Times New Roman"/>
          <w:sz w:val="24"/>
          <w:szCs w:val="24"/>
        </w:rPr>
        <w:t>access</w:t>
      </w:r>
      <w:r w:rsidR="00E40D65" w:rsidRPr="003A674A">
        <w:rPr>
          <w:rFonts w:ascii="Times New Roman" w:hAnsi="Times New Roman" w:cs="Times New Roman"/>
          <w:sz w:val="24"/>
          <w:szCs w:val="24"/>
        </w:rPr>
        <w:t xml:space="preserve"> </w:t>
      </w:r>
      <w:r w:rsidR="00D33C2E" w:rsidRPr="003A674A">
        <w:rPr>
          <w:rFonts w:ascii="Times New Roman" w:hAnsi="Times New Roman" w:cs="Times New Roman"/>
          <w:sz w:val="24"/>
          <w:szCs w:val="24"/>
        </w:rPr>
        <w:t>(LRA)</w:t>
      </w:r>
      <w:r w:rsidR="00E40D65" w:rsidRPr="003A674A">
        <w:rPr>
          <w:rFonts w:ascii="Times New Roman" w:hAnsi="Times New Roman" w:cs="Times New Roman"/>
          <w:sz w:val="24"/>
          <w:szCs w:val="24"/>
        </w:rPr>
        <w:t xml:space="preserve"> </w:t>
      </w:r>
      <w:r w:rsidR="00204539" w:rsidRPr="003A674A">
        <w:rPr>
          <w:rFonts w:ascii="Times New Roman" w:hAnsi="Times New Roman" w:cs="Times New Roman"/>
          <w:sz w:val="24"/>
          <w:szCs w:val="24"/>
        </w:rPr>
        <w:t xml:space="preserve">also </w:t>
      </w:r>
      <w:r w:rsidR="004B6C0F" w:rsidRPr="003A674A">
        <w:rPr>
          <w:rFonts w:ascii="Times New Roman" w:hAnsi="Times New Roman" w:cs="Times New Roman"/>
          <w:sz w:val="24"/>
          <w:szCs w:val="24"/>
        </w:rPr>
        <w:t>offers much more favourable vascular anatom</w:t>
      </w:r>
      <w:r w:rsidR="00AC0802" w:rsidRPr="003A674A">
        <w:rPr>
          <w:rFonts w:ascii="Times New Roman" w:hAnsi="Times New Roman" w:cs="Times New Roman"/>
          <w:sz w:val="24"/>
          <w:szCs w:val="24"/>
        </w:rPr>
        <w:t xml:space="preserve">y </w:t>
      </w:r>
      <w:r w:rsidR="00103E9E" w:rsidRPr="003A674A">
        <w:rPr>
          <w:rFonts w:ascii="Times New Roman" w:hAnsi="Times New Roman" w:cs="Times New Roman"/>
          <w:sz w:val="24"/>
          <w:szCs w:val="24"/>
        </w:rPr>
        <w:t>particularly in short stature</w:t>
      </w:r>
      <w:r w:rsidR="00FF08D2" w:rsidRPr="003A674A">
        <w:rPr>
          <w:rFonts w:ascii="Times New Roman" w:hAnsi="Times New Roman" w:cs="Times New Roman"/>
          <w:sz w:val="24"/>
          <w:szCs w:val="24"/>
        </w:rPr>
        <w:t xml:space="preserve"> patients</w:t>
      </w:r>
      <w:r w:rsidR="008651B7" w:rsidRPr="003A674A">
        <w:rPr>
          <w:rFonts w:ascii="Times New Roman" w:hAnsi="Times New Roman" w:cs="Times New Roman"/>
          <w:sz w:val="24"/>
          <w:szCs w:val="24"/>
        </w:rPr>
        <w:t xml:space="preserve"> or those with previous coronary artery bypass </w:t>
      </w:r>
      <w:r w:rsidR="00C2275F" w:rsidRPr="003A674A">
        <w:rPr>
          <w:rFonts w:ascii="Times New Roman" w:hAnsi="Times New Roman" w:cs="Times New Roman"/>
          <w:sz w:val="24"/>
          <w:szCs w:val="24"/>
        </w:rPr>
        <w:t>graft</w:t>
      </w:r>
      <w:r w:rsidR="00C2275F">
        <w:rPr>
          <w:rFonts w:ascii="Times New Roman" w:hAnsi="Times New Roman" w:cs="Times New Roman"/>
          <w:sz w:val="24"/>
          <w:szCs w:val="24"/>
        </w:rPr>
        <w:t>s</w:t>
      </w:r>
      <w:r w:rsidR="00C2275F" w:rsidRPr="003A674A">
        <w:rPr>
          <w:rFonts w:ascii="Times New Roman" w:hAnsi="Times New Roman" w:cs="Times New Roman"/>
          <w:sz w:val="24"/>
          <w:szCs w:val="24"/>
        </w:rPr>
        <w:t xml:space="preserve"> </w:t>
      </w:r>
      <w:r w:rsidR="00AC0802" w:rsidRPr="003A674A">
        <w:rPr>
          <w:rFonts w:ascii="Times New Roman" w:hAnsi="Times New Roman" w:cs="Times New Roman"/>
          <w:sz w:val="24"/>
          <w:szCs w:val="24"/>
        </w:rPr>
        <w:t>resulting in</w:t>
      </w:r>
      <w:r w:rsidR="00505E57" w:rsidRPr="003A674A">
        <w:rPr>
          <w:rFonts w:ascii="Times New Roman" w:hAnsi="Times New Roman" w:cs="Times New Roman"/>
          <w:sz w:val="24"/>
          <w:szCs w:val="24"/>
        </w:rPr>
        <w:t xml:space="preserve"> lesser catheter manipulation, shorter procedure time and a theoretically small</w:t>
      </w:r>
      <w:r w:rsidR="00421751" w:rsidRPr="003A674A">
        <w:rPr>
          <w:rFonts w:ascii="Times New Roman" w:hAnsi="Times New Roman" w:cs="Times New Roman"/>
          <w:sz w:val="24"/>
          <w:szCs w:val="24"/>
        </w:rPr>
        <w:t>er</w:t>
      </w:r>
      <w:r w:rsidR="00505E57" w:rsidRPr="003A674A">
        <w:rPr>
          <w:rFonts w:ascii="Times New Roman" w:hAnsi="Times New Roman" w:cs="Times New Roman"/>
          <w:sz w:val="24"/>
          <w:szCs w:val="24"/>
        </w:rPr>
        <w:t xml:space="preserve"> risk</w:t>
      </w:r>
      <w:r w:rsidR="00AC0802" w:rsidRPr="003A674A">
        <w:rPr>
          <w:rFonts w:ascii="Times New Roman" w:hAnsi="Times New Roman" w:cs="Times New Roman"/>
          <w:sz w:val="24"/>
          <w:szCs w:val="24"/>
        </w:rPr>
        <w:t xml:space="preserve"> of procedure related stroke</w:t>
      </w:r>
      <w:r w:rsidR="0060168A" w:rsidRPr="003A674A">
        <w:rPr>
          <w:rFonts w:ascii="Times New Roman" w:hAnsi="Times New Roman" w:cs="Times New Roman"/>
          <w:sz w:val="24"/>
          <w:szCs w:val="24"/>
        </w:rPr>
        <w:fldChar w:fldCharType="begin"/>
      </w:r>
      <w:r w:rsidR="0078639C" w:rsidRPr="003A674A">
        <w:rPr>
          <w:rFonts w:ascii="Times New Roman" w:hAnsi="Times New Roman" w:cs="Times New Roman"/>
          <w:sz w:val="24"/>
          <w:szCs w:val="24"/>
        </w:rPr>
        <w:instrText>ADDIN RW.CITE{{431 Hamon,M. 2007; 424 Kado,H. 2014; 420 Shah,R.M. 2016; 438 Pacchioni,A. 2013}}</w:instrText>
      </w:r>
      <w:r w:rsidR="0060168A"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(16-19)</w:t>
      </w:r>
      <w:r w:rsidR="0060168A" w:rsidRPr="003A674A">
        <w:rPr>
          <w:rFonts w:ascii="Times New Roman" w:hAnsi="Times New Roman" w:cs="Times New Roman"/>
          <w:sz w:val="24"/>
          <w:szCs w:val="24"/>
        </w:rPr>
        <w:fldChar w:fldCharType="end"/>
      </w:r>
      <w:r w:rsidR="000B67F4" w:rsidRPr="003A674A">
        <w:rPr>
          <w:rFonts w:ascii="Times New Roman" w:hAnsi="Times New Roman" w:cs="Times New Roman"/>
          <w:sz w:val="24"/>
          <w:szCs w:val="24"/>
        </w:rPr>
        <w:t>.</w:t>
      </w:r>
      <w:r w:rsidR="00607434" w:rsidRPr="003A674A">
        <w:rPr>
          <w:rFonts w:ascii="Times New Roman" w:hAnsi="Times New Roman" w:cs="Times New Roman"/>
          <w:sz w:val="24"/>
          <w:szCs w:val="24"/>
        </w:rPr>
        <w:t xml:space="preserve"> </w:t>
      </w:r>
    </w:p>
    <w:p w14:paraId="23333311" w14:textId="3A1CD972" w:rsidR="00136067" w:rsidRPr="003A674A" w:rsidRDefault="0060168A" w:rsidP="009B1530">
      <w:pPr>
        <w:ind w:firstLine="0"/>
        <w:rPr>
          <w:rFonts w:ascii="Times New Roman" w:hAnsi="Times New Roman" w:cs="Times New Roman"/>
          <w:sz w:val="24"/>
          <w:szCs w:val="24"/>
        </w:rPr>
      </w:pPr>
      <w:r w:rsidRPr="003A674A">
        <w:rPr>
          <w:rFonts w:ascii="Times New Roman" w:hAnsi="Times New Roman" w:cs="Times New Roman"/>
          <w:sz w:val="24"/>
          <w:szCs w:val="24"/>
        </w:rPr>
        <w:t>Data from published studi</w:t>
      </w:r>
      <w:r w:rsidR="00D33C2E" w:rsidRPr="003A674A">
        <w:rPr>
          <w:rFonts w:ascii="Times New Roman" w:hAnsi="Times New Roman" w:cs="Times New Roman"/>
          <w:sz w:val="24"/>
          <w:szCs w:val="24"/>
        </w:rPr>
        <w:t>es comparing the RRA versus LRA</w:t>
      </w:r>
      <w:r w:rsidR="000B67F4" w:rsidRPr="003A674A">
        <w:rPr>
          <w:rFonts w:ascii="Times New Roman" w:hAnsi="Times New Roman" w:cs="Times New Roman"/>
          <w:sz w:val="24"/>
          <w:szCs w:val="24"/>
        </w:rPr>
        <w:t xml:space="preserve"> </w:t>
      </w:r>
      <w:r w:rsidR="00C6330D" w:rsidRPr="003A674A">
        <w:rPr>
          <w:rFonts w:ascii="Times New Roman" w:hAnsi="Times New Roman" w:cs="Times New Roman"/>
          <w:sz w:val="24"/>
          <w:szCs w:val="24"/>
        </w:rPr>
        <w:t>have only compared the procedural efficacy such as procedure time, contrast use, fluoroscopy time and crossover to femoral access reporting conflicting results</w:t>
      </w:r>
      <w:r w:rsidR="00C6330D" w:rsidRPr="003A674A">
        <w:rPr>
          <w:rFonts w:ascii="Times New Roman" w:hAnsi="Times New Roman" w:cs="Times New Roman"/>
          <w:sz w:val="24"/>
          <w:szCs w:val="24"/>
        </w:rPr>
        <w:fldChar w:fldCharType="begin"/>
      </w:r>
      <w:r w:rsidR="00C6330D" w:rsidRPr="003A674A">
        <w:rPr>
          <w:rFonts w:ascii="Times New Roman" w:hAnsi="Times New Roman" w:cs="Times New Roman"/>
          <w:sz w:val="24"/>
          <w:szCs w:val="24"/>
        </w:rPr>
        <w:instrText>ADDIN RW.CITE{{420 Shah,R.M. 2016; 418 Biondi-Zoccai,G. 2013}}</w:instrText>
      </w:r>
      <w:r w:rsidR="00C6330D" w:rsidRPr="003A674A">
        <w:rPr>
          <w:rFonts w:ascii="Times New Roman" w:hAnsi="Times New Roman" w:cs="Times New Roman"/>
          <w:sz w:val="24"/>
          <w:szCs w:val="24"/>
        </w:rPr>
        <w:fldChar w:fldCharType="separate"/>
      </w:r>
      <w:r w:rsidR="009B1530">
        <w:rPr>
          <w:rFonts w:ascii="Times New Roman" w:hAnsi="Times New Roman" w:cs="Times New Roman"/>
          <w:sz w:val="24"/>
          <w:szCs w:val="24"/>
        </w:rPr>
        <w:t>(18,</w:t>
      </w:r>
      <w:r w:rsidR="00117E8E" w:rsidRPr="003A674A">
        <w:rPr>
          <w:rFonts w:ascii="Times New Roman" w:hAnsi="Times New Roman" w:cs="Times New Roman"/>
          <w:sz w:val="24"/>
          <w:szCs w:val="24"/>
        </w:rPr>
        <w:t>20)</w:t>
      </w:r>
      <w:r w:rsidR="00C6330D" w:rsidRPr="003A674A">
        <w:rPr>
          <w:rFonts w:ascii="Times New Roman" w:hAnsi="Times New Roman" w:cs="Times New Roman"/>
          <w:sz w:val="24"/>
          <w:szCs w:val="24"/>
        </w:rPr>
        <w:fldChar w:fldCharType="end"/>
      </w:r>
      <w:r w:rsidR="00C6330D" w:rsidRPr="003A674A">
        <w:rPr>
          <w:rFonts w:ascii="Times New Roman" w:hAnsi="Times New Roman" w:cs="Times New Roman"/>
          <w:sz w:val="24"/>
          <w:szCs w:val="24"/>
        </w:rPr>
        <w:t>.</w:t>
      </w:r>
      <w:r w:rsidR="00A15C7F" w:rsidRPr="003A674A">
        <w:rPr>
          <w:rFonts w:ascii="Times New Roman" w:hAnsi="Times New Roman" w:cs="Times New Roman"/>
          <w:sz w:val="24"/>
          <w:szCs w:val="24"/>
        </w:rPr>
        <w:t xml:space="preserve"> </w:t>
      </w:r>
      <w:r w:rsidR="000B67F4" w:rsidRPr="003A674A">
        <w:rPr>
          <w:rFonts w:ascii="Times New Roman" w:hAnsi="Times New Roman" w:cs="Times New Roman"/>
          <w:sz w:val="24"/>
          <w:szCs w:val="24"/>
        </w:rPr>
        <w:t xml:space="preserve">The </w:t>
      </w:r>
      <w:r w:rsidR="00A15C7F" w:rsidRPr="003A674A">
        <w:rPr>
          <w:rFonts w:ascii="Times New Roman" w:hAnsi="Times New Roman" w:cs="Times New Roman"/>
          <w:sz w:val="24"/>
          <w:szCs w:val="24"/>
        </w:rPr>
        <w:t>TALENT study</w:t>
      </w:r>
      <w:r w:rsidR="000F50DA" w:rsidRPr="003A674A">
        <w:rPr>
          <w:rFonts w:ascii="Times New Roman" w:hAnsi="Times New Roman" w:cs="Times New Roman"/>
          <w:sz w:val="24"/>
          <w:szCs w:val="24"/>
        </w:rPr>
        <w:t xml:space="preserve"> investigators randomised 1,540 patients in </w:t>
      </w:r>
      <w:r w:rsidR="00A15C7F" w:rsidRPr="003A674A">
        <w:rPr>
          <w:rFonts w:ascii="Times New Roman" w:hAnsi="Times New Roman" w:cs="Times New Roman"/>
          <w:sz w:val="24"/>
          <w:szCs w:val="24"/>
        </w:rPr>
        <w:t>two</w:t>
      </w:r>
      <w:r w:rsidR="000F50DA" w:rsidRPr="003A674A">
        <w:rPr>
          <w:rFonts w:ascii="Times New Roman" w:hAnsi="Times New Roman" w:cs="Times New Roman"/>
          <w:sz w:val="24"/>
          <w:szCs w:val="24"/>
        </w:rPr>
        <w:t xml:space="preserve"> hospitals to RRA or LRA </w:t>
      </w:r>
      <w:r w:rsidR="000B67F4" w:rsidRPr="003A674A">
        <w:rPr>
          <w:rFonts w:ascii="Times New Roman" w:hAnsi="Times New Roman" w:cs="Times New Roman"/>
          <w:sz w:val="24"/>
          <w:szCs w:val="24"/>
        </w:rPr>
        <w:t xml:space="preserve">for </w:t>
      </w:r>
      <w:r w:rsidR="000F50DA" w:rsidRPr="003A674A">
        <w:rPr>
          <w:rFonts w:ascii="Times New Roman" w:hAnsi="Times New Roman" w:cs="Times New Roman"/>
          <w:sz w:val="24"/>
          <w:szCs w:val="24"/>
        </w:rPr>
        <w:t>either diagnostic coronary angiogra</w:t>
      </w:r>
      <w:r w:rsidR="000B67F4" w:rsidRPr="003A674A">
        <w:rPr>
          <w:rFonts w:ascii="Times New Roman" w:hAnsi="Times New Roman" w:cs="Times New Roman"/>
          <w:sz w:val="24"/>
          <w:szCs w:val="24"/>
        </w:rPr>
        <w:t>phy</w:t>
      </w:r>
      <w:r w:rsidR="000F50DA" w:rsidRPr="003A674A">
        <w:rPr>
          <w:rFonts w:ascii="Times New Roman" w:hAnsi="Times New Roman" w:cs="Times New Roman"/>
          <w:sz w:val="24"/>
          <w:szCs w:val="24"/>
        </w:rPr>
        <w:t xml:space="preserve"> or PCI. In </w:t>
      </w:r>
      <w:r w:rsidR="000B67F4" w:rsidRPr="003A674A">
        <w:rPr>
          <w:rFonts w:ascii="Times New Roman" w:hAnsi="Times New Roman" w:cs="Times New Roman"/>
          <w:sz w:val="24"/>
          <w:szCs w:val="24"/>
        </w:rPr>
        <w:t xml:space="preserve">the </w:t>
      </w:r>
      <w:r w:rsidR="000F50DA" w:rsidRPr="003A674A">
        <w:rPr>
          <w:rFonts w:ascii="Times New Roman" w:hAnsi="Times New Roman" w:cs="Times New Roman"/>
          <w:sz w:val="24"/>
          <w:szCs w:val="24"/>
        </w:rPr>
        <w:t xml:space="preserve">diagnostic group, LRA was associated with lower fluoroscopy time and lower dose area product; however, </w:t>
      </w:r>
      <w:r w:rsidR="00E959F8" w:rsidRPr="003A674A">
        <w:rPr>
          <w:rFonts w:ascii="Times New Roman" w:hAnsi="Times New Roman" w:cs="Times New Roman"/>
          <w:sz w:val="24"/>
          <w:szCs w:val="24"/>
        </w:rPr>
        <w:t>there were no differences in either</w:t>
      </w:r>
      <w:r w:rsidR="000F50DA" w:rsidRPr="003A674A">
        <w:rPr>
          <w:rFonts w:ascii="Times New Roman" w:hAnsi="Times New Roman" w:cs="Times New Roman"/>
          <w:sz w:val="24"/>
          <w:szCs w:val="24"/>
        </w:rPr>
        <w:t xml:space="preserve"> of the</w:t>
      </w:r>
      <w:r w:rsidR="00D33C2E" w:rsidRPr="003A674A">
        <w:rPr>
          <w:rFonts w:ascii="Times New Roman" w:hAnsi="Times New Roman" w:cs="Times New Roman"/>
          <w:sz w:val="24"/>
          <w:szCs w:val="24"/>
        </w:rPr>
        <w:t>se</w:t>
      </w:r>
      <w:r w:rsidR="000F50DA" w:rsidRPr="003A674A">
        <w:rPr>
          <w:rFonts w:ascii="Times New Roman" w:hAnsi="Times New Roman" w:cs="Times New Roman"/>
          <w:sz w:val="24"/>
          <w:szCs w:val="24"/>
        </w:rPr>
        <w:t xml:space="preserve"> primary endpoints in patients undergoing PCI</w:t>
      </w:r>
      <w:r w:rsidR="00A15C7F" w:rsidRPr="003A674A">
        <w:rPr>
          <w:rFonts w:ascii="Times New Roman" w:hAnsi="Times New Roman" w:cs="Times New Roman"/>
          <w:sz w:val="24"/>
          <w:szCs w:val="24"/>
        </w:rPr>
        <w:fldChar w:fldCharType="begin"/>
      </w:r>
      <w:r w:rsidR="00A15C7F" w:rsidRPr="003A674A">
        <w:rPr>
          <w:rFonts w:ascii="Times New Roman" w:hAnsi="Times New Roman" w:cs="Times New Roman"/>
          <w:sz w:val="24"/>
          <w:szCs w:val="24"/>
        </w:rPr>
        <w:instrText>ADDIN RW.CITE{{432 Sciahbasi,A. 2011}}</w:instrText>
      </w:r>
      <w:r w:rsidR="00A15C7F"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(21)</w:t>
      </w:r>
      <w:r w:rsidR="00A15C7F" w:rsidRPr="003A674A">
        <w:rPr>
          <w:rFonts w:ascii="Times New Roman" w:hAnsi="Times New Roman" w:cs="Times New Roman"/>
          <w:sz w:val="24"/>
          <w:szCs w:val="24"/>
        </w:rPr>
        <w:fldChar w:fldCharType="end"/>
      </w:r>
      <w:r w:rsidR="000F50DA" w:rsidRPr="003A674A">
        <w:rPr>
          <w:rFonts w:ascii="Times New Roman" w:hAnsi="Times New Roman" w:cs="Times New Roman"/>
          <w:sz w:val="24"/>
          <w:szCs w:val="24"/>
        </w:rPr>
        <w:t>.</w:t>
      </w:r>
      <w:r w:rsidR="00A15C7F" w:rsidRPr="003A674A">
        <w:rPr>
          <w:rFonts w:ascii="Times New Roman" w:hAnsi="Times New Roman" w:cs="Times New Roman"/>
          <w:sz w:val="24"/>
          <w:szCs w:val="24"/>
        </w:rPr>
        <w:t xml:space="preserve"> Anothe</w:t>
      </w:r>
      <w:r w:rsidR="00E959F8" w:rsidRPr="003A674A">
        <w:rPr>
          <w:rFonts w:ascii="Times New Roman" w:hAnsi="Times New Roman" w:cs="Times New Roman"/>
          <w:sz w:val="24"/>
          <w:szCs w:val="24"/>
        </w:rPr>
        <w:t>r study comparing RRA versus LRA</w:t>
      </w:r>
      <w:r w:rsidR="000B67F4" w:rsidRPr="003A674A">
        <w:rPr>
          <w:rFonts w:ascii="Times New Roman" w:hAnsi="Times New Roman" w:cs="Times New Roman"/>
          <w:sz w:val="24"/>
          <w:szCs w:val="24"/>
        </w:rPr>
        <w:t xml:space="preserve"> </w:t>
      </w:r>
      <w:r w:rsidR="00A15C7F" w:rsidRPr="003A674A">
        <w:rPr>
          <w:rFonts w:ascii="Times New Roman" w:hAnsi="Times New Roman" w:cs="Times New Roman"/>
          <w:sz w:val="24"/>
          <w:szCs w:val="24"/>
        </w:rPr>
        <w:t xml:space="preserve">for primary endpoints of radiation exposure and operator discomfort reported decreased radiation exposure to the operators in </w:t>
      </w:r>
      <w:r w:rsidR="000B67F4" w:rsidRPr="003A674A">
        <w:rPr>
          <w:rFonts w:ascii="Times New Roman" w:hAnsi="Times New Roman" w:cs="Times New Roman"/>
          <w:sz w:val="24"/>
          <w:szCs w:val="24"/>
        </w:rPr>
        <w:t xml:space="preserve">the </w:t>
      </w:r>
      <w:r w:rsidR="00A15C7F" w:rsidRPr="003A674A">
        <w:rPr>
          <w:rFonts w:ascii="Times New Roman" w:hAnsi="Times New Roman" w:cs="Times New Roman"/>
          <w:sz w:val="24"/>
          <w:szCs w:val="24"/>
        </w:rPr>
        <w:t xml:space="preserve">LRA group albeit at the expense of increase operator discomfort </w:t>
      </w:r>
      <w:r w:rsidR="00A15C7F" w:rsidRPr="003A674A">
        <w:rPr>
          <w:rFonts w:ascii="Times New Roman" w:hAnsi="Times New Roman" w:cs="Times New Roman"/>
          <w:sz w:val="24"/>
          <w:szCs w:val="24"/>
        </w:rPr>
        <w:fldChar w:fldCharType="begin"/>
      </w:r>
      <w:r w:rsidR="00A15C7F" w:rsidRPr="003A674A">
        <w:rPr>
          <w:rFonts w:ascii="Times New Roman" w:hAnsi="Times New Roman" w:cs="Times New Roman"/>
          <w:sz w:val="24"/>
          <w:szCs w:val="24"/>
        </w:rPr>
        <w:instrText>ADDIN RW.CITE{{424 Kado,H. 2014}}</w:instrText>
      </w:r>
      <w:r w:rsidR="00A15C7F"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(17)</w:t>
      </w:r>
      <w:r w:rsidR="00A15C7F" w:rsidRPr="003A674A">
        <w:rPr>
          <w:rFonts w:ascii="Times New Roman" w:hAnsi="Times New Roman" w:cs="Times New Roman"/>
          <w:sz w:val="24"/>
          <w:szCs w:val="24"/>
        </w:rPr>
        <w:fldChar w:fldCharType="end"/>
      </w:r>
      <w:r w:rsidR="00A15C7F" w:rsidRPr="003A674A">
        <w:rPr>
          <w:rFonts w:ascii="Times New Roman" w:hAnsi="Times New Roman" w:cs="Times New Roman"/>
          <w:sz w:val="24"/>
          <w:szCs w:val="24"/>
        </w:rPr>
        <w:t>.</w:t>
      </w:r>
      <w:r w:rsidR="00B84921" w:rsidRPr="003A674A">
        <w:rPr>
          <w:rFonts w:ascii="Times New Roman" w:hAnsi="Times New Roman" w:cs="Times New Roman"/>
          <w:sz w:val="24"/>
          <w:szCs w:val="24"/>
        </w:rPr>
        <w:t xml:space="preserve"> </w:t>
      </w:r>
      <w:r w:rsidR="0038610D" w:rsidRPr="003A674A">
        <w:rPr>
          <w:rFonts w:ascii="Times New Roman" w:hAnsi="Times New Roman" w:cs="Times New Roman"/>
          <w:sz w:val="24"/>
          <w:szCs w:val="24"/>
        </w:rPr>
        <w:t>The m</w:t>
      </w:r>
      <w:r w:rsidR="00E959F8" w:rsidRPr="003A674A">
        <w:rPr>
          <w:rFonts w:ascii="Times New Roman" w:hAnsi="Times New Roman" w:cs="Times New Roman"/>
          <w:sz w:val="24"/>
          <w:szCs w:val="24"/>
        </w:rPr>
        <w:t>ajority</w:t>
      </w:r>
      <w:r w:rsidR="001B6BE5" w:rsidRPr="003A674A">
        <w:rPr>
          <w:rFonts w:ascii="Times New Roman" w:hAnsi="Times New Roman" w:cs="Times New Roman"/>
          <w:sz w:val="24"/>
          <w:szCs w:val="24"/>
        </w:rPr>
        <w:t xml:space="preserve"> of these studies </w:t>
      </w:r>
      <w:r w:rsidR="00195FEA" w:rsidRPr="003A674A">
        <w:rPr>
          <w:rFonts w:ascii="Times New Roman" w:hAnsi="Times New Roman" w:cs="Times New Roman"/>
          <w:sz w:val="24"/>
          <w:szCs w:val="24"/>
        </w:rPr>
        <w:t xml:space="preserve">were limited to </w:t>
      </w:r>
      <w:r w:rsidR="001B6BE5" w:rsidRPr="003A674A">
        <w:rPr>
          <w:rFonts w:ascii="Times New Roman" w:hAnsi="Times New Roman" w:cs="Times New Roman"/>
          <w:sz w:val="24"/>
          <w:szCs w:val="24"/>
        </w:rPr>
        <w:t>single centre</w:t>
      </w:r>
      <w:r w:rsidR="00195FEA" w:rsidRPr="003A674A">
        <w:rPr>
          <w:rFonts w:ascii="Times New Roman" w:hAnsi="Times New Roman" w:cs="Times New Roman"/>
          <w:sz w:val="24"/>
          <w:szCs w:val="24"/>
        </w:rPr>
        <w:t>s and s</w:t>
      </w:r>
      <w:r w:rsidR="001B6BE5" w:rsidRPr="003A674A">
        <w:rPr>
          <w:rFonts w:ascii="Times New Roman" w:hAnsi="Times New Roman" w:cs="Times New Roman"/>
          <w:sz w:val="24"/>
          <w:szCs w:val="24"/>
        </w:rPr>
        <w:t>mall s</w:t>
      </w:r>
      <w:r w:rsidR="00A15C7F" w:rsidRPr="003A674A">
        <w:rPr>
          <w:rFonts w:ascii="Times New Roman" w:hAnsi="Times New Roman" w:cs="Times New Roman"/>
          <w:sz w:val="24"/>
          <w:szCs w:val="24"/>
        </w:rPr>
        <w:t>ample size</w:t>
      </w:r>
      <w:r w:rsidR="00E33F9F" w:rsidRPr="003A674A">
        <w:rPr>
          <w:rFonts w:ascii="Times New Roman" w:hAnsi="Times New Roman" w:cs="Times New Roman"/>
          <w:sz w:val="24"/>
          <w:szCs w:val="24"/>
        </w:rPr>
        <w:t>s</w:t>
      </w:r>
      <w:r w:rsidR="00D33C2E" w:rsidRPr="003A674A">
        <w:rPr>
          <w:rFonts w:ascii="Times New Roman" w:hAnsi="Times New Roman" w:cs="Times New Roman"/>
          <w:sz w:val="24"/>
          <w:szCs w:val="24"/>
        </w:rPr>
        <w:t xml:space="preserve">, therefore, one </w:t>
      </w:r>
      <w:r w:rsidR="003B07C9">
        <w:rPr>
          <w:rFonts w:ascii="Times New Roman" w:hAnsi="Times New Roman" w:cs="Times New Roman"/>
          <w:sz w:val="24"/>
          <w:szCs w:val="24"/>
        </w:rPr>
        <w:t>cannot determine</w:t>
      </w:r>
      <w:r w:rsidR="00D33C2E" w:rsidRPr="003A674A">
        <w:rPr>
          <w:rFonts w:ascii="Times New Roman" w:hAnsi="Times New Roman" w:cs="Times New Roman"/>
          <w:sz w:val="24"/>
          <w:szCs w:val="24"/>
        </w:rPr>
        <w:t xml:space="preserve"> whether there are any clinically </w:t>
      </w:r>
      <w:r w:rsidR="003B07C9">
        <w:rPr>
          <w:rFonts w:ascii="Times New Roman" w:hAnsi="Times New Roman" w:cs="Times New Roman"/>
          <w:sz w:val="24"/>
          <w:szCs w:val="24"/>
        </w:rPr>
        <w:t>relevant</w:t>
      </w:r>
      <w:r w:rsidR="003B07C9" w:rsidRPr="003A674A">
        <w:rPr>
          <w:rFonts w:ascii="Times New Roman" w:hAnsi="Times New Roman" w:cs="Times New Roman"/>
          <w:sz w:val="24"/>
          <w:szCs w:val="24"/>
        </w:rPr>
        <w:t xml:space="preserve"> </w:t>
      </w:r>
      <w:r w:rsidR="003B07C9">
        <w:rPr>
          <w:rFonts w:ascii="Times New Roman" w:hAnsi="Times New Roman" w:cs="Times New Roman"/>
          <w:sz w:val="24"/>
          <w:szCs w:val="24"/>
        </w:rPr>
        <w:t>differences</w:t>
      </w:r>
      <w:r w:rsidR="00D33C2E" w:rsidRPr="003A674A">
        <w:rPr>
          <w:rFonts w:ascii="Times New Roman" w:hAnsi="Times New Roman" w:cs="Times New Roman"/>
          <w:sz w:val="24"/>
          <w:szCs w:val="24"/>
        </w:rPr>
        <w:t xml:space="preserve"> </w:t>
      </w:r>
      <w:r w:rsidR="003B07C9">
        <w:rPr>
          <w:rFonts w:ascii="Times New Roman" w:hAnsi="Times New Roman" w:cs="Times New Roman"/>
          <w:sz w:val="24"/>
          <w:szCs w:val="24"/>
        </w:rPr>
        <w:t>between</w:t>
      </w:r>
      <w:r w:rsidR="003B07C9" w:rsidRPr="003A674A">
        <w:rPr>
          <w:rFonts w:ascii="Times New Roman" w:hAnsi="Times New Roman" w:cs="Times New Roman"/>
          <w:sz w:val="24"/>
          <w:szCs w:val="24"/>
        </w:rPr>
        <w:t xml:space="preserve"> </w:t>
      </w:r>
      <w:r w:rsidR="00D33C2E" w:rsidRPr="003A674A">
        <w:rPr>
          <w:rFonts w:ascii="Times New Roman" w:hAnsi="Times New Roman" w:cs="Times New Roman"/>
          <w:sz w:val="24"/>
          <w:szCs w:val="24"/>
        </w:rPr>
        <w:t>either access site.</w:t>
      </w:r>
      <w:r w:rsidR="00195FEA" w:rsidRPr="003A674A">
        <w:rPr>
          <w:rFonts w:ascii="Times New Roman" w:hAnsi="Times New Roman" w:cs="Times New Roman"/>
          <w:sz w:val="24"/>
          <w:szCs w:val="24"/>
        </w:rPr>
        <w:t xml:space="preserve"> </w:t>
      </w:r>
      <w:r w:rsidR="00B919CD" w:rsidRPr="003A674A">
        <w:rPr>
          <w:rFonts w:ascii="Times New Roman" w:hAnsi="Times New Roman" w:cs="Times New Roman"/>
          <w:sz w:val="24"/>
          <w:szCs w:val="24"/>
        </w:rPr>
        <w:t xml:space="preserve"> </w:t>
      </w:r>
    </w:p>
    <w:p w14:paraId="5CC34C5F" w14:textId="71CA0888" w:rsidR="00E959F8" w:rsidRPr="003A674A" w:rsidRDefault="00136067" w:rsidP="0050349B">
      <w:pPr>
        <w:ind w:firstLine="0"/>
        <w:rPr>
          <w:rFonts w:ascii="Times New Roman" w:hAnsi="Times New Roman" w:cs="Times New Roman"/>
          <w:sz w:val="24"/>
          <w:szCs w:val="24"/>
        </w:rPr>
      </w:pPr>
      <w:r w:rsidRPr="003A674A">
        <w:rPr>
          <w:rFonts w:ascii="Times New Roman" w:hAnsi="Times New Roman" w:cs="Times New Roman"/>
          <w:sz w:val="24"/>
          <w:szCs w:val="24"/>
        </w:rPr>
        <w:t>As the population requiring PCI grows and age</w:t>
      </w:r>
      <w:r w:rsidR="00D33C2E" w:rsidRPr="003A674A">
        <w:rPr>
          <w:rFonts w:ascii="Times New Roman" w:hAnsi="Times New Roman" w:cs="Times New Roman"/>
          <w:sz w:val="24"/>
          <w:szCs w:val="24"/>
        </w:rPr>
        <w:t>s, it is likely that LRA</w:t>
      </w:r>
      <w:r w:rsidRPr="003A674A">
        <w:rPr>
          <w:rFonts w:ascii="Times New Roman" w:hAnsi="Times New Roman" w:cs="Times New Roman"/>
          <w:sz w:val="24"/>
          <w:szCs w:val="24"/>
        </w:rPr>
        <w:t xml:space="preserve"> will become more commonplace. T</w:t>
      </w:r>
      <w:r w:rsidR="00F52AC6" w:rsidRPr="003A674A">
        <w:rPr>
          <w:rFonts w:ascii="Times New Roman" w:hAnsi="Times New Roman" w:cs="Times New Roman"/>
          <w:sz w:val="24"/>
          <w:szCs w:val="24"/>
        </w:rPr>
        <w:t xml:space="preserve">here </w:t>
      </w:r>
      <w:r w:rsidR="000B67F4" w:rsidRPr="003A674A">
        <w:rPr>
          <w:rFonts w:ascii="Times New Roman" w:hAnsi="Times New Roman" w:cs="Times New Roman"/>
          <w:sz w:val="24"/>
          <w:szCs w:val="24"/>
        </w:rPr>
        <w:t>are few</w:t>
      </w:r>
      <w:r w:rsidR="00A15C7F" w:rsidRPr="003A674A">
        <w:rPr>
          <w:rFonts w:ascii="Times New Roman" w:hAnsi="Times New Roman" w:cs="Times New Roman"/>
          <w:sz w:val="24"/>
          <w:szCs w:val="24"/>
        </w:rPr>
        <w:t xml:space="preserve"> d</w:t>
      </w:r>
      <w:r w:rsidR="00F52AC6" w:rsidRPr="003A674A">
        <w:rPr>
          <w:rFonts w:ascii="Times New Roman" w:hAnsi="Times New Roman" w:cs="Times New Roman"/>
          <w:sz w:val="24"/>
          <w:szCs w:val="24"/>
        </w:rPr>
        <w:t xml:space="preserve">ata </w:t>
      </w:r>
      <w:r w:rsidRPr="003A674A">
        <w:rPr>
          <w:rFonts w:ascii="Times New Roman" w:hAnsi="Times New Roman" w:cs="Times New Roman"/>
          <w:sz w:val="24"/>
          <w:szCs w:val="24"/>
        </w:rPr>
        <w:t xml:space="preserve">that describe the </w:t>
      </w:r>
      <w:r w:rsidR="00B84921" w:rsidRPr="003A674A">
        <w:rPr>
          <w:rFonts w:ascii="Times New Roman" w:hAnsi="Times New Roman" w:cs="Times New Roman"/>
          <w:sz w:val="24"/>
          <w:szCs w:val="24"/>
        </w:rPr>
        <w:t>differences</w:t>
      </w:r>
      <w:r w:rsidR="00F52AC6" w:rsidRPr="003A674A">
        <w:rPr>
          <w:rFonts w:ascii="Times New Roman" w:hAnsi="Times New Roman" w:cs="Times New Roman"/>
          <w:sz w:val="24"/>
          <w:szCs w:val="24"/>
        </w:rPr>
        <w:t xml:space="preserve"> in </w:t>
      </w:r>
      <w:r w:rsidRPr="003A674A">
        <w:rPr>
          <w:rFonts w:ascii="Times New Roman" w:hAnsi="Times New Roman" w:cs="Times New Roman"/>
          <w:sz w:val="24"/>
          <w:szCs w:val="24"/>
        </w:rPr>
        <w:t xml:space="preserve">patient and clinical </w:t>
      </w:r>
      <w:r w:rsidRPr="003A674A">
        <w:rPr>
          <w:rFonts w:ascii="Times New Roman" w:hAnsi="Times New Roman" w:cs="Times New Roman"/>
          <w:sz w:val="24"/>
          <w:szCs w:val="24"/>
        </w:rPr>
        <w:lastRenderedPageBreak/>
        <w:t xml:space="preserve">characteristics relating to the use of LRA compared to RRA, whether this practice is changing over time nationally, how multiple successive procedures influences the use of LRA or importantly whether the use of LRA </w:t>
      </w:r>
      <w:r w:rsidR="00296419">
        <w:rPr>
          <w:rFonts w:ascii="Times New Roman" w:hAnsi="Times New Roman" w:cs="Times New Roman"/>
          <w:sz w:val="24"/>
          <w:szCs w:val="24"/>
        </w:rPr>
        <w:t>is associated with</w:t>
      </w:r>
      <w:r w:rsidR="00296419" w:rsidRPr="003A674A">
        <w:rPr>
          <w:rFonts w:ascii="Times New Roman" w:hAnsi="Times New Roman" w:cs="Times New Roman"/>
          <w:sz w:val="24"/>
          <w:szCs w:val="24"/>
        </w:rPr>
        <w:t xml:space="preserve"> </w:t>
      </w:r>
      <w:r w:rsidR="00296419">
        <w:rPr>
          <w:rFonts w:ascii="Times New Roman" w:hAnsi="Times New Roman" w:cs="Times New Roman"/>
          <w:sz w:val="24"/>
          <w:szCs w:val="24"/>
        </w:rPr>
        <w:t>different</w:t>
      </w:r>
      <w:r w:rsidR="00296419" w:rsidRPr="003A674A">
        <w:rPr>
          <w:rFonts w:ascii="Times New Roman" w:hAnsi="Times New Roman" w:cs="Times New Roman"/>
          <w:sz w:val="24"/>
          <w:szCs w:val="24"/>
        </w:rPr>
        <w:t xml:space="preserve"> </w:t>
      </w:r>
      <w:r w:rsidRPr="003A674A">
        <w:rPr>
          <w:rFonts w:ascii="Times New Roman" w:hAnsi="Times New Roman" w:cs="Times New Roman"/>
          <w:sz w:val="24"/>
          <w:szCs w:val="24"/>
        </w:rPr>
        <w:t>risks to patients.</w:t>
      </w:r>
      <w:r w:rsidR="00296419">
        <w:rPr>
          <w:rFonts w:ascii="Times New Roman" w:hAnsi="Times New Roman" w:cs="Times New Roman"/>
          <w:sz w:val="24"/>
          <w:szCs w:val="24"/>
        </w:rPr>
        <w:t xml:space="preserve"> </w:t>
      </w:r>
      <w:r w:rsidR="00B919CD" w:rsidRPr="003A674A">
        <w:rPr>
          <w:rFonts w:ascii="Times New Roman" w:hAnsi="Times New Roman" w:cs="Times New Roman"/>
          <w:sz w:val="24"/>
          <w:szCs w:val="24"/>
        </w:rPr>
        <w:t xml:space="preserve">This study </w:t>
      </w:r>
      <w:r w:rsidRPr="003A674A">
        <w:rPr>
          <w:rFonts w:ascii="Times New Roman" w:hAnsi="Times New Roman" w:cs="Times New Roman"/>
          <w:sz w:val="24"/>
          <w:szCs w:val="24"/>
        </w:rPr>
        <w:t xml:space="preserve">used a large national registry of all PCI procedures to answer these questions. </w:t>
      </w:r>
    </w:p>
    <w:p w14:paraId="02F060FB" w14:textId="77777777" w:rsidR="0050349B" w:rsidRPr="003A674A" w:rsidRDefault="0050349B" w:rsidP="0050349B">
      <w:pPr>
        <w:ind w:firstLine="0"/>
        <w:rPr>
          <w:rFonts w:ascii="Times New Roman" w:hAnsi="Times New Roman" w:cs="Times New Roman"/>
          <w:sz w:val="24"/>
          <w:szCs w:val="24"/>
        </w:rPr>
      </w:pPr>
    </w:p>
    <w:p w14:paraId="241037D8" w14:textId="122654D5" w:rsidR="00C435EE" w:rsidRPr="003A674A" w:rsidRDefault="00296335" w:rsidP="00986A1B">
      <w:pPr>
        <w:pStyle w:val="Heading1"/>
        <w:spacing w:before="0" w:line="480" w:lineRule="auto"/>
        <w:ind w:firstLine="0"/>
        <w:rPr>
          <w:rFonts w:ascii="Times New Roman" w:hAnsi="Times New Roman" w:cs="Times New Roman"/>
          <w:sz w:val="24"/>
          <w:szCs w:val="24"/>
        </w:rPr>
      </w:pPr>
      <w:r w:rsidRPr="003A674A">
        <w:rPr>
          <w:rFonts w:ascii="Times New Roman" w:hAnsi="Times New Roman" w:cs="Times New Roman"/>
          <w:b/>
          <w:color w:val="000000" w:themeColor="text1"/>
          <w:sz w:val="24"/>
          <w:szCs w:val="24"/>
        </w:rPr>
        <w:t xml:space="preserve">Methods: </w:t>
      </w:r>
    </w:p>
    <w:p w14:paraId="6AA324D7" w14:textId="7BCA89AA" w:rsidR="00C435EE" w:rsidRPr="003A674A" w:rsidRDefault="00C435EE" w:rsidP="00986A1B">
      <w:pPr>
        <w:spacing w:line="480" w:lineRule="auto"/>
        <w:ind w:firstLine="0"/>
        <w:rPr>
          <w:rFonts w:ascii="Times New Roman" w:hAnsi="Times New Roman" w:cs="Times New Roman"/>
          <w:i/>
          <w:sz w:val="24"/>
          <w:szCs w:val="24"/>
        </w:rPr>
      </w:pPr>
      <w:r w:rsidRPr="003A674A">
        <w:rPr>
          <w:rFonts w:ascii="Times New Roman" w:hAnsi="Times New Roman" w:cs="Times New Roman"/>
          <w:i/>
          <w:sz w:val="24"/>
          <w:szCs w:val="24"/>
        </w:rPr>
        <w:t>Study population</w:t>
      </w:r>
    </w:p>
    <w:p w14:paraId="6E01CFD5" w14:textId="25BBA473" w:rsidR="00C435EE" w:rsidRPr="003A674A" w:rsidRDefault="00296335" w:rsidP="00986A1B">
      <w:pPr>
        <w:spacing w:after="0"/>
        <w:ind w:firstLine="0"/>
        <w:rPr>
          <w:rFonts w:ascii="Times New Roman" w:hAnsi="Times New Roman" w:cs="Times New Roman"/>
          <w:sz w:val="24"/>
          <w:szCs w:val="24"/>
        </w:rPr>
      </w:pPr>
      <w:r w:rsidRPr="003A674A">
        <w:rPr>
          <w:rFonts w:ascii="Times New Roman" w:hAnsi="Times New Roman" w:cs="Times New Roman"/>
          <w:sz w:val="24"/>
          <w:szCs w:val="24"/>
        </w:rPr>
        <w:t xml:space="preserve">We used data from </w:t>
      </w:r>
      <w:r w:rsidR="00244DCF" w:rsidRPr="003A674A">
        <w:rPr>
          <w:rFonts w:ascii="Times New Roman" w:hAnsi="Times New Roman" w:cs="Times New Roman"/>
          <w:sz w:val="24"/>
          <w:szCs w:val="24"/>
        </w:rPr>
        <w:t xml:space="preserve">the </w:t>
      </w:r>
      <w:r w:rsidRPr="003A674A">
        <w:rPr>
          <w:rFonts w:ascii="Times New Roman" w:hAnsi="Times New Roman" w:cs="Times New Roman"/>
          <w:sz w:val="24"/>
          <w:szCs w:val="24"/>
        </w:rPr>
        <w:t xml:space="preserve">British Cardiovascular Intervention </w:t>
      </w:r>
      <w:r w:rsidR="00244DCF" w:rsidRPr="003A674A">
        <w:rPr>
          <w:rFonts w:ascii="Times New Roman" w:hAnsi="Times New Roman" w:cs="Times New Roman"/>
          <w:sz w:val="24"/>
          <w:szCs w:val="24"/>
        </w:rPr>
        <w:t>S</w:t>
      </w:r>
      <w:r w:rsidRPr="003A674A">
        <w:rPr>
          <w:rFonts w:ascii="Times New Roman" w:hAnsi="Times New Roman" w:cs="Times New Roman"/>
          <w:sz w:val="24"/>
          <w:szCs w:val="24"/>
        </w:rPr>
        <w:t xml:space="preserve">ociety (BCIS) </w:t>
      </w:r>
      <w:r w:rsidR="008325F2" w:rsidRPr="003A674A">
        <w:rPr>
          <w:rFonts w:ascii="Times New Roman" w:hAnsi="Times New Roman" w:cs="Times New Roman"/>
          <w:sz w:val="24"/>
          <w:szCs w:val="24"/>
        </w:rPr>
        <w:t xml:space="preserve">registry </w:t>
      </w:r>
      <w:r w:rsidRPr="003A674A">
        <w:rPr>
          <w:rFonts w:ascii="Times New Roman" w:hAnsi="Times New Roman" w:cs="Times New Roman"/>
          <w:sz w:val="24"/>
          <w:szCs w:val="24"/>
        </w:rPr>
        <w:t xml:space="preserve">to define the </w:t>
      </w:r>
      <w:r w:rsidR="00422AD9" w:rsidRPr="003A674A">
        <w:rPr>
          <w:rFonts w:ascii="Times New Roman" w:hAnsi="Times New Roman" w:cs="Times New Roman"/>
          <w:sz w:val="24"/>
          <w:szCs w:val="24"/>
        </w:rPr>
        <w:t>patient cohort and study variables</w:t>
      </w:r>
      <w:r w:rsidR="00E959F8" w:rsidRPr="003A674A">
        <w:rPr>
          <w:rFonts w:ascii="Times New Roman" w:hAnsi="Times New Roman" w:cs="Times New Roman"/>
          <w:sz w:val="24"/>
          <w:szCs w:val="24"/>
        </w:rPr>
        <w:t xml:space="preserve">. </w:t>
      </w:r>
      <w:r w:rsidR="00244DCF" w:rsidRPr="003A674A">
        <w:rPr>
          <w:rFonts w:ascii="Times New Roman" w:hAnsi="Times New Roman" w:cs="Times New Roman"/>
          <w:sz w:val="24"/>
          <w:szCs w:val="24"/>
        </w:rPr>
        <w:t xml:space="preserve">The </w:t>
      </w:r>
      <w:r w:rsidR="00E959F8" w:rsidRPr="003A674A">
        <w:rPr>
          <w:rFonts w:ascii="Times New Roman" w:hAnsi="Times New Roman" w:cs="Times New Roman"/>
          <w:sz w:val="24"/>
          <w:szCs w:val="24"/>
        </w:rPr>
        <w:t xml:space="preserve">BCIS </w:t>
      </w:r>
      <w:r w:rsidRPr="003A674A">
        <w:rPr>
          <w:rFonts w:ascii="Times New Roman" w:hAnsi="Times New Roman" w:cs="Times New Roman"/>
          <w:sz w:val="24"/>
          <w:szCs w:val="24"/>
        </w:rPr>
        <w:t xml:space="preserve">registry </w:t>
      </w:r>
      <w:r w:rsidR="00AF1E29" w:rsidRPr="003A674A">
        <w:rPr>
          <w:rFonts w:ascii="Times New Roman" w:hAnsi="Times New Roman" w:cs="Times New Roman"/>
          <w:sz w:val="24"/>
          <w:szCs w:val="24"/>
        </w:rPr>
        <w:t xml:space="preserve">is a national registry that </w:t>
      </w:r>
      <w:r w:rsidRPr="003A674A">
        <w:rPr>
          <w:rFonts w:ascii="Times New Roman" w:hAnsi="Times New Roman" w:cs="Times New Roman"/>
          <w:sz w:val="24"/>
          <w:szCs w:val="24"/>
        </w:rPr>
        <w:t xml:space="preserve">prospectively collects </w:t>
      </w:r>
      <w:r w:rsidR="00AF1E29" w:rsidRPr="003A674A">
        <w:rPr>
          <w:rFonts w:ascii="Times New Roman" w:hAnsi="Times New Roman" w:cs="Times New Roman"/>
          <w:sz w:val="24"/>
          <w:szCs w:val="24"/>
        </w:rPr>
        <w:t>data</w:t>
      </w:r>
      <w:r w:rsidR="00422AD9" w:rsidRPr="003A674A">
        <w:rPr>
          <w:rFonts w:ascii="Times New Roman" w:hAnsi="Times New Roman" w:cs="Times New Roman"/>
          <w:sz w:val="24"/>
          <w:szCs w:val="24"/>
        </w:rPr>
        <w:t xml:space="preserve"> around the clinical</w:t>
      </w:r>
      <w:r w:rsidRPr="003A674A">
        <w:rPr>
          <w:rFonts w:ascii="Times New Roman" w:hAnsi="Times New Roman" w:cs="Times New Roman"/>
          <w:sz w:val="24"/>
          <w:szCs w:val="24"/>
        </w:rPr>
        <w:t>, procedural</w:t>
      </w:r>
      <w:r w:rsidR="00422AD9" w:rsidRPr="003A674A">
        <w:rPr>
          <w:rFonts w:ascii="Times New Roman" w:hAnsi="Times New Roman" w:cs="Times New Roman"/>
          <w:sz w:val="24"/>
          <w:szCs w:val="24"/>
        </w:rPr>
        <w:t xml:space="preserve"> and outcome of almost all PCI undertaken in </w:t>
      </w:r>
      <w:r w:rsidR="00244DCF" w:rsidRPr="003A674A">
        <w:rPr>
          <w:rFonts w:ascii="Times New Roman" w:hAnsi="Times New Roman" w:cs="Times New Roman"/>
          <w:sz w:val="24"/>
          <w:szCs w:val="24"/>
        </w:rPr>
        <w:t xml:space="preserve">the </w:t>
      </w:r>
      <w:r w:rsidR="00422AD9" w:rsidRPr="003A674A">
        <w:rPr>
          <w:rFonts w:ascii="Times New Roman" w:hAnsi="Times New Roman" w:cs="Times New Roman"/>
          <w:sz w:val="24"/>
          <w:szCs w:val="24"/>
        </w:rPr>
        <w:t xml:space="preserve">United Kingdom and is managed by </w:t>
      </w:r>
      <w:r w:rsidR="00244DCF" w:rsidRPr="003A674A">
        <w:rPr>
          <w:rFonts w:ascii="Times New Roman" w:hAnsi="Times New Roman" w:cs="Times New Roman"/>
          <w:sz w:val="24"/>
          <w:szCs w:val="24"/>
        </w:rPr>
        <w:t xml:space="preserve">the </w:t>
      </w:r>
      <w:r w:rsidR="00422AD9" w:rsidRPr="003A674A">
        <w:rPr>
          <w:rFonts w:ascii="Times New Roman" w:hAnsi="Times New Roman" w:cs="Times New Roman"/>
          <w:sz w:val="24"/>
          <w:szCs w:val="24"/>
        </w:rPr>
        <w:t>National Institute of Cardiovascular Research Outcome (NICOR)</w:t>
      </w:r>
      <w:r w:rsidR="00F5735F" w:rsidRPr="003A674A">
        <w:rPr>
          <w:rFonts w:ascii="Times New Roman" w:hAnsi="Times New Roman" w:cs="Times New Roman"/>
          <w:sz w:val="24"/>
          <w:szCs w:val="24"/>
        </w:rPr>
        <w:fldChar w:fldCharType="begin"/>
      </w:r>
      <w:r w:rsidR="00F5735F" w:rsidRPr="003A674A">
        <w:rPr>
          <w:rFonts w:ascii="Times New Roman" w:hAnsi="Times New Roman" w:cs="Times New Roman"/>
          <w:sz w:val="24"/>
          <w:szCs w:val="24"/>
        </w:rPr>
        <w:instrText>ADDIN RW.CITE{{184 Ludman,P.F. 2011; 209 Mamas,M.A. 2016; 155 Hulme,W. 2016}}</w:instrText>
      </w:r>
      <w:r w:rsidR="00F5735F"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(22-24)</w:t>
      </w:r>
      <w:r w:rsidR="00F5735F" w:rsidRPr="003A674A">
        <w:rPr>
          <w:rFonts w:ascii="Times New Roman" w:hAnsi="Times New Roman" w:cs="Times New Roman"/>
          <w:sz w:val="24"/>
          <w:szCs w:val="24"/>
        </w:rPr>
        <w:fldChar w:fldCharType="end"/>
      </w:r>
      <w:r w:rsidR="00422AD9" w:rsidRPr="003A674A">
        <w:rPr>
          <w:rFonts w:ascii="Times New Roman" w:hAnsi="Times New Roman" w:cs="Times New Roman"/>
          <w:sz w:val="24"/>
          <w:szCs w:val="24"/>
        </w:rPr>
        <w:t xml:space="preserve">. Mortality outcomes are robustly tracked via a linkage to </w:t>
      </w:r>
      <w:r w:rsidR="00244DCF" w:rsidRPr="003A674A">
        <w:rPr>
          <w:rFonts w:ascii="Times New Roman" w:hAnsi="Times New Roman" w:cs="Times New Roman"/>
          <w:sz w:val="24"/>
          <w:szCs w:val="24"/>
        </w:rPr>
        <w:t xml:space="preserve">the </w:t>
      </w:r>
      <w:r w:rsidR="00422AD9" w:rsidRPr="003A674A">
        <w:rPr>
          <w:rFonts w:ascii="Times New Roman" w:hAnsi="Times New Roman" w:cs="Times New Roman"/>
          <w:sz w:val="24"/>
          <w:szCs w:val="24"/>
        </w:rPr>
        <w:t xml:space="preserve">Office of National Statistics (ONS) using </w:t>
      </w:r>
      <w:r w:rsidR="00244DCF" w:rsidRPr="003A674A">
        <w:rPr>
          <w:rFonts w:ascii="Times New Roman" w:hAnsi="Times New Roman" w:cs="Times New Roman"/>
          <w:sz w:val="24"/>
          <w:szCs w:val="24"/>
        </w:rPr>
        <w:t xml:space="preserve">the </w:t>
      </w:r>
      <w:r w:rsidR="00422AD9" w:rsidRPr="003A674A">
        <w:rPr>
          <w:rFonts w:ascii="Times New Roman" w:hAnsi="Times New Roman" w:cs="Times New Roman"/>
          <w:sz w:val="24"/>
          <w:szCs w:val="24"/>
        </w:rPr>
        <w:t>unique national health system (NHS) number of all patients in England and Wales</w:t>
      </w:r>
      <w:r w:rsidR="00E959F8" w:rsidRPr="003A674A">
        <w:rPr>
          <w:rFonts w:ascii="Times New Roman" w:hAnsi="Times New Roman" w:cs="Times New Roman"/>
          <w:sz w:val="24"/>
          <w:szCs w:val="24"/>
        </w:rPr>
        <w:t xml:space="preserve"> only</w:t>
      </w:r>
      <w:r w:rsidR="00422AD9" w:rsidRPr="003A674A">
        <w:rPr>
          <w:rFonts w:ascii="Times New Roman" w:hAnsi="Times New Roman" w:cs="Times New Roman"/>
          <w:sz w:val="24"/>
          <w:szCs w:val="24"/>
        </w:rPr>
        <w:t xml:space="preserve">.  </w:t>
      </w:r>
      <w:r w:rsidR="00071400" w:rsidRPr="003A674A">
        <w:rPr>
          <w:rFonts w:ascii="Times New Roman" w:hAnsi="Times New Roman" w:cs="Times New Roman"/>
          <w:sz w:val="24"/>
          <w:szCs w:val="24"/>
        </w:rPr>
        <w:t xml:space="preserve">All data collected in </w:t>
      </w:r>
      <w:r w:rsidR="00244DCF" w:rsidRPr="003A674A">
        <w:rPr>
          <w:rFonts w:ascii="Times New Roman" w:hAnsi="Times New Roman" w:cs="Times New Roman"/>
          <w:sz w:val="24"/>
          <w:szCs w:val="24"/>
        </w:rPr>
        <w:t xml:space="preserve">the </w:t>
      </w:r>
      <w:r w:rsidR="00071400" w:rsidRPr="003A674A">
        <w:rPr>
          <w:rFonts w:ascii="Times New Roman" w:hAnsi="Times New Roman" w:cs="Times New Roman"/>
          <w:sz w:val="24"/>
          <w:szCs w:val="24"/>
        </w:rPr>
        <w:t xml:space="preserve">BCIS registry </w:t>
      </w:r>
      <w:r w:rsidR="00B16128" w:rsidRPr="003A674A">
        <w:rPr>
          <w:rFonts w:ascii="Times New Roman" w:hAnsi="Times New Roman" w:cs="Times New Roman"/>
          <w:sz w:val="24"/>
          <w:szCs w:val="24"/>
        </w:rPr>
        <w:t xml:space="preserve">are a part of a national audit initiative by NICOR and were </w:t>
      </w:r>
      <w:r w:rsidR="009A04F6" w:rsidRPr="003A674A">
        <w:rPr>
          <w:rFonts w:ascii="Times New Roman" w:hAnsi="Times New Roman" w:cs="Times New Roman"/>
          <w:sz w:val="24"/>
          <w:szCs w:val="24"/>
        </w:rPr>
        <w:t>anonymised;</w:t>
      </w:r>
      <w:r w:rsidR="00B16128" w:rsidRPr="003A674A">
        <w:rPr>
          <w:rFonts w:ascii="Times New Roman" w:hAnsi="Times New Roman" w:cs="Times New Roman"/>
          <w:sz w:val="24"/>
          <w:szCs w:val="24"/>
        </w:rPr>
        <w:t xml:space="preserve"> </w:t>
      </w:r>
      <w:r w:rsidR="009A04F6" w:rsidRPr="003A674A">
        <w:rPr>
          <w:rFonts w:ascii="Times New Roman" w:hAnsi="Times New Roman" w:cs="Times New Roman"/>
          <w:sz w:val="24"/>
          <w:szCs w:val="24"/>
        </w:rPr>
        <w:t>therefore,</w:t>
      </w:r>
      <w:r w:rsidR="00F5735F" w:rsidRPr="003A674A">
        <w:rPr>
          <w:rFonts w:ascii="Times New Roman" w:hAnsi="Times New Roman" w:cs="Times New Roman"/>
          <w:sz w:val="24"/>
          <w:szCs w:val="24"/>
        </w:rPr>
        <w:t xml:space="preserve"> ethical approval was not</w:t>
      </w:r>
      <w:r w:rsidR="00B16128" w:rsidRPr="003A674A">
        <w:rPr>
          <w:rFonts w:ascii="Times New Roman" w:hAnsi="Times New Roman" w:cs="Times New Roman"/>
          <w:sz w:val="24"/>
          <w:szCs w:val="24"/>
        </w:rPr>
        <w:t xml:space="preserve"> required for this study. </w:t>
      </w:r>
      <w:r w:rsidR="00244DCF" w:rsidRPr="003A674A">
        <w:rPr>
          <w:rFonts w:ascii="Times New Roman" w:hAnsi="Times New Roman" w:cs="Times New Roman"/>
          <w:sz w:val="24"/>
          <w:szCs w:val="24"/>
        </w:rPr>
        <w:t>The i</w:t>
      </w:r>
      <w:r w:rsidR="00071400" w:rsidRPr="003A674A">
        <w:rPr>
          <w:rFonts w:ascii="Times New Roman" w:hAnsi="Times New Roman" w:cs="Times New Roman"/>
          <w:sz w:val="24"/>
          <w:szCs w:val="24"/>
        </w:rPr>
        <w:t xml:space="preserve">nitial cohort selection was made by including all patients undergoing </w:t>
      </w:r>
      <w:r w:rsidR="00C435EE" w:rsidRPr="003A674A">
        <w:rPr>
          <w:rFonts w:ascii="Times New Roman" w:hAnsi="Times New Roman" w:cs="Times New Roman"/>
          <w:sz w:val="24"/>
          <w:szCs w:val="24"/>
        </w:rPr>
        <w:t xml:space="preserve">at least one </w:t>
      </w:r>
      <w:r w:rsidR="00071400" w:rsidRPr="003A674A">
        <w:rPr>
          <w:rFonts w:ascii="Times New Roman" w:hAnsi="Times New Roman" w:cs="Times New Roman"/>
          <w:sz w:val="24"/>
          <w:szCs w:val="24"/>
        </w:rPr>
        <w:t xml:space="preserve">PCI via either RRA or </w:t>
      </w:r>
      <w:r w:rsidR="00FE3F9E" w:rsidRPr="003A674A">
        <w:rPr>
          <w:rFonts w:ascii="Times New Roman" w:hAnsi="Times New Roman" w:cs="Times New Roman"/>
          <w:sz w:val="24"/>
          <w:szCs w:val="24"/>
        </w:rPr>
        <w:t>LRA</w:t>
      </w:r>
      <w:r w:rsidR="003D1BF9" w:rsidRPr="003A674A">
        <w:rPr>
          <w:rFonts w:ascii="Times New Roman" w:hAnsi="Times New Roman" w:cs="Times New Roman"/>
          <w:sz w:val="24"/>
          <w:szCs w:val="24"/>
        </w:rPr>
        <w:t xml:space="preserve"> in the United Kingdom however, as the out of hospital mortality data is not available for patients in Scotland, therefore they were excluded from the outcome analyses</w:t>
      </w:r>
      <w:r w:rsidR="00FE3F9E" w:rsidRPr="003A674A">
        <w:rPr>
          <w:rFonts w:ascii="Times New Roman" w:hAnsi="Times New Roman" w:cs="Times New Roman"/>
          <w:sz w:val="24"/>
          <w:szCs w:val="24"/>
        </w:rPr>
        <w:t xml:space="preserve">. </w:t>
      </w:r>
      <w:r w:rsidR="00071400" w:rsidRPr="003A674A">
        <w:rPr>
          <w:rFonts w:ascii="Times New Roman" w:hAnsi="Times New Roman" w:cs="Times New Roman"/>
          <w:sz w:val="24"/>
          <w:szCs w:val="24"/>
        </w:rPr>
        <w:t>Patie</w:t>
      </w:r>
      <w:r w:rsidR="00D33C2E" w:rsidRPr="003A674A">
        <w:rPr>
          <w:rFonts w:ascii="Times New Roman" w:hAnsi="Times New Roman" w:cs="Times New Roman"/>
          <w:sz w:val="24"/>
          <w:szCs w:val="24"/>
        </w:rPr>
        <w:t xml:space="preserve">nts with femoral, </w:t>
      </w:r>
      <w:r w:rsidR="009D037E" w:rsidRPr="003A674A">
        <w:rPr>
          <w:rFonts w:ascii="Times New Roman" w:hAnsi="Times New Roman" w:cs="Times New Roman"/>
          <w:sz w:val="24"/>
          <w:szCs w:val="24"/>
        </w:rPr>
        <w:t>brachial, multiple</w:t>
      </w:r>
      <w:r w:rsidR="00071400" w:rsidRPr="003A674A">
        <w:rPr>
          <w:rFonts w:ascii="Times New Roman" w:hAnsi="Times New Roman" w:cs="Times New Roman"/>
          <w:sz w:val="24"/>
          <w:szCs w:val="24"/>
        </w:rPr>
        <w:t xml:space="preserve">, unknown or missing access </w:t>
      </w:r>
      <w:r w:rsidR="00B16128" w:rsidRPr="003A674A">
        <w:rPr>
          <w:rFonts w:ascii="Times New Roman" w:hAnsi="Times New Roman" w:cs="Times New Roman"/>
          <w:sz w:val="24"/>
          <w:szCs w:val="24"/>
        </w:rPr>
        <w:t xml:space="preserve">site information were excluded. </w:t>
      </w:r>
    </w:p>
    <w:p w14:paraId="49C640C6" w14:textId="5B996103" w:rsidR="00C435EE" w:rsidRPr="003A674A" w:rsidRDefault="00C435EE" w:rsidP="00986A1B">
      <w:pPr>
        <w:spacing w:after="0"/>
        <w:ind w:firstLine="0"/>
        <w:rPr>
          <w:rFonts w:ascii="Times New Roman" w:hAnsi="Times New Roman" w:cs="Times New Roman"/>
          <w:sz w:val="24"/>
          <w:szCs w:val="24"/>
        </w:rPr>
      </w:pPr>
    </w:p>
    <w:p w14:paraId="262B9C83" w14:textId="649908BB" w:rsidR="00C435EE" w:rsidRPr="003A674A" w:rsidRDefault="00C435EE" w:rsidP="00986A1B">
      <w:pPr>
        <w:spacing w:after="0"/>
        <w:ind w:firstLine="0"/>
        <w:rPr>
          <w:rFonts w:ascii="Times New Roman" w:hAnsi="Times New Roman" w:cs="Times New Roman"/>
          <w:i/>
          <w:sz w:val="24"/>
          <w:szCs w:val="24"/>
        </w:rPr>
      </w:pPr>
      <w:r w:rsidRPr="003A674A">
        <w:rPr>
          <w:rFonts w:ascii="Times New Roman" w:hAnsi="Times New Roman" w:cs="Times New Roman"/>
          <w:i/>
          <w:sz w:val="24"/>
          <w:szCs w:val="24"/>
        </w:rPr>
        <w:t>Clinical characteristics</w:t>
      </w:r>
    </w:p>
    <w:p w14:paraId="32B19F2B" w14:textId="77777777" w:rsidR="006024D5" w:rsidRPr="003A674A" w:rsidRDefault="006024D5" w:rsidP="00986A1B">
      <w:pPr>
        <w:spacing w:after="0"/>
        <w:ind w:firstLine="0"/>
        <w:rPr>
          <w:rFonts w:ascii="Times New Roman" w:hAnsi="Times New Roman" w:cs="Times New Roman"/>
          <w:sz w:val="24"/>
          <w:szCs w:val="24"/>
        </w:rPr>
      </w:pPr>
    </w:p>
    <w:p w14:paraId="432C3975" w14:textId="353ADE72" w:rsidR="009B1530" w:rsidRDefault="00F64AB9" w:rsidP="00986A1B">
      <w:pPr>
        <w:spacing w:after="0"/>
        <w:ind w:firstLine="0"/>
        <w:rPr>
          <w:rFonts w:ascii="Times New Roman" w:hAnsi="Times New Roman" w:cs="Times New Roman"/>
          <w:sz w:val="24"/>
          <w:szCs w:val="24"/>
        </w:rPr>
      </w:pPr>
      <w:r w:rsidRPr="003A674A">
        <w:rPr>
          <w:rFonts w:ascii="Times New Roman" w:hAnsi="Times New Roman" w:cs="Times New Roman"/>
          <w:sz w:val="24"/>
          <w:szCs w:val="24"/>
        </w:rPr>
        <w:t>W</w:t>
      </w:r>
      <w:r w:rsidR="00B16128" w:rsidRPr="003A674A">
        <w:rPr>
          <w:rFonts w:ascii="Times New Roman" w:hAnsi="Times New Roman" w:cs="Times New Roman"/>
          <w:sz w:val="24"/>
          <w:szCs w:val="24"/>
        </w:rPr>
        <w:t xml:space="preserve">e collected data on </w:t>
      </w:r>
      <w:r w:rsidRPr="003A674A">
        <w:rPr>
          <w:rFonts w:ascii="Times New Roman" w:hAnsi="Times New Roman" w:cs="Times New Roman"/>
          <w:sz w:val="24"/>
          <w:szCs w:val="24"/>
        </w:rPr>
        <w:t xml:space="preserve">each </w:t>
      </w:r>
      <w:r w:rsidR="00B16128" w:rsidRPr="003A674A">
        <w:rPr>
          <w:rFonts w:ascii="Times New Roman" w:hAnsi="Times New Roman" w:cs="Times New Roman"/>
          <w:sz w:val="24"/>
          <w:szCs w:val="24"/>
        </w:rPr>
        <w:t>patient’s baseline demographics, clinical and cardiovascular risk profile, indication for PCI, and all other aspects of interventional and pharmacological treatment administered</w:t>
      </w:r>
      <w:r w:rsidR="00C435EE" w:rsidRPr="003A674A">
        <w:rPr>
          <w:rFonts w:ascii="Times New Roman" w:hAnsi="Times New Roman" w:cs="Times New Roman"/>
          <w:sz w:val="24"/>
          <w:szCs w:val="24"/>
        </w:rPr>
        <w:t>.</w:t>
      </w:r>
      <w:r w:rsidR="00D33C2E" w:rsidRPr="003A674A">
        <w:rPr>
          <w:rFonts w:ascii="Times New Roman" w:hAnsi="Times New Roman" w:cs="Times New Roman"/>
          <w:sz w:val="24"/>
          <w:szCs w:val="24"/>
        </w:rPr>
        <w:t xml:space="preserve"> </w:t>
      </w:r>
      <w:r w:rsidR="003C5BC0" w:rsidRPr="003A674A">
        <w:rPr>
          <w:rFonts w:ascii="Times New Roman" w:hAnsi="Times New Roman" w:cs="Times New Roman"/>
          <w:sz w:val="24"/>
          <w:szCs w:val="24"/>
        </w:rPr>
        <w:t xml:space="preserve">In order to explore the access site practice in patients undergoing repeat PCI, we undertook </w:t>
      </w:r>
      <w:r w:rsidR="006024D5" w:rsidRPr="003A674A">
        <w:rPr>
          <w:rFonts w:ascii="Times New Roman" w:hAnsi="Times New Roman" w:cs="Times New Roman"/>
          <w:sz w:val="24"/>
          <w:szCs w:val="24"/>
        </w:rPr>
        <w:t xml:space="preserve">a sub-group </w:t>
      </w:r>
      <w:r w:rsidR="0050349B" w:rsidRPr="003A674A">
        <w:rPr>
          <w:rFonts w:ascii="Times New Roman" w:hAnsi="Times New Roman" w:cs="Times New Roman"/>
          <w:sz w:val="24"/>
          <w:szCs w:val="24"/>
        </w:rPr>
        <w:t xml:space="preserve">analysis </w:t>
      </w:r>
      <w:r w:rsidR="006024D5" w:rsidRPr="003A674A">
        <w:rPr>
          <w:rFonts w:ascii="Times New Roman" w:hAnsi="Times New Roman" w:cs="Times New Roman"/>
          <w:sz w:val="24"/>
          <w:szCs w:val="24"/>
        </w:rPr>
        <w:t xml:space="preserve">of patients </w:t>
      </w:r>
      <w:r w:rsidR="007112FB" w:rsidRPr="003A674A">
        <w:rPr>
          <w:rFonts w:ascii="Times New Roman" w:hAnsi="Times New Roman" w:cs="Times New Roman"/>
          <w:sz w:val="24"/>
          <w:szCs w:val="24"/>
        </w:rPr>
        <w:t>with</w:t>
      </w:r>
      <w:r w:rsidR="006024D5" w:rsidRPr="003A674A">
        <w:rPr>
          <w:rFonts w:ascii="Times New Roman" w:hAnsi="Times New Roman" w:cs="Times New Roman"/>
          <w:sz w:val="24"/>
          <w:szCs w:val="24"/>
        </w:rPr>
        <w:t xml:space="preserve"> RRA procedure as their first</w:t>
      </w:r>
      <w:r w:rsidR="003C5BC0" w:rsidRPr="003A674A">
        <w:rPr>
          <w:rFonts w:ascii="Times New Roman" w:hAnsi="Times New Roman" w:cs="Times New Roman"/>
          <w:sz w:val="24"/>
          <w:szCs w:val="24"/>
        </w:rPr>
        <w:t xml:space="preserve"> procedure</w:t>
      </w:r>
      <w:r w:rsidR="0050349B" w:rsidRPr="003A674A">
        <w:rPr>
          <w:rFonts w:ascii="Times New Roman" w:hAnsi="Times New Roman" w:cs="Times New Roman"/>
          <w:sz w:val="24"/>
          <w:szCs w:val="24"/>
        </w:rPr>
        <w:t xml:space="preserve"> and tracked the access site at each subsequent procedure</w:t>
      </w:r>
      <w:r w:rsidR="009D037E" w:rsidRPr="003A674A">
        <w:rPr>
          <w:rFonts w:ascii="Times New Roman" w:hAnsi="Times New Roman" w:cs="Times New Roman"/>
          <w:sz w:val="24"/>
          <w:szCs w:val="24"/>
        </w:rPr>
        <w:t xml:space="preserve"> as RRA is most widely practised radial access</w:t>
      </w:r>
      <w:r w:rsidR="0050349B" w:rsidRPr="003A674A">
        <w:rPr>
          <w:rFonts w:ascii="Times New Roman" w:hAnsi="Times New Roman" w:cs="Times New Roman"/>
          <w:sz w:val="24"/>
          <w:szCs w:val="24"/>
        </w:rPr>
        <w:t>.</w:t>
      </w:r>
      <w:r w:rsidR="009D037E" w:rsidRPr="003A674A">
        <w:rPr>
          <w:rFonts w:ascii="Times New Roman" w:hAnsi="Times New Roman" w:cs="Times New Roman"/>
          <w:sz w:val="24"/>
          <w:szCs w:val="24"/>
        </w:rPr>
        <w:t xml:space="preserve"> </w:t>
      </w:r>
    </w:p>
    <w:p w14:paraId="628BBBFE" w14:textId="77777777" w:rsidR="009B1530" w:rsidRPr="003A674A" w:rsidRDefault="009B1530" w:rsidP="00986A1B">
      <w:pPr>
        <w:spacing w:after="0"/>
        <w:ind w:firstLine="0"/>
        <w:rPr>
          <w:rFonts w:ascii="Times New Roman" w:hAnsi="Times New Roman" w:cs="Times New Roman"/>
          <w:sz w:val="24"/>
          <w:szCs w:val="24"/>
        </w:rPr>
      </w:pPr>
    </w:p>
    <w:p w14:paraId="5AA79870" w14:textId="406A9B14" w:rsidR="006024D5" w:rsidRPr="003A674A" w:rsidRDefault="006024D5" w:rsidP="00831AE3">
      <w:pPr>
        <w:ind w:firstLine="0"/>
        <w:rPr>
          <w:rFonts w:ascii="Times New Roman" w:hAnsi="Times New Roman" w:cs="Times New Roman"/>
          <w:i/>
          <w:sz w:val="24"/>
          <w:szCs w:val="24"/>
        </w:rPr>
      </w:pPr>
      <w:r w:rsidRPr="003A674A">
        <w:rPr>
          <w:rFonts w:ascii="Times New Roman" w:hAnsi="Times New Roman" w:cs="Times New Roman"/>
          <w:i/>
          <w:sz w:val="24"/>
          <w:szCs w:val="24"/>
        </w:rPr>
        <w:t>Outcomes</w:t>
      </w:r>
    </w:p>
    <w:p w14:paraId="0FE67393" w14:textId="5A4C1430" w:rsidR="00546FA6" w:rsidRPr="003A674A" w:rsidRDefault="00B16128" w:rsidP="00831AE3">
      <w:pPr>
        <w:ind w:firstLine="0"/>
        <w:rPr>
          <w:rFonts w:ascii="Times New Roman" w:hAnsi="Times New Roman" w:cs="Times New Roman"/>
          <w:sz w:val="24"/>
          <w:szCs w:val="24"/>
        </w:rPr>
      </w:pPr>
      <w:r w:rsidRPr="003A674A">
        <w:rPr>
          <w:rFonts w:ascii="Times New Roman" w:hAnsi="Times New Roman" w:cs="Times New Roman"/>
          <w:sz w:val="24"/>
          <w:szCs w:val="24"/>
        </w:rPr>
        <w:lastRenderedPageBreak/>
        <w:t xml:space="preserve">The primary end points were in-hospital </w:t>
      </w:r>
      <w:r w:rsidR="00F64AB9" w:rsidRPr="003A674A">
        <w:rPr>
          <w:rFonts w:ascii="Times New Roman" w:hAnsi="Times New Roman" w:cs="Times New Roman"/>
          <w:sz w:val="24"/>
          <w:szCs w:val="24"/>
        </w:rPr>
        <w:t xml:space="preserve">and 30-day </w:t>
      </w:r>
      <w:r w:rsidRPr="003A674A">
        <w:rPr>
          <w:rFonts w:ascii="Times New Roman" w:hAnsi="Times New Roman" w:cs="Times New Roman"/>
          <w:sz w:val="24"/>
          <w:szCs w:val="24"/>
        </w:rPr>
        <w:t>mortality, in-hospit</w:t>
      </w:r>
      <w:r w:rsidR="009A04F6" w:rsidRPr="003A674A">
        <w:rPr>
          <w:rFonts w:ascii="Times New Roman" w:hAnsi="Times New Roman" w:cs="Times New Roman"/>
          <w:sz w:val="24"/>
          <w:szCs w:val="24"/>
        </w:rPr>
        <w:t xml:space="preserve">al major bleeding (defined as a </w:t>
      </w:r>
      <w:r w:rsidRPr="003A674A">
        <w:rPr>
          <w:rFonts w:ascii="Times New Roman" w:hAnsi="Times New Roman" w:cs="Times New Roman"/>
          <w:sz w:val="24"/>
          <w:szCs w:val="24"/>
        </w:rPr>
        <w:t>composite of blood or platelet transfusion, intracerebral haemorrhage, retroperitoneal haemorrhage, bleed resulting in cardiac tamponade, or an arterial access site bleeding requiring surgery or intervention), in-hospital Major Adverse Cardiovascular Events (MACE defined a composite of in-hospital mortality, in-hospital myocardial infarction or re-infarction and revascularization- emergency PCI or CABG) and In-hospital Stroke c</w:t>
      </w:r>
      <w:r w:rsidR="00546FA6" w:rsidRPr="003A674A">
        <w:rPr>
          <w:rFonts w:ascii="Times New Roman" w:hAnsi="Times New Roman" w:cs="Times New Roman"/>
          <w:sz w:val="24"/>
          <w:szCs w:val="24"/>
        </w:rPr>
        <w:t>omplications (defined as</w:t>
      </w:r>
      <w:r w:rsidRPr="003A674A">
        <w:rPr>
          <w:rFonts w:ascii="Times New Roman" w:hAnsi="Times New Roman" w:cs="Times New Roman"/>
          <w:sz w:val="24"/>
          <w:szCs w:val="24"/>
        </w:rPr>
        <w:t xml:space="preserve"> haemorrhagic, </w:t>
      </w:r>
      <w:r w:rsidR="00546FA6" w:rsidRPr="003A674A">
        <w:rPr>
          <w:rFonts w:ascii="Times New Roman" w:hAnsi="Times New Roman" w:cs="Times New Roman"/>
          <w:sz w:val="24"/>
          <w:szCs w:val="24"/>
        </w:rPr>
        <w:t>ischemic, embolic stroke or transient ischemic attack).</w:t>
      </w:r>
    </w:p>
    <w:p w14:paraId="16EC91B1" w14:textId="33AF60D0" w:rsidR="00546FA6" w:rsidRPr="003A674A" w:rsidRDefault="00546FA6" w:rsidP="00986A1B">
      <w:pPr>
        <w:ind w:firstLine="0"/>
        <w:rPr>
          <w:rStyle w:val="SubtleEmphasis"/>
          <w:rFonts w:ascii="Times New Roman" w:hAnsi="Times New Roman" w:cs="Times New Roman"/>
          <w:sz w:val="24"/>
          <w:szCs w:val="24"/>
        </w:rPr>
      </w:pPr>
      <w:r w:rsidRPr="003A674A">
        <w:rPr>
          <w:rStyle w:val="SubtleEmphasis"/>
          <w:rFonts w:ascii="Times New Roman" w:hAnsi="Times New Roman" w:cs="Times New Roman"/>
          <w:sz w:val="24"/>
          <w:szCs w:val="24"/>
        </w:rPr>
        <w:t xml:space="preserve">Statistical analysis </w:t>
      </w:r>
    </w:p>
    <w:p w14:paraId="0C9DEB20" w14:textId="6A2B7B3E" w:rsidR="00DE33DB" w:rsidRPr="003A674A" w:rsidRDefault="006024D5" w:rsidP="005657C7">
      <w:pPr>
        <w:ind w:firstLine="0"/>
        <w:rPr>
          <w:rFonts w:ascii="Times New Roman" w:hAnsi="Times New Roman" w:cs="Times New Roman"/>
          <w:sz w:val="24"/>
          <w:szCs w:val="24"/>
        </w:rPr>
      </w:pPr>
      <w:r w:rsidRPr="003A674A">
        <w:rPr>
          <w:rFonts w:ascii="Times New Roman" w:hAnsi="Times New Roman" w:cs="Times New Roman"/>
          <w:sz w:val="24"/>
          <w:szCs w:val="24"/>
        </w:rPr>
        <w:t>First, we</w:t>
      </w:r>
      <w:r w:rsidR="00546FA6" w:rsidRPr="003A674A">
        <w:rPr>
          <w:rFonts w:ascii="Times New Roman" w:hAnsi="Times New Roman" w:cs="Times New Roman"/>
          <w:sz w:val="24"/>
          <w:szCs w:val="24"/>
        </w:rPr>
        <w:t xml:space="preserve"> compare</w:t>
      </w:r>
      <w:r w:rsidRPr="003A674A">
        <w:rPr>
          <w:rFonts w:ascii="Times New Roman" w:hAnsi="Times New Roman" w:cs="Times New Roman"/>
          <w:sz w:val="24"/>
          <w:szCs w:val="24"/>
        </w:rPr>
        <w:t>d</w:t>
      </w:r>
      <w:r w:rsidR="00546FA6" w:rsidRPr="003A674A">
        <w:rPr>
          <w:rFonts w:ascii="Times New Roman" w:hAnsi="Times New Roman" w:cs="Times New Roman"/>
          <w:sz w:val="24"/>
          <w:szCs w:val="24"/>
        </w:rPr>
        <w:t xml:space="preserve"> the characteristics </w:t>
      </w:r>
      <w:r w:rsidRPr="003A674A">
        <w:rPr>
          <w:rFonts w:ascii="Times New Roman" w:hAnsi="Times New Roman" w:cs="Times New Roman"/>
          <w:sz w:val="24"/>
          <w:szCs w:val="24"/>
        </w:rPr>
        <w:t xml:space="preserve">between patients with RRA and LRA </w:t>
      </w:r>
      <w:r w:rsidR="007112FB" w:rsidRPr="003A674A">
        <w:rPr>
          <w:rFonts w:ascii="Times New Roman" w:hAnsi="Times New Roman" w:cs="Times New Roman"/>
          <w:sz w:val="24"/>
          <w:szCs w:val="24"/>
        </w:rPr>
        <w:t>used at the first procedure</w:t>
      </w:r>
      <w:r w:rsidRPr="003A674A">
        <w:rPr>
          <w:rFonts w:ascii="Times New Roman" w:hAnsi="Times New Roman" w:cs="Times New Roman"/>
          <w:sz w:val="24"/>
          <w:szCs w:val="24"/>
        </w:rPr>
        <w:t>. W</w:t>
      </w:r>
      <w:r w:rsidR="00546FA6" w:rsidRPr="003A674A">
        <w:rPr>
          <w:rFonts w:ascii="Times New Roman" w:hAnsi="Times New Roman" w:cs="Times New Roman"/>
          <w:sz w:val="24"/>
          <w:szCs w:val="24"/>
        </w:rPr>
        <w:t xml:space="preserve">e employed analysis of variance for continuous variables and Fisher’s exact tests for binary/categorical </w:t>
      </w:r>
      <w:r w:rsidR="00DE33DB" w:rsidRPr="003A674A">
        <w:rPr>
          <w:rFonts w:ascii="Times New Roman" w:hAnsi="Times New Roman" w:cs="Times New Roman"/>
          <w:sz w:val="24"/>
          <w:szCs w:val="24"/>
        </w:rPr>
        <w:t>variables.</w:t>
      </w:r>
      <w:r w:rsidR="0054501C" w:rsidRPr="003A674A">
        <w:rPr>
          <w:rFonts w:ascii="Times New Roman" w:hAnsi="Times New Roman" w:cs="Times New Roman"/>
          <w:sz w:val="24"/>
          <w:szCs w:val="24"/>
        </w:rPr>
        <w:t xml:space="preserve"> </w:t>
      </w:r>
      <w:r w:rsidR="003D1BF9" w:rsidRPr="003A674A">
        <w:rPr>
          <w:rFonts w:ascii="Times New Roman" w:hAnsi="Times New Roman" w:cs="Times New Roman"/>
          <w:sz w:val="24"/>
          <w:szCs w:val="24"/>
        </w:rPr>
        <w:t xml:space="preserve"> The predictive analysis was undertaken using backward stepwise approach by including all the variables as above in the MLR and then removing the variables with significance above the defined threshold of (p&gt;0.011). </w:t>
      </w:r>
    </w:p>
    <w:p w14:paraId="2151EA77" w14:textId="4044B623" w:rsidR="00546FA6" w:rsidRPr="003A674A" w:rsidRDefault="005E14F3" w:rsidP="00831AE3">
      <w:pPr>
        <w:ind w:firstLine="0"/>
        <w:rPr>
          <w:rFonts w:ascii="Times New Roman" w:hAnsi="Times New Roman" w:cs="Times New Roman"/>
          <w:sz w:val="24"/>
          <w:szCs w:val="24"/>
        </w:rPr>
      </w:pPr>
      <w:r w:rsidRPr="003A674A">
        <w:rPr>
          <w:rFonts w:ascii="Times New Roman" w:hAnsi="Times New Roman" w:cs="Times New Roman"/>
          <w:sz w:val="24"/>
          <w:szCs w:val="24"/>
        </w:rPr>
        <w:t>In order to protect against the biases arising from informative missing data mechanisms, we used multiple imputation with chained equations framework to impute for all variables with missing information.</w:t>
      </w:r>
      <w:r w:rsidR="000602D5" w:rsidRPr="003A674A">
        <w:rPr>
          <w:rFonts w:ascii="Times New Roman" w:hAnsi="Times New Roman" w:cs="Times New Roman"/>
          <w:sz w:val="24"/>
          <w:szCs w:val="24"/>
        </w:rPr>
        <w:t xml:space="preserve"> The patients with missing information on </w:t>
      </w:r>
      <w:r w:rsidR="00F70D7E" w:rsidRPr="003A674A">
        <w:rPr>
          <w:rFonts w:ascii="Times New Roman" w:hAnsi="Times New Roman" w:cs="Times New Roman"/>
          <w:sz w:val="24"/>
          <w:szCs w:val="24"/>
        </w:rPr>
        <w:t xml:space="preserve">mortality </w:t>
      </w:r>
      <w:r w:rsidR="000602D5" w:rsidRPr="003A674A">
        <w:rPr>
          <w:rFonts w:ascii="Times New Roman" w:hAnsi="Times New Roman" w:cs="Times New Roman"/>
          <w:sz w:val="24"/>
          <w:szCs w:val="24"/>
        </w:rPr>
        <w:t>outcomes were excluded before the imputation</w:t>
      </w:r>
      <w:r w:rsidR="00DD282F" w:rsidRPr="003A674A">
        <w:rPr>
          <w:rFonts w:ascii="Times New Roman" w:hAnsi="Times New Roman" w:cs="Times New Roman"/>
          <w:sz w:val="24"/>
          <w:szCs w:val="24"/>
        </w:rPr>
        <w:t>, since the inclusion of these cases in the imputation model</w:t>
      </w:r>
      <w:r w:rsidR="00FD5D76" w:rsidRPr="003A674A">
        <w:rPr>
          <w:rFonts w:ascii="Times New Roman" w:hAnsi="Times New Roman" w:cs="Times New Roman"/>
          <w:sz w:val="24"/>
          <w:szCs w:val="24"/>
        </w:rPr>
        <w:t xml:space="preserve"> makes no difference </w:t>
      </w:r>
      <w:r w:rsidR="00FD5D76" w:rsidRPr="003A674A">
        <w:rPr>
          <w:rFonts w:ascii="Times New Roman" w:hAnsi="Times New Roman" w:cs="Times New Roman"/>
          <w:sz w:val="24"/>
          <w:szCs w:val="24"/>
        </w:rPr>
        <w:fldChar w:fldCharType="begin"/>
      </w:r>
      <w:r w:rsidR="00FD5D76" w:rsidRPr="003A674A">
        <w:rPr>
          <w:rFonts w:ascii="Times New Roman" w:hAnsi="Times New Roman" w:cs="Times New Roman"/>
          <w:sz w:val="24"/>
          <w:szCs w:val="24"/>
        </w:rPr>
        <w:instrText>ADDIN RW.CITE{{457 Kontopantelis,E. 2017}}</w:instrText>
      </w:r>
      <w:r w:rsidR="00FD5D76" w:rsidRPr="003A674A">
        <w:rPr>
          <w:rFonts w:ascii="Times New Roman" w:hAnsi="Times New Roman" w:cs="Times New Roman"/>
          <w:sz w:val="24"/>
          <w:szCs w:val="24"/>
        </w:rPr>
        <w:fldChar w:fldCharType="separate"/>
      </w:r>
      <w:r w:rsidR="00FD5D76" w:rsidRPr="003A674A">
        <w:rPr>
          <w:rFonts w:ascii="Times New Roman" w:hAnsi="Times New Roman" w:cs="Times New Roman"/>
          <w:sz w:val="24"/>
          <w:szCs w:val="24"/>
        </w:rPr>
        <w:t>(25)</w:t>
      </w:r>
      <w:r w:rsidR="00FD5D76" w:rsidRPr="003A674A">
        <w:rPr>
          <w:rFonts w:ascii="Times New Roman" w:hAnsi="Times New Roman" w:cs="Times New Roman"/>
          <w:sz w:val="24"/>
          <w:szCs w:val="24"/>
        </w:rPr>
        <w:fldChar w:fldCharType="end"/>
      </w:r>
      <w:r w:rsidR="000602D5" w:rsidRPr="003A674A">
        <w:rPr>
          <w:rFonts w:ascii="Times New Roman" w:hAnsi="Times New Roman" w:cs="Times New Roman"/>
          <w:sz w:val="24"/>
          <w:szCs w:val="24"/>
        </w:rPr>
        <w:t>.</w:t>
      </w:r>
      <w:r w:rsidR="00F70D7E" w:rsidRPr="003A674A">
        <w:rPr>
          <w:rFonts w:ascii="Times New Roman" w:hAnsi="Times New Roman" w:cs="Times New Roman"/>
          <w:sz w:val="24"/>
          <w:szCs w:val="24"/>
        </w:rPr>
        <w:t xml:space="preserve"> </w:t>
      </w:r>
      <w:r w:rsidRPr="003A674A">
        <w:rPr>
          <w:rFonts w:ascii="Times New Roman" w:hAnsi="Times New Roman" w:cs="Times New Roman"/>
          <w:sz w:val="24"/>
          <w:szCs w:val="24"/>
        </w:rPr>
        <w:t xml:space="preserve">Complete variables registered in the imputation model were age, sex, access site and study outcome variables and imputed variables were </w:t>
      </w:r>
      <w:r w:rsidR="008C19D1" w:rsidRPr="003A674A">
        <w:rPr>
          <w:rFonts w:ascii="Times New Roman" w:hAnsi="Times New Roman" w:cs="Times New Roman"/>
          <w:sz w:val="24"/>
          <w:szCs w:val="24"/>
        </w:rPr>
        <w:t xml:space="preserve">indication </w:t>
      </w:r>
      <w:r w:rsidR="003B305F" w:rsidRPr="003A674A">
        <w:rPr>
          <w:rFonts w:ascii="Times New Roman" w:hAnsi="Times New Roman" w:cs="Times New Roman"/>
          <w:sz w:val="24"/>
          <w:szCs w:val="24"/>
        </w:rPr>
        <w:t>for</w:t>
      </w:r>
      <w:r w:rsidR="008C19D1" w:rsidRPr="003A674A">
        <w:rPr>
          <w:rFonts w:ascii="Times New Roman" w:hAnsi="Times New Roman" w:cs="Times New Roman"/>
          <w:sz w:val="24"/>
          <w:szCs w:val="24"/>
        </w:rPr>
        <w:t xml:space="preserve"> PCI, previous AMI, </w:t>
      </w:r>
      <w:r w:rsidR="003B305F" w:rsidRPr="003A674A">
        <w:rPr>
          <w:rFonts w:ascii="Times New Roman" w:hAnsi="Times New Roman" w:cs="Times New Roman"/>
          <w:sz w:val="24"/>
          <w:szCs w:val="24"/>
        </w:rPr>
        <w:t>p</w:t>
      </w:r>
      <w:r w:rsidR="008C19D1" w:rsidRPr="003A674A">
        <w:rPr>
          <w:rFonts w:ascii="Times New Roman" w:hAnsi="Times New Roman" w:cs="Times New Roman"/>
          <w:sz w:val="24"/>
          <w:szCs w:val="24"/>
        </w:rPr>
        <w:t xml:space="preserve">revious CABG, history of diabetes mellitus, peripheral vascular disease, previous PCI, </w:t>
      </w:r>
      <w:proofErr w:type="spellStart"/>
      <w:r w:rsidR="008C19D1" w:rsidRPr="003A674A">
        <w:rPr>
          <w:rFonts w:ascii="Times New Roman" w:hAnsi="Times New Roman" w:cs="Times New Roman"/>
          <w:sz w:val="24"/>
          <w:szCs w:val="24"/>
        </w:rPr>
        <w:t>hyp</w:t>
      </w:r>
      <w:r w:rsidR="003B305F" w:rsidRPr="003A674A">
        <w:rPr>
          <w:rFonts w:ascii="Times New Roman" w:hAnsi="Times New Roman" w:cs="Times New Roman"/>
          <w:sz w:val="24"/>
          <w:szCs w:val="24"/>
        </w:rPr>
        <w:t>er</w:t>
      </w:r>
      <w:r w:rsidR="008C19D1" w:rsidRPr="003A674A">
        <w:rPr>
          <w:rFonts w:ascii="Times New Roman" w:hAnsi="Times New Roman" w:cs="Times New Roman"/>
          <w:sz w:val="24"/>
          <w:szCs w:val="24"/>
        </w:rPr>
        <w:t>cholesteraemia</w:t>
      </w:r>
      <w:proofErr w:type="spellEnd"/>
      <w:r w:rsidR="008C19D1" w:rsidRPr="003A674A">
        <w:rPr>
          <w:rFonts w:ascii="Times New Roman" w:hAnsi="Times New Roman" w:cs="Times New Roman"/>
          <w:sz w:val="24"/>
          <w:szCs w:val="24"/>
        </w:rPr>
        <w:t>, hypertension,</w:t>
      </w:r>
      <w:r w:rsidR="009906F2" w:rsidRPr="003A674A">
        <w:rPr>
          <w:rFonts w:ascii="Times New Roman" w:hAnsi="Times New Roman" w:cs="Times New Roman"/>
          <w:sz w:val="24"/>
          <w:szCs w:val="24"/>
        </w:rPr>
        <w:t xml:space="preserve"> cerebrovascular accident, renal disease, body mass index, left ventricular systolic function, smoking status, mechanical ventilation, use of intra-aortic balloon pump, pharmacological inotropic support, use of GP2b3a</w:t>
      </w:r>
      <w:r w:rsidR="003B305F" w:rsidRPr="003A674A">
        <w:rPr>
          <w:rFonts w:ascii="Times New Roman" w:hAnsi="Times New Roman" w:cs="Times New Roman"/>
          <w:sz w:val="24"/>
          <w:szCs w:val="24"/>
        </w:rPr>
        <w:t xml:space="preserve"> inhibitor</w:t>
      </w:r>
      <w:r w:rsidR="003339EF" w:rsidRPr="003A674A">
        <w:rPr>
          <w:rFonts w:ascii="Times New Roman" w:hAnsi="Times New Roman" w:cs="Times New Roman"/>
          <w:sz w:val="24"/>
          <w:szCs w:val="24"/>
        </w:rPr>
        <w:t xml:space="preserve">, </w:t>
      </w:r>
      <w:proofErr w:type="spellStart"/>
      <w:r w:rsidR="003339EF" w:rsidRPr="003A674A">
        <w:rPr>
          <w:rFonts w:ascii="Times New Roman" w:hAnsi="Times New Roman" w:cs="Times New Roman"/>
          <w:sz w:val="24"/>
          <w:szCs w:val="24"/>
        </w:rPr>
        <w:t>Ticagrelor</w:t>
      </w:r>
      <w:proofErr w:type="spellEnd"/>
      <w:r w:rsidR="003339EF" w:rsidRPr="003A674A">
        <w:rPr>
          <w:rFonts w:ascii="Times New Roman" w:hAnsi="Times New Roman" w:cs="Times New Roman"/>
          <w:sz w:val="24"/>
          <w:szCs w:val="24"/>
        </w:rPr>
        <w:t xml:space="preserve">, </w:t>
      </w:r>
      <w:proofErr w:type="spellStart"/>
      <w:r w:rsidR="003339EF" w:rsidRPr="003A674A">
        <w:rPr>
          <w:rFonts w:ascii="Times New Roman" w:hAnsi="Times New Roman" w:cs="Times New Roman"/>
          <w:sz w:val="24"/>
          <w:szCs w:val="24"/>
        </w:rPr>
        <w:t>P</w:t>
      </w:r>
      <w:r w:rsidR="009906F2" w:rsidRPr="003A674A">
        <w:rPr>
          <w:rFonts w:ascii="Times New Roman" w:hAnsi="Times New Roman" w:cs="Times New Roman"/>
          <w:sz w:val="24"/>
          <w:szCs w:val="24"/>
        </w:rPr>
        <w:t>rasugrel</w:t>
      </w:r>
      <w:proofErr w:type="spellEnd"/>
      <w:r w:rsidR="009906F2" w:rsidRPr="003A674A">
        <w:rPr>
          <w:rFonts w:ascii="Times New Roman" w:hAnsi="Times New Roman" w:cs="Times New Roman"/>
          <w:sz w:val="24"/>
          <w:szCs w:val="24"/>
        </w:rPr>
        <w:t xml:space="preserve">, </w:t>
      </w:r>
      <w:proofErr w:type="spellStart"/>
      <w:r w:rsidR="009906F2" w:rsidRPr="003A674A">
        <w:rPr>
          <w:rFonts w:ascii="Times New Roman" w:hAnsi="Times New Roman" w:cs="Times New Roman"/>
          <w:sz w:val="24"/>
          <w:szCs w:val="24"/>
        </w:rPr>
        <w:t>bivalirudin</w:t>
      </w:r>
      <w:proofErr w:type="spellEnd"/>
      <w:r w:rsidR="009906F2" w:rsidRPr="003A674A">
        <w:rPr>
          <w:rFonts w:ascii="Times New Roman" w:hAnsi="Times New Roman" w:cs="Times New Roman"/>
          <w:sz w:val="24"/>
          <w:szCs w:val="24"/>
        </w:rPr>
        <w:t>, PCI to left main stem, multi-vessel PCI, cardiogenic shock, stent use and operat</w:t>
      </w:r>
      <w:r w:rsidR="00F5735F" w:rsidRPr="003A674A">
        <w:rPr>
          <w:rFonts w:ascii="Times New Roman" w:hAnsi="Times New Roman" w:cs="Times New Roman"/>
          <w:sz w:val="24"/>
          <w:szCs w:val="24"/>
        </w:rPr>
        <w:t>or status.</w:t>
      </w:r>
      <w:r w:rsidR="003C5BC0" w:rsidRPr="003A674A">
        <w:rPr>
          <w:rFonts w:ascii="Times New Roman" w:hAnsi="Times New Roman" w:cs="Times New Roman"/>
          <w:sz w:val="24"/>
          <w:szCs w:val="24"/>
        </w:rPr>
        <w:t xml:space="preserve"> </w:t>
      </w:r>
    </w:p>
    <w:p w14:paraId="3ADD613F" w14:textId="3D85C691" w:rsidR="00DC5C5A" w:rsidRPr="003A674A" w:rsidRDefault="005E14F3" w:rsidP="00120B85">
      <w:pPr>
        <w:rPr>
          <w:rFonts w:ascii="Times New Roman" w:hAnsi="Times New Roman" w:cs="Times New Roman"/>
          <w:sz w:val="24"/>
          <w:szCs w:val="24"/>
        </w:rPr>
      </w:pPr>
      <w:r w:rsidRPr="003A674A">
        <w:rPr>
          <w:rFonts w:ascii="Times New Roman" w:hAnsi="Times New Roman" w:cs="Times New Roman"/>
          <w:sz w:val="24"/>
          <w:szCs w:val="24"/>
        </w:rPr>
        <w:t>The final analyses were run on the 10 datasets generated</w:t>
      </w:r>
      <w:r w:rsidR="006C7F3E" w:rsidRPr="003A674A">
        <w:rPr>
          <w:rFonts w:ascii="Times New Roman" w:hAnsi="Times New Roman" w:cs="Times New Roman"/>
          <w:sz w:val="24"/>
          <w:szCs w:val="24"/>
        </w:rPr>
        <w:t xml:space="preserve"> under the</w:t>
      </w:r>
      <w:r w:rsidRPr="003A674A">
        <w:rPr>
          <w:rFonts w:ascii="Times New Roman" w:hAnsi="Times New Roman" w:cs="Times New Roman"/>
          <w:sz w:val="24"/>
          <w:szCs w:val="24"/>
        </w:rPr>
        <w:t xml:space="preserve"> multiple imputation</w:t>
      </w:r>
      <w:r w:rsidR="006C7F3E" w:rsidRPr="003A674A">
        <w:rPr>
          <w:rFonts w:ascii="Times New Roman" w:hAnsi="Times New Roman" w:cs="Times New Roman"/>
          <w:sz w:val="24"/>
          <w:szCs w:val="24"/>
        </w:rPr>
        <w:t xml:space="preserve"> framework</w:t>
      </w:r>
      <w:r w:rsidRPr="003A674A">
        <w:rPr>
          <w:rFonts w:ascii="Times New Roman" w:hAnsi="Times New Roman" w:cs="Times New Roman"/>
          <w:sz w:val="24"/>
          <w:szCs w:val="24"/>
        </w:rPr>
        <w:t xml:space="preserve">. </w:t>
      </w:r>
      <w:r w:rsidR="0002490A" w:rsidRPr="003A674A">
        <w:rPr>
          <w:rFonts w:ascii="Times New Roman" w:hAnsi="Times New Roman" w:cs="Times New Roman"/>
          <w:sz w:val="24"/>
          <w:szCs w:val="24"/>
        </w:rPr>
        <w:t>The approach</w:t>
      </w:r>
      <w:r w:rsidRPr="003A674A">
        <w:rPr>
          <w:rFonts w:ascii="Times New Roman" w:hAnsi="Times New Roman" w:cs="Times New Roman"/>
          <w:sz w:val="24"/>
          <w:szCs w:val="24"/>
        </w:rPr>
        <w:t xml:space="preserve"> </w:t>
      </w:r>
      <w:r w:rsidR="0002490A" w:rsidRPr="003A674A">
        <w:rPr>
          <w:rFonts w:ascii="Times New Roman" w:hAnsi="Times New Roman" w:cs="Times New Roman"/>
          <w:sz w:val="24"/>
          <w:szCs w:val="24"/>
        </w:rPr>
        <w:t xml:space="preserve">can deal with data missing completely at random (MCAR) or </w:t>
      </w:r>
      <w:r w:rsidRPr="003A674A">
        <w:rPr>
          <w:rFonts w:ascii="Times New Roman" w:hAnsi="Times New Roman" w:cs="Times New Roman"/>
          <w:sz w:val="24"/>
          <w:szCs w:val="24"/>
        </w:rPr>
        <w:t>on missing at random (MAR)</w:t>
      </w:r>
      <w:r w:rsidR="0002490A" w:rsidRPr="003A674A">
        <w:rPr>
          <w:rFonts w:ascii="Times New Roman" w:hAnsi="Times New Roman" w:cs="Times New Roman"/>
          <w:sz w:val="24"/>
          <w:szCs w:val="24"/>
        </w:rPr>
        <w:t>, and not necessarily missing not at random (MNAR) scenarios, while</w:t>
      </w:r>
      <w:r w:rsidRPr="003A674A">
        <w:rPr>
          <w:rFonts w:ascii="Times New Roman" w:hAnsi="Times New Roman" w:cs="Times New Roman"/>
          <w:sz w:val="24"/>
          <w:szCs w:val="24"/>
        </w:rPr>
        <w:t xml:space="preserve"> levels of </w:t>
      </w:r>
      <w:proofErr w:type="spellStart"/>
      <w:r w:rsidRPr="003A674A">
        <w:rPr>
          <w:rFonts w:ascii="Times New Roman" w:hAnsi="Times New Roman" w:cs="Times New Roman"/>
          <w:sz w:val="24"/>
          <w:szCs w:val="24"/>
        </w:rPr>
        <w:t>missi</w:t>
      </w:r>
      <w:r w:rsidR="000338D8" w:rsidRPr="003A674A">
        <w:rPr>
          <w:rFonts w:ascii="Times New Roman" w:hAnsi="Times New Roman" w:cs="Times New Roman"/>
          <w:sz w:val="24"/>
          <w:szCs w:val="24"/>
        </w:rPr>
        <w:t>n</w:t>
      </w:r>
      <w:r w:rsidRPr="003A674A">
        <w:rPr>
          <w:rFonts w:ascii="Times New Roman" w:hAnsi="Times New Roman" w:cs="Times New Roman"/>
          <w:sz w:val="24"/>
          <w:szCs w:val="24"/>
        </w:rPr>
        <w:t>gness</w:t>
      </w:r>
      <w:proofErr w:type="spellEnd"/>
      <w:r w:rsidRPr="003A674A">
        <w:rPr>
          <w:rFonts w:ascii="Times New Roman" w:hAnsi="Times New Roman" w:cs="Times New Roman"/>
          <w:sz w:val="24"/>
          <w:szCs w:val="24"/>
        </w:rPr>
        <w:t xml:space="preserve"> are high for certain variables. However, it has been previously illustrated that multiple imputation frameworks are robust even with high levels of </w:t>
      </w:r>
      <w:proofErr w:type="spellStart"/>
      <w:r w:rsidRPr="003A674A">
        <w:rPr>
          <w:rFonts w:ascii="Times New Roman" w:hAnsi="Times New Roman" w:cs="Times New Roman"/>
          <w:sz w:val="24"/>
          <w:szCs w:val="24"/>
        </w:rPr>
        <w:t>missingne</w:t>
      </w:r>
      <w:r w:rsidR="001F1E3B" w:rsidRPr="003A674A">
        <w:rPr>
          <w:rFonts w:ascii="Times New Roman" w:hAnsi="Times New Roman" w:cs="Times New Roman"/>
          <w:sz w:val="24"/>
          <w:szCs w:val="24"/>
        </w:rPr>
        <w:t>ss</w:t>
      </w:r>
      <w:proofErr w:type="spellEnd"/>
      <w:r w:rsidR="001F1E3B" w:rsidRPr="003A674A">
        <w:rPr>
          <w:rFonts w:ascii="Times New Roman" w:hAnsi="Times New Roman" w:cs="Times New Roman"/>
          <w:sz w:val="24"/>
          <w:szCs w:val="24"/>
        </w:rPr>
        <w:t xml:space="preserve"> and can offer some protection </w:t>
      </w:r>
      <w:r w:rsidR="00B92961" w:rsidRPr="003A674A">
        <w:rPr>
          <w:rFonts w:ascii="Times New Roman" w:hAnsi="Times New Roman" w:cs="Times New Roman"/>
          <w:sz w:val="24"/>
          <w:szCs w:val="24"/>
        </w:rPr>
        <w:t>with MNAR data</w:t>
      </w:r>
      <w:r w:rsidR="004D4E71" w:rsidRPr="003A674A">
        <w:rPr>
          <w:rFonts w:ascii="Times New Roman" w:hAnsi="Times New Roman" w:cs="Times New Roman"/>
          <w:sz w:val="24"/>
          <w:szCs w:val="24"/>
        </w:rPr>
        <w:t xml:space="preserve"> </w:t>
      </w:r>
      <w:r w:rsidR="00F70D7E" w:rsidRPr="003A674A">
        <w:rPr>
          <w:rFonts w:ascii="Times New Roman" w:hAnsi="Times New Roman" w:cs="Times New Roman"/>
          <w:sz w:val="24"/>
          <w:szCs w:val="24"/>
        </w:rPr>
        <w:fldChar w:fldCharType="begin"/>
      </w:r>
      <w:r w:rsidR="00F70D7E" w:rsidRPr="003A674A">
        <w:rPr>
          <w:rFonts w:ascii="Times New Roman" w:hAnsi="Times New Roman" w:cs="Times New Roman"/>
          <w:sz w:val="24"/>
          <w:szCs w:val="24"/>
        </w:rPr>
        <w:instrText>ADDIN RW.CITE{{402 Kontopantelis,E. 2017}}</w:instrText>
      </w:r>
      <w:r w:rsidR="00F70D7E" w:rsidRPr="003A674A">
        <w:rPr>
          <w:rFonts w:ascii="Times New Roman" w:hAnsi="Times New Roman" w:cs="Times New Roman"/>
          <w:sz w:val="24"/>
          <w:szCs w:val="24"/>
        </w:rPr>
        <w:fldChar w:fldCharType="separate"/>
      </w:r>
      <w:r w:rsidR="00FD5D76" w:rsidRPr="003A674A">
        <w:rPr>
          <w:rFonts w:ascii="Times New Roman" w:hAnsi="Times New Roman" w:cs="Times New Roman"/>
          <w:sz w:val="24"/>
          <w:szCs w:val="24"/>
        </w:rPr>
        <w:t>(26)</w:t>
      </w:r>
      <w:r w:rsidR="00F70D7E" w:rsidRPr="003A674A">
        <w:rPr>
          <w:rFonts w:ascii="Times New Roman" w:hAnsi="Times New Roman" w:cs="Times New Roman"/>
          <w:sz w:val="24"/>
          <w:szCs w:val="24"/>
        </w:rPr>
        <w:fldChar w:fldCharType="end"/>
      </w:r>
      <w:r w:rsidR="001F1E3B" w:rsidRPr="003A674A">
        <w:rPr>
          <w:rFonts w:ascii="Times New Roman" w:hAnsi="Times New Roman" w:cs="Times New Roman"/>
          <w:sz w:val="24"/>
          <w:szCs w:val="24"/>
        </w:rPr>
        <w:t xml:space="preserve">. </w:t>
      </w:r>
      <w:r w:rsidR="00DE33DB" w:rsidRPr="003A674A">
        <w:rPr>
          <w:rFonts w:ascii="Times New Roman" w:hAnsi="Times New Roman" w:cs="Times New Roman"/>
          <w:sz w:val="24"/>
          <w:szCs w:val="24"/>
        </w:rPr>
        <w:t>Multivariable logistic regression</w:t>
      </w:r>
      <w:r w:rsidR="0054501C" w:rsidRPr="003A674A">
        <w:rPr>
          <w:rFonts w:ascii="Times New Roman" w:hAnsi="Times New Roman" w:cs="Times New Roman"/>
          <w:sz w:val="24"/>
          <w:szCs w:val="24"/>
        </w:rPr>
        <w:t xml:space="preserve"> (MLR)</w:t>
      </w:r>
      <w:r w:rsidR="00DE33DB" w:rsidRPr="003A674A">
        <w:rPr>
          <w:rFonts w:ascii="Times New Roman" w:hAnsi="Times New Roman" w:cs="Times New Roman"/>
          <w:sz w:val="24"/>
          <w:szCs w:val="24"/>
        </w:rPr>
        <w:t xml:space="preserve"> </w:t>
      </w:r>
      <w:r w:rsidR="00DE33DB" w:rsidRPr="003A674A">
        <w:rPr>
          <w:rFonts w:ascii="Times New Roman" w:hAnsi="Times New Roman" w:cs="Times New Roman"/>
          <w:sz w:val="24"/>
          <w:szCs w:val="24"/>
        </w:rPr>
        <w:lastRenderedPageBreak/>
        <w:t>modelling was used for risk estimation of all outcomes across both groups</w:t>
      </w:r>
      <w:r w:rsidR="003B305F" w:rsidRPr="003A674A">
        <w:rPr>
          <w:rFonts w:ascii="Times New Roman" w:hAnsi="Times New Roman" w:cs="Times New Roman"/>
          <w:sz w:val="24"/>
          <w:szCs w:val="24"/>
        </w:rPr>
        <w:t>,</w:t>
      </w:r>
      <w:r w:rsidR="00DE33DB" w:rsidRPr="003A674A">
        <w:rPr>
          <w:rFonts w:ascii="Times New Roman" w:hAnsi="Times New Roman" w:cs="Times New Roman"/>
          <w:sz w:val="24"/>
          <w:szCs w:val="24"/>
        </w:rPr>
        <w:t xml:space="preserve"> adjusting for age, sex and all the other variables included in the multiple imputations. To account for any systematic differences in the baseline characteristics</w:t>
      </w:r>
      <w:r w:rsidR="0054501C" w:rsidRPr="003A674A">
        <w:rPr>
          <w:rFonts w:ascii="Times New Roman" w:hAnsi="Times New Roman" w:cs="Times New Roman"/>
          <w:sz w:val="24"/>
          <w:szCs w:val="24"/>
        </w:rPr>
        <w:t xml:space="preserve"> between the two groups</w:t>
      </w:r>
      <w:r w:rsidR="00DE33DB" w:rsidRPr="003A674A">
        <w:rPr>
          <w:rFonts w:ascii="Times New Roman" w:hAnsi="Times New Roman" w:cs="Times New Roman"/>
          <w:sz w:val="24"/>
          <w:szCs w:val="24"/>
        </w:rPr>
        <w:t xml:space="preserve">, multiple imputations with propensity score </w:t>
      </w:r>
      <w:r w:rsidR="00BB41CE" w:rsidRPr="003A674A">
        <w:rPr>
          <w:rFonts w:ascii="Times New Roman" w:hAnsi="Times New Roman" w:cs="Times New Roman"/>
          <w:sz w:val="24"/>
          <w:szCs w:val="24"/>
        </w:rPr>
        <w:t>matching were</w:t>
      </w:r>
      <w:r w:rsidR="0054501C" w:rsidRPr="003A674A">
        <w:rPr>
          <w:rFonts w:ascii="Times New Roman" w:hAnsi="Times New Roman" w:cs="Times New Roman"/>
          <w:sz w:val="24"/>
          <w:szCs w:val="24"/>
        </w:rPr>
        <w:t xml:space="preserve"> used to calculate the average treatment effects using the same variables as in our main MLR model. </w:t>
      </w:r>
      <w:r w:rsidR="00120B85" w:rsidRPr="003A674A">
        <w:rPr>
          <w:rFonts w:ascii="Times New Roman" w:hAnsi="Times New Roman" w:cs="Times New Roman"/>
          <w:sz w:val="24"/>
          <w:szCs w:val="24"/>
        </w:rPr>
        <w:t xml:space="preserve"> Finally</w:t>
      </w:r>
      <w:r w:rsidR="003D1BF9" w:rsidRPr="003A674A">
        <w:rPr>
          <w:rFonts w:ascii="Times New Roman" w:hAnsi="Times New Roman" w:cs="Times New Roman"/>
          <w:sz w:val="24"/>
          <w:szCs w:val="24"/>
        </w:rPr>
        <w:t xml:space="preserve">, </w:t>
      </w:r>
      <w:proofErr w:type="gramStart"/>
      <w:r w:rsidR="003D1BF9" w:rsidRPr="003A674A">
        <w:rPr>
          <w:rFonts w:ascii="Times New Roman" w:hAnsi="Times New Roman" w:cs="Times New Roman"/>
          <w:sz w:val="24"/>
          <w:szCs w:val="24"/>
        </w:rPr>
        <w:t>In</w:t>
      </w:r>
      <w:proofErr w:type="gramEnd"/>
      <w:r w:rsidR="003D1BF9" w:rsidRPr="003A674A">
        <w:rPr>
          <w:rFonts w:ascii="Times New Roman" w:hAnsi="Times New Roman" w:cs="Times New Roman"/>
          <w:sz w:val="24"/>
          <w:szCs w:val="24"/>
        </w:rPr>
        <w:t xml:space="preserve"> order to minimise selection bias in LRA group, we performed a sensitivity analysis by excluding patients with previous history of</w:t>
      </w:r>
      <w:r w:rsidR="00AB73B1" w:rsidRPr="003A674A">
        <w:rPr>
          <w:rFonts w:ascii="Times New Roman" w:hAnsi="Times New Roman" w:cs="Times New Roman"/>
          <w:sz w:val="24"/>
          <w:szCs w:val="24"/>
        </w:rPr>
        <w:t xml:space="preserve"> CABG</w:t>
      </w:r>
      <w:r w:rsidR="003D1BF9" w:rsidRPr="003A674A">
        <w:rPr>
          <w:rFonts w:ascii="Times New Roman" w:hAnsi="Times New Roman" w:cs="Times New Roman"/>
          <w:sz w:val="24"/>
          <w:szCs w:val="24"/>
        </w:rPr>
        <w:t>.</w:t>
      </w:r>
    </w:p>
    <w:p w14:paraId="4A71E7CF" w14:textId="36C9BBA1" w:rsidR="00F5735F" w:rsidRPr="003A674A" w:rsidRDefault="003F5A2E" w:rsidP="00F70D7E">
      <w:pPr>
        <w:pStyle w:val="Heading1"/>
        <w:ind w:firstLine="0"/>
        <w:rPr>
          <w:rFonts w:ascii="Times New Roman" w:hAnsi="Times New Roman" w:cs="Times New Roman"/>
          <w:b/>
          <w:color w:val="000000" w:themeColor="text1"/>
          <w:sz w:val="24"/>
          <w:szCs w:val="24"/>
        </w:rPr>
      </w:pPr>
      <w:r w:rsidRPr="003A674A">
        <w:rPr>
          <w:rFonts w:ascii="Times New Roman" w:hAnsi="Times New Roman" w:cs="Times New Roman"/>
          <w:b/>
          <w:color w:val="000000" w:themeColor="text1"/>
          <w:sz w:val="24"/>
          <w:szCs w:val="24"/>
        </w:rPr>
        <w:t xml:space="preserve">Results: </w:t>
      </w:r>
    </w:p>
    <w:p w14:paraId="09868474" w14:textId="18DFF926" w:rsidR="00E7656F" w:rsidRPr="003A674A" w:rsidRDefault="00E7656F" w:rsidP="00986A1B">
      <w:pPr>
        <w:ind w:firstLine="0"/>
        <w:rPr>
          <w:rFonts w:ascii="Times New Roman" w:hAnsi="Times New Roman" w:cs="Times New Roman"/>
          <w:i/>
          <w:sz w:val="24"/>
          <w:szCs w:val="24"/>
        </w:rPr>
      </w:pPr>
      <w:r w:rsidRPr="003A674A">
        <w:rPr>
          <w:rFonts w:ascii="Times New Roman" w:hAnsi="Times New Roman" w:cs="Times New Roman"/>
          <w:i/>
          <w:sz w:val="24"/>
          <w:szCs w:val="24"/>
        </w:rPr>
        <w:t xml:space="preserve">Patient characteristics and temporal changes </w:t>
      </w:r>
    </w:p>
    <w:p w14:paraId="6FF4F934" w14:textId="55CE6449" w:rsidR="0099697B" w:rsidRPr="003A674A" w:rsidRDefault="00673C82" w:rsidP="0099697B">
      <w:pPr>
        <w:rPr>
          <w:rFonts w:ascii="Times New Roman" w:hAnsi="Times New Roman" w:cs="Times New Roman"/>
          <w:sz w:val="24"/>
          <w:szCs w:val="24"/>
        </w:rPr>
      </w:pPr>
      <w:r w:rsidRPr="003A674A">
        <w:rPr>
          <w:rFonts w:ascii="Times New Roman" w:hAnsi="Times New Roman" w:cs="Times New Roman"/>
          <w:sz w:val="24"/>
          <w:szCs w:val="24"/>
        </w:rPr>
        <w:t>There were</w:t>
      </w:r>
      <w:r w:rsidR="00866D78" w:rsidRPr="003A674A">
        <w:rPr>
          <w:rFonts w:ascii="Times New Roman" w:hAnsi="Times New Roman" w:cs="Times New Roman"/>
          <w:sz w:val="24"/>
          <w:szCs w:val="24"/>
        </w:rPr>
        <w:t xml:space="preserve"> </w:t>
      </w:r>
      <w:r w:rsidR="003D1BF9" w:rsidRPr="003A674A">
        <w:rPr>
          <w:rFonts w:ascii="Times New Roman" w:hAnsi="Times New Roman" w:cs="Times New Roman"/>
          <w:sz w:val="24"/>
          <w:szCs w:val="24"/>
        </w:rPr>
        <w:t>343,725 patients undergoing PCI</w:t>
      </w:r>
      <w:r w:rsidR="00162973" w:rsidRPr="003A674A">
        <w:rPr>
          <w:rFonts w:ascii="Times New Roman" w:hAnsi="Times New Roman" w:cs="Times New Roman"/>
          <w:sz w:val="24"/>
          <w:szCs w:val="24"/>
        </w:rPr>
        <w:t xml:space="preserve"> using radial access</w:t>
      </w:r>
      <w:r w:rsidRPr="003A674A">
        <w:rPr>
          <w:rFonts w:ascii="Times New Roman" w:hAnsi="Times New Roman" w:cs="Times New Roman"/>
          <w:sz w:val="24"/>
          <w:szCs w:val="24"/>
        </w:rPr>
        <w:t xml:space="preserve"> during the study period</w:t>
      </w:r>
      <w:r w:rsidR="00E7656F" w:rsidRPr="003A674A">
        <w:rPr>
          <w:rFonts w:ascii="Times New Roman" w:hAnsi="Times New Roman" w:cs="Times New Roman"/>
          <w:sz w:val="24"/>
          <w:szCs w:val="24"/>
        </w:rPr>
        <w:t xml:space="preserve"> from which </w:t>
      </w:r>
      <w:r w:rsidR="00905EED" w:rsidRPr="003A674A">
        <w:rPr>
          <w:rFonts w:ascii="Times New Roman" w:hAnsi="Times New Roman" w:cs="Times New Roman"/>
          <w:sz w:val="24"/>
          <w:szCs w:val="24"/>
        </w:rPr>
        <w:t>328,495 (</w:t>
      </w:r>
      <w:r w:rsidRPr="003A674A">
        <w:rPr>
          <w:rFonts w:ascii="Times New Roman" w:hAnsi="Times New Roman" w:cs="Times New Roman"/>
          <w:sz w:val="24"/>
          <w:szCs w:val="24"/>
        </w:rPr>
        <w:t>96</w:t>
      </w:r>
      <w:r w:rsidR="00905EED" w:rsidRPr="003A674A">
        <w:rPr>
          <w:rFonts w:ascii="Times New Roman" w:hAnsi="Times New Roman" w:cs="Times New Roman"/>
          <w:sz w:val="24"/>
          <w:szCs w:val="24"/>
        </w:rPr>
        <w:t xml:space="preserve">%) were undertaken through the RRA and </w:t>
      </w:r>
      <w:r w:rsidR="002B5E0E" w:rsidRPr="003A674A">
        <w:rPr>
          <w:rFonts w:ascii="Times New Roman" w:hAnsi="Times New Roman" w:cs="Times New Roman"/>
          <w:sz w:val="24"/>
          <w:szCs w:val="24"/>
        </w:rPr>
        <w:t>14,311(</w:t>
      </w:r>
      <w:r w:rsidRPr="003A674A">
        <w:rPr>
          <w:rFonts w:ascii="Times New Roman" w:hAnsi="Times New Roman" w:cs="Times New Roman"/>
          <w:sz w:val="24"/>
          <w:szCs w:val="24"/>
        </w:rPr>
        <w:t>4</w:t>
      </w:r>
      <w:r w:rsidR="002B5E0E" w:rsidRPr="003A674A">
        <w:rPr>
          <w:rFonts w:ascii="Times New Roman" w:hAnsi="Times New Roman" w:cs="Times New Roman"/>
          <w:sz w:val="24"/>
          <w:szCs w:val="24"/>
        </w:rPr>
        <w:t>%) via</w:t>
      </w:r>
      <w:r w:rsidR="00866D78" w:rsidRPr="003A674A">
        <w:rPr>
          <w:rFonts w:ascii="Times New Roman" w:hAnsi="Times New Roman" w:cs="Times New Roman"/>
          <w:sz w:val="24"/>
          <w:szCs w:val="24"/>
        </w:rPr>
        <w:t xml:space="preserve"> the</w:t>
      </w:r>
      <w:r w:rsidR="002B5E0E" w:rsidRPr="003A674A">
        <w:rPr>
          <w:rFonts w:ascii="Times New Roman" w:hAnsi="Times New Roman" w:cs="Times New Roman"/>
          <w:sz w:val="24"/>
          <w:szCs w:val="24"/>
        </w:rPr>
        <w:t xml:space="preserve"> LRA</w:t>
      </w:r>
      <w:r w:rsidR="00E7656F" w:rsidRPr="003A674A">
        <w:rPr>
          <w:rFonts w:ascii="Times New Roman" w:hAnsi="Times New Roman" w:cs="Times New Roman"/>
          <w:sz w:val="24"/>
          <w:szCs w:val="24"/>
        </w:rPr>
        <w:t xml:space="preserve"> </w:t>
      </w:r>
      <w:r w:rsidR="00162973" w:rsidRPr="003A674A">
        <w:rPr>
          <w:rFonts w:ascii="Times New Roman" w:hAnsi="Times New Roman" w:cs="Times New Roman"/>
          <w:sz w:val="24"/>
          <w:szCs w:val="24"/>
        </w:rPr>
        <w:t>(</w:t>
      </w:r>
      <w:r w:rsidR="002B5E0E" w:rsidRPr="003A674A">
        <w:rPr>
          <w:rFonts w:ascii="Times New Roman" w:hAnsi="Times New Roman" w:cs="Times New Roman"/>
          <w:sz w:val="24"/>
          <w:szCs w:val="24"/>
        </w:rPr>
        <w:t>Figure 1</w:t>
      </w:r>
      <w:r w:rsidR="00162973" w:rsidRPr="003A674A">
        <w:rPr>
          <w:rFonts w:ascii="Times New Roman" w:hAnsi="Times New Roman" w:cs="Times New Roman"/>
          <w:sz w:val="24"/>
          <w:szCs w:val="24"/>
        </w:rPr>
        <w:t>)</w:t>
      </w:r>
      <w:r w:rsidR="002B5E0E" w:rsidRPr="003A674A">
        <w:rPr>
          <w:rFonts w:ascii="Times New Roman" w:hAnsi="Times New Roman" w:cs="Times New Roman"/>
          <w:sz w:val="24"/>
          <w:szCs w:val="24"/>
        </w:rPr>
        <w:t xml:space="preserve">. </w:t>
      </w:r>
      <w:r w:rsidR="00E40557" w:rsidRPr="003A674A">
        <w:rPr>
          <w:rFonts w:ascii="Times New Roman" w:hAnsi="Times New Roman" w:cs="Times New Roman"/>
          <w:sz w:val="24"/>
          <w:szCs w:val="24"/>
        </w:rPr>
        <w:t xml:space="preserve">Use of LRA </w:t>
      </w:r>
      <w:r w:rsidR="00162973" w:rsidRPr="003A674A">
        <w:rPr>
          <w:rFonts w:ascii="Times New Roman" w:hAnsi="Times New Roman" w:cs="Times New Roman"/>
          <w:sz w:val="24"/>
          <w:szCs w:val="24"/>
        </w:rPr>
        <w:t>access</w:t>
      </w:r>
      <w:r w:rsidR="000602D5" w:rsidRPr="003A674A">
        <w:rPr>
          <w:rFonts w:ascii="Times New Roman" w:hAnsi="Times New Roman" w:cs="Times New Roman"/>
          <w:sz w:val="24"/>
          <w:szCs w:val="24"/>
        </w:rPr>
        <w:t xml:space="preserve"> increased from 3.2% (n=527) in</w:t>
      </w:r>
      <w:r w:rsidR="0099697B" w:rsidRPr="003A674A">
        <w:rPr>
          <w:rFonts w:ascii="Times New Roman" w:hAnsi="Times New Roman" w:cs="Times New Roman"/>
          <w:sz w:val="24"/>
          <w:szCs w:val="24"/>
        </w:rPr>
        <w:t xml:space="preserve"> 2007 to 4.6% (n=3110</w:t>
      </w:r>
      <w:r w:rsidR="00162973" w:rsidRPr="003A674A">
        <w:rPr>
          <w:rFonts w:ascii="Times New Roman" w:hAnsi="Times New Roman" w:cs="Times New Roman"/>
          <w:sz w:val="24"/>
          <w:szCs w:val="24"/>
        </w:rPr>
        <w:t>)</w:t>
      </w:r>
      <w:r w:rsidR="000602D5" w:rsidRPr="003A674A">
        <w:rPr>
          <w:rFonts w:ascii="Times New Roman" w:hAnsi="Times New Roman" w:cs="Times New Roman"/>
          <w:sz w:val="24"/>
          <w:szCs w:val="24"/>
        </w:rPr>
        <w:t xml:space="preserve"> in 2014 (Figure 2).</w:t>
      </w:r>
      <w:r w:rsidR="0099697B" w:rsidRPr="003A674A">
        <w:rPr>
          <w:rFonts w:ascii="Times New Roman" w:hAnsi="Times New Roman" w:cs="Times New Roman"/>
          <w:sz w:val="24"/>
          <w:szCs w:val="24"/>
        </w:rPr>
        <w:t xml:space="preserve"> </w:t>
      </w:r>
      <w:r w:rsidR="008E5DF0" w:rsidRPr="003A674A">
        <w:rPr>
          <w:rFonts w:ascii="Times New Roman" w:hAnsi="Times New Roman" w:cs="Times New Roman"/>
          <w:sz w:val="24"/>
          <w:szCs w:val="24"/>
        </w:rPr>
        <w:t>Temporal changes and r</w:t>
      </w:r>
      <w:r w:rsidR="0099697B" w:rsidRPr="003A674A">
        <w:rPr>
          <w:rFonts w:ascii="Times New Roman" w:hAnsi="Times New Roman" w:cs="Times New Roman"/>
          <w:sz w:val="24"/>
          <w:szCs w:val="24"/>
        </w:rPr>
        <w:t>egional variation in LRA practices are depicted in Figure 3</w:t>
      </w:r>
      <w:r w:rsidR="00425CC2">
        <w:rPr>
          <w:rFonts w:ascii="Times New Roman" w:hAnsi="Times New Roman" w:cs="Times New Roman"/>
          <w:sz w:val="24"/>
          <w:szCs w:val="24"/>
        </w:rPr>
        <w:t>a-3b</w:t>
      </w:r>
      <w:r w:rsidR="0099697B" w:rsidRPr="003A674A">
        <w:rPr>
          <w:rFonts w:ascii="Times New Roman" w:hAnsi="Times New Roman" w:cs="Times New Roman"/>
          <w:sz w:val="24"/>
          <w:szCs w:val="24"/>
        </w:rPr>
        <w:t xml:space="preserve"> showing a significant heterogeneity i</w:t>
      </w:r>
      <w:r w:rsidR="00A6296A" w:rsidRPr="003A674A">
        <w:rPr>
          <w:rFonts w:ascii="Times New Roman" w:hAnsi="Times New Roman" w:cs="Times New Roman"/>
          <w:sz w:val="24"/>
          <w:szCs w:val="24"/>
        </w:rPr>
        <w:t xml:space="preserve">n use of LRA </w:t>
      </w:r>
      <w:r w:rsidR="00162973" w:rsidRPr="003A674A">
        <w:rPr>
          <w:rFonts w:ascii="Times New Roman" w:hAnsi="Times New Roman" w:cs="Times New Roman"/>
          <w:sz w:val="24"/>
          <w:szCs w:val="24"/>
        </w:rPr>
        <w:t xml:space="preserve">access </w:t>
      </w:r>
      <w:r w:rsidR="00A6296A" w:rsidRPr="003A674A">
        <w:rPr>
          <w:rFonts w:ascii="Times New Roman" w:hAnsi="Times New Roman" w:cs="Times New Roman"/>
          <w:sz w:val="24"/>
          <w:szCs w:val="24"/>
        </w:rPr>
        <w:t>amongst different primary care trust areas</w:t>
      </w:r>
      <w:r w:rsidR="003452E6" w:rsidRPr="003A674A">
        <w:rPr>
          <w:rFonts w:ascii="Times New Roman" w:hAnsi="Times New Roman" w:cs="Times New Roman"/>
          <w:sz w:val="24"/>
          <w:szCs w:val="24"/>
        </w:rPr>
        <w:t xml:space="preserve"> across Scotland, England and Wales. </w:t>
      </w:r>
      <w:r w:rsidR="00FD5D76" w:rsidRPr="003A674A">
        <w:rPr>
          <w:rFonts w:ascii="Times New Roman" w:hAnsi="Times New Roman" w:cs="Times New Roman"/>
          <w:sz w:val="24"/>
          <w:szCs w:val="24"/>
        </w:rPr>
        <w:t xml:space="preserve">During the study period, </w:t>
      </w:r>
      <w:r w:rsidR="00162973" w:rsidRPr="003A674A">
        <w:rPr>
          <w:rFonts w:ascii="Times New Roman" w:hAnsi="Times New Roman" w:cs="Times New Roman"/>
          <w:sz w:val="24"/>
          <w:szCs w:val="24"/>
        </w:rPr>
        <w:t xml:space="preserve">the </w:t>
      </w:r>
      <w:r w:rsidR="00FD5D76" w:rsidRPr="003A674A">
        <w:rPr>
          <w:rFonts w:ascii="Times New Roman" w:hAnsi="Times New Roman" w:cs="Times New Roman"/>
          <w:sz w:val="24"/>
          <w:szCs w:val="24"/>
        </w:rPr>
        <w:t>h</w:t>
      </w:r>
      <w:r w:rsidR="003452E6" w:rsidRPr="003A674A">
        <w:rPr>
          <w:rFonts w:ascii="Times New Roman" w:hAnsi="Times New Roman" w:cs="Times New Roman"/>
          <w:sz w:val="24"/>
          <w:szCs w:val="24"/>
        </w:rPr>
        <w:t xml:space="preserve">ighest proportions of LRA </w:t>
      </w:r>
      <w:r w:rsidR="00A6296A" w:rsidRPr="003A674A">
        <w:rPr>
          <w:rFonts w:ascii="Times New Roman" w:hAnsi="Times New Roman" w:cs="Times New Roman"/>
          <w:sz w:val="24"/>
          <w:szCs w:val="24"/>
        </w:rPr>
        <w:t xml:space="preserve">procedures </w:t>
      </w:r>
      <w:r w:rsidR="003452E6" w:rsidRPr="003A674A">
        <w:rPr>
          <w:rFonts w:ascii="Times New Roman" w:hAnsi="Times New Roman" w:cs="Times New Roman"/>
          <w:sz w:val="24"/>
          <w:szCs w:val="24"/>
        </w:rPr>
        <w:t xml:space="preserve">were </w:t>
      </w:r>
      <w:r w:rsidR="00A6296A" w:rsidRPr="003A674A">
        <w:rPr>
          <w:rFonts w:ascii="Times New Roman" w:hAnsi="Times New Roman" w:cs="Times New Roman"/>
          <w:sz w:val="24"/>
          <w:szCs w:val="24"/>
        </w:rPr>
        <w:t xml:space="preserve">undertaken </w:t>
      </w:r>
      <w:r w:rsidR="003452E6" w:rsidRPr="003A674A">
        <w:rPr>
          <w:rFonts w:ascii="Times New Roman" w:hAnsi="Times New Roman" w:cs="Times New Roman"/>
          <w:sz w:val="24"/>
          <w:szCs w:val="24"/>
        </w:rPr>
        <w:t xml:space="preserve">in England with some areas performing almost 20% of their radial procedures via </w:t>
      </w:r>
      <w:r w:rsidR="0044606C" w:rsidRPr="003A674A">
        <w:rPr>
          <w:rFonts w:ascii="Times New Roman" w:hAnsi="Times New Roman" w:cs="Times New Roman"/>
          <w:sz w:val="24"/>
          <w:szCs w:val="24"/>
        </w:rPr>
        <w:t xml:space="preserve">the </w:t>
      </w:r>
      <w:r w:rsidR="003452E6" w:rsidRPr="003A674A">
        <w:rPr>
          <w:rFonts w:ascii="Times New Roman" w:hAnsi="Times New Roman" w:cs="Times New Roman"/>
          <w:sz w:val="24"/>
          <w:szCs w:val="24"/>
        </w:rPr>
        <w:t>LRA</w:t>
      </w:r>
      <w:r w:rsidR="00A6296A" w:rsidRPr="003A674A">
        <w:rPr>
          <w:rFonts w:ascii="Times New Roman" w:hAnsi="Times New Roman" w:cs="Times New Roman"/>
          <w:sz w:val="24"/>
          <w:szCs w:val="24"/>
        </w:rPr>
        <w:t xml:space="preserve">, whereas use of LRA </w:t>
      </w:r>
      <w:r w:rsidR="0044606C" w:rsidRPr="003A674A">
        <w:rPr>
          <w:rFonts w:ascii="Times New Roman" w:hAnsi="Times New Roman" w:cs="Times New Roman"/>
          <w:sz w:val="24"/>
          <w:szCs w:val="24"/>
        </w:rPr>
        <w:t xml:space="preserve">access </w:t>
      </w:r>
      <w:r w:rsidR="00A6296A" w:rsidRPr="003A674A">
        <w:rPr>
          <w:rFonts w:ascii="Times New Roman" w:hAnsi="Times New Roman" w:cs="Times New Roman"/>
          <w:sz w:val="24"/>
          <w:szCs w:val="24"/>
        </w:rPr>
        <w:t>was sporadically low in Scotland</w:t>
      </w:r>
      <w:r w:rsidR="00120B85" w:rsidRPr="003A674A">
        <w:rPr>
          <w:rFonts w:ascii="Times New Roman" w:hAnsi="Times New Roman" w:cs="Times New Roman"/>
          <w:sz w:val="24"/>
          <w:szCs w:val="24"/>
        </w:rPr>
        <w:t xml:space="preserve"> (10%)</w:t>
      </w:r>
      <w:r w:rsidR="00A6296A" w:rsidRPr="003A674A">
        <w:rPr>
          <w:rFonts w:ascii="Times New Roman" w:hAnsi="Times New Roman" w:cs="Times New Roman"/>
          <w:sz w:val="24"/>
          <w:szCs w:val="24"/>
        </w:rPr>
        <w:t xml:space="preserve"> and Wales</w:t>
      </w:r>
      <w:r w:rsidR="00120B85" w:rsidRPr="003A674A">
        <w:rPr>
          <w:rFonts w:ascii="Times New Roman" w:hAnsi="Times New Roman" w:cs="Times New Roman"/>
          <w:sz w:val="24"/>
          <w:szCs w:val="24"/>
        </w:rPr>
        <w:t xml:space="preserve"> (7%)</w:t>
      </w:r>
      <w:r w:rsidR="00A6296A" w:rsidRPr="003A674A">
        <w:rPr>
          <w:rFonts w:ascii="Times New Roman" w:hAnsi="Times New Roman" w:cs="Times New Roman"/>
          <w:sz w:val="24"/>
          <w:szCs w:val="24"/>
        </w:rPr>
        <w:t>.</w:t>
      </w:r>
    </w:p>
    <w:p w14:paraId="6128B245" w14:textId="409BD266" w:rsidR="00DF1798" w:rsidRPr="003A674A" w:rsidRDefault="009D430C" w:rsidP="008C19D1">
      <w:pPr>
        <w:rPr>
          <w:rFonts w:ascii="Times New Roman" w:hAnsi="Times New Roman" w:cs="Times New Roman"/>
          <w:sz w:val="24"/>
          <w:szCs w:val="24"/>
        </w:rPr>
      </w:pPr>
      <w:r w:rsidRPr="003A674A">
        <w:rPr>
          <w:rFonts w:ascii="Times New Roman" w:hAnsi="Times New Roman" w:cs="Times New Roman"/>
          <w:sz w:val="24"/>
          <w:szCs w:val="24"/>
        </w:rPr>
        <w:t>We studied the relationship between different</w:t>
      </w:r>
      <w:r w:rsidR="00DF1798" w:rsidRPr="003A674A">
        <w:rPr>
          <w:rFonts w:ascii="Times New Roman" w:hAnsi="Times New Roman" w:cs="Times New Roman"/>
          <w:sz w:val="24"/>
          <w:szCs w:val="24"/>
        </w:rPr>
        <w:t xml:space="preserve"> demographic characteristics and LRA </w:t>
      </w:r>
      <w:r w:rsidRPr="003A674A">
        <w:rPr>
          <w:rFonts w:ascii="Times New Roman" w:hAnsi="Times New Roman" w:cs="Times New Roman"/>
          <w:sz w:val="24"/>
          <w:szCs w:val="24"/>
        </w:rPr>
        <w:t xml:space="preserve">use as </w:t>
      </w:r>
      <w:r w:rsidR="00DF1798" w:rsidRPr="003A674A">
        <w:rPr>
          <w:rFonts w:ascii="Times New Roman" w:hAnsi="Times New Roman" w:cs="Times New Roman"/>
          <w:sz w:val="24"/>
          <w:szCs w:val="24"/>
        </w:rPr>
        <w:t>illustrated in Figure</w:t>
      </w:r>
      <w:r w:rsidRPr="003A674A">
        <w:rPr>
          <w:rFonts w:ascii="Times New Roman" w:hAnsi="Times New Roman" w:cs="Times New Roman"/>
          <w:sz w:val="24"/>
          <w:szCs w:val="24"/>
        </w:rPr>
        <w:t>s</w:t>
      </w:r>
      <w:r w:rsidR="002C6449" w:rsidRPr="003A674A">
        <w:rPr>
          <w:rFonts w:ascii="Times New Roman" w:hAnsi="Times New Roman" w:cs="Times New Roman"/>
          <w:sz w:val="24"/>
          <w:szCs w:val="24"/>
        </w:rPr>
        <w:t xml:space="preserve"> </w:t>
      </w:r>
      <w:r w:rsidR="00DA499B" w:rsidRPr="003A674A">
        <w:rPr>
          <w:rFonts w:ascii="Times New Roman" w:hAnsi="Times New Roman" w:cs="Times New Roman"/>
          <w:sz w:val="24"/>
          <w:szCs w:val="24"/>
        </w:rPr>
        <w:t>4</w:t>
      </w:r>
      <w:r w:rsidR="002C6449" w:rsidRPr="003A674A">
        <w:rPr>
          <w:rFonts w:ascii="Times New Roman" w:hAnsi="Times New Roman" w:cs="Times New Roman"/>
          <w:sz w:val="24"/>
          <w:szCs w:val="24"/>
        </w:rPr>
        <w:t>a-</w:t>
      </w:r>
      <w:r w:rsidR="00DA499B" w:rsidRPr="003A674A">
        <w:rPr>
          <w:rFonts w:ascii="Times New Roman" w:hAnsi="Times New Roman" w:cs="Times New Roman"/>
          <w:sz w:val="24"/>
          <w:szCs w:val="24"/>
        </w:rPr>
        <w:t>4d</w:t>
      </w:r>
      <w:r w:rsidR="00DF1798" w:rsidRPr="003A674A">
        <w:rPr>
          <w:rFonts w:ascii="Times New Roman" w:hAnsi="Times New Roman" w:cs="Times New Roman"/>
          <w:sz w:val="24"/>
          <w:szCs w:val="24"/>
        </w:rPr>
        <w:t xml:space="preserve">.  </w:t>
      </w:r>
      <w:r w:rsidRPr="003A674A">
        <w:rPr>
          <w:rFonts w:ascii="Times New Roman" w:hAnsi="Times New Roman" w:cs="Times New Roman"/>
          <w:sz w:val="24"/>
          <w:szCs w:val="24"/>
        </w:rPr>
        <w:t xml:space="preserve">It can be seen that </w:t>
      </w:r>
      <w:r w:rsidR="00DF1798" w:rsidRPr="003A674A">
        <w:rPr>
          <w:rFonts w:ascii="Times New Roman" w:hAnsi="Times New Roman" w:cs="Times New Roman"/>
          <w:sz w:val="24"/>
          <w:szCs w:val="24"/>
        </w:rPr>
        <w:t>LRA PCI w</w:t>
      </w:r>
      <w:r w:rsidR="00447401" w:rsidRPr="003A674A">
        <w:rPr>
          <w:rFonts w:ascii="Times New Roman" w:hAnsi="Times New Roman" w:cs="Times New Roman"/>
          <w:sz w:val="24"/>
          <w:szCs w:val="24"/>
        </w:rPr>
        <w:t xml:space="preserve">as </w:t>
      </w:r>
      <w:r w:rsidR="00DF1798" w:rsidRPr="003A674A">
        <w:rPr>
          <w:rFonts w:ascii="Times New Roman" w:hAnsi="Times New Roman" w:cs="Times New Roman"/>
          <w:sz w:val="24"/>
          <w:szCs w:val="24"/>
        </w:rPr>
        <w:t>undertaken in Asian</w:t>
      </w:r>
      <w:r w:rsidR="001764BF" w:rsidRPr="003A674A">
        <w:rPr>
          <w:rFonts w:ascii="Times New Roman" w:hAnsi="Times New Roman" w:cs="Times New Roman"/>
          <w:sz w:val="24"/>
          <w:szCs w:val="24"/>
        </w:rPr>
        <w:t>s</w:t>
      </w:r>
      <w:r w:rsidR="00DF1798" w:rsidRPr="003A674A">
        <w:rPr>
          <w:rFonts w:ascii="Times New Roman" w:hAnsi="Times New Roman" w:cs="Times New Roman"/>
          <w:sz w:val="24"/>
          <w:szCs w:val="24"/>
        </w:rPr>
        <w:t xml:space="preserve"> (27.9% n=1854)</w:t>
      </w:r>
      <w:r w:rsidR="00EE427C" w:rsidRPr="003A674A">
        <w:rPr>
          <w:rFonts w:ascii="Times New Roman" w:hAnsi="Times New Roman" w:cs="Times New Roman"/>
          <w:sz w:val="24"/>
          <w:szCs w:val="24"/>
        </w:rPr>
        <w:t xml:space="preserve"> </w:t>
      </w:r>
      <w:r w:rsidR="00447401" w:rsidRPr="003A674A">
        <w:rPr>
          <w:rFonts w:ascii="Times New Roman" w:hAnsi="Times New Roman" w:cs="Times New Roman"/>
          <w:sz w:val="24"/>
          <w:szCs w:val="24"/>
        </w:rPr>
        <w:t xml:space="preserve">far more than in </w:t>
      </w:r>
      <w:r w:rsidR="00EE427C" w:rsidRPr="003A674A">
        <w:rPr>
          <w:rFonts w:ascii="Times New Roman" w:hAnsi="Times New Roman" w:cs="Times New Roman"/>
          <w:sz w:val="24"/>
          <w:szCs w:val="24"/>
        </w:rPr>
        <w:t>Caucasians (4.2% n=228,908)</w:t>
      </w:r>
      <w:r w:rsidR="00447401" w:rsidRPr="003A674A">
        <w:rPr>
          <w:rFonts w:ascii="Times New Roman" w:hAnsi="Times New Roman" w:cs="Times New Roman"/>
          <w:sz w:val="24"/>
          <w:szCs w:val="24"/>
        </w:rPr>
        <w:t xml:space="preserve"> and other ethnic groups</w:t>
      </w:r>
      <w:r w:rsidR="00DF1798" w:rsidRPr="003A674A">
        <w:rPr>
          <w:rFonts w:ascii="Times New Roman" w:hAnsi="Times New Roman" w:cs="Times New Roman"/>
          <w:sz w:val="24"/>
          <w:szCs w:val="24"/>
        </w:rPr>
        <w:t xml:space="preserve">. </w:t>
      </w:r>
      <w:r w:rsidR="00447401" w:rsidRPr="003A674A">
        <w:rPr>
          <w:rFonts w:ascii="Times New Roman" w:hAnsi="Times New Roman" w:cs="Times New Roman"/>
          <w:sz w:val="24"/>
          <w:szCs w:val="24"/>
        </w:rPr>
        <w:t>LRA access was used relatively commonly in patients with a previous history of CABG (23.4% vs 3% with no such history)</w:t>
      </w:r>
      <w:r w:rsidR="006322E2" w:rsidRPr="003A674A">
        <w:rPr>
          <w:rFonts w:ascii="Times New Roman" w:hAnsi="Times New Roman" w:cs="Times New Roman"/>
          <w:sz w:val="24"/>
          <w:szCs w:val="24"/>
        </w:rPr>
        <w:t xml:space="preserve">. </w:t>
      </w:r>
      <w:r w:rsidR="00DF1798" w:rsidRPr="003A674A">
        <w:rPr>
          <w:rFonts w:ascii="Times New Roman" w:hAnsi="Times New Roman" w:cs="Times New Roman"/>
          <w:sz w:val="24"/>
          <w:szCs w:val="24"/>
        </w:rPr>
        <w:t xml:space="preserve">LRA </w:t>
      </w:r>
      <w:r w:rsidR="00447401" w:rsidRPr="003A674A">
        <w:rPr>
          <w:rFonts w:ascii="Times New Roman" w:hAnsi="Times New Roman" w:cs="Times New Roman"/>
          <w:sz w:val="24"/>
          <w:szCs w:val="24"/>
        </w:rPr>
        <w:t xml:space="preserve">access </w:t>
      </w:r>
      <w:r w:rsidR="00DF1798" w:rsidRPr="003A674A">
        <w:rPr>
          <w:rFonts w:ascii="Times New Roman" w:hAnsi="Times New Roman" w:cs="Times New Roman"/>
          <w:sz w:val="24"/>
          <w:szCs w:val="24"/>
        </w:rPr>
        <w:t xml:space="preserve">was used infrequently for patients requiring PCI for STEMI indication compared to elective PCI (1.8% vs 5.5%). </w:t>
      </w:r>
      <w:r w:rsidR="006322E2" w:rsidRPr="003A674A">
        <w:rPr>
          <w:rFonts w:ascii="Times New Roman" w:hAnsi="Times New Roman" w:cs="Times New Roman"/>
          <w:sz w:val="24"/>
          <w:szCs w:val="24"/>
        </w:rPr>
        <w:t>W</w:t>
      </w:r>
      <w:r w:rsidR="00DF1798" w:rsidRPr="003A674A">
        <w:rPr>
          <w:rFonts w:ascii="Times New Roman" w:hAnsi="Times New Roman" w:cs="Times New Roman"/>
          <w:sz w:val="24"/>
          <w:szCs w:val="24"/>
        </w:rPr>
        <w:t xml:space="preserve">e </w:t>
      </w:r>
      <w:r w:rsidR="006322E2" w:rsidRPr="003A674A">
        <w:rPr>
          <w:rFonts w:ascii="Times New Roman" w:hAnsi="Times New Roman" w:cs="Times New Roman"/>
          <w:sz w:val="24"/>
          <w:szCs w:val="24"/>
        </w:rPr>
        <w:t xml:space="preserve">also </w:t>
      </w:r>
      <w:r w:rsidR="00DF1798" w:rsidRPr="003A674A">
        <w:rPr>
          <w:rFonts w:ascii="Times New Roman" w:hAnsi="Times New Roman" w:cs="Times New Roman"/>
          <w:sz w:val="24"/>
          <w:szCs w:val="24"/>
        </w:rPr>
        <w:t xml:space="preserve">observed a strong </w:t>
      </w:r>
      <w:r w:rsidR="009906F2" w:rsidRPr="003A674A">
        <w:rPr>
          <w:rFonts w:ascii="Times New Roman" w:hAnsi="Times New Roman" w:cs="Times New Roman"/>
          <w:sz w:val="24"/>
          <w:szCs w:val="24"/>
        </w:rPr>
        <w:t xml:space="preserve">inverse </w:t>
      </w:r>
      <w:r w:rsidR="00DF1798" w:rsidRPr="003A674A">
        <w:rPr>
          <w:rFonts w:ascii="Times New Roman" w:hAnsi="Times New Roman" w:cs="Times New Roman"/>
          <w:sz w:val="24"/>
          <w:szCs w:val="24"/>
        </w:rPr>
        <w:t>relation</w:t>
      </w:r>
      <w:r w:rsidR="00707B6A" w:rsidRPr="003A674A">
        <w:rPr>
          <w:rFonts w:ascii="Times New Roman" w:hAnsi="Times New Roman" w:cs="Times New Roman"/>
          <w:sz w:val="24"/>
          <w:szCs w:val="24"/>
        </w:rPr>
        <w:t xml:space="preserve"> between</w:t>
      </w:r>
      <w:r w:rsidR="009906F2" w:rsidRPr="003A674A">
        <w:rPr>
          <w:rFonts w:ascii="Times New Roman" w:hAnsi="Times New Roman" w:cs="Times New Roman"/>
          <w:sz w:val="24"/>
          <w:szCs w:val="24"/>
        </w:rPr>
        <w:t xml:space="preserve"> height and </w:t>
      </w:r>
      <w:r w:rsidR="008E4E29" w:rsidRPr="003A674A">
        <w:rPr>
          <w:rFonts w:ascii="Times New Roman" w:hAnsi="Times New Roman" w:cs="Times New Roman"/>
          <w:sz w:val="24"/>
          <w:szCs w:val="24"/>
        </w:rPr>
        <w:t xml:space="preserve">the </w:t>
      </w:r>
      <w:r w:rsidR="009906F2" w:rsidRPr="003A674A">
        <w:rPr>
          <w:rFonts w:ascii="Times New Roman" w:hAnsi="Times New Roman" w:cs="Times New Roman"/>
          <w:sz w:val="24"/>
          <w:szCs w:val="24"/>
        </w:rPr>
        <w:t xml:space="preserve">use of </w:t>
      </w:r>
      <w:r w:rsidR="00311DCA" w:rsidRPr="003A674A">
        <w:rPr>
          <w:rFonts w:ascii="Times New Roman" w:hAnsi="Times New Roman" w:cs="Times New Roman"/>
          <w:sz w:val="24"/>
          <w:szCs w:val="24"/>
        </w:rPr>
        <w:t xml:space="preserve">LRA </w:t>
      </w:r>
      <w:r w:rsidR="006322E2" w:rsidRPr="003A674A">
        <w:rPr>
          <w:rFonts w:ascii="Times New Roman" w:hAnsi="Times New Roman" w:cs="Times New Roman"/>
          <w:sz w:val="24"/>
          <w:szCs w:val="24"/>
        </w:rPr>
        <w:t xml:space="preserve">access </w:t>
      </w:r>
      <w:r w:rsidR="00EE427C" w:rsidRPr="003A674A">
        <w:rPr>
          <w:rFonts w:ascii="Times New Roman" w:hAnsi="Times New Roman" w:cs="Times New Roman"/>
          <w:sz w:val="24"/>
          <w:szCs w:val="24"/>
        </w:rPr>
        <w:t xml:space="preserve">with 6.8% of procedures undertaken via </w:t>
      </w:r>
      <w:r w:rsidR="006322E2" w:rsidRPr="003A674A">
        <w:rPr>
          <w:rFonts w:ascii="Times New Roman" w:hAnsi="Times New Roman" w:cs="Times New Roman"/>
          <w:sz w:val="24"/>
          <w:szCs w:val="24"/>
        </w:rPr>
        <w:t xml:space="preserve">the </w:t>
      </w:r>
      <w:r w:rsidR="00EE427C" w:rsidRPr="003A674A">
        <w:rPr>
          <w:rFonts w:ascii="Times New Roman" w:hAnsi="Times New Roman" w:cs="Times New Roman"/>
          <w:sz w:val="24"/>
          <w:szCs w:val="24"/>
        </w:rPr>
        <w:t>LRA in short stature patients (height &lt;150cm) compared to</w:t>
      </w:r>
      <w:r w:rsidR="00C67ADB" w:rsidRPr="003A674A">
        <w:rPr>
          <w:rFonts w:ascii="Times New Roman" w:hAnsi="Times New Roman" w:cs="Times New Roman"/>
          <w:sz w:val="24"/>
          <w:szCs w:val="24"/>
        </w:rPr>
        <w:t xml:space="preserve"> only 3.4% in taller patients (</w:t>
      </w:r>
      <w:r w:rsidR="00EE427C" w:rsidRPr="003A674A">
        <w:rPr>
          <w:rFonts w:ascii="Times New Roman" w:hAnsi="Times New Roman" w:cs="Times New Roman"/>
          <w:sz w:val="24"/>
          <w:szCs w:val="24"/>
        </w:rPr>
        <w:t>height &gt;190cm).</w:t>
      </w:r>
      <w:r w:rsidR="00707B6A" w:rsidRPr="003A674A">
        <w:rPr>
          <w:rFonts w:ascii="Times New Roman" w:hAnsi="Times New Roman" w:cs="Times New Roman"/>
          <w:sz w:val="24"/>
          <w:szCs w:val="24"/>
        </w:rPr>
        <w:t xml:space="preserve"> </w:t>
      </w:r>
    </w:p>
    <w:p w14:paraId="06D77F6C" w14:textId="77ECF6C4" w:rsidR="002B5E0E" w:rsidRPr="003A674A" w:rsidRDefault="00464974" w:rsidP="00120B85">
      <w:pPr>
        <w:ind w:firstLine="0"/>
        <w:rPr>
          <w:rFonts w:ascii="Times New Roman" w:hAnsi="Times New Roman" w:cs="Times New Roman"/>
          <w:sz w:val="24"/>
          <w:szCs w:val="24"/>
        </w:rPr>
      </w:pPr>
      <w:r w:rsidRPr="003A674A">
        <w:rPr>
          <w:rFonts w:ascii="Times New Roman" w:hAnsi="Times New Roman" w:cs="Times New Roman"/>
          <w:sz w:val="24"/>
          <w:szCs w:val="24"/>
        </w:rPr>
        <w:t>Table 1 shows</w:t>
      </w:r>
      <w:r w:rsidR="002B5E0E" w:rsidRPr="003A674A">
        <w:rPr>
          <w:rFonts w:ascii="Times New Roman" w:hAnsi="Times New Roman" w:cs="Times New Roman"/>
          <w:sz w:val="24"/>
          <w:szCs w:val="24"/>
        </w:rPr>
        <w:t xml:space="preserve"> the demographics, cardiovascular risk profile, procedural characteristics and </w:t>
      </w:r>
      <w:r w:rsidRPr="003A674A">
        <w:rPr>
          <w:rFonts w:ascii="Times New Roman" w:hAnsi="Times New Roman" w:cs="Times New Roman"/>
          <w:sz w:val="24"/>
          <w:szCs w:val="24"/>
        </w:rPr>
        <w:t xml:space="preserve">crude outcomes differences across the two groups. Patients in </w:t>
      </w:r>
      <w:r w:rsidR="006322E2" w:rsidRPr="003A674A">
        <w:rPr>
          <w:rFonts w:ascii="Times New Roman" w:hAnsi="Times New Roman" w:cs="Times New Roman"/>
          <w:sz w:val="24"/>
          <w:szCs w:val="24"/>
        </w:rPr>
        <w:t xml:space="preserve">the </w:t>
      </w:r>
      <w:r w:rsidRPr="003A674A">
        <w:rPr>
          <w:rFonts w:ascii="Times New Roman" w:hAnsi="Times New Roman" w:cs="Times New Roman"/>
          <w:sz w:val="24"/>
          <w:szCs w:val="24"/>
        </w:rPr>
        <w:t xml:space="preserve">LRA group were older and had </w:t>
      </w:r>
      <w:r w:rsidR="006322E2" w:rsidRPr="003A674A">
        <w:rPr>
          <w:rFonts w:ascii="Times New Roman" w:hAnsi="Times New Roman" w:cs="Times New Roman"/>
          <w:sz w:val="24"/>
          <w:szCs w:val="24"/>
        </w:rPr>
        <w:t>a higher risk</w:t>
      </w:r>
      <w:r w:rsidRPr="003A674A">
        <w:rPr>
          <w:rFonts w:ascii="Times New Roman" w:hAnsi="Times New Roman" w:cs="Times New Roman"/>
          <w:sz w:val="24"/>
          <w:szCs w:val="24"/>
        </w:rPr>
        <w:t xml:space="preserve"> baseline cardiovascular profile</w:t>
      </w:r>
      <w:r w:rsidR="006322E2" w:rsidRPr="003A674A">
        <w:rPr>
          <w:rFonts w:ascii="Times New Roman" w:hAnsi="Times New Roman" w:cs="Times New Roman"/>
          <w:sz w:val="24"/>
          <w:szCs w:val="24"/>
        </w:rPr>
        <w:t>, with an</w:t>
      </w:r>
      <w:r w:rsidR="00E7656F" w:rsidRPr="003A674A">
        <w:rPr>
          <w:rFonts w:ascii="Times New Roman" w:hAnsi="Times New Roman" w:cs="Times New Roman"/>
          <w:sz w:val="24"/>
          <w:szCs w:val="24"/>
        </w:rPr>
        <w:t xml:space="preserve"> </w:t>
      </w:r>
      <w:r w:rsidRPr="003A674A">
        <w:rPr>
          <w:rFonts w:ascii="Times New Roman" w:hAnsi="Times New Roman" w:cs="Times New Roman"/>
          <w:sz w:val="24"/>
          <w:szCs w:val="24"/>
        </w:rPr>
        <w:t>increase</w:t>
      </w:r>
      <w:r w:rsidR="006322E2" w:rsidRPr="003A674A">
        <w:rPr>
          <w:rFonts w:ascii="Times New Roman" w:hAnsi="Times New Roman" w:cs="Times New Roman"/>
          <w:sz w:val="24"/>
          <w:szCs w:val="24"/>
        </w:rPr>
        <w:t>d</w:t>
      </w:r>
      <w:r w:rsidRPr="003A674A">
        <w:rPr>
          <w:rFonts w:ascii="Times New Roman" w:hAnsi="Times New Roman" w:cs="Times New Roman"/>
          <w:sz w:val="24"/>
          <w:szCs w:val="24"/>
        </w:rPr>
        <w:t xml:space="preserve"> incidence of diabetes, hypertension,</w:t>
      </w:r>
      <w:r w:rsidR="00DC5C5A" w:rsidRPr="003A674A">
        <w:rPr>
          <w:rFonts w:ascii="Times New Roman" w:hAnsi="Times New Roman" w:cs="Times New Roman"/>
          <w:sz w:val="24"/>
          <w:szCs w:val="24"/>
        </w:rPr>
        <w:t xml:space="preserve"> history of previous cerebrovascular event (CVA), acute myocardial infarction, coronary artery bypass grafting (CABG) and peripheral vascular disease</w:t>
      </w:r>
      <w:r w:rsidRPr="003A674A">
        <w:rPr>
          <w:rFonts w:ascii="Times New Roman" w:hAnsi="Times New Roman" w:cs="Times New Roman"/>
          <w:sz w:val="24"/>
          <w:szCs w:val="24"/>
        </w:rPr>
        <w:t xml:space="preserve"> </w:t>
      </w:r>
      <w:r w:rsidR="00DC5C5A" w:rsidRPr="003A674A">
        <w:rPr>
          <w:rFonts w:ascii="Times New Roman" w:hAnsi="Times New Roman" w:cs="Times New Roman"/>
          <w:sz w:val="24"/>
          <w:szCs w:val="24"/>
        </w:rPr>
        <w:t xml:space="preserve">(PVD). </w:t>
      </w:r>
      <w:r w:rsidR="006322E2" w:rsidRPr="003A674A">
        <w:rPr>
          <w:rFonts w:ascii="Times New Roman" w:hAnsi="Times New Roman" w:cs="Times New Roman"/>
          <w:sz w:val="24"/>
          <w:szCs w:val="24"/>
        </w:rPr>
        <w:t>P</w:t>
      </w:r>
      <w:r w:rsidR="00DC5C5A" w:rsidRPr="003A674A">
        <w:rPr>
          <w:rFonts w:ascii="Times New Roman" w:hAnsi="Times New Roman" w:cs="Times New Roman"/>
          <w:sz w:val="24"/>
          <w:szCs w:val="24"/>
        </w:rPr>
        <w:t xml:space="preserve">atients in </w:t>
      </w:r>
      <w:r w:rsidR="006322E2" w:rsidRPr="003A674A">
        <w:rPr>
          <w:rFonts w:ascii="Times New Roman" w:hAnsi="Times New Roman" w:cs="Times New Roman"/>
          <w:sz w:val="24"/>
          <w:szCs w:val="24"/>
        </w:rPr>
        <w:t xml:space="preserve">the </w:t>
      </w:r>
      <w:r w:rsidR="00DC5C5A" w:rsidRPr="003A674A">
        <w:rPr>
          <w:rFonts w:ascii="Times New Roman" w:hAnsi="Times New Roman" w:cs="Times New Roman"/>
          <w:sz w:val="24"/>
          <w:szCs w:val="24"/>
        </w:rPr>
        <w:lastRenderedPageBreak/>
        <w:t xml:space="preserve">RRA </w:t>
      </w:r>
      <w:r w:rsidR="006322E2" w:rsidRPr="003A674A">
        <w:rPr>
          <w:rFonts w:ascii="Times New Roman" w:hAnsi="Times New Roman" w:cs="Times New Roman"/>
          <w:sz w:val="24"/>
          <w:szCs w:val="24"/>
        </w:rPr>
        <w:t xml:space="preserve">access </w:t>
      </w:r>
      <w:r w:rsidR="00DC5C5A" w:rsidRPr="003A674A">
        <w:rPr>
          <w:rFonts w:ascii="Times New Roman" w:hAnsi="Times New Roman" w:cs="Times New Roman"/>
          <w:sz w:val="24"/>
          <w:szCs w:val="24"/>
        </w:rPr>
        <w:t xml:space="preserve">group received more aggressive pharmacotherapy </w:t>
      </w:r>
      <w:r w:rsidR="006322E2" w:rsidRPr="003A674A">
        <w:rPr>
          <w:rFonts w:ascii="Times New Roman" w:hAnsi="Times New Roman" w:cs="Times New Roman"/>
          <w:sz w:val="24"/>
          <w:szCs w:val="24"/>
        </w:rPr>
        <w:t>with a higher rate of</w:t>
      </w:r>
      <w:r w:rsidR="00DC5C5A" w:rsidRPr="003A674A">
        <w:rPr>
          <w:rFonts w:ascii="Times New Roman" w:hAnsi="Times New Roman" w:cs="Times New Roman"/>
          <w:sz w:val="24"/>
          <w:szCs w:val="24"/>
        </w:rPr>
        <w:t xml:space="preserve"> use of </w:t>
      </w:r>
      <w:proofErr w:type="spellStart"/>
      <w:r w:rsidR="00DC5C5A" w:rsidRPr="003A674A">
        <w:rPr>
          <w:rFonts w:ascii="Times New Roman" w:hAnsi="Times New Roman" w:cs="Times New Roman"/>
          <w:sz w:val="24"/>
          <w:szCs w:val="24"/>
        </w:rPr>
        <w:t>Ticagrelor</w:t>
      </w:r>
      <w:proofErr w:type="spellEnd"/>
      <w:r w:rsidR="00DC5C5A" w:rsidRPr="003A674A">
        <w:rPr>
          <w:rFonts w:ascii="Times New Roman" w:hAnsi="Times New Roman" w:cs="Times New Roman"/>
          <w:sz w:val="24"/>
          <w:szCs w:val="24"/>
        </w:rPr>
        <w:t xml:space="preserve">, </w:t>
      </w:r>
      <w:proofErr w:type="spellStart"/>
      <w:r w:rsidR="00DC5C5A" w:rsidRPr="003A674A">
        <w:rPr>
          <w:rFonts w:ascii="Times New Roman" w:hAnsi="Times New Roman" w:cs="Times New Roman"/>
          <w:sz w:val="24"/>
          <w:szCs w:val="24"/>
        </w:rPr>
        <w:t>Prasugrel</w:t>
      </w:r>
      <w:proofErr w:type="spellEnd"/>
      <w:r w:rsidR="00DC5C5A" w:rsidRPr="003A674A">
        <w:rPr>
          <w:rFonts w:ascii="Times New Roman" w:hAnsi="Times New Roman" w:cs="Times New Roman"/>
          <w:sz w:val="24"/>
          <w:szCs w:val="24"/>
        </w:rPr>
        <w:t xml:space="preserve">, Glycoprotein 2b3a inhibitors and </w:t>
      </w:r>
      <w:proofErr w:type="spellStart"/>
      <w:r w:rsidR="00DC5C5A" w:rsidRPr="003A674A">
        <w:rPr>
          <w:rFonts w:ascii="Times New Roman" w:hAnsi="Times New Roman" w:cs="Times New Roman"/>
          <w:sz w:val="24"/>
          <w:szCs w:val="24"/>
        </w:rPr>
        <w:t>bivalirudin</w:t>
      </w:r>
      <w:proofErr w:type="spellEnd"/>
      <w:r w:rsidR="00DC5C5A" w:rsidRPr="003A674A">
        <w:rPr>
          <w:rFonts w:ascii="Times New Roman" w:hAnsi="Times New Roman" w:cs="Times New Roman"/>
          <w:sz w:val="24"/>
          <w:szCs w:val="24"/>
        </w:rPr>
        <w:t>.</w:t>
      </w:r>
      <w:r w:rsidR="00E40557" w:rsidRPr="003A674A">
        <w:rPr>
          <w:rFonts w:ascii="Times New Roman" w:hAnsi="Times New Roman" w:cs="Times New Roman"/>
          <w:sz w:val="24"/>
          <w:szCs w:val="24"/>
        </w:rPr>
        <w:t xml:space="preserve"> </w:t>
      </w:r>
      <w:r w:rsidR="003676A0" w:rsidRPr="003A674A">
        <w:rPr>
          <w:rFonts w:ascii="Times New Roman" w:hAnsi="Times New Roman" w:cs="Times New Roman"/>
          <w:sz w:val="24"/>
          <w:szCs w:val="24"/>
        </w:rPr>
        <w:t>Missing</w:t>
      </w:r>
      <w:r w:rsidR="00311DCA" w:rsidRPr="003A674A">
        <w:rPr>
          <w:rFonts w:ascii="Times New Roman" w:hAnsi="Times New Roman" w:cs="Times New Roman"/>
          <w:sz w:val="24"/>
          <w:szCs w:val="24"/>
        </w:rPr>
        <w:t xml:space="preserve"> data</w:t>
      </w:r>
      <w:r w:rsidR="003676A0" w:rsidRPr="003A674A">
        <w:rPr>
          <w:rFonts w:ascii="Times New Roman" w:hAnsi="Times New Roman" w:cs="Times New Roman"/>
          <w:sz w:val="24"/>
          <w:szCs w:val="24"/>
        </w:rPr>
        <w:t xml:space="preserve"> information about each variable is provided in supplementary Table 1. </w:t>
      </w:r>
    </w:p>
    <w:p w14:paraId="5961C47F" w14:textId="77777777" w:rsidR="00E7656F" w:rsidRPr="003A674A" w:rsidRDefault="00E7656F" w:rsidP="00E7656F">
      <w:pPr>
        <w:ind w:firstLine="0"/>
        <w:rPr>
          <w:rFonts w:ascii="Times New Roman" w:hAnsi="Times New Roman" w:cs="Times New Roman"/>
          <w:i/>
          <w:sz w:val="24"/>
          <w:szCs w:val="24"/>
        </w:rPr>
      </w:pPr>
      <w:r w:rsidRPr="003A674A">
        <w:rPr>
          <w:rFonts w:ascii="Times New Roman" w:hAnsi="Times New Roman" w:cs="Times New Roman"/>
          <w:i/>
          <w:sz w:val="24"/>
          <w:szCs w:val="24"/>
        </w:rPr>
        <w:t>Access site switch</w:t>
      </w:r>
    </w:p>
    <w:p w14:paraId="009DB499" w14:textId="5DA5B632" w:rsidR="00E7656F" w:rsidRPr="003A674A" w:rsidRDefault="008D5960" w:rsidP="00986A1B">
      <w:pPr>
        <w:rPr>
          <w:rFonts w:ascii="Times New Roman" w:hAnsi="Times New Roman" w:cs="Times New Roman"/>
          <w:sz w:val="24"/>
          <w:szCs w:val="24"/>
        </w:rPr>
      </w:pPr>
      <w:r w:rsidRPr="003A674A">
        <w:rPr>
          <w:rFonts w:ascii="Times New Roman" w:hAnsi="Times New Roman" w:cs="Times New Roman"/>
          <w:sz w:val="24"/>
          <w:szCs w:val="24"/>
        </w:rPr>
        <w:t xml:space="preserve"> During the study period, 35,388 patients</w:t>
      </w:r>
      <w:r w:rsidR="00842A8B">
        <w:rPr>
          <w:rFonts w:ascii="Times New Roman" w:hAnsi="Times New Roman" w:cs="Times New Roman"/>
          <w:sz w:val="24"/>
          <w:szCs w:val="24"/>
        </w:rPr>
        <w:t xml:space="preserve"> from the</w:t>
      </w:r>
      <w:r w:rsidRPr="003A674A">
        <w:rPr>
          <w:rFonts w:ascii="Times New Roman" w:hAnsi="Times New Roman" w:cs="Times New Roman"/>
          <w:sz w:val="24"/>
          <w:szCs w:val="24"/>
        </w:rPr>
        <w:t xml:space="preserve"> </w:t>
      </w:r>
      <w:r w:rsidR="00842A8B">
        <w:rPr>
          <w:rFonts w:ascii="Times New Roman" w:hAnsi="Times New Roman" w:cs="Times New Roman"/>
          <w:sz w:val="24"/>
          <w:szCs w:val="24"/>
        </w:rPr>
        <w:t xml:space="preserve">radial cohort </w:t>
      </w:r>
      <w:r w:rsidRPr="003A674A">
        <w:rPr>
          <w:rFonts w:ascii="Times New Roman" w:hAnsi="Times New Roman" w:cs="Times New Roman"/>
          <w:sz w:val="24"/>
          <w:szCs w:val="24"/>
        </w:rPr>
        <w:t xml:space="preserve">had </w:t>
      </w:r>
      <w:r w:rsidR="00FE4E86">
        <w:rPr>
          <w:rFonts w:ascii="Times New Roman" w:hAnsi="Times New Roman" w:cs="Times New Roman"/>
          <w:sz w:val="24"/>
          <w:szCs w:val="24"/>
        </w:rPr>
        <w:t xml:space="preserve">multiple </w:t>
      </w:r>
      <w:r w:rsidRPr="003A674A">
        <w:rPr>
          <w:rFonts w:ascii="Times New Roman" w:hAnsi="Times New Roman" w:cs="Times New Roman"/>
          <w:sz w:val="24"/>
          <w:szCs w:val="24"/>
        </w:rPr>
        <w:t>PCI</w:t>
      </w:r>
      <w:r w:rsidR="00FE4E86">
        <w:rPr>
          <w:rFonts w:ascii="Times New Roman" w:hAnsi="Times New Roman" w:cs="Times New Roman"/>
          <w:sz w:val="24"/>
          <w:szCs w:val="24"/>
        </w:rPr>
        <w:t xml:space="preserve"> procedures</w:t>
      </w:r>
      <w:r w:rsidRPr="003A674A">
        <w:rPr>
          <w:rFonts w:ascii="Times New Roman" w:hAnsi="Times New Roman" w:cs="Times New Roman"/>
          <w:sz w:val="24"/>
          <w:szCs w:val="24"/>
        </w:rPr>
        <w:t xml:space="preserve">. RRA was used in 33,956 patients at their </w:t>
      </w:r>
      <w:r w:rsidR="00842A8B">
        <w:rPr>
          <w:rFonts w:ascii="Times New Roman" w:hAnsi="Times New Roman" w:cs="Times New Roman"/>
          <w:sz w:val="24"/>
          <w:szCs w:val="24"/>
        </w:rPr>
        <w:t xml:space="preserve">index </w:t>
      </w:r>
      <w:r w:rsidRPr="003A674A">
        <w:rPr>
          <w:rFonts w:ascii="Times New Roman" w:hAnsi="Times New Roman" w:cs="Times New Roman"/>
          <w:sz w:val="24"/>
          <w:szCs w:val="24"/>
        </w:rPr>
        <w:t>PCI whereas 1,432 patients had their first PCI using LRA</w:t>
      </w:r>
      <w:r w:rsidR="00E7656F" w:rsidRPr="003A674A">
        <w:rPr>
          <w:rFonts w:ascii="Times New Roman" w:hAnsi="Times New Roman" w:cs="Times New Roman"/>
          <w:sz w:val="24"/>
          <w:szCs w:val="24"/>
        </w:rPr>
        <w:t xml:space="preserve">. </w:t>
      </w:r>
      <w:r w:rsidR="00283227" w:rsidRPr="003A674A">
        <w:rPr>
          <w:rFonts w:ascii="Times New Roman" w:hAnsi="Times New Roman" w:cs="Times New Roman"/>
          <w:sz w:val="24"/>
          <w:szCs w:val="24"/>
        </w:rPr>
        <w:t>In patients receiving</w:t>
      </w:r>
      <w:r w:rsidR="002706B8" w:rsidRPr="003A674A">
        <w:rPr>
          <w:rFonts w:ascii="Times New Roman" w:hAnsi="Times New Roman" w:cs="Times New Roman"/>
          <w:sz w:val="24"/>
          <w:szCs w:val="24"/>
        </w:rPr>
        <w:t xml:space="preserve"> their first PCI using RRA, subsequent successful RRA PCI was only possible in 72% of the patients</w:t>
      </w:r>
      <w:r w:rsidR="009612F5" w:rsidRPr="003A674A">
        <w:rPr>
          <w:rFonts w:ascii="Times New Roman" w:hAnsi="Times New Roman" w:cs="Times New Roman"/>
          <w:sz w:val="24"/>
          <w:szCs w:val="24"/>
        </w:rPr>
        <w:t xml:space="preserve">. Notably, the </w:t>
      </w:r>
      <w:r w:rsidR="002706B8" w:rsidRPr="003A674A">
        <w:rPr>
          <w:rFonts w:ascii="Times New Roman" w:hAnsi="Times New Roman" w:cs="Times New Roman"/>
          <w:sz w:val="24"/>
          <w:szCs w:val="24"/>
        </w:rPr>
        <w:t>majority of the switch from RRA was to femoral</w:t>
      </w:r>
      <w:r w:rsidR="009612F5" w:rsidRPr="003A674A">
        <w:rPr>
          <w:rFonts w:ascii="Times New Roman" w:hAnsi="Times New Roman" w:cs="Times New Roman"/>
          <w:sz w:val="24"/>
          <w:szCs w:val="24"/>
        </w:rPr>
        <w:t xml:space="preserve"> (23.5%)</w:t>
      </w:r>
      <w:r w:rsidR="002706B8" w:rsidRPr="003A674A">
        <w:rPr>
          <w:rFonts w:ascii="Times New Roman" w:hAnsi="Times New Roman" w:cs="Times New Roman"/>
          <w:sz w:val="24"/>
          <w:szCs w:val="24"/>
        </w:rPr>
        <w:t xml:space="preserve"> access instead of LRA</w:t>
      </w:r>
      <w:r w:rsidR="009612F5" w:rsidRPr="003A674A">
        <w:rPr>
          <w:rFonts w:ascii="Times New Roman" w:hAnsi="Times New Roman" w:cs="Times New Roman"/>
          <w:sz w:val="24"/>
          <w:szCs w:val="24"/>
        </w:rPr>
        <w:t xml:space="preserve"> (4.5%)</w:t>
      </w:r>
      <w:r w:rsidR="002706B8" w:rsidRPr="003A674A">
        <w:rPr>
          <w:rFonts w:ascii="Times New Roman" w:hAnsi="Times New Roman" w:cs="Times New Roman"/>
          <w:sz w:val="24"/>
          <w:szCs w:val="24"/>
        </w:rPr>
        <w:t xml:space="preserve">.  </w:t>
      </w:r>
      <w:r w:rsidR="009612F5" w:rsidRPr="003A674A">
        <w:rPr>
          <w:rFonts w:ascii="Times New Roman" w:hAnsi="Times New Roman" w:cs="Times New Roman"/>
          <w:sz w:val="24"/>
          <w:szCs w:val="24"/>
        </w:rPr>
        <w:t xml:space="preserve">However, LRA </w:t>
      </w:r>
      <w:r w:rsidR="00737237">
        <w:rPr>
          <w:rFonts w:ascii="Times New Roman" w:hAnsi="Times New Roman" w:cs="Times New Roman"/>
          <w:sz w:val="24"/>
          <w:szCs w:val="24"/>
        </w:rPr>
        <w:t>remained relatively stable</w:t>
      </w:r>
      <w:r w:rsidR="00E7656F" w:rsidRPr="003A674A">
        <w:rPr>
          <w:rFonts w:ascii="Times New Roman" w:hAnsi="Times New Roman" w:cs="Times New Roman"/>
          <w:sz w:val="24"/>
          <w:szCs w:val="24"/>
        </w:rPr>
        <w:t xml:space="preserve"> </w:t>
      </w:r>
      <w:r w:rsidR="00737237">
        <w:rPr>
          <w:rFonts w:ascii="Times New Roman" w:hAnsi="Times New Roman" w:cs="Times New Roman"/>
          <w:sz w:val="24"/>
          <w:szCs w:val="24"/>
        </w:rPr>
        <w:t>between</w:t>
      </w:r>
      <w:r w:rsidR="00737237" w:rsidRPr="003A674A">
        <w:rPr>
          <w:rFonts w:ascii="Times New Roman" w:hAnsi="Times New Roman" w:cs="Times New Roman"/>
          <w:sz w:val="24"/>
          <w:szCs w:val="24"/>
        </w:rPr>
        <w:t xml:space="preserve"> </w:t>
      </w:r>
      <w:r w:rsidR="00E7656F" w:rsidRPr="003A674A">
        <w:rPr>
          <w:rFonts w:ascii="Times New Roman" w:hAnsi="Times New Roman" w:cs="Times New Roman"/>
          <w:sz w:val="24"/>
          <w:szCs w:val="24"/>
        </w:rPr>
        <w:t xml:space="preserve">4.5% </w:t>
      </w:r>
      <w:r w:rsidR="00737237">
        <w:rPr>
          <w:rFonts w:ascii="Times New Roman" w:hAnsi="Times New Roman" w:cs="Times New Roman"/>
          <w:sz w:val="24"/>
          <w:szCs w:val="24"/>
        </w:rPr>
        <w:t>to</w:t>
      </w:r>
      <w:r w:rsidR="00E7656F" w:rsidRPr="003A674A">
        <w:rPr>
          <w:rFonts w:ascii="Times New Roman" w:hAnsi="Times New Roman" w:cs="Times New Roman"/>
          <w:sz w:val="24"/>
          <w:szCs w:val="24"/>
        </w:rPr>
        <w:t xml:space="preserve"> 6% at four</w:t>
      </w:r>
      <w:r w:rsidR="00D40A2A" w:rsidRPr="003A674A">
        <w:rPr>
          <w:rFonts w:ascii="Times New Roman" w:hAnsi="Times New Roman" w:cs="Times New Roman"/>
          <w:sz w:val="24"/>
          <w:szCs w:val="24"/>
        </w:rPr>
        <w:t xml:space="preserve"> or more procedures (Figure 5)</w:t>
      </w:r>
      <w:r w:rsidR="00E7656F" w:rsidRPr="003A674A">
        <w:rPr>
          <w:rFonts w:ascii="Times New Roman" w:hAnsi="Times New Roman" w:cs="Times New Roman"/>
          <w:sz w:val="24"/>
          <w:szCs w:val="24"/>
        </w:rPr>
        <w:t>. We explored the patterns of access site switch during successive procedures in different subgroups and found females were less likely to undergo a subsequent procedure through the RRA appr</w:t>
      </w:r>
      <w:r w:rsidR="009612F5" w:rsidRPr="003A674A">
        <w:rPr>
          <w:rFonts w:ascii="Times New Roman" w:hAnsi="Times New Roman" w:cs="Times New Roman"/>
          <w:sz w:val="24"/>
          <w:szCs w:val="24"/>
        </w:rPr>
        <w:t>oach compared to males (Figure 6a,6</w:t>
      </w:r>
      <w:r w:rsidR="00E7656F" w:rsidRPr="003A674A">
        <w:rPr>
          <w:rFonts w:ascii="Times New Roman" w:hAnsi="Times New Roman" w:cs="Times New Roman"/>
          <w:sz w:val="24"/>
          <w:szCs w:val="24"/>
        </w:rPr>
        <w:t>b) with similar trends o</w:t>
      </w:r>
      <w:r w:rsidR="009612F5" w:rsidRPr="003A674A">
        <w:rPr>
          <w:rFonts w:ascii="Times New Roman" w:hAnsi="Times New Roman" w:cs="Times New Roman"/>
          <w:sz w:val="24"/>
          <w:szCs w:val="24"/>
        </w:rPr>
        <w:t>bserved in the elderly (Figure 7a, 7</w:t>
      </w:r>
      <w:r w:rsidR="00E7656F" w:rsidRPr="003A674A">
        <w:rPr>
          <w:rFonts w:ascii="Times New Roman" w:hAnsi="Times New Roman" w:cs="Times New Roman"/>
          <w:sz w:val="24"/>
          <w:szCs w:val="24"/>
        </w:rPr>
        <w:t xml:space="preserve">b). </w:t>
      </w:r>
    </w:p>
    <w:p w14:paraId="752785EF" w14:textId="49BA06A5" w:rsidR="00E7656F" w:rsidRPr="003A674A" w:rsidRDefault="00E7656F" w:rsidP="00120B85">
      <w:pPr>
        <w:ind w:firstLine="0"/>
        <w:rPr>
          <w:rFonts w:ascii="Times New Roman" w:hAnsi="Times New Roman" w:cs="Times New Roman"/>
          <w:i/>
          <w:sz w:val="24"/>
          <w:szCs w:val="24"/>
        </w:rPr>
      </w:pPr>
      <w:r w:rsidRPr="003A674A">
        <w:rPr>
          <w:rFonts w:ascii="Times New Roman" w:hAnsi="Times New Roman" w:cs="Times New Roman"/>
          <w:i/>
          <w:sz w:val="24"/>
          <w:szCs w:val="24"/>
        </w:rPr>
        <w:t>Predictors of LRA</w:t>
      </w:r>
    </w:p>
    <w:p w14:paraId="76926F83" w14:textId="22AAFA6D" w:rsidR="00D64465" w:rsidRPr="003A674A" w:rsidRDefault="00F8277A" w:rsidP="008C19D1">
      <w:pPr>
        <w:rPr>
          <w:rFonts w:ascii="Times New Roman" w:hAnsi="Times New Roman" w:cs="Times New Roman"/>
          <w:sz w:val="24"/>
          <w:szCs w:val="24"/>
        </w:rPr>
      </w:pPr>
      <w:r w:rsidRPr="003A674A">
        <w:rPr>
          <w:rFonts w:ascii="Times New Roman" w:hAnsi="Times New Roman" w:cs="Times New Roman"/>
          <w:sz w:val="24"/>
          <w:szCs w:val="24"/>
        </w:rPr>
        <w:t xml:space="preserve">We studied independent predictors of LRA </w:t>
      </w:r>
      <w:r w:rsidR="009612F5" w:rsidRPr="003A674A">
        <w:rPr>
          <w:rFonts w:ascii="Times New Roman" w:hAnsi="Times New Roman" w:cs="Times New Roman"/>
          <w:sz w:val="24"/>
          <w:szCs w:val="24"/>
        </w:rPr>
        <w:t>at any time</w:t>
      </w:r>
      <w:r w:rsidR="00E7656F" w:rsidRPr="003A674A">
        <w:rPr>
          <w:rFonts w:ascii="Times New Roman" w:hAnsi="Times New Roman" w:cs="Times New Roman"/>
          <w:sz w:val="24"/>
          <w:szCs w:val="24"/>
        </w:rPr>
        <w:t xml:space="preserve"> </w:t>
      </w:r>
      <w:r w:rsidR="00D64465" w:rsidRPr="003A674A">
        <w:rPr>
          <w:rFonts w:ascii="Times New Roman" w:hAnsi="Times New Roman" w:cs="Times New Roman"/>
          <w:sz w:val="24"/>
          <w:szCs w:val="24"/>
        </w:rPr>
        <w:t>in the stepwise multivariate analysis</w:t>
      </w:r>
      <w:r w:rsidR="0060378A" w:rsidRPr="003A674A">
        <w:rPr>
          <w:rFonts w:ascii="Times New Roman" w:hAnsi="Times New Roman" w:cs="Times New Roman"/>
          <w:sz w:val="24"/>
          <w:szCs w:val="24"/>
        </w:rPr>
        <w:t xml:space="preserve"> and found that</w:t>
      </w:r>
      <w:r w:rsidR="00D64465" w:rsidRPr="003A674A">
        <w:rPr>
          <w:rFonts w:ascii="Times New Roman" w:hAnsi="Times New Roman" w:cs="Times New Roman"/>
          <w:sz w:val="24"/>
          <w:szCs w:val="24"/>
        </w:rPr>
        <w:t xml:space="preserve"> previous CABG (OR 9.32 95%CI 7.72-11.24 P&lt;0.001), PCI to vein graft (OR 2.10 95%CI 1.61-2.74 p&lt;0.001), renal failure (OR 2.65 95%CI 1.63-4.30), mechanical ventilation (O</w:t>
      </w:r>
      <w:r w:rsidR="0060378A" w:rsidRPr="003A674A">
        <w:rPr>
          <w:rFonts w:ascii="Times New Roman" w:hAnsi="Times New Roman" w:cs="Times New Roman"/>
          <w:sz w:val="24"/>
          <w:szCs w:val="24"/>
        </w:rPr>
        <w:t>R 2.61 95%CI 1.64-4.15 p&lt;0.001)</w:t>
      </w:r>
      <w:r w:rsidR="00D64465" w:rsidRPr="003A674A">
        <w:rPr>
          <w:rFonts w:ascii="Times New Roman" w:hAnsi="Times New Roman" w:cs="Times New Roman"/>
          <w:sz w:val="24"/>
          <w:szCs w:val="24"/>
        </w:rPr>
        <w:t xml:space="preserve">, peripheral vascular disease (OR 1.81 95%CI 1.48-2.22 p&lt;0.001), previous AMI (OR 1.29 95%CI 1.11-1.51 p&lt;0.001), female </w:t>
      </w:r>
      <w:r w:rsidR="00145909" w:rsidRPr="003A674A">
        <w:rPr>
          <w:rFonts w:ascii="Times New Roman" w:hAnsi="Times New Roman" w:cs="Times New Roman"/>
          <w:sz w:val="24"/>
          <w:szCs w:val="24"/>
        </w:rPr>
        <w:t xml:space="preserve">sex </w:t>
      </w:r>
      <w:r w:rsidR="00D64465" w:rsidRPr="003A674A">
        <w:rPr>
          <w:rFonts w:ascii="Times New Roman" w:hAnsi="Times New Roman" w:cs="Times New Roman"/>
          <w:sz w:val="24"/>
          <w:szCs w:val="24"/>
        </w:rPr>
        <w:t>(OR1.27 95%CI 1.10-1.46 p&lt;0.001) and repeat PCI (OR 1.09 95%CI 1.05-1.35 p&lt;0.006) were strong predictor</w:t>
      </w:r>
      <w:r w:rsidR="0060378A" w:rsidRPr="003A674A">
        <w:rPr>
          <w:rFonts w:ascii="Times New Roman" w:hAnsi="Times New Roman" w:cs="Times New Roman"/>
          <w:sz w:val="24"/>
          <w:szCs w:val="24"/>
        </w:rPr>
        <w:t>s</w:t>
      </w:r>
      <w:r w:rsidR="00D64465" w:rsidRPr="003A674A">
        <w:rPr>
          <w:rFonts w:ascii="Times New Roman" w:hAnsi="Times New Roman" w:cs="Times New Roman"/>
          <w:sz w:val="24"/>
          <w:szCs w:val="24"/>
        </w:rPr>
        <w:t xml:space="preserve"> of LRA</w:t>
      </w:r>
      <w:r w:rsidR="00145909" w:rsidRPr="003A674A">
        <w:rPr>
          <w:rFonts w:ascii="Times New Roman" w:hAnsi="Times New Roman" w:cs="Times New Roman"/>
          <w:sz w:val="24"/>
          <w:szCs w:val="24"/>
        </w:rPr>
        <w:t xml:space="preserve"> access</w:t>
      </w:r>
      <w:r w:rsidR="00425CC2">
        <w:rPr>
          <w:rFonts w:ascii="Times New Roman" w:hAnsi="Times New Roman" w:cs="Times New Roman"/>
          <w:sz w:val="24"/>
          <w:szCs w:val="24"/>
        </w:rPr>
        <w:t xml:space="preserve"> (Table 2)</w:t>
      </w:r>
      <w:r w:rsidR="00D64465" w:rsidRPr="003A674A">
        <w:rPr>
          <w:rFonts w:ascii="Times New Roman" w:hAnsi="Times New Roman" w:cs="Times New Roman"/>
          <w:sz w:val="24"/>
          <w:szCs w:val="24"/>
        </w:rPr>
        <w:t xml:space="preserve">. </w:t>
      </w:r>
    </w:p>
    <w:p w14:paraId="654AA96A" w14:textId="77777777" w:rsidR="009612F5" w:rsidRPr="003A674A" w:rsidRDefault="009612F5" w:rsidP="008C19D1">
      <w:pPr>
        <w:rPr>
          <w:rFonts w:ascii="Times New Roman" w:hAnsi="Times New Roman" w:cs="Times New Roman"/>
          <w:sz w:val="24"/>
          <w:szCs w:val="24"/>
        </w:rPr>
      </w:pPr>
    </w:p>
    <w:p w14:paraId="7BB576F2" w14:textId="4D681BC7" w:rsidR="00E7656F" w:rsidRPr="003A674A" w:rsidRDefault="00E7656F" w:rsidP="00120B85">
      <w:pPr>
        <w:ind w:firstLine="0"/>
        <w:rPr>
          <w:rFonts w:ascii="Times New Roman" w:hAnsi="Times New Roman" w:cs="Times New Roman"/>
          <w:i/>
          <w:sz w:val="24"/>
          <w:szCs w:val="24"/>
        </w:rPr>
      </w:pPr>
      <w:r w:rsidRPr="003A674A">
        <w:rPr>
          <w:rFonts w:ascii="Times New Roman" w:hAnsi="Times New Roman" w:cs="Times New Roman"/>
          <w:i/>
          <w:sz w:val="24"/>
          <w:szCs w:val="24"/>
        </w:rPr>
        <w:t>Outcomes</w:t>
      </w:r>
    </w:p>
    <w:p w14:paraId="4820EDF8" w14:textId="2D71EF4D" w:rsidR="00120B85" w:rsidRPr="003A674A" w:rsidRDefault="00AE2976" w:rsidP="00120B85">
      <w:pPr>
        <w:ind w:firstLine="0"/>
        <w:rPr>
          <w:rFonts w:ascii="Times New Roman" w:hAnsi="Times New Roman" w:cs="Times New Roman"/>
          <w:sz w:val="24"/>
          <w:szCs w:val="24"/>
        </w:rPr>
      </w:pPr>
      <w:r w:rsidRPr="003A674A">
        <w:rPr>
          <w:rFonts w:ascii="Times New Roman" w:hAnsi="Times New Roman" w:cs="Times New Roman"/>
          <w:sz w:val="24"/>
          <w:szCs w:val="24"/>
        </w:rPr>
        <w:t>Crude MACE</w:t>
      </w:r>
      <w:r w:rsidR="00F8277A" w:rsidRPr="003A674A">
        <w:rPr>
          <w:rFonts w:ascii="Times New Roman" w:hAnsi="Times New Roman" w:cs="Times New Roman"/>
          <w:sz w:val="24"/>
          <w:szCs w:val="24"/>
        </w:rPr>
        <w:t xml:space="preserve"> (</w:t>
      </w:r>
      <w:r w:rsidR="00892FD6" w:rsidRPr="003A674A">
        <w:rPr>
          <w:rFonts w:ascii="Times New Roman" w:hAnsi="Times New Roman" w:cs="Times New Roman"/>
          <w:sz w:val="24"/>
          <w:szCs w:val="24"/>
        </w:rPr>
        <w:t>1.6% n=225 vs 1.3% n= 4234</w:t>
      </w:r>
      <w:r w:rsidR="00145909" w:rsidRPr="003A674A">
        <w:rPr>
          <w:rFonts w:ascii="Times New Roman" w:hAnsi="Times New Roman" w:cs="Times New Roman"/>
          <w:sz w:val="24"/>
          <w:szCs w:val="24"/>
        </w:rPr>
        <w:t>,</w:t>
      </w:r>
      <w:r w:rsidR="00892FD6" w:rsidRPr="003A674A">
        <w:rPr>
          <w:rFonts w:ascii="Times New Roman" w:hAnsi="Times New Roman" w:cs="Times New Roman"/>
          <w:sz w:val="24"/>
          <w:szCs w:val="24"/>
        </w:rPr>
        <w:t xml:space="preserve"> p=0.004)</w:t>
      </w:r>
      <w:r w:rsidRPr="003A674A">
        <w:rPr>
          <w:rFonts w:ascii="Times New Roman" w:hAnsi="Times New Roman" w:cs="Times New Roman"/>
          <w:sz w:val="24"/>
          <w:szCs w:val="24"/>
        </w:rPr>
        <w:t>, in-hospital</w:t>
      </w:r>
      <w:r w:rsidR="00892FD6" w:rsidRPr="003A674A">
        <w:rPr>
          <w:rFonts w:ascii="Times New Roman" w:hAnsi="Times New Roman" w:cs="Times New Roman"/>
          <w:sz w:val="24"/>
          <w:szCs w:val="24"/>
        </w:rPr>
        <w:t xml:space="preserve"> (0.9% n=120 vs 0.7</w:t>
      </w:r>
      <w:r w:rsidR="00145909" w:rsidRPr="003A674A">
        <w:rPr>
          <w:rFonts w:ascii="Times New Roman" w:hAnsi="Times New Roman" w:cs="Times New Roman"/>
          <w:sz w:val="24"/>
          <w:szCs w:val="24"/>
        </w:rPr>
        <w:t>%</w:t>
      </w:r>
      <w:r w:rsidR="00892FD6" w:rsidRPr="003A674A">
        <w:rPr>
          <w:rFonts w:ascii="Times New Roman" w:hAnsi="Times New Roman" w:cs="Times New Roman"/>
          <w:sz w:val="24"/>
          <w:szCs w:val="24"/>
        </w:rPr>
        <w:t xml:space="preserve"> n=2,206</w:t>
      </w:r>
      <w:r w:rsidR="00145909" w:rsidRPr="003A674A">
        <w:rPr>
          <w:rFonts w:ascii="Times New Roman" w:hAnsi="Times New Roman" w:cs="Times New Roman"/>
          <w:sz w:val="24"/>
          <w:szCs w:val="24"/>
        </w:rPr>
        <w:t>,</w:t>
      </w:r>
      <w:r w:rsidR="00892FD6" w:rsidRPr="003A674A">
        <w:rPr>
          <w:rFonts w:ascii="Times New Roman" w:hAnsi="Times New Roman" w:cs="Times New Roman"/>
          <w:sz w:val="24"/>
          <w:szCs w:val="24"/>
        </w:rPr>
        <w:t xml:space="preserve"> p=0.01)</w:t>
      </w:r>
      <w:r w:rsidRPr="003A674A">
        <w:rPr>
          <w:rFonts w:ascii="Times New Roman" w:hAnsi="Times New Roman" w:cs="Times New Roman"/>
          <w:sz w:val="24"/>
          <w:szCs w:val="24"/>
        </w:rPr>
        <w:t xml:space="preserve"> and </w:t>
      </w:r>
      <w:r w:rsidR="00425CC2" w:rsidRPr="003A674A">
        <w:rPr>
          <w:rFonts w:ascii="Times New Roman" w:hAnsi="Times New Roman" w:cs="Times New Roman"/>
          <w:sz w:val="24"/>
          <w:szCs w:val="24"/>
        </w:rPr>
        <w:t>30-day</w:t>
      </w:r>
      <w:r w:rsidRPr="003A674A">
        <w:rPr>
          <w:rFonts w:ascii="Times New Roman" w:hAnsi="Times New Roman" w:cs="Times New Roman"/>
          <w:sz w:val="24"/>
          <w:szCs w:val="24"/>
        </w:rPr>
        <w:t xml:space="preserve"> mortality</w:t>
      </w:r>
      <w:r w:rsidR="00892FD6" w:rsidRPr="003A674A">
        <w:rPr>
          <w:rFonts w:ascii="Times New Roman" w:hAnsi="Times New Roman" w:cs="Times New Roman"/>
          <w:sz w:val="24"/>
          <w:szCs w:val="24"/>
        </w:rPr>
        <w:t xml:space="preserve"> (1.9% n=211 vs 1.5% n=3881</w:t>
      </w:r>
      <w:r w:rsidR="00145909" w:rsidRPr="003A674A">
        <w:rPr>
          <w:rFonts w:ascii="Times New Roman" w:hAnsi="Times New Roman" w:cs="Times New Roman"/>
          <w:sz w:val="24"/>
          <w:szCs w:val="24"/>
        </w:rPr>
        <w:t>,</w:t>
      </w:r>
      <w:r w:rsidR="00892FD6" w:rsidRPr="003A674A">
        <w:rPr>
          <w:rFonts w:ascii="Times New Roman" w:hAnsi="Times New Roman" w:cs="Times New Roman"/>
          <w:sz w:val="24"/>
          <w:szCs w:val="24"/>
        </w:rPr>
        <w:t xml:space="preserve"> p&lt;0.001)</w:t>
      </w:r>
      <w:r w:rsidRPr="003A674A">
        <w:rPr>
          <w:rFonts w:ascii="Times New Roman" w:hAnsi="Times New Roman" w:cs="Times New Roman"/>
          <w:sz w:val="24"/>
          <w:szCs w:val="24"/>
        </w:rPr>
        <w:t xml:space="preserve"> rates were significantly higher in </w:t>
      </w:r>
      <w:r w:rsidR="00145909" w:rsidRPr="003A674A">
        <w:rPr>
          <w:rFonts w:ascii="Times New Roman" w:hAnsi="Times New Roman" w:cs="Times New Roman"/>
          <w:sz w:val="24"/>
          <w:szCs w:val="24"/>
        </w:rPr>
        <w:t xml:space="preserve">the </w:t>
      </w:r>
      <w:r w:rsidRPr="003A674A">
        <w:rPr>
          <w:rFonts w:ascii="Times New Roman" w:hAnsi="Times New Roman" w:cs="Times New Roman"/>
          <w:sz w:val="24"/>
          <w:szCs w:val="24"/>
        </w:rPr>
        <w:t>LRA group but there were no differences in stroke and bleeding complications</w:t>
      </w:r>
      <w:r w:rsidR="00425CC2">
        <w:rPr>
          <w:rFonts w:ascii="Times New Roman" w:hAnsi="Times New Roman" w:cs="Times New Roman"/>
          <w:sz w:val="24"/>
          <w:szCs w:val="24"/>
        </w:rPr>
        <w:t xml:space="preserve"> (Table 1)</w:t>
      </w:r>
      <w:r w:rsidRPr="003A674A">
        <w:rPr>
          <w:rFonts w:ascii="Times New Roman" w:hAnsi="Times New Roman" w:cs="Times New Roman"/>
          <w:sz w:val="24"/>
          <w:szCs w:val="24"/>
        </w:rPr>
        <w:t>. In our MLR analysis</w:t>
      </w:r>
      <w:r w:rsidR="00425CC2">
        <w:rPr>
          <w:rFonts w:ascii="Times New Roman" w:hAnsi="Times New Roman" w:cs="Times New Roman"/>
          <w:sz w:val="24"/>
          <w:szCs w:val="24"/>
        </w:rPr>
        <w:t xml:space="preserve"> (Table 3)</w:t>
      </w:r>
      <w:r w:rsidRPr="003A674A">
        <w:rPr>
          <w:rFonts w:ascii="Times New Roman" w:hAnsi="Times New Roman" w:cs="Times New Roman"/>
          <w:sz w:val="24"/>
          <w:szCs w:val="24"/>
        </w:rPr>
        <w:t>, there were no differences between use of either access site and clinical outcomes, in-hospital death (OR 1.19 95% CI 0.90-1.57</w:t>
      </w:r>
      <w:r w:rsidR="00145909" w:rsidRPr="003A674A">
        <w:rPr>
          <w:rFonts w:ascii="Times New Roman" w:hAnsi="Times New Roman" w:cs="Times New Roman"/>
          <w:sz w:val="24"/>
          <w:szCs w:val="24"/>
        </w:rPr>
        <w:t>,</w:t>
      </w:r>
      <w:r w:rsidRPr="003A674A">
        <w:rPr>
          <w:rFonts w:ascii="Times New Roman" w:hAnsi="Times New Roman" w:cs="Times New Roman"/>
          <w:sz w:val="24"/>
          <w:szCs w:val="24"/>
        </w:rPr>
        <w:t xml:space="preserve"> p= 0.20), </w:t>
      </w:r>
      <w:r w:rsidR="00005431" w:rsidRPr="003A674A">
        <w:rPr>
          <w:rFonts w:ascii="Times New Roman" w:hAnsi="Times New Roman" w:cs="Times New Roman"/>
          <w:sz w:val="24"/>
          <w:szCs w:val="24"/>
        </w:rPr>
        <w:t>30-day</w:t>
      </w:r>
      <w:r w:rsidRPr="003A674A">
        <w:rPr>
          <w:rFonts w:ascii="Times New Roman" w:hAnsi="Times New Roman" w:cs="Times New Roman"/>
          <w:sz w:val="24"/>
          <w:szCs w:val="24"/>
        </w:rPr>
        <w:t xml:space="preserve"> mortality (O</w:t>
      </w:r>
      <w:r w:rsidR="008E5DF0" w:rsidRPr="003A674A">
        <w:rPr>
          <w:rFonts w:ascii="Times New Roman" w:hAnsi="Times New Roman" w:cs="Times New Roman"/>
          <w:sz w:val="24"/>
          <w:szCs w:val="24"/>
        </w:rPr>
        <w:t>R 1.17 95%CI 0.93-1.74</w:t>
      </w:r>
      <w:r w:rsidR="00703FC6" w:rsidRPr="003A674A">
        <w:rPr>
          <w:rFonts w:ascii="Times New Roman" w:hAnsi="Times New Roman" w:cs="Times New Roman"/>
          <w:sz w:val="24"/>
          <w:szCs w:val="24"/>
        </w:rPr>
        <w:t>,</w:t>
      </w:r>
      <w:r w:rsidR="008E5DF0" w:rsidRPr="003A674A">
        <w:rPr>
          <w:rFonts w:ascii="Times New Roman" w:hAnsi="Times New Roman" w:cs="Times New Roman"/>
          <w:sz w:val="24"/>
          <w:szCs w:val="24"/>
        </w:rPr>
        <w:t xml:space="preserve"> p=0.16)</w:t>
      </w:r>
      <w:r w:rsidRPr="003A674A">
        <w:rPr>
          <w:rFonts w:ascii="Times New Roman" w:hAnsi="Times New Roman" w:cs="Times New Roman"/>
          <w:sz w:val="24"/>
          <w:szCs w:val="24"/>
        </w:rPr>
        <w:t>, MACE (OR 1.06 95%CI 0.86-1.32</w:t>
      </w:r>
      <w:r w:rsidR="00703FC6" w:rsidRPr="003A674A">
        <w:rPr>
          <w:rFonts w:ascii="Times New Roman" w:hAnsi="Times New Roman" w:cs="Times New Roman"/>
          <w:sz w:val="24"/>
          <w:szCs w:val="24"/>
        </w:rPr>
        <w:t>,</w:t>
      </w:r>
      <w:r w:rsidRPr="003A674A">
        <w:rPr>
          <w:rFonts w:ascii="Times New Roman" w:hAnsi="Times New Roman" w:cs="Times New Roman"/>
          <w:sz w:val="24"/>
          <w:szCs w:val="24"/>
        </w:rPr>
        <w:t xml:space="preserve"> p=0.56)</w:t>
      </w:r>
      <w:r w:rsidR="00703FC6" w:rsidRPr="003A674A">
        <w:rPr>
          <w:rFonts w:ascii="Times New Roman" w:hAnsi="Times New Roman" w:cs="Times New Roman"/>
          <w:sz w:val="24"/>
          <w:szCs w:val="24"/>
        </w:rPr>
        <w:t>,</w:t>
      </w:r>
      <w:r w:rsidRPr="003A674A">
        <w:rPr>
          <w:rFonts w:ascii="Times New Roman" w:hAnsi="Times New Roman" w:cs="Times New Roman"/>
          <w:sz w:val="24"/>
          <w:szCs w:val="24"/>
        </w:rPr>
        <w:t xml:space="preserve"> </w:t>
      </w:r>
      <w:r w:rsidR="00005431" w:rsidRPr="003A674A">
        <w:rPr>
          <w:rFonts w:ascii="Times New Roman" w:hAnsi="Times New Roman" w:cs="Times New Roman"/>
          <w:sz w:val="24"/>
          <w:szCs w:val="24"/>
        </w:rPr>
        <w:t>in-hospital stroke complication (OR 0.45 95%CI 0.16-1.26</w:t>
      </w:r>
      <w:r w:rsidR="00703FC6" w:rsidRPr="003A674A">
        <w:rPr>
          <w:rFonts w:ascii="Times New Roman" w:hAnsi="Times New Roman" w:cs="Times New Roman"/>
          <w:sz w:val="24"/>
          <w:szCs w:val="24"/>
        </w:rPr>
        <w:t>,</w:t>
      </w:r>
      <w:r w:rsidR="00005431" w:rsidRPr="003A674A">
        <w:rPr>
          <w:rFonts w:ascii="Times New Roman" w:hAnsi="Times New Roman" w:cs="Times New Roman"/>
          <w:sz w:val="24"/>
          <w:szCs w:val="24"/>
        </w:rPr>
        <w:t xml:space="preserve"> p=0.13) </w:t>
      </w:r>
      <w:r w:rsidRPr="003A674A">
        <w:rPr>
          <w:rFonts w:ascii="Times New Roman" w:hAnsi="Times New Roman" w:cs="Times New Roman"/>
          <w:sz w:val="24"/>
          <w:szCs w:val="24"/>
        </w:rPr>
        <w:t xml:space="preserve">and major </w:t>
      </w:r>
      <w:r w:rsidRPr="003A674A">
        <w:rPr>
          <w:rFonts w:ascii="Times New Roman" w:hAnsi="Times New Roman" w:cs="Times New Roman"/>
          <w:sz w:val="24"/>
          <w:szCs w:val="24"/>
        </w:rPr>
        <w:lastRenderedPageBreak/>
        <w:t>bleeding (OR 1.22 95%CI 0.87-1.77</w:t>
      </w:r>
      <w:r w:rsidR="00703FC6" w:rsidRPr="003A674A">
        <w:rPr>
          <w:rFonts w:ascii="Times New Roman" w:hAnsi="Times New Roman" w:cs="Times New Roman"/>
          <w:sz w:val="24"/>
          <w:szCs w:val="24"/>
        </w:rPr>
        <w:t>,</w:t>
      </w:r>
      <w:r w:rsidRPr="003A674A">
        <w:rPr>
          <w:rFonts w:ascii="Times New Roman" w:hAnsi="Times New Roman" w:cs="Times New Roman"/>
          <w:sz w:val="24"/>
          <w:szCs w:val="24"/>
        </w:rPr>
        <w:t xml:space="preserve"> p=0.</w:t>
      </w:r>
      <w:r w:rsidR="00425CC2" w:rsidRPr="003A674A">
        <w:rPr>
          <w:rFonts w:ascii="Times New Roman" w:hAnsi="Times New Roman" w:cs="Times New Roman"/>
          <w:sz w:val="24"/>
          <w:szCs w:val="24"/>
        </w:rPr>
        <w:t>24)</w:t>
      </w:r>
      <w:r w:rsidRPr="003A674A">
        <w:rPr>
          <w:rFonts w:ascii="Times New Roman" w:hAnsi="Times New Roman" w:cs="Times New Roman"/>
          <w:sz w:val="24"/>
          <w:szCs w:val="24"/>
        </w:rPr>
        <w:t xml:space="preserve">. </w:t>
      </w:r>
      <w:r w:rsidR="008E5DF0" w:rsidRPr="003A674A">
        <w:rPr>
          <w:rFonts w:ascii="Times New Roman" w:hAnsi="Times New Roman" w:cs="Times New Roman"/>
          <w:sz w:val="24"/>
          <w:szCs w:val="24"/>
        </w:rPr>
        <w:t>Notably</w:t>
      </w:r>
      <w:r w:rsidR="00005431" w:rsidRPr="003A674A">
        <w:rPr>
          <w:rFonts w:ascii="Times New Roman" w:hAnsi="Times New Roman" w:cs="Times New Roman"/>
          <w:sz w:val="24"/>
          <w:szCs w:val="24"/>
        </w:rPr>
        <w:t>,</w:t>
      </w:r>
      <w:r w:rsidR="008E5DF0" w:rsidRPr="003A674A">
        <w:rPr>
          <w:rFonts w:ascii="Times New Roman" w:hAnsi="Times New Roman" w:cs="Times New Roman"/>
          <w:sz w:val="24"/>
          <w:szCs w:val="24"/>
        </w:rPr>
        <w:t xml:space="preserve"> </w:t>
      </w:r>
      <w:r w:rsidR="00005431" w:rsidRPr="003A674A">
        <w:rPr>
          <w:rFonts w:ascii="Times New Roman" w:hAnsi="Times New Roman" w:cs="Times New Roman"/>
          <w:sz w:val="24"/>
          <w:szCs w:val="24"/>
        </w:rPr>
        <w:t>in our propensity score matching analysis</w:t>
      </w:r>
      <w:r w:rsidR="00425CC2">
        <w:rPr>
          <w:rFonts w:ascii="Times New Roman" w:hAnsi="Times New Roman" w:cs="Times New Roman"/>
          <w:sz w:val="24"/>
          <w:szCs w:val="24"/>
        </w:rPr>
        <w:t xml:space="preserve"> (Table 4)</w:t>
      </w:r>
      <w:r w:rsidR="00005431" w:rsidRPr="003A674A">
        <w:rPr>
          <w:rFonts w:ascii="Times New Roman" w:hAnsi="Times New Roman" w:cs="Times New Roman"/>
          <w:sz w:val="24"/>
          <w:szCs w:val="24"/>
        </w:rPr>
        <w:t xml:space="preserve">, LRA was associated with </w:t>
      </w:r>
      <w:r w:rsidR="00703FC6" w:rsidRPr="003A674A">
        <w:rPr>
          <w:rFonts w:ascii="Times New Roman" w:hAnsi="Times New Roman" w:cs="Times New Roman"/>
          <w:sz w:val="24"/>
          <w:szCs w:val="24"/>
        </w:rPr>
        <w:t xml:space="preserve">a </w:t>
      </w:r>
      <w:r w:rsidR="00005431" w:rsidRPr="003A674A">
        <w:rPr>
          <w:rFonts w:ascii="Times New Roman" w:hAnsi="Times New Roman" w:cs="Times New Roman"/>
          <w:sz w:val="24"/>
          <w:szCs w:val="24"/>
        </w:rPr>
        <w:t xml:space="preserve">significant </w:t>
      </w:r>
      <w:r w:rsidR="0057638C" w:rsidRPr="003A674A">
        <w:rPr>
          <w:rFonts w:ascii="Times New Roman" w:hAnsi="Times New Roman" w:cs="Times New Roman"/>
          <w:sz w:val="24"/>
          <w:szCs w:val="24"/>
        </w:rPr>
        <w:t>decrease</w:t>
      </w:r>
      <w:r w:rsidR="00005431" w:rsidRPr="003A674A">
        <w:rPr>
          <w:rFonts w:ascii="Times New Roman" w:hAnsi="Times New Roman" w:cs="Times New Roman"/>
          <w:sz w:val="24"/>
          <w:szCs w:val="24"/>
        </w:rPr>
        <w:t xml:space="preserve"> in in-hospital stroke </w:t>
      </w:r>
      <w:r w:rsidR="0057638C" w:rsidRPr="003A674A">
        <w:rPr>
          <w:rFonts w:ascii="Times New Roman" w:hAnsi="Times New Roman" w:cs="Times New Roman"/>
          <w:sz w:val="24"/>
          <w:szCs w:val="24"/>
        </w:rPr>
        <w:t xml:space="preserve">risk </w:t>
      </w:r>
      <w:r w:rsidR="00005431" w:rsidRPr="003A674A">
        <w:rPr>
          <w:rFonts w:ascii="Times New Roman" w:hAnsi="Times New Roman" w:cs="Times New Roman"/>
          <w:sz w:val="24"/>
          <w:szCs w:val="24"/>
        </w:rPr>
        <w:t>(</w:t>
      </w:r>
      <w:r w:rsidR="009B1530">
        <w:rPr>
          <w:rFonts w:ascii="Times New Roman" w:hAnsi="Times New Roman" w:cs="Times New Roman"/>
          <w:sz w:val="24"/>
          <w:szCs w:val="24"/>
        </w:rPr>
        <w:t xml:space="preserve">average treatment effect </w:t>
      </w:r>
      <w:r w:rsidR="00005431" w:rsidRPr="003A674A">
        <w:rPr>
          <w:rFonts w:ascii="Times New Roman" w:hAnsi="Times New Roman" w:cs="Times New Roman"/>
          <w:sz w:val="24"/>
          <w:szCs w:val="24"/>
        </w:rPr>
        <w:t>coefficient 0.000977 95%CI -0.001654 to -0.00299</w:t>
      </w:r>
      <w:r w:rsidR="00703FC6" w:rsidRPr="003A674A">
        <w:rPr>
          <w:rFonts w:ascii="Times New Roman" w:hAnsi="Times New Roman" w:cs="Times New Roman"/>
          <w:sz w:val="24"/>
          <w:szCs w:val="24"/>
        </w:rPr>
        <w:t>,</w:t>
      </w:r>
      <w:r w:rsidR="00005431" w:rsidRPr="003A674A">
        <w:rPr>
          <w:rFonts w:ascii="Times New Roman" w:hAnsi="Times New Roman" w:cs="Times New Roman"/>
          <w:sz w:val="24"/>
          <w:szCs w:val="24"/>
        </w:rPr>
        <w:t xml:space="preserve"> p=0.005).</w:t>
      </w:r>
    </w:p>
    <w:p w14:paraId="0AC47F51" w14:textId="0CC1D5BD" w:rsidR="00213148" w:rsidRPr="003A674A" w:rsidRDefault="00213148" w:rsidP="00120B85">
      <w:pPr>
        <w:ind w:firstLine="0"/>
        <w:rPr>
          <w:rFonts w:ascii="Times New Roman" w:hAnsi="Times New Roman" w:cs="Times New Roman"/>
          <w:i/>
          <w:sz w:val="24"/>
          <w:szCs w:val="24"/>
        </w:rPr>
      </w:pPr>
      <w:r w:rsidRPr="003A674A">
        <w:rPr>
          <w:rFonts w:ascii="Times New Roman" w:hAnsi="Times New Roman" w:cs="Times New Roman"/>
          <w:i/>
          <w:sz w:val="24"/>
          <w:szCs w:val="24"/>
        </w:rPr>
        <w:t>Sensitivity analyses</w:t>
      </w:r>
    </w:p>
    <w:p w14:paraId="033170E1" w14:textId="4CAA02F2" w:rsidR="00213148" w:rsidRPr="003A674A" w:rsidRDefault="00213148" w:rsidP="00120B85">
      <w:pPr>
        <w:ind w:firstLine="0"/>
        <w:rPr>
          <w:rFonts w:ascii="Times New Roman" w:hAnsi="Times New Roman" w:cs="Times New Roman"/>
          <w:sz w:val="24"/>
          <w:szCs w:val="24"/>
        </w:rPr>
      </w:pPr>
      <w:r w:rsidRPr="003A674A">
        <w:rPr>
          <w:rFonts w:ascii="Times New Roman" w:hAnsi="Times New Roman" w:cs="Times New Roman"/>
          <w:sz w:val="24"/>
          <w:szCs w:val="24"/>
        </w:rPr>
        <w:t xml:space="preserve">In our sensitivity analyses after excluding patients with previous </w:t>
      </w:r>
      <w:r w:rsidR="00AB73B1" w:rsidRPr="003A674A">
        <w:rPr>
          <w:rFonts w:ascii="Times New Roman" w:hAnsi="Times New Roman" w:cs="Times New Roman"/>
          <w:sz w:val="24"/>
          <w:szCs w:val="24"/>
        </w:rPr>
        <w:t>history of CABG</w:t>
      </w:r>
      <w:r w:rsidRPr="003A674A">
        <w:rPr>
          <w:rFonts w:ascii="Times New Roman" w:hAnsi="Times New Roman" w:cs="Times New Roman"/>
          <w:sz w:val="24"/>
          <w:szCs w:val="24"/>
        </w:rPr>
        <w:t>,</w:t>
      </w:r>
      <w:r w:rsidR="00AB73B1" w:rsidRPr="003A674A">
        <w:rPr>
          <w:rFonts w:ascii="Times New Roman" w:hAnsi="Times New Roman" w:cs="Times New Roman"/>
          <w:sz w:val="24"/>
          <w:szCs w:val="24"/>
        </w:rPr>
        <w:t xml:space="preserve"> </w:t>
      </w:r>
      <w:r w:rsidR="009D037E" w:rsidRPr="003A674A">
        <w:rPr>
          <w:rFonts w:ascii="Times New Roman" w:hAnsi="Times New Roman" w:cs="Times New Roman"/>
          <w:sz w:val="24"/>
          <w:szCs w:val="24"/>
        </w:rPr>
        <w:t>we</w:t>
      </w:r>
      <w:r w:rsidR="00AB73B1" w:rsidRPr="003A674A">
        <w:rPr>
          <w:rFonts w:ascii="Times New Roman" w:hAnsi="Times New Roman" w:cs="Times New Roman"/>
          <w:sz w:val="24"/>
          <w:szCs w:val="24"/>
        </w:rPr>
        <w:t xml:space="preserve"> did not</w:t>
      </w:r>
      <w:r w:rsidR="009D037E" w:rsidRPr="003A674A">
        <w:rPr>
          <w:rFonts w:ascii="Times New Roman" w:hAnsi="Times New Roman" w:cs="Times New Roman"/>
          <w:sz w:val="24"/>
          <w:szCs w:val="24"/>
        </w:rPr>
        <w:t xml:space="preserve"> find</w:t>
      </w:r>
      <w:r w:rsidR="00AB73B1" w:rsidRPr="003A674A">
        <w:rPr>
          <w:rFonts w:ascii="Times New Roman" w:hAnsi="Times New Roman" w:cs="Times New Roman"/>
          <w:sz w:val="24"/>
          <w:szCs w:val="24"/>
        </w:rPr>
        <w:t xml:space="preserve"> any </w:t>
      </w:r>
      <w:r w:rsidR="00F5639A">
        <w:rPr>
          <w:rFonts w:ascii="Times New Roman" w:hAnsi="Times New Roman" w:cs="Times New Roman"/>
          <w:sz w:val="24"/>
          <w:szCs w:val="24"/>
        </w:rPr>
        <w:t>material</w:t>
      </w:r>
      <w:r w:rsidR="00F5639A" w:rsidRPr="003A674A">
        <w:rPr>
          <w:rFonts w:ascii="Times New Roman" w:hAnsi="Times New Roman" w:cs="Times New Roman"/>
          <w:sz w:val="24"/>
          <w:szCs w:val="24"/>
        </w:rPr>
        <w:t xml:space="preserve"> </w:t>
      </w:r>
      <w:r w:rsidR="00AB73B1" w:rsidRPr="003A674A">
        <w:rPr>
          <w:rFonts w:ascii="Times New Roman" w:hAnsi="Times New Roman" w:cs="Times New Roman"/>
          <w:sz w:val="24"/>
          <w:szCs w:val="24"/>
        </w:rPr>
        <w:t xml:space="preserve">differences in the baseline characteristics, clinical outcomes and predictors of LRA from the original analyses (supplementary tables 2-4). </w:t>
      </w:r>
      <w:r w:rsidRPr="003A674A">
        <w:rPr>
          <w:rFonts w:ascii="Times New Roman" w:hAnsi="Times New Roman" w:cs="Times New Roman"/>
          <w:sz w:val="24"/>
          <w:szCs w:val="24"/>
        </w:rPr>
        <w:t xml:space="preserve"> </w:t>
      </w:r>
    </w:p>
    <w:p w14:paraId="51653DAF" w14:textId="336E6E6A" w:rsidR="009001F4" w:rsidRPr="003A674A" w:rsidRDefault="00AE2976" w:rsidP="00FD155F">
      <w:pPr>
        <w:pStyle w:val="Heading1"/>
        <w:ind w:firstLine="0"/>
        <w:rPr>
          <w:rFonts w:ascii="Times New Roman" w:hAnsi="Times New Roman" w:cs="Times New Roman"/>
          <w:sz w:val="24"/>
          <w:szCs w:val="24"/>
        </w:rPr>
      </w:pPr>
      <w:r w:rsidRPr="003A674A">
        <w:rPr>
          <w:rFonts w:ascii="Times New Roman" w:hAnsi="Times New Roman" w:cs="Times New Roman"/>
          <w:b/>
          <w:color w:val="000000" w:themeColor="text1"/>
          <w:sz w:val="24"/>
          <w:szCs w:val="24"/>
        </w:rPr>
        <w:t>Discussion:</w:t>
      </w:r>
    </w:p>
    <w:p w14:paraId="33FC530B" w14:textId="5AC72EA5" w:rsidR="00311DCA" w:rsidRPr="003A674A" w:rsidRDefault="00B0620A" w:rsidP="00F8300A">
      <w:pPr>
        <w:ind w:firstLine="0"/>
        <w:rPr>
          <w:rFonts w:ascii="Times New Roman" w:hAnsi="Times New Roman" w:cs="Times New Roman"/>
          <w:sz w:val="24"/>
          <w:szCs w:val="24"/>
        </w:rPr>
      </w:pPr>
      <w:r w:rsidRPr="003A674A">
        <w:rPr>
          <w:rFonts w:ascii="Times New Roman" w:hAnsi="Times New Roman" w:cs="Times New Roman"/>
          <w:sz w:val="24"/>
          <w:szCs w:val="24"/>
        </w:rPr>
        <w:tab/>
      </w:r>
      <w:r w:rsidR="00311DCA" w:rsidRPr="003A674A">
        <w:rPr>
          <w:rFonts w:ascii="Times New Roman" w:hAnsi="Times New Roman" w:cs="Times New Roman"/>
          <w:sz w:val="24"/>
          <w:szCs w:val="24"/>
        </w:rPr>
        <w:t>To our knowledge, this is the</w:t>
      </w:r>
      <w:r w:rsidR="00127E9A" w:rsidRPr="003A674A">
        <w:rPr>
          <w:rFonts w:ascii="Times New Roman" w:hAnsi="Times New Roman" w:cs="Times New Roman"/>
          <w:sz w:val="24"/>
          <w:szCs w:val="24"/>
        </w:rPr>
        <w:t xml:space="preserve"> first</w:t>
      </w:r>
      <w:r w:rsidR="00311DCA" w:rsidRPr="003A674A">
        <w:rPr>
          <w:rFonts w:ascii="Times New Roman" w:hAnsi="Times New Roman" w:cs="Times New Roman"/>
          <w:sz w:val="24"/>
          <w:szCs w:val="24"/>
        </w:rPr>
        <w:t xml:space="preserve"> study describing the patterns of </w:t>
      </w:r>
      <w:r w:rsidR="00E929D1" w:rsidRPr="003A674A">
        <w:rPr>
          <w:rFonts w:ascii="Times New Roman" w:hAnsi="Times New Roman" w:cs="Times New Roman"/>
          <w:sz w:val="24"/>
          <w:szCs w:val="24"/>
        </w:rPr>
        <w:t>radial access</w:t>
      </w:r>
      <w:r w:rsidR="000B6799" w:rsidRPr="003A674A">
        <w:rPr>
          <w:rFonts w:ascii="Times New Roman" w:hAnsi="Times New Roman" w:cs="Times New Roman"/>
          <w:sz w:val="24"/>
          <w:szCs w:val="24"/>
        </w:rPr>
        <w:t xml:space="preserve"> from a national perspective</w:t>
      </w:r>
      <w:r w:rsidR="00E929D1" w:rsidRPr="003A674A">
        <w:rPr>
          <w:rFonts w:ascii="Times New Roman" w:hAnsi="Times New Roman" w:cs="Times New Roman"/>
          <w:sz w:val="24"/>
          <w:szCs w:val="24"/>
        </w:rPr>
        <w:t xml:space="preserve"> over a period </w:t>
      </w:r>
      <w:r w:rsidR="000B6799" w:rsidRPr="003A674A">
        <w:rPr>
          <w:rFonts w:ascii="Times New Roman" w:hAnsi="Times New Roman" w:cs="Times New Roman"/>
          <w:sz w:val="24"/>
          <w:szCs w:val="24"/>
        </w:rPr>
        <w:t xml:space="preserve">where access site practice has transitioned to predominantly </w:t>
      </w:r>
      <w:proofErr w:type="spellStart"/>
      <w:r w:rsidR="000B6799" w:rsidRPr="003A674A">
        <w:rPr>
          <w:rFonts w:ascii="Times New Roman" w:hAnsi="Times New Roman" w:cs="Times New Roman"/>
          <w:sz w:val="24"/>
          <w:szCs w:val="24"/>
        </w:rPr>
        <w:t>transradial</w:t>
      </w:r>
      <w:proofErr w:type="spellEnd"/>
      <w:r w:rsidR="00120B85" w:rsidRPr="003A674A">
        <w:rPr>
          <w:rFonts w:ascii="Times New Roman" w:hAnsi="Times New Roman" w:cs="Times New Roman"/>
          <w:sz w:val="24"/>
          <w:szCs w:val="24"/>
        </w:rPr>
        <w:t xml:space="preserve"> in </w:t>
      </w:r>
      <w:r w:rsidR="00703FC6" w:rsidRPr="003A674A">
        <w:rPr>
          <w:rFonts w:ascii="Times New Roman" w:hAnsi="Times New Roman" w:cs="Times New Roman"/>
          <w:sz w:val="24"/>
          <w:szCs w:val="24"/>
        </w:rPr>
        <w:t xml:space="preserve">the </w:t>
      </w:r>
      <w:r w:rsidR="00120B85" w:rsidRPr="003A674A">
        <w:rPr>
          <w:rFonts w:ascii="Times New Roman" w:hAnsi="Times New Roman" w:cs="Times New Roman"/>
          <w:sz w:val="24"/>
          <w:szCs w:val="24"/>
        </w:rPr>
        <w:t>United Kingdom</w:t>
      </w:r>
      <w:r w:rsidR="00311DCA" w:rsidRPr="003A674A">
        <w:rPr>
          <w:rFonts w:ascii="Times New Roman" w:hAnsi="Times New Roman" w:cs="Times New Roman"/>
          <w:sz w:val="24"/>
          <w:szCs w:val="24"/>
        </w:rPr>
        <w:t>. Our r</w:t>
      </w:r>
      <w:r w:rsidR="009001F4" w:rsidRPr="003A674A">
        <w:rPr>
          <w:rFonts w:ascii="Times New Roman" w:hAnsi="Times New Roman" w:cs="Times New Roman"/>
          <w:sz w:val="24"/>
          <w:szCs w:val="24"/>
        </w:rPr>
        <w:t xml:space="preserve">esults show that use of </w:t>
      </w:r>
      <w:r w:rsidR="002F6112" w:rsidRPr="003A674A">
        <w:rPr>
          <w:rFonts w:ascii="Times New Roman" w:hAnsi="Times New Roman" w:cs="Times New Roman"/>
          <w:sz w:val="24"/>
          <w:szCs w:val="24"/>
        </w:rPr>
        <w:t>LRA has</w:t>
      </w:r>
      <w:r w:rsidR="009001F4" w:rsidRPr="003A674A">
        <w:rPr>
          <w:rFonts w:ascii="Times New Roman" w:hAnsi="Times New Roman" w:cs="Times New Roman"/>
          <w:sz w:val="24"/>
          <w:szCs w:val="24"/>
        </w:rPr>
        <w:t xml:space="preserve"> modestly </w:t>
      </w:r>
      <w:r w:rsidR="00311DCA" w:rsidRPr="003A674A">
        <w:rPr>
          <w:rFonts w:ascii="Times New Roman" w:hAnsi="Times New Roman" w:cs="Times New Roman"/>
          <w:sz w:val="24"/>
          <w:szCs w:val="24"/>
        </w:rPr>
        <w:t>increased overtime</w:t>
      </w:r>
      <w:r w:rsidR="009001F4" w:rsidRPr="003A674A">
        <w:rPr>
          <w:rFonts w:ascii="Times New Roman" w:hAnsi="Times New Roman" w:cs="Times New Roman"/>
          <w:sz w:val="24"/>
          <w:szCs w:val="24"/>
        </w:rPr>
        <w:t xml:space="preserve"> in UK practice and is used more often in females</w:t>
      </w:r>
      <w:r w:rsidR="00054F46" w:rsidRPr="003A674A">
        <w:rPr>
          <w:rFonts w:ascii="Times New Roman" w:hAnsi="Times New Roman" w:cs="Times New Roman"/>
          <w:sz w:val="24"/>
          <w:szCs w:val="24"/>
        </w:rPr>
        <w:t xml:space="preserve">, </w:t>
      </w:r>
      <w:r w:rsidR="00703FC6" w:rsidRPr="003A674A">
        <w:rPr>
          <w:rFonts w:ascii="Times New Roman" w:hAnsi="Times New Roman" w:cs="Times New Roman"/>
          <w:sz w:val="24"/>
          <w:szCs w:val="24"/>
        </w:rPr>
        <w:t xml:space="preserve">the </w:t>
      </w:r>
      <w:r w:rsidR="00054F46" w:rsidRPr="003A674A">
        <w:rPr>
          <w:rFonts w:ascii="Times New Roman" w:hAnsi="Times New Roman" w:cs="Times New Roman"/>
          <w:sz w:val="24"/>
          <w:szCs w:val="24"/>
        </w:rPr>
        <w:t>elderly, Asian ethnicity,</w:t>
      </w:r>
      <w:r w:rsidR="0031187C" w:rsidRPr="003A674A">
        <w:rPr>
          <w:rFonts w:ascii="Times New Roman" w:hAnsi="Times New Roman" w:cs="Times New Roman"/>
          <w:sz w:val="24"/>
          <w:szCs w:val="24"/>
        </w:rPr>
        <w:t xml:space="preserve"> patients with </w:t>
      </w:r>
      <w:r w:rsidR="00703FC6" w:rsidRPr="003A674A">
        <w:rPr>
          <w:rFonts w:ascii="Times New Roman" w:hAnsi="Times New Roman" w:cs="Times New Roman"/>
          <w:sz w:val="24"/>
          <w:szCs w:val="24"/>
        </w:rPr>
        <w:t xml:space="preserve">a </w:t>
      </w:r>
      <w:r w:rsidR="0031187C" w:rsidRPr="003A674A">
        <w:rPr>
          <w:rFonts w:ascii="Times New Roman" w:hAnsi="Times New Roman" w:cs="Times New Roman"/>
          <w:sz w:val="24"/>
          <w:szCs w:val="24"/>
        </w:rPr>
        <w:t>previous history of CABG</w:t>
      </w:r>
      <w:r w:rsidR="00311DCA" w:rsidRPr="003A674A">
        <w:rPr>
          <w:rFonts w:ascii="Times New Roman" w:hAnsi="Times New Roman" w:cs="Times New Roman"/>
          <w:sz w:val="24"/>
          <w:szCs w:val="24"/>
        </w:rPr>
        <w:t xml:space="preserve"> and short stature patients.</w:t>
      </w:r>
      <w:r w:rsidR="00120B85" w:rsidRPr="003A674A">
        <w:rPr>
          <w:rFonts w:ascii="Times New Roman" w:hAnsi="Times New Roman" w:cs="Times New Roman"/>
          <w:sz w:val="24"/>
          <w:szCs w:val="24"/>
        </w:rPr>
        <w:t xml:space="preserve"> In p</w:t>
      </w:r>
      <w:r w:rsidR="0031187C" w:rsidRPr="003A674A">
        <w:rPr>
          <w:rFonts w:ascii="Times New Roman" w:hAnsi="Times New Roman" w:cs="Times New Roman"/>
          <w:sz w:val="24"/>
          <w:szCs w:val="24"/>
        </w:rPr>
        <w:t xml:space="preserve">atients </w:t>
      </w:r>
      <w:r w:rsidR="00120B85" w:rsidRPr="003A674A">
        <w:rPr>
          <w:rFonts w:ascii="Times New Roman" w:hAnsi="Times New Roman" w:cs="Times New Roman"/>
          <w:sz w:val="24"/>
          <w:szCs w:val="24"/>
        </w:rPr>
        <w:t>undergoing repeat PCI, over</w:t>
      </w:r>
      <w:r w:rsidR="0031187C" w:rsidRPr="003A674A">
        <w:rPr>
          <w:rFonts w:ascii="Times New Roman" w:hAnsi="Times New Roman" w:cs="Times New Roman"/>
          <w:sz w:val="24"/>
          <w:szCs w:val="24"/>
        </w:rPr>
        <w:t xml:space="preserve"> one third of t</w:t>
      </w:r>
      <w:r w:rsidR="00054F46" w:rsidRPr="003A674A">
        <w:rPr>
          <w:rFonts w:ascii="Times New Roman" w:hAnsi="Times New Roman" w:cs="Times New Roman"/>
          <w:sz w:val="24"/>
          <w:szCs w:val="24"/>
        </w:rPr>
        <w:t>he patients (2</w:t>
      </w:r>
      <w:r w:rsidR="009612F5" w:rsidRPr="003A674A">
        <w:rPr>
          <w:rFonts w:ascii="Times New Roman" w:hAnsi="Times New Roman" w:cs="Times New Roman"/>
          <w:sz w:val="24"/>
          <w:szCs w:val="24"/>
        </w:rPr>
        <w:t>8</w:t>
      </w:r>
      <w:r w:rsidR="00054F46" w:rsidRPr="003A674A">
        <w:rPr>
          <w:rFonts w:ascii="Times New Roman" w:hAnsi="Times New Roman" w:cs="Times New Roman"/>
          <w:sz w:val="24"/>
          <w:szCs w:val="24"/>
        </w:rPr>
        <w:t>%)</w:t>
      </w:r>
      <w:r w:rsidR="0031187C" w:rsidRPr="003A674A">
        <w:rPr>
          <w:rFonts w:ascii="Times New Roman" w:hAnsi="Times New Roman" w:cs="Times New Roman"/>
          <w:sz w:val="24"/>
          <w:szCs w:val="24"/>
        </w:rPr>
        <w:t xml:space="preserve"> had access site switched from RRA at each successive procedure to </w:t>
      </w:r>
      <w:r w:rsidR="00C80025" w:rsidRPr="003A674A">
        <w:rPr>
          <w:rFonts w:ascii="Times New Roman" w:hAnsi="Times New Roman" w:cs="Times New Roman"/>
          <w:sz w:val="24"/>
          <w:szCs w:val="24"/>
        </w:rPr>
        <w:t xml:space="preserve">mainly femoral access with </w:t>
      </w:r>
      <w:r w:rsidR="00703FC6" w:rsidRPr="003A674A">
        <w:rPr>
          <w:rFonts w:ascii="Times New Roman" w:hAnsi="Times New Roman" w:cs="Times New Roman"/>
          <w:sz w:val="24"/>
          <w:szCs w:val="24"/>
        </w:rPr>
        <w:t>only a minority</w:t>
      </w:r>
      <w:r w:rsidR="00C80025" w:rsidRPr="003A674A">
        <w:rPr>
          <w:rFonts w:ascii="Times New Roman" w:hAnsi="Times New Roman" w:cs="Times New Roman"/>
          <w:sz w:val="24"/>
          <w:szCs w:val="24"/>
        </w:rPr>
        <w:t xml:space="preserve"> undergoing procedures through the contralateral arm</w:t>
      </w:r>
      <w:r w:rsidR="0031187C" w:rsidRPr="003A674A">
        <w:rPr>
          <w:rFonts w:ascii="Times New Roman" w:hAnsi="Times New Roman" w:cs="Times New Roman"/>
          <w:sz w:val="24"/>
          <w:szCs w:val="24"/>
        </w:rPr>
        <w:t xml:space="preserve">. </w:t>
      </w:r>
      <w:r w:rsidR="00E929D1" w:rsidRPr="003A674A">
        <w:rPr>
          <w:rFonts w:ascii="Times New Roman" w:hAnsi="Times New Roman" w:cs="Times New Roman"/>
          <w:sz w:val="24"/>
          <w:szCs w:val="24"/>
        </w:rPr>
        <w:t>In our main ML</w:t>
      </w:r>
      <w:r w:rsidR="00815BF4" w:rsidRPr="003A674A">
        <w:rPr>
          <w:rFonts w:ascii="Times New Roman" w:hAnsi="Times New Roman" w:cs="Times New Roman"/>
          <w:sz w:val="24"/>
          <w:szCs w:val="24"/>
        </w:rPr>
        <w:t xml:space="preserve">R analyses, </w:t>
      </w:r>
      <w:r w:rsidR="00703FC6" w:rsidRPr="003A674A">
        <w:rPr>
          <w:rFonts w:ascii="Times New Roman" w:hAnsi="Times New Roman" w:cs="Times New Roman"/>
          <w:sz w:val="24"/>
          <w:szCs w:val="24"/>
        </w:rPr>
        <w:t xml:space="preserve">complications with </w:t>
      </w:r>
      <w:r w:rsidR="00815BF4" w:rsidRPr="003A674A">
        <w:rPr>
          <w:rFonts w:ascii="Times New Roman" w:hAnsi="Times New Roman" w:cs="Times New Roman"/>
          <w:sz w:val="24"/>
          <w:szCs w:val="24"/>
        </w:rPr>
        <w:t xml:space="preserve">LRA </w:t>
      </w:r>
      <w:r w:rsidR="00703FC6" w:rsidRPr="003A674A">
        <w:rPr>
          <w:rFonts w:ascii="Times New Roman" w:hAnsi="Times New Roman" w:cs="Times New Roman"/>
          <w:sz w:val="24"/>
          <w:szCs w:val="24"/>
        </w:rPr>
        <w:t xml:space="preserve">access were similar to those seen with </w:t>
      </w:r>
      <w:r w:rsidR="00E929D1" w:rsidRPr="003A674A">
        <w:rPr>
          <w:rFonts w:ascii="Times New Roman" w:hAnsi="Times New Roman" w:cs="Times New Roman"/>
          <w:sz w:val="24"/>
          <w:szCs w:val="24"/>
        </w:rPr>
        <w:t xml:space="preserve">RRA </w:t>
      </w:r>
      <w:r w:rsidR="00703FC6" w:rsidRPr="003A674A">
        <w:rPr>
          <w:rFonts w:ascii="Times New Roman" w:hAnsi="Times New Roman" w:cs="Times New Roman"/>
          <w:sz w:val="24"/>
          <w:szCs w:val="24"/>
        </w:rPr>
        <w:t xml:space="preserve">access </w:t>
      </w:r>
      <w:r w:rsidR="00E929D1" w:rsidRPr="003A674A">
        <w:rPr>
          <w:rFonts w:ascii="Times New Roman" w:hAnsi="Times New Roman" w:cs="Times New Roman"/>
          <w:sz w:val="24"/>
          <w:szCs w:val="24"/>
        </w:rPr>
        <w:t>with no difference</w:t>
      </w:r>
      <w:r w:rsidR="00703FC6" w:rsidRPr="003A674A">
        <w:rPr>
          <w:rFonts w:ascii="Times New Roman" w:hAnsi="Times New Roman" w:cs="Times New Roman"/>
          <w:sz w:val="24"/>
          <w:szCs w:val="24"/>
        </w:rPr>
        <w:t xml:space="preserve"> in </w:t>
      </w:r>
      <w:r w:rsidR="00A03F04" w:rsidRPr="003A674A">
        <w:rPr>
          <w:rFonts w:ascii="Times New Roman" w:hAnsi="Times New Roman" w:cs="Times New Roman"/>
          <w:sz w:val="24"/>
          <w:szCs w:val="24"/>
        </w:rPr>
        <w:t xml:space="preserve">in-hospital or </w:t>
      </w:r>
      <w:r w:rsidR="00815BF4" w:rsidRPr="003A674A">
        <w:rPr>
          <w:rFonts w:ascii="Times New Roman" w:hAnsi="Times New Roman" w:cs="Times New Roman"/>
          <w:sz w:val="24"/>
          <w:szCs w:val="24"/>
        </w:rPr>
        <w:t>30-day</w:t>
      </w:r>
      <w:r w:rsidR="00A03F04" w:rsidRPr="003A674A">
        <w:rPr>
          <w:rFonts w:ascii="Times New Roman" w:hAnsi="Times New Roman" w:cs="Times New Roman"/>
          <w:sz w:val="24"/>
          <w:szCs w:val="24"/>
        </w:rPr>
        <w:t xml:space="preserve"> mortality, </w:t>
      </w:r>
      <w:r w:rsidR="00C80025" w:rsidRPr="003A674A">
        <w:rPr>
          <w:rFonts w:ascii="Times New Roman" w:hAnsi="Times New Roman" w:cs="Times New Roman"/>
          <w:sz w:val="24"/>
          <w:szCs w:val="24"/>
        </w:rPr>
        <w:t>in</w:t>
      </w:r>
      <w:r w:rsidR="00703FC6" w:rsidRPr="003A674A">
        <w:rPr>
          <w:rFonts w:ascii="Times New Roman" w:hAnsi="Times New Roman" w:cs="Times New Roman"/>
          <w:sz w:val="24"/>
          <w:szCs w:val="24"/>
        </w:rPr>
        <w:t>-</w:t>
      </w:r>
      <w:r w:rsidR="00C80025" w:rsidRPr="003A674A">
        <w:rPr>
          <w:rFonts w:ascii="Times New Roman" w:hAnsi="Times New Roman" w:cs="Times New Roman"/>
          <w:sz w:val="24"/>
          <w:szCs w:val="24"/>
        </w:rPr>
        <w:t xml:space="preserve">hospital </w:t>
      </w:r>
      <w:r w:rsidR="00A03F04" w:rsidRPr="003A674A">
        <w:rPr>
          <w:rFonts w:ascii="Times New Roman" w:hAnsi="Times New Roman" w:cs="Times New Roman"/>
          <w:sz w:val="24"/>
          <w:szCs w:val="24"/>
        </w:rPr>
        <w:t>MACE</w:t>
      </w:r>
      <w:r w:rsidR="00C80025" w:rsidRPr="003A674A">
        <w:rPr>
          <w:rFonts w:ascii="Times New Roman" w:hAnsi="Times New Roman" w:cs="Times New Roman"/>
          <w:sz w:val="24"/>
          <w:szCs w:val="24"/>
        </w:rPr>
        <w:t xml:space="preserve"> or </w:t>
      </w:r>
      <w:r w:rsidR="00A03F04" w:rsidRPr="003A674A">
        <w:rPr>
          <w:rFonts w:ascii="Times New Roman" w:hAnsi="Times New Roman" w:cs="Times New Roman"/>
          <w:sz w:val="24"/>
          <w:szCs w:val="24"/>
        </w:rPr>
        <w:t xml:space="preserve">major bleeding </w:t>
      </w:r>
      <w:r w:rsidR="00C80025" w:rsidRPr="003A674A">
        <w:rPr>
          <w:rFonts w:ascii="Times New Roman" w:hAnsi="Times New Roman" w:cs="Times New Roman"/>
          <w:sz w:val="24"/>
          <w:szCs w:val="24"/>
        </w:rPr>
        <w:t xml:space="preserve">complications, although there was a </w:t>
      </w:r>
      <w:r w:rsidR="00776DB6">
        <w:rPr>
          <w:rFonts w:ascii="Times New Roman" w:hAnsi="Times New Roman" w:cs="Times New Roman"/>
          <w:sz w:val="24"/>
          <w:szCs w:val="24"/>
        </w:rPr>
        <w:t>significantly decreased odds of</w:t>
      </w:r>
      <w:r w:rsidR="00C80025" w:rsidRPr="003A674A">
        <w:rPr>
          <w:rFonts w:ascii="Times New Roman" w:hAnsi="Times New Roman" w:cs="Times New Roman"/>
          <w:sz w:val="24"/>
          <w:szCs w:val="24"/>
        </w:rPr>
        <w:t xml:space="preserve"> </w:t>
      </w:r>
      <w:r w:rsidR="00A03F04" w:rsidRPr="003A674A">
        <w:rPr>
          <w:rFonts w:ascii="Times New Roman" w:hAnsi="Times New Roman" w:cs="Times New Roman"/>
          <w:sz w:val="24"/>
          <w:szCs w:val="24"/>
        </w:rPr>
        <w:t>in-hospital stroke following PCI</w:t>
      </w:r>
      <w:r w:rsidR="00C80025" w:rsidRPr="003A674A">
        <w:rPr>
          <w:rFonts w:ascii="Times New Roman" w:hAnsi="Times New Roman" w:cs="Times New Roman"/>
          <w:sz w:val="24"/>
          <w:szCs w:val="24"/>
        </w:rPr>
        <w:t xml:space="preserve"> </w:t>
      </w:r>
      <w:r w:rsidR="00703FC6" w:rsidRPr="003A674A">
        <w:rPr>
          <w:rFonts w:ascii="Times New Roman" w:hAnsi="Times New Roman" w:cs="Times New Roman"/>
          <w:sz w:val="24"/>
          <w:szCs w:val="24"/>
        </w:rPr>
        <w:t>using</w:t>
      </w:r>
      <w:r w:rsidR="00C80025" w:rsidRPr="003A674A">
        <w:rPr>
          <w:rFonts w:ascii="Times New Roman" w:hAnsi="Times New Roman" w:cs="Times New Roman"/>
          <w:sz w:val="24"/>
          <w:szCs w:val="24"/>
        </w:rPr>
        <w:t xml:space="preserve"> the </w:t>
      </w:r>
      <w:r w:rsidR="00435F4D">
        <w:rPr>
          <w:rFonts w:ascii="Times New Roman" w:hAnsi="Times New Roman" w:cs="Times New Roman"/>
          <w:sz w:val="24"/>
          <w:szCs w:val="24"/>
        </w:rPr>
        <w:t>LRA</w:t>
      </w:r>
      <w:r w:rsidR="00C80025" w:rsidRPr="003A674A">
        <w:rPr>
          <w:rFonts w:ascii="Times New Roman" w:hAnsi="Times New Roman" w:cs="Times New Roman"/>
          <w:sz w:val="24"/>
          <w:szCs w:val="24"/>
        </w:rPr>
        <w:t xml:space="preserve"> approach</w:t>
      </w:r>
      <w:r w:rsidR="00776DB6">
        <w:rPr>
          <w:rFonts w:ascii="Times New Roman" w:hAnsi="Times New Roman" w:cs="Times New Roman"/>
          <w:sz w:val="24"/>
          <w:szCs w:val="24"/>
        </w:rPr>
        <w:t xml:space="preserve"> in the propensity matched cohort</w:t>
      </w:r>
      <w:r w:rsidR="00A03F04" w:rsidRPr="003A674A">
        <w:rPr>
          <w:rFonts w:ascii="Times New Roman" w:hAnsi="Times New Roman" w:cs="Times New Roman"/>
          <w:sz w:val="24"/>
          <w:szCs w:val="24"/>
        </w:rPr>
        <w:t>.</w:t>
      </w:r>
    </w:p>
    <w:p w14:paraId="2167AC43" w14:textId="33FC0FD6" w:rsidR="00874320" w:rsidRPr="003A674A" w:rsidRDefault="00E97ECF" w:rsidP="00311DCA">
      <w:pPr>
        <w:rPr>
          <w:rFonts w:ascii="Times New Roman" w:hAnsi="Times New Roman" w:cs="Times New Roman"/>
          <w:sz w:val="24"/>
          <w:szCs w:val="24"/>
        </w:rPr>
      </w:pPr>
      <w:r w:rsidRPr="003A674A">
        <w:rPr>
          <w:rFonts w:ascii="Times New Roman" w:hAnsi="Times New Roman" w:cs="Times New Roman"/>
          <w:sz w:val="24"/>
          <w:szCs w:val="24"/>
        </w:rPr>
        <w:t>In line with best available</w:t>
      </w:r>
      <w:r w:rsidR="00BE6F01" w:rsidRPr="003A674A">
        <w:rPr>
          <w:rFonts w:ascii="Times New Roman" w:hAnsi="Times New Roman" w:cs="Times New Roman"/>
          <w:sz w:val="24"/>
          <w:szCs w:val="24"/>
        </w:rPr>
        <w:t xml:space="preserve"> evidence from randomised trials, national </w:t>
      </w:r>
      <w:r w:rsidR="008F0D3E" w:rsidRPr="003A674A">
        <w:rPr>
          <w:rFonts w:ascii="Times New Roman" w:hAnsi="Times New Roman" w:cs="Times New Roman"/>
          <w:sz w:val="24"/>
          <w:szCs w:val="24"/>
        </w:rPr>
        <w:t xml:space="preserve">bodies are </w:t>
      </w:r>
      <w:r w:rsidRPr="003A674A">
        <w:rPr>
          <w:rFonts w:ascii="Times New Roman" w:hAnsi="Times New Roman" w:cs="Times New Roman"/>
          <w:sz w:val="24"/>
          <w:szCs w:val="24"/>
        </w:rPr>
        <w:t>recommending</w:t>
      </w:r>
      <w:r w:rsidR="00BE6F01" w:rsidRPr="003A674A">
        <w:rPr>
          <w:rFonts w:ascii="Times New Roman" w:hAnsi="Times New Roman" w:cs="Times New Roman"/>
          <w:sz w:val="24"/>
          <w:szCs w:val="24"/>
        </w:rPr>
        <w:t xml:space="preserve"> use of TRA instead of TFA</w:t>
      </w:r>
      <w:r w:rsidRPr="003A674A">
        <w:rPr>
          <w:rFonts w:ascii="Times New Roman" w:hAnsi="Times New Roman" w:cs="Times New Roman"/>
          <w:sz w:val="24"/>
          <w:szCs w:val="24"/>
        </w:rPr>
        <w:t xml:space="preserve"> </w:t>
      </w:r>
      <w:r w:rsidR="004A1FCD" w:rsidRPr="003A674A">
        <w:rPr>
          <w:rFonts w:ascii="Times New Roman" w:hAnsi="Times New Roman" w:cs="Times New Roman"/>
          <w:sz w:val="24"/>
          <w:szCs w:val="24"/>
        </w:rPr>
        <w:t xml:space="preserve">access </w:t>
      </w:r>
      <w:r w:rsidR="00F74795" w:rsidRPr="003A674A">
        <w:rPr>
          <w:rFonts w:ascii="Times New Roman" w:hAnsi="Times New Roman" w:cs="Times New Roman"/>
          <w:sz w:val="24"/>
          <w:szCs w:val="24"/>
        </w:rPr>
        <w:fldChar w:fldCharType="begin"/>
      </w:r>
      <w:r w:rsidR="00F74795" w:rsidRPr="003A674A">
        <w:rPr>
          <w:rFonts w:ascii="Times New Roman" w:hAnsi="Times New Roman" w:cs="Times New Roman"/>
          <w:sz w:val="24"/>
          <w:szCs w:val="24"/>
        </w:rPr>
        <w:instrText>ADDIN RW.CITE{{459 Ibanez,B. 2017; 210 Rao,S.V. 2014; 444 Naidu,S.S. 2016}}</w:instrText>
      </w:r>
      <w:r w:rsidR="00F74795" w:rsidRPr="003A674A">
        <w:rPr>
          <w:rFonts w:ascii="Times New Roman" w:hAnsi="Times New Roman" w:cs="Times New Roman"/>
          <w:sz w:val="24"/>
          <w:szCs w:val="24"/>
        </w:rPr>
        <w:fldChar w:fldCharType="separate"/>
      </w:r>
      <w:r w:rsidR="00F74795" w:rsidRPr="003A674A">
        <w:rPr>
          <w:rFonts w:ascii="Times New Roman" w:hAnsi="Times New Roman" w:cs="Times New Roman"/>
          <w:sz w:val="24"/>
          <w:szCs w:val="24"/>
        </w:rPr>
        <w:t>(27-29)</w:t>
      </w:r>
      <w:r w:rsidR="00F74795" w:rsidRPr="003A674A">
        <w:rPr>
          <w:rFonts w:ascii="Times New Roman" w:hAnsi="Times New Roman" w:cs="Times New Roman"/>
          <w:sz w:val="24"/>
          <w:szCs w:val="24"/>
        </w:rPr>
        <w:fldChar w:fldCharType="end"/>
      </w:r>
      <w:r w:rsidR="00BE6F01" w:rsidRPr="003A674A">
        <w:rPr>
          <w:rFonts w:ascii="Times New Roman" w:hAnsi="Times New Roman" w:cs="Times New Roman"/>
          <w:sz w:val="24"/>
          <w:szCs w:val="24"/>
        </w:rPr>
        <w:t xml:space="preserve">. </w:t>
      </w:r>
      <w:r w:rsidR="0089016D" w:rsidRPr="003A674A">
        <w:rPr>
          <w:rFonts w:ascii="Times New Roman" w:hAnsi="Times New Roman" w:cs="Times New Roman"/>
          <w:sz w:val="24"/>
          <w:szCs w:val="24"/>
        </w:rPr>
        <w:t xml:space="preserve">RRA </w:t>
      </w:r>
      <w:r w:rsidR="004A1FCD" w:rsidRPr="003A674A">
        <w:rPr>
          <w:rFonts w:ascii="Times New Roman" w:hAnsi="Times New Roman" w:cs="Times New Roman"/>
          <w:sz w:val="24"/>
          <w:szCs w:val="24"/>
        </w:rPr>
        <w:t xml:space="preserve">access </w:t>
      </w:r>
      <w:r w:rsidR="0089016D" w:rsidRPr="003A674A">
        <w:rPr>
          <w:rFonts w:ascii="Times New Roman" w:hAnsi="Times New Roman" w:cs="Times New Roman"/>
          <w:sz w:val="24"/>
          <w:szCs w:val="24"/>
        </w:rPr>
        <w:t xml:space="preserve">is more commonly practiced by </w:t>
      </w:r>
      <w:r w:rsidR="00DF1BBF" w:rsidRPr="003A674A">
        <w:rPr>
          <w:rFonts w:ascii="Times New Roman" w:hAnsi="Times New Roman" w:cs="Times New Roman"/>
          <w:sz w:val="24"/>
          <w:szCs w:val="24"/>
        </w:rPr>
        <w:t xml:space="preserve">radial </w:t>
      </w:r>
      <w:r w:rsidR="0089016D" w:rsidRPr="003A674A">
        <w:rPr>
          <w:rFonts w:ascii="Times New Roman" w:hAnsi="Times New Roman" w:cs="Times New Roman"/>
          <w:sz w:val="24"/>
          <w:szCs w:val="24"/>
        </w:rPr>
        <w:t xml:space="preserve">operators because of ergonomics of </w:t>
      </w:r>
      <w:r w:rsidR="00183BB4" w:rsidRPr="003A674A">
        <w:rPr>
          <w:rFonts w:ascii="Times New Roman" w:hAnsi="Times New Roman" w:cs="Times New Roman"/>
          <w:sz w:val="24"/>
          <w:szCs w:val="24"/>
        </w:rPr>
        <w:t xml:space="preserve">the </w:t>
      </w:r>
      <w:r w:rsidR="0089016D" w:rsidRPr="003A674A">
        <w:rPr>
          <w:rFonts w:ascii="Times New Roman" w:hAnsi="Times New Roman" w:cs="Times New Roman"/>
          <w:sz w:val="24"/>
          <w:szCs w:val="24"/>
        </w:rPr>
        <w:t xml:space="preserve">cardiac catheter lab, previous training experience and </w:t>
      </w:r>
      <w:r w:rsidR="00D362B8" w:rsidRPr="003A674A">
        <w:rPr>
          <w:rFonts w:ascii="Times New Roman" w:hAnsi="Times New Roman" w:cs="Times New Roman"/>
          <w:sz w:val="24"/>
          <w:szCs w:val="24"/>
        </w:rPr>
        <w:t xml:space="preserve">increased operator discomfort due to </w:t>
      </w:r>
      <w:r w:rsidR="004A1FCD" w:rsidRPr="003A674A">
        <w:rPr>
          <w:rFonts w:ascii="Times New Roman" w:hAnsi="Times New Roman" w:cs="Times New Roman"/>
          <w:sz w:val="24"/>
          <w:szCs w:val="24"/>
        </w:rPr>
        <w:t xml:space="preserve">the </w:t>
      </w:r>
      <w:r w:rsidR="00D362B8" w:rsidRPr="003A674A">
        <w:rPr>
          <w:rFonts w:ascii="Times New Roman" w:hAnsi="Times New Roman" w:cs="Times New Roman"/>
          <w:sz w:val="24"/>
          <w:szCs w:val="24"/>
        </w:rPr>
        <w:t>need of having to bend o</w:t>
      </w:r>
      <w:r w:rsidR="00735999" w:rsidRPr="003A674A">
        <w:rPr>
          <w:rFonts w:ascii="Times New Roman" w:hAnsi="Times New Roman" w:cs="Times New Roman"/>
          <w:sz w:val="24"/>
          <w:szCs w:val="24"/>
        </w:rPr>
        <w:t>ver to the left side of patient</w:t>
      </w:r>
      <w:r w:rsidR="00C92027" w:rsidRPr="003A674A">
        <w:rPr>
          <w:rFonts w:ascii="Times New Roman" w:hAnsi="Times New Roman" w:cs="Times New Roman"/>
          <w:sz w:val="24"/>
          <w:szCs w:val="24"/>
        </w:rPr>
        <w:t xml:space="preserve">. </w:t>
      </w:r>
      <w:r w:rsidR="00735999" w:rsidRPr="003A674A">
        <w:rPr>
          <w:rFonts w:ascii="Times New Roman" w:hAnsi="Times New Roman" w:cs="Times New Roman"/>
          <w:sz w:val="24"/>
          <w:szCs w:val="24"/>
        </w:rPr>
        <w:t xml:space="preserve">On </w:t>
      </w:r>
      <w:r w:rsidR="009A6483" w:rsidRPr="003A674A">
        <w:rPr>
          <w:rFonts w:ascii="Times New Roman" w:hAnsi="Times New Roman" w:cs="Times New Roman"/>
          <w:sz w:val="24"/>
          <w:szCs w:val="24"/>
        </w:rPr>
        <w:t>the other hand, a recent meta-analysis of 12 prospective randomised trials</w:t>
      </w:r>
      <w:r w:rsidR="00CD7E04" w:rsidRPr="003A674A">
        <w:rPr>
          <w:rFonts w:ascii="Times New Roman" w:hAnsi="Times New Roman" w:cs="Times New Roman"/>
          <w:sz w:val="24"/>
          <w:szCs w:val="24"/>
        </w:rPr>
        <w:t xml:space="preserve"> enrolling 6,450 patients confirmed</w:t>
      </w:r>
      <w:r w:rsidR="009A6483" w:rsidRPr="003A674A">
        <w:rPr>
          <w:rFonts w:ascii="Times New Roman" w:hAnsi="Times New Roman" w:cs="Times New Roman"/>
          <w:sz w:val="24"/>
          <w:szCs w:val="24"/>
        </w:rPr>
        <w:t xml:space="preserve"> that </w:t>
      </w:r>
      <w:r w:rsidR="00735999" w:rsidRPr="003A674A">
        <w:rPr>
          <w:rFonts w:ascii="Times New Roman" w:hAnsi="Times New Roman" w:cs="Times New Roman"/>
          <w:sz w:val="24"/>
          <w:szCs w:val="24"/>
        </w:rPr>
        <w:t xml:space="preserve">LRA </w:t>
      </w:r>
      <w:r w:rsidR="004A1FCD" w:rsidRPr="003A674A">
        <w:rPr>
          <w:rFonts w:ascii="Times New Roman" w:hAnsi="Times New Roman" w:cs="Times New Roman"/>
          <w:sz w:val="24"/>
          <w:szCs w:val="24"/>
        </w:rPr>
        <w:t xml:space="preserve">access </w:t>
      </w:r>
      <w:r w:rsidR="00735999" w:rsidRPr="003A674A">
        <w:rPr>
          <w:rFonts w:ascii="Times New Roman" w:hAnsi="Times New Roman" w:cs="Times New Roman"/>
          <w:sz w:val="24"/>
          <w:szCs w:val="24"/>
        </w:rPr>
        <w:t>provides more favourable anatomy for catheter manipulation a</w:t>
      </w:r>
      <w:r w:rsidR="00CD7E04" w:rsidRPr="003A674A">
        <w:rPr>
          <w:rFonts w:ascii="Times New Roman" w:hAnsi="Times New Roman" w:cs="Times New Roman"/>
          <w:sz w:val="24"/>
          <w:szCs w:val="24"/>
        </w:rPr>
        <w:t xml:space="preserve">nd coronary engagement translating into </w:t>
      </w:r>
      <w:r w:rsidR="00735999" w:rsidRPr="003A674A">
        <w:rPr>
          <w:rFonts w:ascii="Times New Roman" w:hAnsi="Times New Roman" w:cs="Times New Roman"/>
          <w:sz w:val="24"/>
          <w:szCs w:val="24"/>
        </w:rPr>
        <w:t xml:space="preserve">a small but statistically significant reduction in fluoroscopy </w:t>
      </w:r>
      <w:r w:rsidR="009A6483" w:rsidRPr="003A674A">
        <w:rPr>
          <w:rFonts w:ascii="Times New Roman" w:hAnsi="Times New Roman" w:cs="Times New Roman"/>
          <w:sz w:val="24"/>
          <w:szCs w:val="24"/>
        </w:rPr>
        <w:t>time and contrast use</w:t>
      </w:r>
      <w:r w:rsidR="009A6483" w:rsidRPr="003A674A">
        <w:rPr>
          <w:rFonts w:ascii="Times New Roman" w:hAnsi="Times New Roman" w:cs="Times New Roman"/>
          <w:sz w:val="24"/>
          <w:szCs w:val="24"/>
        </w:rPr>
        <w:fldChar w:fldCharType="begin"/>
      </w:r>
      <w:r w:rsidR="009A6483" w:rsidRPr="003A674A">
        <w:rPr>
          <w:rFonts w:ascii="Times New Roman" w:hAnsi="Times New Roman" w:cs="Times New Roman"/>
          <w:sz w:val="24"/>
          <w:szCs w:val="24"/>
        </w:rPr>
        <w:instrText>ADDIN RW.CITE{{420 Shah,R.M. 2016}}</w:instrText>
      </w:r>
      <w:r w:rsidR="009A6483"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(18)</w:t>
      </w:r>
      <w:r w:rsidR="009A6483" w:rsidRPr="003A674A">
        <w:rPr>
          <w:rFonts w:ascii="Times New Roman" w:hAnsi="Times New Roman" w:cs="Times New Roman"/>
          <w:sz w:val="24"/>
          <w:szCs w:val="24"/>
        </w:rPr>
        <w:fldChar w:fldCharType="end"/>
      </w:r>
      <w:r w:rsidR="00735999" w:rsidRPr="003A674A">
        <w:rPr>
          <w:rFonts w:ascii="Times New Roman" w:hAnsi="Times New Roman" w:cs="Times New Roman"/>
          <w:sz w:val="24"/>
          <w:szCs w:val="24"/>
        </w:rPr>
        <w:t>.</w:t>
      </w:r>
      <w:r w:rsidR="008F0D3E" w:rsidRPr="003A674A">
        <w:rPr>
          <w:rFonts w:ascii="Times New Roman" w:hAnsi="Times New Roman" w:cs="Times New Roman"/>
          <w:sz w:val="24"/>
          <w:szCs w:val="24"/>
        </w:rPr>
        <w:t xml:space="preserve"> </w:t>
      </w:r>
      <w:r w:rsidR="003E3442" w:rsidRPr="003A674A">
        <w:rPr>
          <w:rFonts w:ascii="Times New Roman" w:hAnsi="Times New Roman" w:cs="Times New Roman"/>
          <w:sz w:val="24"/>
          <w:szCs w:val="24"/>
        </w:rPr>
        <w:t>Despite the advantages of offering similar anatom</w:t>
      </w:r>
      <w:r w:rsidR="004A1FCD" w:rsidRPr="003A674A">
        <w:rPr>
          <w:rFonts w:ascii="Times New Roman" w:hAnsi="Times New Roman" w:cs="Times New Roman"/>
          <w:sz w:val="24"/>
          <w:szCs w:val="24"/>
        </w:rPr>
        <w:t xml:space="preserve">ical considerations applicable </w:t>
      </w:r>
      <w:r w:rsidR="003E3442" w:rsidRPr="003A674A">
        <w:rPr>
          <w:rFonts w:ascii="Times New Roman" w:hAnsi="Times New Roman" w:cs="Times New Roman"/>
          <w:sz w:val="24"/>
          <w:szCs w:val="24"/>
        </w:rPr>
        <w:t xml:space="preserve">to </w:t>
      </w:r>
      <w:r w:rsidR="004A1FCD" w:rsidRPr="003A674A">
        <w:rPr>
          <w:rFonts w:ascii="Times New Roman" w:hAnsi="Times New Roman" w:cs="Times New Roman"/>
          <w:sz w:val="24"/>
          <w:szCs w:val="24"/>
        </w:rPr>
        <w:t xml:space="preserve">the </w:t>
      </w:r>
      <w:r w:rsidR="003E3442" w:rsidRPr="003A674A">
        <w:rPr>
          <w:rFonts w:ascii="Times New Roman" w:hAnsi="Times New Roman" w:cs="Times New Roman"/>
          <w:sz w:val="24"/>
          <w:szCs w:val="24"/>
        </w:rPr>
        <w:t xml:space="preserve">TFA </w:t>
      </w:r>
      <w:r w:rsidR="004A1FCD" w:rsidRPr="003A674A">
        <w:rPr>
          <w:rFonts w:ascii="Times New Roman" w:hAnsi="Times New Roman" w:cs="Times New Roman"/>
          <w:sz w:val="24"/>
          <w:szCs w:val="24"/>
        </w:rPr>
        <w:t xml:space="preserve">access </w:t>
      </w:r>
      <w:r w:rsidR="003E3442" w:rsidRPr="003A674A">
        <w:rPr>
          <w:rFonts w:ascii="Times New Roman" w:hAnsi="Times New Roman" w:cs="Times New Roman"/>
          <w:sz w:val="24"/>
          <w:szCs w:val="24"/>
        </w:rPr>
        <w:t>even early in the training</w:t>
      </w:r>
      <w:r w:rsidR="003E3442" w:rsidRPr="003A674A">
        <w:rPr>
          <w:rFonts w:ascii="Times New Roman" w:hAnsi="Times New Roman" w:cs="Times New Roman"/>
          <w:sz w:val="24"/>
          <w:szCs w:val="24"/>
        </w:rPr>
        <w:fldChar w:fldCharType="begin"/>
      </w:r>
      <w:r w:rsidR="003E3442" w:rsidRPr="003A674A">
        <w:rPr>
          <w:rFonts w:ascii="Times New Roman" w:hAnsi="Times New Roman" w:cs="Times New Roman"/>
          <w:sz w:val="24"/>
          <w:szCs w:val="24"/>
        </w:rPr>
        <w:instrText>ADDIN RW.CITE{{432 Sciahbasi,A. 2011}}</w:instrText>
      </w:r>
      <w:r w:rsidR="003E3442"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(21)</w:t>
      </w:r>
      <w:r w:rsidR="003E3442" w:rsidRPr="003A674A">
        <w:rPr>
          <w:rFonts w:ascii="Times New Roman" w:hAnsi="Times New Roman" w:cs="Times New Roman"/>
          <w:sz w:val="24"/>
          <w:szCs w:val="24"/>
        </w:rPr>
        <w:fldChar w:fldCharType="end"/>
      </w:r>
      <w:r w:rsidR="003E3442" w:rsidRPr="003A674A">
        <w:rPr>
          <w:rFonts w:ascii="Times New Roman" w:hAnsi="Times New Roman" w:cs="Times New Roman"/>
          <w:sz w:val="24"/>
          <w:szCs w:val="24"/>
        </w:rPr>
        <w:t xml:space="preserve">, uptake of LRA </w:t>
      </w:r>
      <w:r w:rsidR="004A1FCD" w:rsidRPr="003A674A">
        <w:rPr>
          <w:rFonts w:ascii="Times New Roman" w:hAnsi="Times New Roman" w:cs="Times New Roman"/>
          <w:sz w:val="24"/>
          <w:szCs w:val="24"/>
        </w:rPr>
        <w:t xml:space="preserve">access </w:t>
      </w:r>
      <w:r w:rsidR="003E3442" w:rsidRPr="003A674A">
        <w:rPr>
          <w:rFonts w:ascii="Times New Roman" w:hAnsi="Times New Roman" w:cs="Times New Roman"/>
          <w:sz w:val="24"/>
          <w:szCs w:val="24"/>
        </w:rPr>
        <w:t>remains low</w:t>
      </w:r>
      <w:r w:rsidR="004A1FCD" w:rsidRPr="003A674A">
        <w:rPr>
          <w:rFonts w:ascii="Times New Roman" w:hAnsi="Times New Roman" w:cs="Times New Roman"/>
          <w:sz w:val="24"/>
          <w:szCs w:val="24"/>
        </w:rPr>
        <w:t>, although there has been a marginal increase over time in the UK  (</w:t>
      </w:r>
      <w:r w:rsidR="00477EC7" w:rsidRPr="003A674A">
        <w:rPr>
          <w:rFonts w:ascii="Times New Roman" w:hAnsi="Times New Roman" w:cs="Times New Roman"/>
          <w:sz w:val="24"/>
          <w:szCs w:val="24"/>
        </w:rPr>
        <w:t>3.2% to 4.6%</w:t>
      </w:r>
      <w:r w:rsidR="004A1FCD" w:rsidRPr="003A674A">
        <w:rPr>
          <w:rFonts w:ascii="Times New Roman" w:hAnsi="Times New Roman" w:cs="Times New Roman"/>
          <w:sz w:val="24"/>
          <w:szCs w:val="24"/>
        </w:rPr>
        <w:t xml:space="preserve"> during the period of study)</w:t>
      </w:r>
      <w:r w:rsidR="002C6449" w:rsidRPr="003A674A">
        <w:rPr>
          <w:rFonts w:ascii="Times New Roman" w:hAnsi="Times New Roman" w:cs="Times New Roman"/>
          <w:sz w:val="24"/>
          <w:szCs w:val="24"/>
        </w:rPr>
        <w:t xml:space="preserve">. We observed significant heterogeneity in LRA </w:t>
      </w:r>
      <w:r w:rsidR="004A1FCD" w:rsidRPr="003A674A">
        <w:rPr>
          <w:rFonts w:ascii="Times New Roman" w:hAnsi="Times New Roman" w:cs="Times New Roman"/>
          <w:sz w:val="24"/>
          <w:szCs w:val="24"/>
        </w:rPr>
        <w:t xml:space="preserve">usage </w:t>
      </w:r>
      <w:r w:rsidR="002C6449" w:rsidRPr="003A674A">
        <w:rPr>
          <w:rFonts w:ascii="Times New Roman" w:hAnsi="Times New Roman" w:cs="Times New Roman"/>
          <w:sz w:val="24"/>
          <w:szCs w:val="24"/>
        </w:rPr>
        <w:t xml:space="preserve">across different regions of England, Scotland and Wales. The </w:t>
      </w:r>
      <w:r w:rsidR="00F6482E" w:rsidRPr="003A674A">
        <w:rPr>
          <w:rFonts w:ascii="Times New Roman" w:hAnsi="Times New Roman" w:cs="Times New Roman"/>
          <w:sz w:val="24"/>
          <w:szCs w:val="24"/>
        </w:rPr>
        <w:t xml:space="preserve">proportions </w:t>
      </w:r>
      <w:r w:rsidR="00120B85" w:rsidRPr="003A674A">
        <w:rPr>
          <w:rFonts w:ascii="Times New Roman" w:hAnsi="Times New Roman" w:cs="Times New Roman"/>
          <w:sz w:val="24"/>
          <w:szCs w:val="24"/>
        </w:rPr>
        <w:t xml:space="preserve">of </w:t>
      </w:r>
      <w:r w:rsidR="00F6482E" w:rsidRPr="003A674A">
        <w:rPr>
          <w:rFonts w:ascii="Times New Roman" w:hAnsi="Times New Roman" w:cs="Times New Roman"/>
          <w:sz w:val="24"/>
          <w:szCs w:val="24"/>
        </w:rPr>
        <w:t xml:space="preserve">radial procedures undertaken via </w:t>
      </w:r>
      <w:r w:rsidR="004A1FCD" w:rsidRPr="003A674A">
        <w:rPr>
          <w:rFonts w:ascii="Times New Roman" w:hAnsi="Times New Roman" w:cs="Times New Roman"/>
          <w:sz w:val="24"/>
          <w:szCs w:val="24"/>
        </w:rPr>
        <w:t xml:space="preserve">the </w:t>
      </w:r>
      <w:r w:rsidR="00F6482E" w:rsidRPr="003A674A">
        <w:rPr>
          <w:rFonts w:ascii="Times New Roman" w:hAnsi="Times New Roman" w:cs="Times New Roman"/>
          <w:sz w:val="24"/>
          <w:szCs w:val="24"/>
        </w:rPr>
        <w:t xml:space="preserve">LRA </w:t>
      </w:r>
      <w:r w:rsidR="002C6449" w:rsidRPr="003A674A">
        <w:rPr>
          <w:rFonts w:ascii="Times New Roman" w:hAnsi="Times New Roman" w:cs="Times New Roman"/>
          <w:sz w:val="24"/>
          <w:szCs w:val="24"/>
        </w:rPr>
        <w:t xml:space="preserve">varied from as low as </w:t>
      </w:r>
      <w:r w:rsidR="002C6449" w:rsidRPr="003A674A">
        <w:rPr>
          <w:rFonts w:ascii="Times New Roman" w:hAnsi="Times New Roman" w:cs="Times New Roman"/>
          <w:sz w:val="24"/>
          <w:szCs w:val="24"/>
        </w:rPr>
        <w:lastRenderedPageBreak/>
        <w:t xml:space="preserve">0.5% to 20% in England, from 2.3% to 6.9% in Wales and 0.3% to 10.2% in Scotland. </w:t>
      </w:r>
      <w:r w:rsidR="00874320" w:rsidRPr="003A674A">
        <w:rPr>
          <w:rFonts w:ascii="Times New Roman" w:hAnsi="Times New Roman" w:cs="Times New Roman"/>
          <w:sz w:val="24"/>
          <w:szCs w:val="24"/>
        </w:rPr>
        <w:t xml:space="preserve">We investigated independent predictors of LRA </w:t>
      </w:r>
      <w:r w:rsidR="004A1FCD" w:rsidRPr="003A674A">
        <w:rPr>
          <w:rFonts w:ascii="Times New Roman" w:hAnsi="Times New Roman" w:cs="Times New Roman"/>
          <w:sz w:val="24"/>
          <w:szCs w:val="24"/>
        </w:rPr>
        <w:t xml:space="preserve">usage </w:t>
      </w:r>
      <w:r w:rsidR="00874320" w:rsidRPr="003A674A">
        <w:rPr>
          <w:rFonts w:ascii="Times New Roman" w:hAnsi="Times New Roman" w:cs="Times New Roman"/>
          <w:sz w:val="24"/>
          <w:szCs w:val="24"/>
        </w:rPr>
        <w:t>in the multivariate predictive analysis</w:t>
      </w:r>
      <w:r w:rsidR="00120B85" w:rsidRPr="003A674A">
        <w:rPr>
          <w:rFonts w:ascii="Times New Roman" w:hAnsi="Times New Roman" w:cs="Times New Roman"/>
          <w:sz w:val="24"/>
          <w:szCs w:val="24"/>
        </w:rPr>
        <w:t>, and</w:t>
      </w:r>
      <w:r w:rsidR="00874320" w:rsidRPr="003A674A">
        <w:rPr>
          <w:rFonts w:ascii="Times New Roman" w:hAnsi="Times New Roman" w:cs="Times New Roman"/>
          <w:sz w:val="24"/>
          <w:szCs w:val="24"/>
        </w:rPr>
        <w:t xml:space="preserve"> found that </w:t>
      </w:r>
      <w:r w:rsidR="004A1FCD" w:rsidRPr="003A674A">
        <w:rPr>
          <w:rFonts w:ascii="Times New Roman" w:hAnsi="Times New Roman" w:cs="Times New Roman"/>
          <w:sz w:val="24"/>
          <w:szCs w:val="24"/>
        </w:rPr>
        <w:t xml:space="preserve">a </w:t>
      </w:r>
      <w:r w:rsidR="00874320" w:rsidRPr="003A674A">
        <w:rPr>
          <w:rFonts w:ascii="Times New Roman" w:hAnsi="Times New Roman" w:cs="Times New Roman"/>
          <w:sz w:val="24"/>
          <w:szCs w:val="24"/>
        </w:rPr>
        <w:t xml:space="preserve">history of previous CABG and PCI to </w:t>
      </w:r>
      <w:r w:rsidR="004A1FCD" w:rsidRPr="003A674A">
        <w:rPr>
          <w:rFonts w:ascii="Times New Roman" w:hAnsi="Times New Roman" w:cs="Times New Roman"/>
          <w:sz w:val="24"/>
          <w:szCs w:val="24"/>
        </w:rPr>
        <w:t xml:space="preserve">a </w:t>
      </w:r>
      <w:r w:rsidR="00874320" w:rsidRPr="003A674A">
        <w:rPr>
          <w:rFonts w:ascii="Times New Roman" w:hAnsi="Times New Roman" w:cs="Times New Roman"/>
          <w:sz w:val="24"/>
          <w:szCs w:val="24"/>
        </w:rPr>
        <w:t xml:space="preserve">vein graft were strong predictors </w:t>
      </w:r>
      <w:r w:rsidR="00120B85" w:rsidRPr="003A674A">
        <w:rPr>
          <w:rFonts w:ascii="Times New Roman" w:hAnsi="Times New Roman" w:cs="Times New Roman"/>
          <w:sz w:val="24"/>
          <w:szCs w:val="24"/>
        </w:rPr>
        <w:t>of LRA</w:t>
      </w:r>
      <w:r w:rsidR="004A1FCD" w:rsidRPr="003A674A">
        <w:rPr>
          <w:rFonts w:ascii="Times New Roman" w:hAnsi="Times New Roman" w:cs="Times New Roman"/>
          <w:sz w:val="24"/>
          <w:szCs w:val="24"/>
        </w:rPr>
        <w:t xml:space="preserve"> use</w:t>
      </w:r>
      <w:r w:rsidR="00874320" w:rsidRPr="003A674A">
        <w:rPr>
          <w:rFonts w:ascii="Times New Roman" w:hAnsi="Times New Roman" w:cs="Times New Roman"/>
          <w:sz w:val="24"/>
          <w:szCs w:val="24"/>
        </w:rPr>
        <w:t xml:space="preserve">. The most likely explanation for this is that LRA offers better access to grafts in patients with previous CABG compared to RRA. Similarly, </w:t>
      </w:r>
      <w:r w:rsidR="00120B85" w:rsidRPr="003A674A">
        <w:rPr>
          <w:rFonts w:ascii="Times New Roman" w:hAnsi="Times New Roman" w:cs="Times New Roman"/>
          <w:sz w:val="24"/>
          <w:szCs w:val="24"/>
        </w:rPr>
        <w:t xml:space="preserve">factors </w:t>
      </w:r>
      <w:r w:rsidR="00666995" w:rsidRPr="003A674A">
        <w:rPr>
          <w:rFonts w:ascii="Times New Roman" w:hAnsi="Times New Roman" w:cs="Times New Roman"/>
          <w:sz w:val="24"/>
          <w:szCs w:val="24"/>
        </w:rPr>
        <w:t xml:space="preserve">that are </w:t>
      </w:r>
      <w:r w:rsidR="00120B85" w:rsidRPr="003A674A">
        <w:rPr>
          <w:rFonts w:ascii="Times New Roman" w:hAnsi="Times New Roman" w:cs="Times New Roman"/>
          <w:sz w:val="24"/>
          <w:szCs w:val="24"/>
        </w:rPr>
        <w:t xml:space="preserve">associated with </w:t>
      </w:r>
      <w:r w:rsidR="004A1FCD" w:rsidRPr="003A674A">
        <w:rPr>
          <w:rFonts w:ascii="Times New Roman" w:hAnsi="Times New Roman" w:cs="Times New Roman"/>
          <w:sz w:val="24"/>
          <w:szCs w:val="24"/>
        </w:rPr>
        <w:t xml:space="preserve">an </w:t>
      </w:r>
      <w:r w:rsidR="00120B85" w:rsidRPr="003A674A">
        <w:rPr>
          <w:rFonts w:ascii="Times New Roman" w:hAnsi="Times New Roman" w:cs="Times New Roman"/>
          <w:sz w:val="24"/>
          <w:szCs w:val="24"/>
        </w:rPr>
        <w:t>increased risk of radial artery spasm and access site failure such as f</w:t>
      </w:r>
      <w:r w:rsidR="00874320" w:rsidRPr="003A674A">
        <w:rPr>
          <w:rFonts w:ascii="Times New Roman" w:hAnsi="Times New Roman" w:cs="Times New Roman"/>
          <w:sz w:val="24"/>
          <w:szCs w:val="24"/>
        </w:rPr>
        <w:t>emale gender, repeat procedure and history of peripheral vascular disease were signifi</w:t>
      </w:r>
      <w:r w:rsidR="00120B85" w:rsidRPr="003A674A">
        <w:rPr>
          <w:rFonts w:ascii="Times New Roman" w:hAnsi="Times New Roman" w:cs="Times New Roman"/>
          <w:sz w:val="24"/>
          <w:szCs w:val="24"/>
        </w:rPr>
        <w:t>cant predictors of LRA</w:t>
      </w:r>
      <w:r w:rsidR="004A1FCD" w:rsidRPr="003A674A">
        <w:rPr>
          <w:rFonts w:ascii="Times New Roman" w:hAnsi="Times New Roman" w:cs="Times New Roman"/>
          <w:sz w:val="24"/>
          <w:szCs w:val="24"/>
        </w:rPr>
        <w:t xml:space="preserve"> use</w:t>
      </w:r>
      <w:r w:rsidR="00874320" w:rsidRPr="003A674A">
        <w:rPr>
          <w:rFonts w:ascii="Times New Roman" w:hAnsi="Times New Roman" w:cs="Times New Roman"/>
          <w:sz w:val="24"/>
          <w:szCs w:val="24"/>
        </w:rPr>
        <w:t xml:space="preserve">. </w:t>
      </w:r>
    </w:p>
    <w:p w14:paraId="1BA12915" w14:textId="19394644" w:rsidR="005C4AB3" w:rsidRPr="003A674A" w:rsidRDefault="00666995" w:rsidP="00311DCA">
      <w:pPr>
        <w:rPr>
          <w:rFonts w:ascii="Times New Roman" w:hAnsi="Times New Roman" w:cs="Times New Roman"/>
          <w:sz w:val="24"/>
          <w:szCs w:val="24"/>
        </w:rPr>
      </w:pPr>
      <w:r w:rsidRPr="003A674A">
        <w:rPr>
          <w:rFonts w:ascii="Times New Roman" w:hAnsi="Times New Roman" w:cs="Times New Roman"/>
          <w:sz w:val="24"/>
          <w:szCs w:val="24"/>
        </w:rPr>
        <w:t>W</w:t>
      </w:r>
      <w:r w:rsidR="00E60B22" w:rsidRPr="003A674A">
        <w:rPr>
          <w:rFonts w:ascii="Times New Roman" w:hAnsi="Times New Roman" w:cs="Times New Roman"/>
          <w:sz w:val="24"/>
          <w:szCs w:val="24"/>
        </w:rPr>
        <w:t>e described the access site practice in patient</w:t>
      </w:r>
      <w:r w:rsidR="004A1FCD" w:rsidRPr="003A674A">
        <w:rPr>
          <w:rFonts w:ascii="Times New Roman" w:hAnsi="Times New Roman" w:cs="Times New Roman"/>
          <w:sz w:val="24"/>
          <w:szCs w:val="24"/>
        </w:rPr>
        <w:t>s</w:t>
      </w:r>
      <w:r w:rsidR="00E60B22" w:rsidRPr="003A674A">
        <w:rPr>
          <w:rFonts w:ascii="Times New Roman" w:hAnsi="Times New Roman" w:cs="Times New Roman"/>
          <w:sz w:val="24"/>
          <w:szCs w:val="24"/>
        </w:rPr>
        <w:t xml:space="preserve"> undergoing repeat PCI and found that when RRA is used at the first procedure, future </w:t>
      </w:r>
      <w:r w:rsidR="005C6EBC" w:rsidRPr="003A674A">
        <w:rPr>
          <w:rFonts w:ascii="Times New Roman" w:hAnsi="Times New Roman" w:cs="Times New Roman"/>
          <w:sz w:val="24"/>
          <w:szCs w:val="24"/>
        </w:rPr>
        <w:t>use</w:t>
      </w:r>
      <w:r w:rsidR="00C575C6" w:rsidRPr="003A674A">
        <w:rPr>
          <w:rFonts w:ascii="Times New Roman" w:hAnsi="Times New Roman" w:cs="Times New Roman"/>
          <w:sz w:val="24"/>
          <w:szCs w:val="24"/>
        </w:rPr>
        <w:t xml:space="preserve"> of </w:t>
      </w:r>
      <w:r w:rsidR="001A494B" w:rsidRPr="003A674A">
        <w:rPr>
          <w:rFonts w:ascii="Times New Roman" w:hAnsi="Times New Roman" w:cs="Times New Roman"/>
          <w:sz w:val="24"/>
          <w:szCs w:val="24"/>
        </w:rPr>
        <w:t xml:space="preserve">the </w:t>
      </w:r>
      <w:r w:rsidR="00C575C6" w:rsidRPr="003A674A">
        <w:rPr>
          <w:rFonts w:ascii="Times New Roman" w:hAnsi="Times New Roman" w:cs="Times New Roman"/>
          <w:sz w:val="24"/>
          <w:szCs w:val="24"/>
        </w:rPr>
        <w:t xml:space="preserve">RRA </w:t>
      </w:r>
      <w:r w:rsidR="001A494B" w:rsidRPr="003A674A">
        <w:rPr>
          <w:rFonts w:ascii="Times New Roman" w:hAnsi="Times New Roman" w:cs="Times New Roman"/>
          <w:sz w:val="24"/>
          <w:szCs w:val="24"/>
        </w:rPr>
        <w:t xml:space="preserve">for PCI </w:t>
      </w:r>
      <w:r w:rsidR="00C575C6" w:rsidRPr="003A674A">
        <w:rPr>
          <w:rFonts w:ascii="Times New Roman" w:hAnsi="Times New Roman" w:cs="Times New Roman"/>
          <w:sz w:val="24"/>
          <w:szCs w:val="24"/>
        </w:rPr>
        <w:t>drops by 28</w:t>
      </w:r>
      <w:r w:rsidR="00E60B22" w:rsidRPr="003A674A">
        <w:rPr>
          <w:rFonts w:ascii="Times New Roman" w:hAnsi="Times New Roman" w:cs="Times New Roman"/>
          <w:sz w:val="24"/>
          <w:szCs w:val="24"/>
        </w:rPr>
        <w:t xml:space="preserve">% overall, by 35% in females </w:t>
      </w:r>
      <w:r w:rsidRPr="003A674A">
        <w:rPr>
          <w:rFonts w:ascii="Times New Roman" w:hAnsi="Times New Roman" w:cs="Times New Roman"/>
          <w:sz w:val="24"/>
          <w:szCs w:val="24"/>
        </w:rPr>
        <w:t>and 27</w:t>
      </w:r>
      <w:r w:rsidR="00E60B22" w:rsidRPr="003A674A">
        <w:rPr>
          <w:rFonts w:ascii="Times New Roman" w:hAnsi="Times New Roman" w:cs="Times New Roman"/>
          <w:sz w:val="24"/>
          <w:szCs w:val="24"/>
        </w:rPr>
        <w:t>% in patie</w:t>
      </w:r>
      <w:r w:rsidR="009E236C" w:rsidRPr="003A674A">
        <w:rPr>
          <w:rFonts w:ascii="Times New Roman" w:hAnsi="Times New Roman" w:cs="Times New Roman"/>
          <w:sz w:val="24"/>
          <w:szCs w:val="24"/>
        </w:rPr>
        <w:t xml:space="preserve">nts age &gt;75 at </w:t>
      </w:r>
      <w:r w:rsidR="001A494B" w:rsidRPr="003A674A">
        <w:rPr>
          <w:rFonts w:ascii="Times New Roman" w:hAnsi="Times New Roman" w:cs="Times New Roman"/>
          <w:sz w:val="24"/>
          <w:szCs w:val="24"/>
        </w:rPr>
        <w:t xml:space="preserve">a </w:t>
      </w:r>
      <w:r w:rsidR="009E236C" w:rsidRPr="003A674A">
        <w:rPr>
          <w:rFonts w:ascii="Times New Roman" w:hAnsi="Times New Roman" w:cs="Times New Roman"/>
          <w:sz w:val="24"/>
          <w:szCs w:val="24"/>
        </w:rPr>
        <w:t xml:space="preserve">second procedure with a concomitant increase </w:t>
      </w:r>
      <w:r w:rsidR="004A1FCD" w:rsidRPr="003A674A">
        <w:rPr>
          <w:rFonts w:ascii="Times New Roman" w:hAnsi="Times New Roman" w:cs="Times New Roman"/>
          <w:sz w:val="24"/>
          <w:szCs w:val="24"/>
        </w:rPr>
        <w:t xml:space="preserve">mainly </w:t>
      </w:r>
      <w:r w:rsidR="009E236C" w:rsidRPr="003A674A">
        <w:rPr>
          <w:rFonts w:ascii="Times New Roman" w:hAnsi="Times New Roman" w:cs="Times New Roman"/>
          <w:sz w:val="24"/>
          <w:szCs w:val="24"/>
        </w:rPr>
        <w:t xml:space="preserve">in </w:t>
      </w:r>
      <w:r w:rsidR="004A1FCD" w:rsidRPr="003A674A">
        <w:rPr>
          <w:rFonts w:ascii="Times New Roman" w:hAnsi="Times New Roman" w:cs="Times New Roman"/>
          <w:sz w:val="24"/>
          <w:szCs w:val="24"/>
        </w:rPr>
        <w:t xml:space="preserve">the </w:t>
      </w:r>
      <w:r w:rsidR="009E236C" w:rsidRPr="003A674A">
        <w:rPr>
          <w:rFonts w:ascii="Times New Roman" w:hAnsi="Times New Roman" w:cs="Times New Roman"/>
          <w:sz w:val="24"/>
          <w:szCs w:val="24"/>
        </w:rPr>
        <w:t xml:space="preserve">use </w:t>
      </w:r>
      <w:r w:rsidRPr="003A674A">
        <w:rPr>
          <w:rFonts w:ascii="Times New Roman" w:hAnsi="Times New Roman" w:cs="Times New Roman"/>
          <w:sz w:val="24"/>
          <w:szCs w:val="24"/>
        </w:rPr>
        <w:t>TFA</w:t>
      </w:r>
      <w:r w:rsidR="004A1FCD" w:rsidRPr="003A674A">
        <w:rPr>
          <w:rFonts w:ascii="Times New Roman" w:hAnsi="Times New Roman" w:cs="Times New Roman"/>
          <w:sz w:val="24"/>
          <w:szCs w:val="24"/>
        </w:rPr>
        <w:t xml:space="preserve"> access but with a slight increase in LRA usage</w:t>
      </w:r>
      <w:r w:rsidR="009E236C" w:rsidRPr="003A674A">
        <w:rPr>
          <w:rFonts w:ascii="Times New Roman" w:hAnsi="Times New Roman" w:cs="Times New Roman"/>
          <w:sz w:val="24"/>
          <w:szCs w:val="24"/>
        </w:rPr>
        <w:t xml:space="preserve">. </w:t>
      </w:r>
      <w:r w:rsidR="00E60B22" w:rsidRPr="003A674A">
        <w:rPr>
          <w:rFonts w:ascii="Times New Roman" w:hAnsi="Times New Roman" w:cs="Times New Roman"/>
          <w:sz w:val="24"/>
          <w:szCs w:val="24"/>
        </w:rPr>
        <w:t xml:space="preserve"> </w:t>
      </w:r>
      <w:r w:rsidR="00ED7F10" w:rsidRPr="003A674A">
        <w:rPr>
          <w:rFonts w:ascii="Times New Roman" w:hAnsi="Times New Roman" w:cs="Times New Roman"/>
          <w:sz w:val="24"/>
          <w:szCs w:val="24"/>
        </w:rPr>
        <w:t>Although success rate</w:t>
      </w:r>
      <w:r w:rsidR="004A1FCD" w:rsidRPr="003A674A">
        <w:rPr>
          <w:rFonts w:ascii="Times New Roman" w:hAnsi="Times New Roman" w:cs="Times New Roman"/>
          <w:sz w:val="24"/>
          <w:szCs w:val="24"/>
        </w:rPr>
        <w:t>s and complication rates</w:t>
      </w:r>
      <w:r w:rsidR="00ED7F10" w:rsidRPr="003A674A">
        <w:rPr>
          <w:rFonts w:ascii="Times New Roman" w:hAnsi="Times New Roman" w:cs="Times New Roman"/>
          <w:sz w:val="24"/>
          <w:szCs w:val="24"/>
        </w:rPr>
        <w:t xml:space="preserve"> of repeat </w:t>
      </w:r>
      <w:proofErr w:type="spellStart"/>
      <w:r w:rsidR="00ED7F10" w:rsidRPr="003A674A">
        <w:rPr>
          <w:rFonts w:ascii="Times New Roman" w:hAnsi="Times New Roman" w:cs="Times New Roman"/>
          <w:sz w:val="24"/>
          <w:szCs w:val="24"/>
        </w:rPr>
        <w:t>transradial</w:t>
      </w:r>
      <w:proofErr w:type="spellEnd"/>
      <w:r w:rsidR="00ED7F10" w:rsidRPr="003A674A">
        <w:rPr>
          <w:rFonts w:ascii="Times New Roman" w:hAnsi="Times New Roman" w:cs="Times New Roman"/>
          <w:sz w:val="24"/>
          <w:szCs w:val="24"/>
        </w:rPr>
        <w:t xml:space="preserve"> access ha</w:t>
      </w:r>
      <w:r w:rsidR="004A1FCD" w:rsidRPr="003A674A">
        <w:rPr>
          <w:rFonts w:ascii="Times New Roman" w:hAnsi="Times New Roman" w:cs="Times New Roman"/>
          <w:sz w:val="24"/>
          <w:szCs w:val="24"/>
        </w:rPr>
        <w:t>ve</w:t>
      </w:r>
      <w:r w:rsidR="00ED7F10" w:rsidRPr="003A674A">
        <w:rPr>
          <w:rFonts w:ascii="Times New Roman" w:hAnsi="Times New Roman" w:cs="Times New Roman"/>
          <w:sz w:val="24"/>
          <w:szCs w:val="24"/>
        </w:rPr>
        <w:t xml:space="preserve"> been described in small case series from single centres </w:t>
      </w:r>
      <w:r w:rsidR="0081441A" w:rsidRPr="003A674A">
        <w:rPr>
          <w:rFonts w:ascii="Times New Roman" w:hAnsi="Times New Roman" w:cs="Times New Roman"/>
          <w:sz w:val="24"/>
          <w:szCs w:val="24"/>
        </w:rPr>
        <w:fldChar w:fldCharType="begin"/>
      </w:r>
      <w:r w:rsidR="0081441A" w:rsidRPr="003A674A">
        <w:rPr>
          <w:rFonts w:ascii="Times New Roman" w:hAnsi="Times New Roman" w:cs="Times New Roman"/>
          <w:sz w:val="24"/>
          <w:szCs w:val="24"/>
        </w:rPr>
        <w:instrText>ADDIN RW.CITE{{451 Abdelaal,E. 2013; 449 Caputo,R.P. 2001; 448 Sakai,H. 2001}}</w:instrText>
      </w:r>
      <w:r w:rsidR="0081441A" w:rsidRPr="003A674A">
        <w:rPr>
          <w:rFonts w:ascii="Times New Roman" w:hAnsi="Times New Roman" w:cs="Times New Roman"/>
          <w:sz w:val="24"/>
          <w:szCs w:val="24"/>
        </w:rPr>
        <w:fldChar w:fldCharType="separate"/>
      </w:r>
      <w:r w:rsidR="00F74795" w:rsidRPr="003A674A">
        <w:rPr>
          <w:rFonts w:ascii="Times New Roman" w:hAnsi="Times New Roman" w:cs="Times New Roman"/>
          <w:sz w:val="24"/>
          <w:szCs w:val="24"/>
        </w:rPr>
        <w:t>(30-32)</w:t>
      </w:r>
      <w:r w:rsidR="0081441A" w:rsidRPr="003A674A">
        <w:rPr>
          <w:rFonts w:ascii="Times New Roman" w:hAnsi="Times New Roman" w:cs="Times New Roman"/>
          <w:sz w:val="24"/>
          <w:szCs w:val="24"/>
        </w:rPr>
        <w:fldChar w:fldCharType="end"/>
      </w:r>
      <w:r w:rsidR="00ED7F10" w:rsidRPr="003A674A">
        <w:rPr>
          <w:rFonts w:ascii="Times New Roman" w:hAnsi="Times New Roman" w:cs="Times New Roman"/>
          <w:sz w:val="24"/>
          <w:szCs w:val="24"/>
        </w:rPr>
        <w:t xml:space="preserve">, the utility of </w:t>
      </w:r>
      <w:r w:rsidR="00D30253" w:rsidRPr="003A674A">
        <w:rPr>
          <w:rFonts w:ascii="Times New Roman" w:hAnsi="Times New Roman" w:cs="Times New Roman"/>
          <w:sz w:val="24"/>
          <w:szCs w:val="24"/>
        </w:rPr>
        <w:t xml:space="preserve">different </w:t>
      </w:r>
      <w:r w:rsidR="00ED7F10" w:rsidRPr="003A674A">
        <w:rPr>
          <w:rFonts w:ascii="Times New Roman" w:hAnsi="Times New Roman" w:cs="Times New Roman"/>
          <w:sz w:val="24"/>
          <w:szCs w:val="24"/>
        </w:rPr>
        <w:t xml:space="preserve">radial access has </w:t>
      </w:r>
      <w:r w:rsidR="00D30253" w:rsidRPr="003A674A">
        <w:rPr>
          <w:rFonts w:ascii="Times New Roman" w:hAnsi="Times New Roman" w:cs="Times New Roman"/>
          <w:sz w:val="24"/>
          <w:szCs w:val="24"/>
        </w:rPr>
        <w:t xml:space="preserve">not previously been reported at a </w:t>
      </w:r>
      <w:r w:rsidR="00ED7F10" w:rsidRPr="003A674A">
        <w:rPr>
          <w:rFonts w:ascii="Times New Roman" w:hAnsi="Times New Roman" w:cs="Times New Roman"/>
          <w:sz w:val="24"/>
          <w:szCs w:val="24"/>
        </w:rPr>
        <w:t xml:space="preserve">national level. For example in </w:t>
      </w:r>
      <w:r w:rsidR="00D30253" w:rsidRPr="003A674A">
        <w:rPr>
          <w:rFonts w:ascii="Times New Roman" w:hAnsi="Times New Roman" w:cs="Times New Roman"/>
          <w:sz w:val="24"/>
          <w:szCs w:val="24"/>
        </w:rPr>
        <w:t>an early series from Japan</w:t>
      </w:r>
      <w:r w:rsidR="00ED7F10" w:rsidRPr="003A674A">
        <w:rPr>
          <w:rFonts w:ascii="Times New Roman" w:hAnsi="Times New Roman" w:cs="Times New Roman"/>
          <w:sz w:val="24"/>
          <w:szCs w:val="24"/>
        </w:rPr>
        <w:t>, Sakai et al described that</w:t>
      </w:r>
      <w:r w:rsidR="001764BF" w:rsidRPr="003A674A">
        <w:rPr>
          <w:rFonts w:ascii="Times New Roman" w:hAnsi="Times New Roman" w:cs="Times New Roman"/>
          <w:sz w:val="24"/>
          <w:szCs w:val="24"/>
        </w:rPr>
        <w:t xml:space="preserve"> the</w:t>
      </w:r>
      <w:r w:rsidR="00ED7F10" w:rsidRPr="003A674A">
        <w:rPr>
          <w:rFonts w:ascii="Times New Roman" w:hAnsi="Times New Roman" w:cs="Times New Roman"/>
          <w:sz w:val="24"/>
          <w:szCs w:val="24"/>
        </w:rPr>
        <w:t xml:space="preserve"> </w:t>
      </w:r>
      <w:r w:rsidR="002E2C21" w:rsidRPr="003A674A">
        <w:rPr>
          <w:rFonts w:ascii="Times New Roman" w:hAnsi="Times New Roman" w:cs="Times New Roman"/>
          <w:sz w:val="24"/>
          <w:szCs w:val="24"/>
        </w:rPr>
        <w:t xml:space="preserve">failure rate of repeat radial access </w:t>
      </w:r>
      <w:r w:rsidR="00D30253" w:rsidRPr="003A674A">
        <w:rPr>
          <w:rFonts w:ascii="Times New Roman" w:hAnsi="Times New Roman" w:cs="Times New Roman"/>
          <w:sz w:val="24"/>
          <w:szCs w:val="24"/>
        </w:rPr>
        <w:t>was</w:t>
      </w:r>
      <w:r w:rsidR="002E2C21" w:rsidRPr="003A674A">
        <w:rPr>
          <w:rFonts w:ascii="Times New Roman" w:hAnsi="Times New Roman" w:cs="Times New Roman"/>
          <w:sz w:val="24"/>
          <w:szCs w:val="24"/>
        </w:rPr>
        <w:t xml:space="preserve"> approximately 16% in male and 30% in women</w:t>
      </w:r>
      <w:r w:rsidR="00ED7F10" w:rsidRPr="003A674A">
        <w:rPr>
          <w:rFonts w:ascii="Times New Roman" w:hAnsi="Times New Roman" w:cs="Times New Roman"/>
          <w:sz w:val="24"/>
          <w:szCs w:val="24"/>
        </w:rPr>
        <w:fldChar w:fldCharType="begin"/>
      </w:r>
      <w:r w:rsidR="00ED7F10" w:rsidRPr="003A674A">
        <w:rPr>
          <w:rFonts w:ascii="Times New Roman" w:hAnsi="Times New Roman" w:cs="Times New Roman"/>
          <w:sz w:val="24"/>
          <w:szCs w:val="24"/>
        </w:rPr>
        <w:instrText>ADDIN RW.CITE{{448 Sakai,H. 2001}}</w:instrText>
      </w:r>
      <w:r w:rsidR="00ED7F10" w:rsidRPr="003A674A">
        <w:rPr>
          <w:rFonts w:ascii="Times New Roman" w:hAnsi="Times New Roman" w:cs="Times New Roman"/>
          <w:sz w:val="24"/>
          <w:szCs w:val="24"/>
        </w:rPr>
        <w:fldChar w:fldCharType="separate"/>
      </w:r>
      <w:r w:rsidR="00F74795" w:rsidRPr="003A674A">
        <w:rPr>
          <w:rFonts w:ascii="Times New Roman" w:hAnsi="Times New Roman" w:cs="Times New Roman"/>
          <w:sz w:val="24"/>
          <w:szCs w:val="24"/>
        </w:rPr>
        <w:t>(32)</w:t>
      </w:r>
      <w:r w:rsidR="00ED7F10" w:rsidRPr="003A674A">
        <w:rPr>
          <w:rFonts w:ascii="Times New Roman" w:hAnsi="Times New Roman" w:cs="Times New Roman"/>
          <w:sz w:val="24"/>
          <w:szCs w:val="24"/>
        </w:rPr>
        <w:fldChar w:fldCharType="end"/>
      </w:r>
      <w:r w:rsidR="004A60CA" w:rsidRPr="003A674A">
        <w:rPr>
          <w:rFonts w:ascii="Times New Roman" w:hAnsi="Times New Roman" w:cs="Times New Roman"/>
          <w:sz w:val="24"/>
          <w:szCs w:val="24"/>
        </w:rPr>
        <w:t xml:space="preserve">. More recently published data from </w:t>
      </w:r>
      <w:r w:rsidR="00332DE2" w:rsidRPr="003A674A">
        <w:rPr>
          <w:rFonts w:ascii="Times New Roman" w:hAnsi="Times New Roman" w:cs="Times New Roman"/>
          <w:sz w:val="24"/>
          <w:szCs w:val="24"/>
        </w:rPr>
        <w:t>a high volume radial centre</w:t>
      </w:r>
      <w:r w:rsidR="00ED7F10" w:rsidRPr="003A674A">
        <w:rPr>
          <w:rFonts w:ascii="Times New Roman" w:hAnsi="Times New Roman" w:cs="Times New Roman"/>
          <w:sz w:val="24"/>
          <w:szCs w:val="24"/>
        </w:rPr>
        <w:t xml:space="preserve"> illustrated th</w:t>
      </w:r>
      <w:r w:rsidR="009001F4" w:rsidRPr="003A674A">
        <w:rPr>
          <w:rFonts w:ascii="Times New Roman" w:hAnsi="Times New Roman" w:cs="Times New Roman"/>
          <w:sz w:val="24"/>
          <w:szCs w:val="24"/>
        </w:rPr>
        <w:t>at TRA</w:t>
      </w:r>
      <w:r w:rsidR="00D30253" w:rsidRPr="003A674A">
        <w:rPr>
          <w:rFonts w:ascii="Times New Roman" w:hAnsi="Times New Roman" w:cs="Times New Roman"/>
          <w:sz w:val="24"/>
          <w:szCs w:val="24"/>
        </w:rPr>
        <w:t xml:space="preserve"> access</w:t>
      </w:r>
      <w:r w:rsidR="009001F4" w:rsidRPr="003A674A">
        <w:rPr>
          <w:rFonts w:ascii="Times New Roman" w:hAnsi="Times New Roman" w:cs="Times New Roman"/>
          <w:sz w:val="24"/>
          <w:szCs w:val="24"/>
        </w:rPr>
        <w:t xml:space="preserve"> can</w:t>
      </w:r>
      <w:r w:rsidR="00ED7F10" w:rsidRPr="003A674A">
        <w:rPr>
          <w:rFonts w:ascii="Times New Roman" w:hAnsi="Times New Roman" w:cs="Times New Roman"/>
          <w:sz w:val="24"/>
          <w:szCs w:val="24"/>
        </w:rPr>
        <w:t xml:space="preserve"> be safely attempted in about 60% of cases for </w:t>
      </w:r>
      <w:r w:rsidR="00707087" w:rsidRPr="003A674A">
        <w:rPr>
          <w:rFonts w:ascii="Times New Roman" w:hAnsi="Times New Roman" w:cs="Times New Roman"/>
          <w:sz w:val="24"/>
          <w:szCs w:val="24"/>
        </w:rPr>
        <w:t>up to</w:t>
      </w:r>
      <w:r w:rsidR="00ED7F10" w:rsidRPr="003A674A">
        <w:rPr>
          <w:rFonts w:ascii="Times New Roman" w:hAnsi="Times New Roman" w:cs="Times New Roman"/>
          <w:sz w:val="24"/>
          <w:szCs w:val="24"/>
        </w:rPr>
        <w:t xml:space="preserve"> 10 procedures</w:t>
      </w:r>
      <w:r w:rsidR="00332DE2" w:rsidRPr="003A674A">
        <w:rPr>
          <w:rFonts w:ascii="Times New Roman" w:hAnsi="Times New Roman" w:cs="Times New Roman"/>
          <w:sz w:val="24"/>
          <w:szCs w:val="24"/>
        </w:rPr>
        <w:t xml:space="preserve"> </w:t>
      </w:r>
      <w:r w:rsidR="00ED7F10" w:rsidRPr="003A674A">
        <w:rPr>
          <w:rFonts w:ascii="Times New Roman" w:hAnsi="Times New Roman" w:cs="Times New Roman"/>
          <w:sz w:val="24"/>
          <w:szCs w:val="24"/>
        </w:rPr>
        <w:fldChar w:fldCharType="begin"/>
      </w:r>
      <w:r w:rsidR="00ED7F10" w:rsidRPr="003A674A">
        <w:rPr>
          <w:rFonts w:ascii="Times New Roman" w:hAnsi="Times New Roman" w:cs="Times New Roman"/>
          <w:sz w:val="24"/>
          <w:szCs w:val="24"/>
        </w:rPr>
        <w:instrText>ADDIN RW.CITE{{451 Abdelaal,E. 2013}}</w:instrText>
      </w:r>
      <w:r w:rsidR="00ED7F10" w:rsidRPr="003A674A">
        <w:rPr>
          <w:rFonts w:ascii="Times New Roman" w:hAnsi="Times New Roman" w:cs="Times New Roman"/>
          <w:sz w:val="24"/>
          <w:szCs w:val="24"/>
        </w:rPr>
        <w:fldChar w:fldCharType="separate"/>
      </w:r>
      <w:r w:rsidR="00F74795" w:rsidRPr="003A674A">
        <w:rPr>
          <w:rFonts w:ascii="Times New Roman" w:hAnsi="Times New Roman" w:cs="Times New Roman"/>
          <w:sz w:val="24"/>
          <w:szCs w:val="24"/>
        </w:rPr>
        <w:t>(30)</w:t>
      </w:r>
      <w:r w:rsidR="00ED7F10" w:rsidRPr="003A674A">
        <w:rPr>
          <w:rFonts w:ascii="Times New Roman" w:hAnsi="Times New Roman" w:cs="Times New Roman"/>
          <w:sz w:val="24"/>
          <w:szCs w:val="24"/>
        </w:rPr>
        <w:fldChar w:fldCharType="end"/>
      </w:r>
      <w:r w:rsidR="00332DE2" w:rsidRPr="003A674A">
        <w:rPr>
          <w:rFonts w:ascii="Times New Roman" w:hAnsi="Times New Roman" w:cs="Times New Roman"/>
          <w:sz w:val="24"/>
          <w:szCs w:val="24"/>
        </w:rPr>
        <w:t>.</w:t>
      </w:r>
      <w:r w:rsidR="00C575C6" w:rsidRPr="003A674A">
        <w:rPr>
          <w:rFonts w:ascii="Times New Roman" w:hAnsi="Times New Roman" w:cs="Times New Roman"/>
          <w:sz w:val="24"/>
          <w:szCs w:val="24"/>
        </w:rPr>
        <w:t xml:space="preserve"> Progressive luminal narrowing and radial artery occlusion are known to occur following </w:t>
      </w:r>
      <w:proofErr w:type="spellStart"/>
      <w:r w:rsidR="00C575C6" w:rsidRPr="003A674A">
        <w:rPr>
          <w:rFonts w:ascii="Times New Roman" w:hAnsi="Times New Roman" w:cs="Times New Roman"/>
          <w:sz w:val="24"/>
          <w:szCs w:val="24"/>
        </w:rPr>
        <w:t>transradial</w:t>
      </w:r>
      <w:proofErr w:type="spellEnd"/>
      <w:r w:rsidR="00C575C6" w:rsidRPr="003A674A">
        <w:rPr>
          <w:rFonts w:ascii="Times New Roman" w:hAnsi="Times New Roman" w:cs="Times New Roman"/>
          <w:sz w:val="24"/>
          <w:szCs w:val="24"/>
        </w:rPr>
        <w:t xml:space="preserve"> access and may limit the use of </w:t>
      </w:r>
      <w:r w:rsidR="00D30253" w:rsidRPr="003A674A">
        <w:rPr>
          <w:rFonts w:ascii="Times New Roman" w:hAnsi="Times New Roman" w:cs="Times New Roman"/>
          <w:sz w:val="24"/>
          <w:szCs w:val="24"/>
        </w:rPr>
        <w:t xml:space="preserve">ipsilateral </w:t>
      </w:r>
      <w:r w:rsidR="00C575C6" w:rsidRPr="003A674A">
        <w:rPr>
          <w:rFonts w:ascii="Times New Roman" w:hAnsi="Times New Roman" w:cs="Times New Roman"/>
          <w:sz w:val="24"/>
          <w:szCs w:val="24"/>
        </w:rPr>
        <w:t xml:space="preserve">radial access for </w:t>
      </w:r>
      <w:r w:rsidR="003F7CD4" w:rsidRPr="003A674A">
        <w:rPr>
          <w:rFonts w:ascii="Times New Roman" w:hAnsi="Times New Roman" w:cs="Times New Roman"/>
          <w:sz w:val="24"/>
          <w:szCs w:val="24"/>
        </w:rPr>
        <w:t xml:space="preserve">a </w:t>
      </w:r>
      <w:r w:rsidR="00C575C6" w:rsidRPr="003A674A">
        <w:rPr>
          <w:rFonts w:ascii="Times New Roman" w:hAnsi="Times New Roman" w:cs="Times New Roman"/>
          <w:sz w:val="24"/>
          <w:szCs w:val="24"/>
        </w:rPr>
        <w:t>repeat procedure</w:t>
      </w:r>
      <w:r w:rsidR="00C575C6" w:rsidRPr="003A674A">
        <w:rPr>
          <w:rFonts w:ascii="Times New Roman" w:hAnsi="Times New Roman" w:cs="Times New Roman"/>
          <w:sz w:val="24"/>
          <w:szCs w:val="24"/>
        </w:rPr>
        <w:fldChar w:fldCharType="begin"/>
      </w:r>
      <w:r w:rsidR="00C575C6" w:rsidRPr="003A674A">
        <w:rPr>
          <w:rFonts w:ascii="Times New Roman" w:hAnsi="Times New Roman" w:cs="Times New Roman"/>
          <w:sz w:val="24"/>
          <w:szCs w:val="24"/>
        </w:rPr>
        <w:instrText>ADDIN RW.CITE{{181 Rashid,M. 2016; 227 Mamas,M.A. 2014}}</w:instrText>
      </w:r>
      <w:r w:rsidR="00C575C6"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(13, 33)</w:t>
      </w:r>
      <w:r w:rsidR="00C575C6" w:rsidRPr="003A674A">
        <w:rPr>
          <w:rFonts w:ascii="Times New Roman" w:hAnsi="Times New Roman" w:cs="Times New Roman"/>
          <w:sz w:val="24"/>
          <w:szCs w:val="24"/>
        </w:rPr>
        <w:fldChar w:fldCharType="end"/>
      </w:r>
      <w:r w:rsidR="00C575C6" w:rsidRPr="003A674A">
        <w:rPr>
          <w:rFonts w:ascii="Times New Roman" w:hAnsi="Times New Roman" w:cs="Times New Roman"/>
          <w:sz w:val="24"/>
          <w:szCs w:val="24"/>
        </w:rPr>
        <w:t xml:space="preserve">. Our </w:t>
      </w:r>
      <w:r w:rsidR="009001F4" w:rsidRPr="003A674A">
        <w:rPr>
          <w:rFonts w:ascii="Times New Roman" w:hAnsi="Times New Roman" w:cs="Times New Roman"/>
          <w:sz w:val="24"/>
          <w:szCs w:val="24"/>
        </w:rPr>
        <w:t>study shows</w:t>
      </w:r>
      <w:r w:rsidR="003339EF" w:rsidRPr="003A674A">
        <w:rPr>
          <w:rFonts w:ascii="Times New Roman" w:hAnsi="Times New Roman" w:cs="Times New Roman"/>
          <w:sz w:val="24"/>
          <w:szCs w:val="24"/>
        </w:rPr>
        <w:t xml:space="preserve"> a higher switch</w:t>
      </w:r>
      <w:r w:rsidR="00C575C6" w:rsidRPr="003A674A">
        <w:rPr>
          <w:rFonts w:ascii="Times New Roman" w:hAnsi="Times New Roman" w:cs="Times New Roman"/>
          <w:sz w:val="24"/>
          <w:szCs w:val="24"/>
        </w:rPr>
        <w:t xml:space="preserve"> rate of </w:t>
      </w:r>
      <w:r w:rsidR="00D30253" w:rsidRPr="003A674A">
        <w:rPr>
          <w:rFonts w:ascii="Times New Roman" w:hAnsi="Times New Roman" w:cs="Times New Roman"/>
          <w:sz w:val="24"/>
          <w:szCs w:val="24"/>
        </w:rPr>
        <w:t xml:space="preserve">a </w:t>
      </w:r>
      <w:r w:rsidR="00C575C6" w:rsidRPr="003A674A">
        <w:rPr>
          <w:rFonts w:ascii="Times New Roman" w:hAnsi="Times New Roman" w:cs="Times New Roman"/>
          <w:sz w:val="24"/>
          <w:szCs w:val="24"/>
        </w:rPr>
        <w:t xml:space="preserve">RRA </w:t>
      </w:r>
      <w:r w:rsidR="00D30253" w:rsidRPr="003A674A">
        <w:rPr>
          <w:rFonts w:ascii="Times New Roman" w:hAnsi="Times New Roman" w:cs="Times New Roman"/>
          <w:sz w:val="24"/>
          <w:szCs w:val="24"/>
        </w:rPr>
        <w:t xml:space="preserve">approach </w:t>
      </w:r>
      <w:r w:rsidR="00C575C6" w:rsidRPr="003A674A">
        <w:rPr>
          <w:rFonts w:ascii="Times New Roman" w:hAnsi="Times New Roman" w:cs="Times New Roman"/>
          <w:sz w:val="24"/>
          <w:szCs w:val="24"/>
        </w:rPr>
        <w:t>in elderly and female</w:t>
      </w:r>
      <w:r w:rsidR="00D30253" w:rsidRPr="003A674A">
        <w:rPr>
          <w:rFonts w:ascii="Times New Roman" w:hAnsi="Times New Roman" w:cs="Times New Roman"/>
          <w:sz w:val="24"/>
          <w:szCs w:val="24"/>
        </w:rPr>
        <w:t xml:space="preserve"> patients</w:t>
      </w:r>
      <w:r w:rsidR="00C575C6" w:rsidRPr="003A674A">
        <w:rPr>
          <w:rFonts w:ascii="Times New Roman" w:hAnsi="Times New Roman" w:cs="Times New Roman"/>
          <w:sz w:val="24"/>
          <w:szCs w:val="24"/>
        </w:rPr>
        <w:t xml:space="preserve"> with a concomitant increase i</w:t>
      </w:r>
      <w:r w:rsidRPr="003A674A">
        <w:rPr>
          <w:rFonts w:ascii="Times New Roman" w:hAnsi="Times New Roman" w:cs="Times New Roman"/>
          <w:sz w:val="24"/>
          <w:szCs w:val="24"/>
        </w:rPr>
        <w:t>n the use of TFA and LRA</w:t>
      </w:r>
      <w:r w:rsidR="00D30253" w:rsidRPr="003A674A">
        <w:rPr>
          <w:rFonts w:ascii="Times New Roman" w:hAnsi="Times New Roman" w:cs="Times New Roman"/>
          <w:sz w:val="24"/>
          <w:szCs w:val="24"/>
        </w:rPr>
        <w:t xml:space="preserve"> acc</w:t>
      </w:r>
      <w:r w:rsidR="00D30253" w:rsidRPr="00E72D75">
        <w:rPr>
          <w:rFonts w:ascii="Times New Roman" w:hAnsi="Times New Roman" w:cs="Times New Roman"/>
          <w:sz w:val="24"/>
          <w:szCs w:val="24"/>
        </w:rPr>
        <w:t>ess</w:t>
      </w:r>
      <w:r w:rsidR="008978B2" w:rsidRPr="00E72D75">
        <w:rPr>
          <w:rFonts w:ascii="Times New Roman" w:hAnsi="Times New Roman" w:cs="Times New Roman"/>
          <w:sz w:val="24"/>
          <w:szCs w:val="24"/>
        </w:rPr>
        <w:t xml:space="preserve">. </w:t>
      </w:r>
      <w:r w:rsidR="00073670" w:rsidRPr="00E72D75">
        <w:rPr>
          <w:rFonts w:ascii="Times New Roman" w:hAnsi="Times New Roman" w:cs="Times New Roman"/>
          <w:sz w:val="24"/>
          <w:szCs w:val="24"/>
        </w:rPr>
        <w:t xml:space="preserve">It is possible that </w:t>
      </w:r>
      <w:r w:rsidR="006E00B7" w:rsidRPr="00E72D75">
        <w:rPr>
          <w:rFonts w:ascii="Times New Roman" w:hAnsi="Times New Roman" w:cs="Times New Roman"/>
          <w:sz w:val="24"/>
          <w:szCs w:val="24"/>
        </w:rPr>
        <w:t xml:space="preserve">the </w:t>
      </w:r>
      <w:r w:rsidR="00073670" w:rsidRPr="00E72D75">
        <w:rPr>
          <w:rFonts w:ascii="Times New Roman" w:hAnsi="Times New Roman" w:cs="Times New Roman"/>
          <w:sz w:val="24"/>
          <w:szCs w:val="24"/>
        </w:rPr>
        <w:t>higher switch from RRA to TFA</w:t>
      </w:r>
      <w:r w:rsidR="007F1846" w:rsidRPr="00E72D75">
        <w:rPr>
          <w:rFonts w:ascii="Times New Roman" w:hAnsi="Times New Roman" w:cs="Times New Roman"/>
          <w:sz w:val="24"/>
          <w:szCs w:val="24"/>
        </w:rPr>
        <w:t xml:space="preserve"> was observed because the subsequent</w:t>
      </w:r>
      <w:r w:rsidR="00073670" w:rsidRPr="00E72D75">
        <w:rPr>
          <w:rFonts w:ascii="Times New Roman" w:hAnsi="Times New Roman" w:cs="Times New Roman"/>
          <w:sz w:val="24"/>
          <w:szCs w:val="24"/>
        </w:rPr>
        <w:t xml:space="preserve"> procedure was undertaken by a femoral operator instead of a radial operator</w:t>
      </w:r>
      <w:r w:rsidR="00073670">
        <w:rPr>
          <w:rFonts w:ascii="Times New Roman" w:hAnsi="Times New Roman" w:cs="Times New Roman"/>
          <w:sz w:val="24"/>
          <w:szCs w:val="24"/>
        </w:rPr>
        <w:t xml:space="preserve">. </w:t>
      </w:r>
      <w:r w:rsidR="008978B2" w:rsidRPr="003A674A">
        <w:rPr>
          <w:rFonts w:ascii="Times New Roman" w:hAnsi="Times New Roman" w:cs="Times New Roman"/>
          <w:sz w:val="24"/>
          <w:szCs w:val="24"/>
        </w:rPr>
        <w:t>However, our analysis is from an era where more than 8</w:t>
      </w:r>
      <w:r w:rsidR="000777CB" w:rsidRPr="003A674A">
        <w:rPr>
          <w:rFonts w:ascii="Times New Roman" w:hAnsi="Times New Roman" w:cs="Times New Roman"/>
          <w:sz w:val="24"/>
          <w:szCs w:val="24"/>
        </w:rPr>
        <w:t>0</w:t>
      </w:r>
      <w:r w:rsidR="008978B2" w:rsidRPr="003A674A">
        <w:rPr>
          <w:rFonts w:ascii="Times New Roman" w:hAnsi="Times New Roman" w:cs="Times New Roman"/>
          <w:sz w:val="24"/>
          <w:szCs w:val="24"/>
        </w:rPr>
        <w:t>% of the PCIs in the United Kingdom are undertaken via TRA</w:t>
      </w:r>
      <w:r w:rsidR="00B7561B">
        <w:rPr>
          <w:rFonts w:ascii="Times New Roman" w:hAnsi="Times New Roman" w:cs="Times New Roman"/>
          <w:sz w:val="24"/>
          <w:szCs w:val="24"/>
        </w:rPr>
        <w:t>,</w:t>
      </w:r>
      <w:r w:rsidR="003F7CD4" w:rsidRPr="003A674A">
        <w:rPr>
          <w:rFonts w:ascii="Times New Roman" w:hAnsi="Times New Roman" w:cs="Times New Roman"/>
          <w:sz w:val="24"/>
          <w:szCs w:val="24"/>
        </w:rPr>
        <w:t xml:space="preserve"> which may suggest that that this is less likely </w:t>
      </w:r>
      <w:r w:rsidR="008978B2" w:rsidRPr="003A674A">
        <w:rPr>
          <w:rFonts w:ascii="Times New Roman" w:hAnsi="Times New Roman" w:cs="Times New Roman"/>
          <w:sz w:val="24"/>
          <w:szCs w:val="24"/>
        </w:rPr>
        <w:fldChar w:fldCharType="begin"/>
      </w:r>
      <w:r w:rsidR="008978B2" w:rsidRPr="003A674A">
        <w:rPr>
          <w:rFonts w:ascii="Times New Roman" w:hAnsi="Times New Roman" w:cs="Times New Roman"/>
          <w:sz w:val="24"/>
          <w:szCs w:val="24"/>
        </w:rPr>
        <w:instrText>ADDIN RW.CITE{{209 Mamas,M.A. 2016}}</w:instrText>
      </w:r>
      <w:r w:rsidR="008978B2" w:rsidRPr="003A674A">
        <w:rPr>
          <w:rFonts w:ascii="Times New Roman" w:hAnsi="Times New Roman" w:cs="Times New Roman"/>
          <w:sz w:val="24"/>
          <w:szCs w:val="24"/>
        </w:rPr>
        <w:fldChar w:fldCharType="separate"/>
      </w:r>
      <w:r w:rsidR="00B84921" w:rsidRPr="003A674A">
        <w:rPr>
          <w:rFonts w:ascii="Times New Roman" w:hAnsi="Times New Roman" w:cs="Times New Roman"/>
          <w:sz w:val="24"/>
          <w:szCs w:val="24"/>
        </w:rPr>
        <w:t>(23)</w:t>
      </w:r>
      <w:r w:rsidR="008978B2" w:rsidRPr="003A674A">
        <w:rPr>
          <w:rFonts w:ascii="Times New Roman" w:hAnsi="Times New Roman" w:cs="Times New Roman"/>
          <w:sz w:val="24"/>
          <w:szCs w:val="24"/>
        </w:rPr>
        <w:fldChar w:fldCharType="end"/>
      </w:r>
      <w:r w:rsidR="008978B2" w:rsidRPr="003A674A">
        <w:rPr>
          <w:rFonts w:ascii="Times New Roman" w:hAnsi="Times New Roman" w:cs="Times New Roman"/>
          <w:sz w:val="24"/>
          <w:szCs w:val="24"/>
        </w:rPr>
        <w:t xml:space="preserve">. </w:t>
      </w:r>
      <w:r w:rsidR="008C3FAF" w:rsidRPr="003A674A">
        <w:rPr>
          <w:rFonts w:ascii="Times New Roman" w:hAnsi="Times New Roman" w:cs="Times New Roman"/>
          <w:sz w:val="24"/>
          <w:szCs w:val="24"/>
        </w:rPr>
        <w:t xml:space="preserve">The key message from our findings are that although repeat RRA </w:t>
      </w:r>
      <w:r w:rsidR="00D30253" w:rsidRPr="003A674A">
        <w:rPr>
          <w:rFonts w:ascii="Times New Roman" w:hAnsi="Times New Roman" w:cs="Times New Roman"/>
          <w:sz w:val="24"/>
          <w:szCs w:val="24"/>
        </w:rPr>
        <w:t xml:space="preserve">access </w:t>
      </w:r>
      <w:r w:rsidR="008C3FAF" w:rsidRPr="003A674A">
        <w:rPr>
          <w:rFonts w:ascii="Times New Roman" w:hAnsi="Times New Roman" w:cs="Times New Roman"/>
          <w:sz w:val="24"/>
          <w:szCs w:val="24"/>
        </w:rPr>
        <w:t xml:space="preserve">can safely be performed in </w:t>
      </w:r>
      <w:r w:rsidR="00D30253" w:rsidRPr="003A674A">
        <w:rPr>
          <w:rFonts w:ascii="Times New Roman" w:hAnsi="Times New Roman" w:cs="Times New Roman"/>
          <w:sz w:val="24"/>
          <w:szCs w:val="24"/>
        </w:rPr>
        <w:t xml:space="preserve">the </w:t>
      </w:r>
      <w:r w:rsidR="008C3FAF" w:rsidRPr="003A674A">
        <w:rPr>
          <w:rFonts w:ascii="Times New Roman" w:hAnsi="Times New Roman" w:cs="Times New Roman"/>
          <w:sz w:val="24"/>
          <w:szCs w:val="24"/>
        </w:rPr>
        <w:t xml:space="preserve">majority of cases, </w:t>
      </w:r>
      <w:r w:rsidR="00D30253" w:rsidRPr="003A674A">
        <w:rPr>
          <w:rFonts w:ascii="Times New Roman" w:hAnsi="Times New Roman" w:cs="Times New Roman"/>
          <w:sz w:val="24"/>
          <w:szCs w:val="24"/>
        </w:rPr>
        <w:t xml:space="preserve">alternative access is used in a significant minority of patients and currently, a </w:t>
      </w:r>
      <w:proofErr w:type="spellStart"/>
      <w:r w:rsidR="00D30253" w:rsidRPr="003A674A">
        <w:rPr>
          <w:rFonts w:ascii="Times New Roman" w:hAnsi="Times New Roman" w:cs="Times New Roman"/>
          <w:sz w:val="24"/>
          <w:szCs w:val="24"/>
        </w:rPr>
        <w:t>transfemoral</w:t>
      </w:r>
      <w:proofErr w:type="spellEnd"/>
      <w:r w:rsidR="00D30253" w:rsidRPr="003A674A">
        <w:rPr>
          <w:rFonts w:ascii="Times New Roman" w:hAnsi="Times New Roman" w:cs="Times New Roman"/>
          <w:sz w:val="24"/>
          <w:szCs w:val="24"/>
        </w:rPr>
        <w:t xml:space="preserve"> approach is undertaken more commonly than the contralateral </w:t>
      </w:r>
      <w:r w:rsidR="009D037E" w:rsidRPr="003A674A">
        <w:rPr>
          <w:rFonts w:ascii="Times New Roman" w:hAnsi="Times New Roman" w:cs="Times New Roman"/>
          <w:sz w:val="24"/>
          <w:szCs w:val="24"/>
        </w:rPr>
        <w:t>radial artery</w:t>
      </w:r>
      <w:r w:rsidR="00D30253" w:rsidRPr="003A674A">
        <w:rPr>
          <w:rFonts w:ascii="Times New Roman" w:hAnsi="Times New Roman" w:cs="Times New Roman"/>
          <w:sz w:val="24"/>
          <w:szCs w:val="24"/>
        </w:rPr>
        <w:t>,</w:t>
      </w:r>
      <w:r w:rsidR="008C3FAF" w:rsidRPr="003A674A">
        <w:rPr>
          <w:rFonts w:ascii="Times New Roman" w:hAnsi="Times New Roman" w:cs="Times New Roman"/>
          <w:sz w:val="24"/>
          <w:szCs w:val="24"/>
        </w:rPr>
        <w:t xml:space="preserve"> particularly in elderly and female</w:t>
      </w:r>
      <w:r w:rsidR="00D30253" w:rsidRPr="003A674A">
        <w:rPr>
          <w:rFonts w:ascii="Times New Roman" w:hAnsi="Times New Roman" w:cs="Times New Roman"/>
          <w:sz w:val="24"/>
          <w:szCs w:val="24"/>
        </w:rPr>
        <w:t xml:space="preserve"> patients</w:t>
      </w:r>
      <w:r w:rsidR="008C3FAF" w:rsidRPr="003A674A">
        <w:rPr>
          <w:rFonts w:ascii="Times New Roman" w:hAnsi="Times New Roman" w:cs="Times New Roman"/>
          <w:sz w:val="24"/>
          <w:szCs w:val="24"/>
        </w:rPr>
        <w:t xml:space="preserve">. </w:t>
      </w:r>
      <w:r w:rsidR="00D30253" w:rsidRPr="003A674A">
        <w:rPr>
          <w:rFonts w:ascii="Times New Roman" w:hAnsi="Times New Roman" w:cs="Times New Roman"/>
          <w:sz w:val="24"/>
          <w:szCs w:val="24"/>
        </w:rPr>
        <w:t xml:space="preserve">Given the </w:t>
      </w:r>
      <w:r w:rsidR="00CD5E43" w:rsidRPr="003A674A">
        <w:rPr>
          <w:rFonts w:ascii="Times New Roman" w:hAnsi="Times New Roman" w:cs="Times New Roman"/>
          <w:sz w:val="24"/>
          <w:szCs w:val="24"/>
        </w:rPr>
        <w:t>established advantages of radial access in terms of reducing major bleeding and access site complications</w:t>
      </w:r>
      <w:r w:rsidR="00D30253" w:rsidRPr="003A674A">
        <w:rPr>
          <w:rFonts w:ascii="Times New Roman" w:hAnsi="Times New Roman" w:cs="Times New Roman"/>
          <w:sz w:val="24"/>
          <w:szCs w:val="24"/>
        </w:rPr>
        <w:t xml:space="preserve">, </w:t>
      </w:r>
      <w:r w:rsidR="00C716D2" w:rsidRPr="003A674A">
        <w:rPr>
          <w:rFonts w:ascii="Times New Roman" w:hAnsi="Times New Roman" w:cs="Times New Roman"/>
          <w:sz w:val="24"/>
          <w:szCs w:val="24"/>
        </w:rPr>
        <w:t>there may be benefits in using the LRA access site as the default in such circumstances</w:t>
      </w:r>
      <w:r w:rsidR="00E952BE" w:rsidRPr="003A674A">
        <w:rPr>
          <w:rFonts w:ascii="Times New Roman" w:hAnsi="Times New Roman" w:cs="Times New Roman"/>
          <w:sz w:val="24"/>
          <w:szCs w:val="24"/>
        </w:rPr>
        <w:t xml:space="preserve">. </w:t>
      </w:r>
      <w:r w:rsidR="000777CB" w:rsidRPr="003A674A">
        <w:rPr>
          <w:rFonts w:ascii="Times New Roman" w:hAnsi="Times New Roman" w:cs="Times New Roman"/>
          <w:sz w:val="24"/>
          <w:szCs w:val="24"/>
        </w:rPr>
        <w:t>These observations have implications for training</w:t>
      </w:r>
      <w:r w:rsidR="00C716D2" w:rsidRPr="003A674A">
        <w:rPr>
          <w:rFonts w:ascii="Times New Roman" w:hAnsi="Times New Roman" w:cs="Times New Roman"/>
          <w:sz w:val="24"/>
          <w:szCs w:val="24"/>
        </w:rPr>
        <w:t>. Trainees</w:t>
      </w:r>
      <w:r w:rsidR="009001F4" w:rsidRPr="003A674A">
        <w:rPr>
          <w:rFonts w:ascii="Times New Roman" w:hAnsi="Times New Roman" w:cs="Times New Roman"/>
          <w:sz w:val="24"/>
          <w:szCs w:val="24"/>
        </w:rPr>
        <w:t xml:space="preserve"> shou</w:t>
      </w:r>
      <w:r w:rsidR="008174FC" w:rsidRPr="003A674A">
        <w:rPr>
          <w:rFonts w:ascii="Times New Roman" w:hAnsi="Times New Roman" w:cs="Times New Roman"/>
          <w:sz w:val="24"/>
          <w:szCs w:val="24"/>
        </w:rPr>
        <w:t xml:space="preserve">ld be exposed to LRA early in their training so that </w:t>
      </w:r>
      <w:r w:rsidR="00975EA8" w:rsidRPr="003A674A">
        <w:rPr>
          <w:rFonts w:ascii="Times New Roman" w:hAnsi="Times New Roman" w:cs="Times New Roman"/>
          <w:sz w:val="24"/>
          <w:szCs w:val="24"/>
        </w:rPr>
        <w:t>the</w:t>
      </w:r>
      <w:r w:rsidR="00C716D2" w:rsidRPr="003A674A">
        <w:rPr>
          <w:rFonts w:ascii="Times New Roman" w:hAnsi="Times New Roman" w:cs="Times New Roman"/>
          <w:sz w:val="24"/>
          <w:szCs w:val="24"/>
        </w:rPr>
        <w:t xml:space="preserve"> potential</w:t>
      </w:r>
      <w:r w:rsidR="00975EA8" w:rsidRPr="003A674A">
        <w:rPr>
          <w:rFonts w:ascii="Times New Roman" w:hAnsi="Times New Roman" w:cs="Times New Roman"/>
          <w:sz w:val="24"/>
          <w:szCs w:val="24"/>
        </w:rPr>
        <w:t xml:space="preserve"> </w:t>
      </w:r>
      <w:r w:rsidR="008174FC" w:rsidRPr="003A674A">
        <w:rPr>
          <w:rFonts w:ascii="Times New Roman" w:hAnsi="Times New Roman" w:cs="Times New Roman"/>
          <w:sz w:val="24"/>
          <w:szCs w:val="24"/>
        </w:rPr>
        <w:t>benefit</w:t>
      </w:r>
      <w:r w:rsidR="00C716D2" w:rsidRPr="003A674A">
        <w:rPr>
          <w:rFonts w:ascii="Times New Roman" w:hAnsi="Times New Roman" w:cs="Times New Roman"/>
          <w:sz w:val="24"/>
          <w:szCs w:val="24"/>
        </w:rPr>
        <w:t>s</w:t>
      </w:r>
      <w:r w:rsidR="008174FC" w:rsidRPr="003A674A">
        <w:rPr>
          <w:rFonts w:ascii="Times New Roman" w:hAnsi="Times New Roman" w:cs="Times New Roman"/>
          <w:sz w:val="24"/>
          <w:szCs w:val="24"/>
        </w:rPr>
        <w:t xml:space="preserve"> of TRA </w:t>
      </w:r>
      <w:r w:rsidR="00C716D2" w:rsidRPr="003A674A">
        <w:rPr>
          <w:rFonts w:ascii="Times New Roman" w:hAnsi="Times New Roman" w:cs="Times New Roman"/>
          <w:sz w:val="24"/>
          <w:szCs w:val="24"/>
        </w:rPr>
        <w:t xml:space="preserve">access </w:t>
      </w:r>
      <w:r w:rsidR="008174FC" w:rsidRPr="003A674A">
        <w:rPr>
          <w:rFonts w:ascii="Times New Roman" w:hAnsi="Times New Roman" w:cs="Times New Roman"/>
          <w:sz w:val="24"/>
          <w:szCs w:val="24"/>
        </w:rPr>
        <w:t xml:space="preserve">can </w:t>
      </w:r>
      <w:r w:rsidR="00C716D2" w:rsidRPr="003A674A">
        <w:rPr>
          <w:rFonts w:ascii="Times New Roman" w:hAnsi="Times New Roman" w:cs="Times New Roman"/>
          <w:sz w:val="24"/>
          <w:szCs w:val="24"/>
        </w:rPr>
        <w:t xml:space="preserve">still </w:t>
      </w:r>
      <w:r w:rsidR="008174FC" w:rsidRPr="003A674A">
        <w:rPr>
          <w:rFonts w:ascii="Times New Roman" w:hAnsi="Times New Roman" w:cs="Times New Roman"/>
          <w:sz w:val="24"/>
          <w:szCs w:val="24"/>
        </w:rPr>
        <w:t xml:space="preserve">be offered in </w:t>
      </w:r>
      <w:r w:rsidR="00C716D2" w:rsidRPr="003A674A">
        <w:rPr>
          <w:rFonts w:ascii="Times New Roman" w:hAnsi="Times New Roman" w:cs="Times New Roman"/>
          <w:sz w:val="24"/>
          <w:szCs w:val="24"/>
        </w:rPr>
        <w:t>the</w:t>
      </w:r>
      <w:r w:rsidR="008174FC" w:rsidRPr="003A674A">
        <w:rPr>
          <w:rFonts w:ascii="Times New Roman" w:hAnsi="Times New Roman" w:cs="Times New Roman"/>
          <w:sz w:val="24"/>
          <w:szCs w:val="24"/>
        </w:rPr>
        <w:t xml:space="preserve"> event of RRA failure. </w:t>
      </w:r>
    </w:p>
    <w:p w14:paraId="10B1D6FC" w14:textId="04798A97" w:rsidR="00A03F04" w:rsidRPr="003A674A" w:rsidRDefault="0003042F" w:rsidP="00311DCA">
      <w:pPr>
        <w:rPr>
          <w:rFonts w:ascii="Times New Roman" w:hAnsi="Times New Roman" w:cs="Times New Roman"/>
          <w:sz w:val="24"/>
          <w:szCs w:val="24"/>
        </w:rPr>
      </w:pPr>
      <w:r w:rsidRPr="003A674A">
        <w:rPr>
          <w:rFonts w:ascii="Times New Roman" w:hAnsi="Times New Roman" w:cs="Times New Roman"/>
          <w:sz w:val="24"/>
          <w:szCs w:val="24"/>
        </w:rPr>
        <w:lastRenderedPageBreak/>
        <w:t>Finally, in the clinical outcome analysis, we did not find any</w:t>
      </w:r>
      <w:r w:rsidR="00F72D25" w:rsidRPr="003A674A">
        <w:rPr>
          <w:rFonts w:ascii="Times New Roman" w:hAnsi="Times New Roman" w:cs="Times New Roman"/>
          <w:sz w:val="24"/>
          <w:szCs w:val="24"/>
        </w:rPr>
        <w:t xml:space="preserve"> statistically significant</w:t>
      </w:r>
      <w:r w:rsidRPr="003A674A">
        <w:rPr>
          <w:rFonts w:ascii="Times New Roman" w:hAnsi="Times New Roman" w:cs="Times New Roman"/>
          <w:sz w:val="24"/>
          <w:szCs w:val="24"/>
        </w:rPr>
        <w:t xml:space="preserve"> difference</w:t>
      </w:r>
      <w:r w:rsidR="00F72D25" w:rsidRPr="003A674A">
        <w:rPr>
          <w:rFonts w:ascii="Times New Roman" w:hAnsi="Times New Roman" w:cs="Times New Roman"/>
          <w:sz w:val="24"/>
          <w:szCs w:val="24"/>
        </w:rPr>
        <w:t>s</w:t>
      </w:r>
      <w:r w:rsidRPr="003A674A">
        <w:rPr>
          <w:rFonts w:ascii="Times New Roman" w:hAnsi="Times New Roman" w:cs="Times New Roman"/>
          <w:sz w:val="24"/>
          <w:szCs w:val="24"/>
        </w:rPr>
        <w:t xml:space="preserve"> between the </w:t>
      </w:r>
      <w:r w:rsidR="00C716D2" w:rsidRPr="003A674A">
        <w:rPr>
          <w:rFonts w:ascii="Times New Roman" w:hAnsi="Times New Roman" w:cs="Times New Roman"/>
          <w:sz w:val="24"/>
          <w:szCs w:val="24"/>
        </w:rPr>
        <w:t xml:space="preserve">use of the </w:t>
      </w:r>
      <w:r w:rsidRPr="003A674A">
        <w:rPr>
          <w:rFonts w:ascii="Times New Roman" w:hAnsi="Times New Roman" w:cs="Times New Roman"/>
          <w:sz w:val="24"/>
          <w:szCs w:val="24"/>
        </w:rPr>
        <w:t xml:space="preserve">LRA and RRA and in-hospital or 30-day mortality, in-hospital major bleeding and MACE. </w:t>
      </w:r>
      <w:r w:rsidR="005328BD" w:rsidRPr="003A674A">
        <w:rPr>
          <w:rFonts w:ascii="Times New Roman" w:hAnsi="Times New Roman" w:cs="Times New Roman"/>
          <w:sz w:val="24"/>
          <w:szCs w:val="24"/>
        </w:rPr>
        <w:t xml:space="preserve">We did however observe </w:t>
      </w:r>
      <w:r w:rsidR="00E46492" w:rsidRPr="003A674A">
        <w:rPr>
          <w:rFonts w:ascii="Times New Roman" w:hAnsi="Times New Roman" w:cs="Times New Roman"/>
          <w:sz w:val="24"/>
          <w:szCs w:val="24"/>
        </w:rPr>
        <w:t>(</w:t>
      </w:r>
      <w:r w:rsidR="005328BD" w:rsidRPr="003A674A">
        <w:rPr>
          <w:rFonts w:ascii="Times New Roman" w:hAnsi="Times New Roman" w:cs="Times New Roman"/>
          <w:sz w:val="24"/>
          <w:szCs w:val="24"/>
        </w:rPr>
        <w:t>statistically non</w:t>
      </w:r>
      <w:r w:rsidR="00E46492" w:rsidRPr="003A674A">
        <w:rPr>
          <w:rFonts w:ascii="Times New Roman" w:hAnsi="Times New Roman" w:cs="Times New Roman"/>
          <w:sz w:val="24"/>
          <w:szCs w:val="24"/>
        </w:rPr>
        <w:t>–</w:t>
      </w:r>
      <w:r w:rsidR="005328BD" w:rsidRPr="003A674A">
        <w:rPr>
          <w:rFonts w:ascii="Times New Roman" w:hAnsi="Times New Roman" w:cs="Times New Roman"/>
          <w:sz w:val="24"/>
          <w:szCs w:val="24"/>
        </w:rPr>
        <w:t>significant</w:t>
      </w:r>
      <w:r w:rsidR="00E46492" w:rsidRPr="003A674A">
        <w:rPr>
          <w:rFonts w:ascii="Times New Roman" w:hAnsi="Times New Roman" w:cs="Times New Roman"/>
          <w:sz w:val="24"/>
          <w:szCs w:val="24"/>
        </w:rPr>
        <w:t>)</w:t>
      </w:r>
      <w:r w:rsidR="005328BD" w:rsidRPr="003A674A">
        <w:rPr>
          <w:rFonts w:ascii="Times New Roman" w:hAnsi="Times New Roman" w:cs="Times New Roman"/>
          <w:sz w:val="24"/>
          <w:szCs w:val="24"/>
        </w:rPr>
        <w:t xml:space="preserve"> decreased odds of in hospital stoke</w:t>
      </w:r>
      <w:r w:rsidR="003D72B5" w:rsidRPr="003A674A">
        <w:rPr>
          <w:rFonts w:ascii="Times New Roman" w:hAnsi="Times New Roman" w:cs="Times New Roman"/>
          <w:sz w:val="24"/>
          <w:szCs w:val="24"/>
        </w:rPr>
        <w:t xml:space="preserve"> (OR 0.45 95%CI 0.16-1.26</w:t>
      </w:r>
      <w:r w:rsidR="00C716D2" w:rsidRPr="003A674A">
        <w:rPr>
          <w:rFonts w:ascii="Times New Roman" w:hAnsi="Times New Roman" w:cs="Times New Roman"/>
          <w:sz w:val="24"/>
          <w:szCs w:val="24"/>
        </w:rPr>
        <w:t>,</w:t>
      </w:r>
      <w:r w:rsidR="003D72B5" w:rsidRPr="003A674A">
        <w:rPr>
          <w:rFonts w:ascii="Times New Roman" w:hAnsi="Times New Roman" w:cs="Times New Roman"/>
          <w:sz w:val="24"/>
          <w:szCs w:val="24"/>
        </w:rPr>
        <w:t xml:space="preserve"> p=0.13) albeit</w:t>
      </w:r>
      <w:r w:rsidR="005328BD" w:rsidRPr="003A674A">
        <w:rPr>
          <w:rFonts w:ascii="Times New Roman" w:hAnsi="Times New Roman" w:cs="Times New Roman"/>
          <w:sz w:val="24"/>
          <w:szCs w:val="24"/>
        </w:rPr>
        <w:t xml:space="preserve"> with wide confidence intervals that may reflect the low event rate</w:t>
      </w:r>
      <w:r w:rsidR="003F7CD4" w:rsidRPr="003A674A">
        <w:rPr>
          <w:rFonts w:ascii="Times New Roman" w:hAnsi="Times New Roman" w:cs="Times New Roman"/>
          <w:sz w:val="24"/>
          <w:szCs w:val="24"/>
        </w:rPr>
        <w:t>, with a</w:t>
      </w:r>
      <w:r w:rsidR="00823414" w:rsidRPr="003A674A">
        <w:rPr>
          <w:rFonts w:ascii="Times New Roman" w:hAnsi="Times New Roman" w:cs="Times New Roman"/>
          <w:sz w:val="24"/>
          <w:szCs w:val="24"/>
        </w:rPr>
        <w:t xml:space="preserve"> similar</w:t>
      </w:r>
      <w:r w:rsidR="003F7CD4" w:rsidRPr="003A674A">
        <w:rPr>
          <w:rFonts w:ascii="Times New Roman" w:hAnsi="Times New Roman" w:cs="Times New Roman"/>
          <w:sz w:val="24"/>
          <w:szCs w:val="24"/>
        </w:rPr>
        <w:t xml:space="preserve"> significant</w:t>
      </w:r>
      <w:r w:rsidR="00823414" w:rsidRPr="003A674A">
        <w:rPr>
          <w:rFonts w:ascii="Times New Roman" w:hAnsi="Times New Roman" w:cs="Times New Roman"/>
          <w:sz w:val="24"/>
          <w:szCs w:val="24"/>
        </w:rPr>
        <w:t xml:space="preserve"> risk</w:t>
      </w:r>
      <w:r w:rsidR="003F7CD4" w:rsidRPr="003A674A">
        <w:rPr>
          <w:rFonts w:ascii="Times New Roman" w:hAnsi="Times New Roman" w:cs="Times New Roman"/>
          <w:sz w:val="24"/>
          <w:szCs w:val="24"/>
        </w:rPr>
        <w:t xml:space="preserve"> reduction in </w:t>
      </w:r>
      <w:r w:rsidR="00503B30" w:rsidRPr="003A674A">
        <w:rPr>
          <w:rFonts w:ascii="Times New Roman" w:hAnsi="Times New Roman" w:cs="Times New Roman"/>
          <w:sz w:val="24"/>
          <w:szCs w:val="24"/>
        </w:rPr>
        <w:t xml:space="preserve">our </w:t>
      </w:r>
      <w:r w:rsidR="003F7CD4" w:rsidRPr="003A674A">
        <w:rPr>
          <w:rFonts w:ascii="Times New Roman" w:hAnsi="Times New Roman" w:cs="Times New Roman"/>
          <w:sz w:val="24"/>
          <w:szCs w:val="24"/>
        </w:rPr>
        <w:t>propensity score match</w:t>
      </w:r>
      <w:r w:rsidR="00503B30" w:rsidRPr="003A674A">
        <w:rPr>
          <w:rFonts w:ascii="Times New Roman" w:hAnsi="Times New Roman" w:cs="Times New Roman"/>
          <w:sz w:val="24"/>
          <w:szCs w:val="24"/>
        </w:rPr>
        <w:t>ed cohort</w:t>
      </w:r>
      <w:r w:rsidR="003D72B5" w:rsidRPr="003A674A">
        <w:rPr>
          <w:rFonts w:ascii="Times New Roman" w:hAnsi="Times New Roman" w:cs="Times New Roman"/>
          <w:sz w:val="24"/>
          <w:szCs w:val="24"/>
        </w:rPr>
        <w:t xml:space="preserve"> </w:t>
      </w:r>
      <w:r w:rsidR="00E96C80">
        <w:rPr>
          <w:rFonts w:ascii="Times New Roman" w:hAnsi="Times New Roman" w:cs="Times New Roman"/>
          <w:sz w:val="24"/>
          <w:szCs w:val="24"/>
        </w:rPr>
        <w:t xml:space="preserve">that was statistically significant </w:t>
      </w:r>
      <w:r w:rsidR="00073670" w:rsidRPr="00073670">
        <w:rPr>
          <w:rFonts w:ascii="Times New Roman" w:hAnsi="Times New Roman" w:cs="Times New Roman"/>
          <w:sz w:val="24"/>
          <w:szCs w:val="24"/>
        </w:rPr>
        <w:t>(average treatment effect coefficient 0.000977 95%CI -0.001654 to -0.00299, p=0.005).</w:t>
      </w:r>
      <w:r w:rsidR="006E00B7">
        <w:rPr>
          <w:rFonts w:ascii="Times New Roman" w:hAnsi="Times New Roman" w:cs="Times New Roman"/>
          <w:sz w:val="24"/>
          <w:szCs w:val="24"/>
        </w:rPr>
        <w:t xml:space="preserve"> </w:t>
      </w:r>
      <w:r w:rsidRPr="003A674A">
        <w:rPr>
          <w:rFonts w:ascii="Times New Roman" w:hAnsi="Times New Roman" w:cs="Times New Roman"/>
          <w:sz w:val="24"/>
          <w:szCs w:val="24"/>
        </w:rPr>
        <w:t>A number of previous studies have reported on procedural outcomes of LRA versus RRA showing that LRA offers small advantage over RRA in terms of lower fluoroscopy time, radiation dose and contrast use</w:t>
      </w:r>
      <w:r w:rsidR="00D90624" w:rsidRPr="003A674A">
        <w:rPr>
          <w:rFonts w:ascii="Times New Roman" w:hAnsi="Times New Roman" w:cs="Times New Roman"/>
          <w:sz w:val="24"/>
          <w:szCs w:val="24"/>
        </w:rPr>
        <w:t xml:space="preserve"> </w:t>
      </w:r>
      <w:r w:rsidRPr="003A674A">
        <w:rPr>
          <w:rFonts w:ascii="Times New Roman" w:hAnsi="Times New Roman" w:cs="Times New Roman"/>
          <w:sz w:val="24"/>
          <w:szCs w:val="24"/>
        </w:rPr>
        <w:fldChar w:fldCharType="begin"/>
      </w:r>
      <w:r w:rsidRPr="003A674A">
        <w:rPr>
          <w:rFonts w:ascii="Times New Roman" w:hAnsi="Times New Roman" w:cs="Times New Roman"/>
          <w:sz w:val="24"/>
          <w:szCs w:val="24"/>
        </w:rPr>
        <w:instrText>ADDIN RW.CITE{{418 Biondi-Zoccai,G. 2013; 424 Kado,H. 2014; 422 Sciahbasi,A. 2015; 420 Shah,R.M. 2016; 432 Sciahbasi,A. 2011}}</w:instrText>
      </w:r>
      <w:r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(17, 18, 20, 21, 34)</w:t>
      </w:r>
      <w:r w:rsidRPr="003A674A">
        <w:rPr>
          <w:rFonts w:ascii="Times New Roman" w:hAnsi="Times New Roman" w:cs="Times New Roman"/>
          <w:sz w:val="24"/>
          <w:szCs w:val="24"/>
        </w:rPr>
        <w:fldChar w:fldCharType="end"/>
      </w:r>
      <w:r w:rsidRPr="003A674A">
        <w:rPr>
          <w:rFonts w:ascii="Times New Roman" w:hAnsi="Times New Roman" w:cs="Times New Roman"/>
          <w:sz w:val="24"/>
          <w:szCs w:val="24"/>
        </w:rPr>
        <w:t>.</w:t>
      </w:r>
      <w:r w:rsidR="00054F46" w:rsidRPr="003A674A">
        <w:rPr>
          <w:rFonts w:ascii="Times New Roman" w:hAnsi="Times New Roman" w:cs="Times New Roman"/>
          <w:sz w:val="24"/>
          <w:szCs w:val="24"/>
        </w:rPr>
        <w:t xml:space="preserve"> There is very litt</w:t>
      </w:r>
      <w:r w:rsidR="00E952BE" w:rsidRPr="003A674A">
        <w:rPr>
          <w:rFonts w:ascii="Times New Roman" w:hAnsi="Times New Roman" w:cs="Times New Roman"/>
          <w:sz w:val="24"/>
          <w:szCs w:val="24"/>
        </w:rPr>
        <w:t xml:space="preserve">le </w:t>
      </w:r>
      <w:r w:rsidR="00C716D2" w:rsidRPr="003A674A">
        <w:rPr>
          <w:rFonts w:ascii="Times New Roman" w:hAnsi="Times New Roman" w:cs="Times New Roman"/>
          <w:sz w:val="24"/>
          <w:szCs w:val="24"/>
        </w:rPr>
        <w:t>information</w:t>
      </w:r>
      <w:r w:rsidR="00054F46" w:rsidRPr="003A674A">
        <w:rPr>
          <w:rFonts w:ascii="Times New Roman" w:hAnsi="Times New Roman" w:cs="Times New Roman"/>
          <w:sz w:val="24"/>
          <w:szCs w:val="24"/>
        </w:rPr>
        <w:t xml:space="preserve"> on </w:t>
      </w:r>
      <w:r w:rsidR="00C716D2" w:rsidRPr="003A674A">
        <w:rPr>
          <w:rFonts w:ascii="Times New Roman" w:hAnsi="Times New Roman" w:cs="Times New Roman"/>
          <w:sz w:val="24"/>
          <w:szCs w:val="24"/>
        </w:rPr>
        <w:t xml:space="preserve">the </w:t>
      </w:r>
      <w:r w:rsidR="00054F46" w:rsidRPr="003A674A">
        <w:rPr>
          <w:rFonts w:ascii="Times New Roman" w:hAnsi="Times New Roman" w:cs="Times New Roman"/>
          <w:sz w:val="24"/>
          <w:szCs w:val="24"/>
        </w:rPr>
        <w:t xml:space="preserve">association </w:t>
      </w:r>
      <w:r w:rsidR="00F232A8" w:rsidRPr="003A674A">
        <w:rPr>
          <w:rFonts w:ascii="Times New Roman" w:hAnsi="Times New Roman" w:cs="Times New Roman"/>
          <w:sz w:val="24"/>
          <w:szCs w:val="24"/>
        </w:rPr>
        <w:t>of LRA or RRA with clinical outcomes</w:t>
      </w:r>
      <w:r w:rsidR="00E952BE" w:rsidRPr="003A674A">
        <w:rPr>
          <w:rFonts w:ascii="Times New Roman" w:hAnsi="Times New Roman" w:cs="Times New Roman"/>
          <w:sz w:val="24"/>
          <w:szCs w:val="24"/>
        </w:rPr>
        <w:fldChar w:fldCharType="begin"/>
      </w:r>
      <w:r w:rsidR="00E952BE" w:rsidRPr="003A674A">
        <w:rPr>
          <w:rFonts w:ascii="Times New Roman" w:hAnsi="Times New Roman" w:cs="Times New Roman"/>
          <w:sz w:val="24"/>
          <w:szCs w:val="24"/>
        </w:rPr>
        <w:instrText>ADDIN RW.CITE{{420 Shah,R.M. 2016; 432 Sciahbasi,A. 2011}}</w:instrText>
      </w:r>
      <w:r w:rsidR="00E952BE"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(18, 21)</w:t>
      </w:r>
      <w:r w:rsidR="00E952BE" w:rsidRPr="003A674A">
        <w:rPr>
          <w:rFonts w:ascii="Times New Roman" w:hAnsi="Times New Roman" w:cs="Times New Roman"/>
          <w:sz w:val="24"/>
          <w:szCs w:val="24"/>
        </w:rPr>
        <w:fldChar w:fldCharType="end"/>
      </w:r>
      <w:r w:rsidR="00F232A8" w:rsidRPr="003A674A">
        <w:rPr>
          <w:rFonts w:ascii="Times New Roman" w:hAnsi="Times New Roman" w:cs="Times New Roman"/>
          <w:sz w:val="24"/>
          <w:szCs w:val="24"/>
        </w:rPr>
        <w:t>.</w:t>
      </w:r>
      <w:r w:rsidRPr="003A674A">
        <w:rPr>
          <w:rFonts w:ascii="Times New Roman" w:hAnsi="Times New Roman" w:cs="Times New Roman"/>
          <w:sz w:val="24"/>
          <w:szCs w:val="24"/>
        </w:rPr>
        <w:t xml:space="preserve"> </w:t>
      </w:r>
      <w:r w:rsidR="005019D8" w:rsidRPr="003A674A">
        <w:rPr>
          <w:rFonts w:ascii="Times New Roman" w:hAnsi="Times New Roman" w:cs="Times New Roman"/>
          <w:sz w:val="24"/>
          <w:szCs w:val="24"/>
        </w:rPr>
        <w:t xml:space="preserve">There is </w:t>
      </w:r>
      <w:r w:rsidR="00C716D2" w:rsidRPr="003A674A">
        <w:rPr>
          <w:rFonts w:ascii="Times New Roman" w:hAnsi="Times New Roman" w:cs="Times New Roman"/>
          <w:sz w:val="24"/>
          <w:szCs w:val="24"/>
        </w:rPr>
        <w:t xml:space="preserve">a </w:t>
      </w:r>
      <w:r w:rsidR="005019D8" w:rsidRPr="003A674A">
        <w:rPr>
          <w:rFonts w:ascii="Times New Roman" w:hAnsi="Times New Roman" w:cs="Times New Roman"/>
          <w:sz w:val="24"/>
          <w:szCs w:val="24"/>
        </w:rPr>
        <w:t xml:space="preserve">multitude of evidence confirming the advantages of radial over femoral </w:t>
      </w:r>
      <w:r w:rsidR="00C716D2" w:rsidRPr="003A674A">
        <w:rPr>
          <w:rFonts w:ascii="Times New Roman" w:hAnsi="Times New Roman" w:cs="Times New Roman"/>
          <w:sz w:val="24"/>
          <w:szCs w:val="24"/>
        </w:rPr>
        <w:t xml:space="preserve">access </w:t>
      </w:r>
      <w:r w:rsidR="005019D8" w:rsidRPr="003A674A">
        <w:rPr>
          <w:rFonts w:ascii="Times New Roman" w:hAnsi="Times New Roman" w:cs="Times New Roman"/>
          <w:sz w:val="24"/>
          <w:szCs w:val="24"/>
        </w:rPr>
        <w:t>in reducing major bleeding, vascular access site complications and MACE translating into mortality benefit</w:t>
      </w:r>
      <w:r w:rsidR="00C716D2" w:rsidRPr="003A674A">
        <w:rPr>
          <w:rFonts w:ascii="Times New Roman" w:hAnsi="Times New Roman" w:cs="Times New Roman"/>
          <w:sz w:val="24"/>
          <w:szCs w:val="24"/>
        </w:rPr>
        <w:t xml:space="preserve"> in some clinical scenarios</w:t>
      </w:r>
      <w:r w:rsidR="005019D8" w:rsidRPr="00033C79">
        <w:rPr>
          <w:rFonts w:ascii="Times New Roman" w:hAnsi="Times New Roman" w:cs="Times New Roman"/>
          <w:sz w:val="24"/>
          <w:szCs w:val="24"/>
          <w:highlight w:val="yellow"/>
        </w:rPr>
        <w:t>.</w:t>
      </w:r>
      <w:r w:rsidR="00033C79" w:rsidRPr="00033C79">
        <w:rPr>
          <w:highlight w:val="yellow"/>
        </w:rPr>
        <w:t xml:space="preserve"> </w:t>
      </w:r>
      <w:r w:rsidR="00033C79" w:rsidRPr="00033C79">
        <w:rPr>
          <w:rFonts w:ascii="Times New Roman" w:hAnsi="Times New Roman" w:cs="Times New Roman"/>
          <w:sz w:val="24"/>
          <w:szCs w:val="24"/>
          <w:highlight w:val="yellow"/>
        </w:rPr>
        <w:t>With RRA access, the anatomical variations such as increase incidence of tortuosity and loops in arm and subclavian artery may require extra catheter manipulation. Additionally, during RRA access the catheter needs to be passed from the innominate artery into the ascending aorta where the right carotid comes off resulting in a theoretically increased risk of embolization of plaque into the right carotid artery resulting in embolic stroke</w:t>
      </w:r>
      <w:r w:rsidR="00835E93" w:rsidRPr="00033C79">
        <w:rPr>
          <w:rFonts w:ascii="Times New Roman" w:hAnsi="Times New Roman" w:cs="Times New Roman"/>
          <w:sz w:val="24"/>
          <w:szCs w:val="24"/>
          <w:highlight w:val="yellow"/>
        </w:rPr>
        <w:t>.</w:t>
      </w:r>
      <w:r w:rsidR="00835E93" w:rsidRPr="003A674A">
        <w:rPr>
          <w:rFonts w:ascii="Times New Roman" w:hAnsi="Times New Roman" w:cs="Times New Roman"/>
          <w:sz w:val="24"/>
          <w:szCs w:val="24"/>
        </w:rPr>
        <w:t xml:space="preserve"> In contrast, LRA </w:t>
      </w:r>
      <w:r w:rsidR="00C716D2" w:rsidRPr="003A674A">
        <w:rPr>
          <w:rFonts w:ascii="Times New Roman" w:hAnsi="Times New Roman" w:cs="Times New Roman"/>
          <w:sz w:val="24"/>
          <w:szCs w:val="24"/>
        </w:rPr>
        <w:t xml:space="preserve">access </w:t>
      </w:r>
      <w:r w:rsidR="00835E93" w:rsidRPr="003A674A">
        <w:rPr>
          <w:rFonts w:ascii="Times New Roman" w:hAnsi="Times New Roman" w:cs="Times New Roman"/>
          <w:sz w:val="24"/>
          <w:szCs w:val="24"/>
        </w:rPr>
        <w:t xml:space="preserve">offers very similar anatomy to </w:t>
      </w:r>
      <w:r w:rsidR="00C716D2" w:rsidRPr="003A674A">
        <w:rPr>
          <w:rFonts w:ascii="Times New Roman" w:hAnsi="Times New Roman" w:cs="Times New Roman"/>
          <w:sz w:val="24"/>
          <w:szCs w:val="24"/>
        </w:rPr>
        <w:t xml:space="preserve">the </w:t>
      </w:r>
      <w:r w:rsidR="00835E93" w:rsidRPr="003A674A">
        <w:rPr>
          <w:rFonts w:ascii="Times New Roman" w:hAnsi="Times New Roman" w:cs="Times New Roman"/>
          <w:sz w:val="24"/>
          <w:szCs w:val="24"/>
        </w:rPr>
        <w:t xml:space="preserve">TFA </w:t>
      </w:r>
      <w:r w:rsidR="00C716D2" w:rsidRPr="003A674A">
        <w:rPr>
          <w:rFonts w:ascii="Times New Roman" w:hAnsi="Times New Roman" w:cs="Times New Roman"/>
          <w:sz w:val="24"/>
          <w:szCs w:val="24"/>
        </w:rPr>
        <w:t xml:space="preserve">approach </w:t>
      </w:r>
      <w:r w:rsidR="00835E93" w:rsidRPr="003A674A">
        <w:rPr>
          <w:rFonts w:ascii="Times New Roman" w:hAnsi="Times New Roman" w:cs="Times New Roman"/>
          <w:sz w:val="24"/>
          <w:szCs w:val="24"/>
        </w:rPr>
        <w:t xml:space="preserve">as the </w:t>
      </w:r>
      <w:r w:rsidR="00DB6456" w:rsidRPr="003A674A">
        <w:rPr>
          <w:rFonts w:ascii="Times New Roman" w:hAnsi="Times New Roman" w:cs="Times New Roman"/>
          <w:sz w:val="24"/>
          <w:szCs w:val="24"/>
        </w:rPr>
        <w:t>left common carotid artery ari</w:t>
      </w:r>
      <w:r w:rsidR="005019D8" w:rsidRPr="003A674A">
        <w:rPr>
          <w:rFonts w:ascii="Times New Roman" w:hAnsi="Times New Roman" w:cs="Times New Roman"/>
          <w:sz w:val="24"/>
          <w:szCs w:val="24"/>
        </w:rPr>
        <w:t xml:space="preserve">ses directly from </w:t>
      </w:r>
      <w:r w:rsidR="00C716D2" w:rsidRPr="003A674A">
        <w:rPr>
          <w:rFonts w:ascii="Times New Roman" w:hAnsi="Times New Roman" w:cs="Times New Roman"/>
          <w:sz w:val="24"/>
          <w:szCs w:val="24"/>
        </w:rPr>
        <w:t xml:space="preserve">the </w:t>
      </w:r>
      <w:r w:rsidR="005019D8" w:rsidRPr="003A674A">
        <w:rPr>
          <w:rFonts w:ascii="Times New Roman" w:hAnsi="Times New Roman" w:cs="Times New Roman"/>
          <w:sz w:val="24"/>
          <w:szCs w:val="24"/>
        </w:rPr>
        <w:t xml:space="preserve">aortic arch. </w:t>
      </w:r>
      <w:r w:rsidR="00C716D2" w:rsidRPr="003A674A">
        <w:rPr>
          <w:rFonts w:ascii="Times New Roman" w:hAnsi="Times New Roman" w:cs="Times New Roman"/>
          <w:sz w:val="24"/>
          <w:szCs w:val="24"/>
        </w:rPr>
        <w:t>O</w:t>
      </w:r>
      <w:r w:rsidR="00503B30" w:rsidRPr="003A674A">
        <w:rPr>
          <w:rFonts w:ascii="Times New Roman" w:hAnsi="Times New Roman" w:cs="Times New Roman"/>
          <w:sz w:val="24"/>
          <w:szCs w:val="24"/>
        </w:rPr>
        <w:t xml:space="preserve">ur analysis suggests that LRA </w:t>
      </w:r>
      <w:r w:rsidR="00C716D2" w:rsidRPr="003A674A">
        <w:rPr>
          <w:rFonts w:ascii="Times New Roman" w:hAnsi="Times New Roman" w:cs="Times New Roman"/>
          <w:sz w:val="24"/>
          <w:szCs w:val="24"/>
        </w:rPr>
        <w:t xml:space="preserve">access </w:t>
      </w:r>
      <w:r w:rsidR="00503B30" w:rsidRPr="003A674A">
        <w:rPr>
          <w:rFonts w:ascii="Times New Roman" w:hAnsi="Times New Roman" w:cs="Times New Roman"/>
          <w:sz w:val="24"/>
          <w:szCs w:val="24"/>
        </w:rPr>
        <w:t>may be associated with a lower stroke risk than the RRA and possible reasons may relate to the anatomical reasons outlined above. Given that stroke is a relatively rare event</w:t>
      </w:r>
      <w:r w:rsidR="001D0A9F" w:rsidRPr="003A674A">
        <w:rPr>
          <w:rFonts w:ascii="Times New Roman" w:hAnsi="Times New Roman" w:cs="Times New Roman"/>
          <w:sz w:val="24"/>
          <w:szCs w:val="24"/>
        </w:rPr>
        <w:fldChar w:fldCharType="begin"/>
      </w:r>
      <w:r w:rsidR="001D0A9F" w:rsidRPr="003A674A">
        <w:rPr>
          <w:rFonts w:ascii="Times New Roman" w:hAnsi="Times New Roman" w:cs="Times New Roman"/>
          <w:sz w:val="24"/>
          <w:szCs w:val="24"/>
        </w:rPr>
        <w:instrText>ADDIN RW.CITE{{312 Kwok,C.S. 2015; 458 Myint,P.K. 2016}}</w:instrText>
      </w:r>
      <w:r w:rsidR="001D0A9F" w:rsidRPr="003A674A">
        <w:rPr>
          <w:rFonts w:ascii="Times New Roman" w:hAnsi="Times New Roman" w:cs="Times New Roman"/>
          <w:sz w:val="24"/>
          <w:szCs w:val="24"/>
        </w:rPr>
        <w:fldChar w:fldCharType="separate"/>
      </w:r>
      <w:r w:rsidR="00117E8E" w:rsidRPr="003A674A">
        <w:rPr>
          <w:rFonts w:ascii="Times New Roman" w:hAnsi="Times New Roman" w:cs="Times New Roman"/>
          <w:sz w:val="24"/>
          <w:szCs w:val="24"/>
        </w:rPr>
        <w:t>(35, 36)</w:t>
      </w:r>
      <w:r w:rsidR="001D0A9F" w:rsidRPr="003A674A">
        <w:rPr>
          <w:rFonts w:ascii="Times New Roman" w:hAnsi="Times New Roman" w:cs="Times New Roman"/>
          <w:sz w:val="24"/>
          <w:szCs w:val="24"/>
        </w:rPr>
        <w:fldChar w:fldCharType="end"/>
      </w:r>
      <w:r w:rsidR="00503B30" w:rsidRPr="003A674A">
        <w:rPr>
          <w:rFonts w:ascii="Times New Roman" w:hAnsi="Times New Roman" w:cs="Times New Roman"/>
          <w:sz w:val="24"/>
          <w:szCs w:val="24"/>
        </w:rPr>
        <w:t xml:space="preserve">, whilst we observe a signal, we estimate that an operator would need to undertake </w:t>
      </w:r>
      <w:r w:rsidR="00534689" w:rsidRPr="003A674A">
        <w:rPr>
          <w:rFonts w:ascii="Times New Roman" w:hAnsi="Times New Roman" w:cs="Times New Roman"/>
          <w:sz w:val="24"/>
          <w:szCs w:val="24"/>
        </w:rPr>
        <w:t>1,818</w:t>
      </w:r>
      <w:r w:rsidR="00503B30" w:rsidRPr="003A674A">
        <w:rPr>
          <w:rFonts w:ascii="Times New Roman" w:hAnsi="Times New Roman" w:cs="Times New Roman"/>
          <w:sz w:val="24"/>
          <w:szCs w:val="24"/>
        </w:rPr>
        <w:t xml:space="preserve"> </w:t>
      </w:r>
      <w:r w:rsidR="006E00B7">
        <w:rPr>
          <w:rFonts w:ascii="Times New Roman" w:hAnsi="Times New Roman" w:cs="Times New Roman"/>
          <w:sz w:val="24"/>
          <w:szCs w:val="24"/>
        </w:rPr>
        <w:t xml:space="preserve">PCI </w:t>
      </w:r>
      <w:r w:rsidR="00503B30" w:rsidRPr="003A674A">
        <w:rPr>
          <w:rFonts w:ascii="Times New Roman" w:hAnsi="Times New Roman" w:cs="Times New Roman"/>
          <w:sz w:val="24"/>
          <w:szCs w:val="24"/>
        </w:rPr>
        <w:t xml:space="preserve">procedures through the LRA to avoid 1 stroke (in comparison </w:t>
      </w:r>
      <w:r w:rsidR="00A705D6" w:rsidRPr="003A674A">
        <w:rPr>
          <w:rFonts w:ascii="Times New Roman" w:hAnsi="Times New Roman" w:cs="Times New Roman"/>
          <w:sz w:val="24"/>
          <w:szCs w:val="24"/>
        </w:rPr>
        <w:t>to RRA</w:t>
      </w:r>
      <w:r w:rsidR="00C716D2" w:rsidRPr="003A674A">
        <w:rPr>
          <w:rFonts w:ascii="Times New Roman" w:hAnsi="Times New Roman" w:cs="Times New Roman"/>
          <w:sz w:val="24"/>
          <w:szCs w:val="24"/>
        </w:rPr>
        <w:t xml:space="preserve"> use</w:t>
      </w:r>
      <w:r w:rsidR="00A705D6" w:rsidRPr="003A674A">
        <w:rPr>
          <w:rFonts w:ascii="Times New Roman" w:hAnsi="Times New Roman" w:cs="Times New Roman"/>
          <w:sz w:val="24"/>
          <w:szCs w:val="24"/>
        </w:rPr>
        <w:t>). G</w:t>
      </w:r>
      <w:r w:rsidR="00503B30" w:rsidRPr="003A674A">
        <w:rPr>
          <w:rFonts w:ascii="Times New Roman" w:hAnsi="Times New Roman" w:cs="Times New Roman"/>
          <w:sz w:val="24"/>
          <w:szCs w:val="24"/>
        </w:rPr>
        <w:t xml:space="preserve">iven low event rates, it is unlikely that a randomised controlled trial will </w:t>
      </w:r>
      <w:r w:rsidR="00117DF5">
        <w:rPr>
          <w:rFonts w:ascii="Times New Roman" w:hAnsi="Times New Roman" w:cs="Times New Roman"/>
          <w:sz w:val="24"/>
          <w:szCs w:val="24"/>
        </w:rPr>
        <w:t xml:space="preserve">ever </w:t>
      </w:r>
      <w:r w:rsidR="00503B30" w:rsidRPr="003A674A">
        <w:rPr>
          <w:rFonts w:ascii="Times New Roman" w:hAnsi="Times New Roman" w:cs="Times New Roman"/>
          <w:sz w:val="24"/>
          <w:szCs w:val="24"/>
        </w:rPr>
        <w:t>be adequately powered to investigate this further.</w:t>
      </w:r>
    </w:p>
    <w:p w14:paraId="1191388C" w14:textId="7B898295" w:rsidR="00D90624" w:rsidRPr="003A674A" w:rsidRDefault="00D90624" w:rsidP="00311DCA">
      <w:pPr>
        <w:rPr>
          <w:rFonts w:ascii="Times New Roman" w:hAnsi="Times New Roman" w:cs="Times New Roman"/>
          <w:sz w:val="24"/>
          <w:szCs w:val="24"/>
        </w:rPr>
      </w:pPr>
      <w:r w:rsidRPr="003A674A">
        <w:rPr>
          <w:rFonts w:ascii="Times New Roman" w:hAnsi="Times New Roman" w:cs="Times New Roman"/>
          <w:sz w:val="24"/>
          <w:szCs w:val="24"/>
        </w:rPr>
        <w:t>Our study offers several key message</w:t>
      </w:r>
      <w:r w:rsidR="003A674A">
        <w:rPr>
          <w:rFonts w:ascii="Times New Roman" w:hAnsi="Times New Roman" w:cs="Times New Roman"/>
          <w:sz w:val="24"/>
          <w:szCs w:val="24"/>
        </w:rPr>
        <w:t>s albeit with some limitations. In this study we illustrate</w:t>
      </w:r>
      <w:r w:rsidR="00C716D2" w:rsidRPr="003A674A">
        <w:rPr>
          <w:rFonts w:ascii="Times New Roman" w:hAnsi="Times New Roman" w:cs="Times New Roman"/>
          <w:sz w:val="24"/>
          <w:szCs w:val="24"/>
        </w:rPr>
        <w:t xml:space="preserve"> the patterns of left and right radial access over time in a national registry</w:t>
      </w:r>
      <w:r w:rsidR="003A674A">
        <w:rPr>
          <w:rFonts w:ascii="Times New Roman" w:hAnsi="Times New Roman" w:cs="Times New Roman"/>
          <w:sz w:val="24"/>
          <w:szCs w:val="24"/>
        </w:rPr>
        <w:t>. We</w:t>
      </w:r>
      <w:r w:rsidR="00C716D2" w:rsidRPr="003A674A">
        <w:rPr>
          <w:rFonts w:ascii="Times New Roman" w:hAnsi="Times New Roman" w:cs="Times New Roman"/>
          <w:sz w:val="24"/>
          <w:szCs w:val="24"/>
        </w:rPr>
        <w:t xml:space="preserve"> have analysed the </w:t>
      </w:r>
      <w:r w:rsidR="00D5096F" w:rsidRPr="003A674A">
        <w:rPr>
          <w:rFonts w:ascii="Times New Roman" w:hAnsi="Times New Roman" w:cs="Times New Roman"/>
          <w:sz w:val="24"/>
          <w:szCs w:val="24"/>
        </w:rPr>
        <w:t xml:space="preserve">predictors of LRA </w:t>
      </w:r>
      <w:r w:rsidR="00C716D2" w:rsidRPr="003A674A">
        <w:rPr>
          <w:rFonts w:ascii="Times New Roman" w:hAnsi="Times New Roman" w:cs="Times New Roman"/>
          <w:sz w:val="24"/>
          <w:szCs w:val="24"/>
        </w:rPr>
        <w:t xml:space="preserve">usage </w:t>
      </w:r>
      <w:r w:rsidR="00D5096F" w:rsidRPr="003A674A">
        <w:rPr>
          <w:rFonts w:ascii="Times New Roman" w:hAnsi="Times New Roman" w:cs="Times New Roman"/>
          <w:sz w:val="24"/>
          <w:szCs w:val="24"/>
        </w:rPr>
        <w:t xml:space="preserve">and </w:t>
      </w:r>
      <w:r w:rsidR="003A674A">
        <w:rPr>
          <w:rFonts w:ascii="Times New Roman" w:hAnsi="Times New Roman" w:cs="Times New Roman"/>
          <w:sz w:val="24"/>
          <w:szCs w:val="24"/>
        </w:rPr>
        <w:t>the association between use of LRA or RRA with</w:t>
      </w:r>
      <w:r w:rsidR="00D5096F" w:rsidRPr="003A674A">
        <w:rPr>
          <w:rFonts w:ascii="Times New Roman" w:hAnsi="Times New Roman" w:cs="Times New Roman"/>
          <w:sz w:val="24"/>
          <w:szCs w:val="24"/>
        </w:rPr>
        <w:t xml:space="preserve"> clinical outcomes. We studied the regional variations and </w:t>
      </w:r>
      <w:r w:rsidR="0018594C" w:rsidRPr="003A674A">
        <w:rPr>
          <w:rFonts w:ascii="Times New Roman" w:hAnsi="Times New Roman" w:cs="Times New Roman"/>
          <w:sz w:val="24"/>
          <w:szCs w:val="24"/>
        </w:rPr>
        <w:t xml:space="preserve">reported </w:t>
      </w:r>
      <w:r w:rsidR="003339EF" w:rsidRPr="003A674A">
        <w:rPr>
          <w:rFonts w:ascii="Times New Roman" w:hAnsi="Times New Roman" w:cs="Times New Roman"/>
          <w:sz w:val="24"/>
          <w:szCs w:val="24"/>
        </w:rPr>
        <w:t>switch</w:t>
      </w:r>
      <w:r w:rsidR="00D5096F" w:rsidRPr="003A674A">
        <w:rPr>
          <w:rFonts w:ascii="Times New Roman" w:hAnsi="Times New Roman" w:cs="Times New Roman"/>
          <w:sz w:val="24"/>
          <w:szCs w:val="24"/>
        </w:rPr>
        <w:t xml:space="preserve"> rates of RRA </w:t>
      </w:r>
      <w:r w:rsidR="00C716D2" w:rsidRPr="003A674A">
        <w:rPr>
          <w:rFonts w:ascii="Times New Roman" w:hAnsi="Times New Roman" w:cs="Times New Roman"/>
          <w:sz w:val="24"/>
          <w:szCs w:val="24"/>
        </w:rPr>
        <w:t xml:space="preserve">use </w:t>
      </w:r>
      <w:r w:rsidR="00D5096F" w:rsidRPr="003A674A">
        <w:rPr>
          <w:rFonts w:ascii="Times New Roman" w:hAnsi="Times New Roman" w:cs="Times New Roman"/>
          <w:sz w:val="24"/>
          <w:szCs w:val="24"/>
        </w:rPr>
        <w:t xml:space="preserve">in patients undergoing repeat PCI. One of the limitations of </w:t>
      </w:r>
      <w:r w:rsidR="00C716D2" w:rsidRPr="003A674A">
        <w:rPr>
          <w:rFonts w:ascii="Times New Roman" w:hAnsi="Times New Roman" w:cs="Times New Roman"/>
          <w:sz w:val="24"/>
          <w:szCs w:val="24"/>
        </w:rPr>
        <w:t xml:space="preserve">the </w:t>
      </w:r>
      <w:r w:rsidR="00D5096F" w:rsidRPr="003A674A">
        <w:rPr>
          <w:rFonts w:ascii="Times New Roman" w:hAnsi="Times New Roman" w:cs="Times New Roman"/>
          <w:sz w:val="24"/>
          <w:szCs w:val="24"/>
        </w:rPr>
        <w:t>BCIS dataset is that it does not collect information around procedure outcomes such as fluoroscopy time, procedure time, contrast use and oper</w:t>
      </w:r>
      <w:r w:rsidR="007F752C" w:rsidRPr="003A674A">
        <w:rPr>
          <w:rFonts w:ascii="Times New Roman" w:hAnsi="Times New Roman" w:cs="Times New Roman"/>
          <w:sz w:val="24"/>
          <w:szCs w:val="24"/>
        </w:rPr>
        <w:t>ator or patient radiation dose, therefore differences between procedural outcomes could not be reported. Secondly, data around access site attempt and failure</w:t>
      </w:r>
      <w:r w:rsidR="00C716D2" w:rsidRPr="003A674A">
        <w:rPr>
          <w:rFonts w:ascii="Times New Roman" w:hAnsi="Times New Roman" w:cs="Times New Roman"/>
          <w:sz w:val="24"/>
          <w:szCs w:val="24"/>
        </w:rPr>
        <w:t xml:space="preserve"> and</w:t>
      </w:r>
      <w:r w:rsidR="00AB73B1" w:rsidRPr="003A674A">
        <w:rPr>
          <w:rFonts w:ascii="Times New Roman" w:hAnsi="Times New Roman" w:cs="Times New Roman"/>
          <w:sz w:val="24"/>
          <w:szCs w:val="24"/>
        </w:rPr>
        <w:t xml:space="preserve"> </w:t>
      </w:r>
      <w:r w:rsidR="007F752C" w:rsidRPr="003A674A">
        <w:rPr>
          <w:rFonts w:ascii="Times New Roman" w:hAnsi="Times New Roman" w:cs="Times New Roman"/>
          <w:sz w:val="24"/>
          <w:szCs w:val="24"/>
        </w:rPr>
        <w:lastRenderedPageBreak/>
        <w:t xml:space="preserve">crossover to </w:t>
      </w:r>
      <w:r w:rsidR="00C716D2" w:rsidRPr="003A674A">
        <w:rPr>
          <w:rFonts w:ascii="Times New Roman" w:hAnsi="Times New Roman" w:cs="Times New Roman"/>
          <w:sz w:val="24"/>
          <w:szCs w:val="24"/>
        </w:rPr>
        <w:t xml:space="preserve">the </w:t>
      </w:r>
      <w:r w:rsidR="007F752C" w:rsidRPr="003A674A">
        <w:rPr>
          <w:rFonts w:ascii="Times New Roman" w:hAnsi="Times New Roman" w:cs="Times New Roman"/>
          <w:sz w:val="24"/>
          <w:szCs w:val="24"/>
        </w:rPr>
        <w:t>contralateral radial artery is not captured which makes it difficult to ascertain if the access was used a</w:t>
      </w:r>
      <w:r w:rsidR="0086158F" w:rsidRPr="003A674A">
        <w:rPr>
          <w:rFonts w:ascii="Times New Roman" w:hAnsi="Times New Roman" w:cs="Times New Roman"/>
          <w:sz w:val="24"/>
          <w:szCs w:val="24"/>
        </w:rPr>
        <w:t>s</w:t>
      </w:r>
      <w:r w:rsidR="007F752C" w:rsidRPr="003A674A">
        <w:rPr>
          <w:rFonts w:ascii="Times New Roman" w:hAnsi="Times New Roman" w:cs="Times New Roman"/>
          <w:sz w:val="24"/>
          <w:szCs w:val="24"/>
        </w:rPr>
        <w:t xml:space="preserve"> </w:t>
      </w:r>
      <w:r w:rsidR="0086158F" w:rsidRPr="003A674A">
        <w:rPr>
          <w:rFonts w:ascii="Times New Roman" w:hAnsi="Times New Roman" w:cs="Times New Roman"/>
          <w:sz w:val="24"/>
          <w:szCs w:val="24"/>
        </w:rPr>
        <w:t xml:space="preserve">the </w:t>
      </w:r>
      <w:r w:rsidR="007F752C" w:rsidRPr="003A674A">
        <w:rPr>
          <w:rFonts w:ascii="Times New Roman" w:hAnsi="Times New Roman" w:cs="Times New Roman"/>
          <w:sz w:val="24"/>
          <w:szCs w:val="24"/>
        </w:rPr>
        <w:t xml:space="preserve">primary default access or because of failure to cannulate the </w:t>
      </w:r>
      <w:r w:rsidR="0086158F" w:rsidRPr="003A674A">
        <w:rPr>
          <w:rFonts w:ascii="Times New Roman" w:hAnsi="Times New Roman" w:cs="Times New Roman"/>
          <w:sz w:val="24"/>
          <w:szCs w:val="24"/>
        </w:rPr>
        <w:t xml:space="preserve">contralateral </w:t>
      </w:r>
      <w:r w:rsidR="007F752C" w:rsidRPr="003A674A">
        <w:rPr>
          <w:rFonts w:ascii="Times New Roman" w:hAnsi="Times New Roman" w:cs="Times New Roman"/>
          <w:sz w:val="24"/>
          <w:szCs w:val="24"/>
        </w:rPr>
        <w:t xml:space="preserve">artery for </w:t>
      </w:r>
      <w:r w:rsidR="00D70E51" w:rsidRPr="003A674A">
        <w:rPr>
          <w:rFonts w:ascii="Times New Roman" w:hAnsi="Times New Roman" w:cs="Times New Roman"/>
          <w:sz w:val="24"/>
          <w:szCs w:val="24"/>
        </w:rPr>
        <w:t xml:space="preserve">other </w:t>
      </w:r>
      <w:r w:rsidR="007F752C" w:rsidRPr="003A674A">
        <w:rPr>
          <w:rFonts w:ascii="Times New Roman" w:hAnsi="Times New Roman" w:cs="Times New Roman"/>
          <w:sz w:val="24"/>
          <w:szCs w:val="24"/>
        </w:rPr>
        <w:t>reasons.</w:t>
      </w:r>
      <w:r w:rsidR="00835E93" w:rsidRPr="003A674A">
        <w:rPr>
          <w:rFonts w:ascii="Times New Roman" w:hAnsi="Times New Roman" w:cs="Times New Roman"/>
          <w:sz w:val="24"/>
          <w:szCs w:val="24"/>
        </w:rPr>
        <w:t xml:space="preserve"> Furthermore, </w:t>
      </w:r>
      <w:r w:rsidR="0086158F" w:rsidRPr="003A674A">
        <w:rPr>
          <w:rFonts w:ascii="Times New Roman" w:hAnsi="Times New Roman" w:cs="Times New Roman"/>
          <w:sz w:val="24"/>
          <w:szCs w:val="24"/>
        </w:rPr>
        <w:t xml:space="preserve">the </w:t>
      </w:r>
      <w:r w:rsidR="00C41916" w:rsidRPr="003A674A">
        <w:rPr>
          <w:rFonts w:ascii="Times New Roman" w:hAnsi="Times New Roman" w:cs="Times New Roman"/>
          <w:sz w:val="24"/>
          <w:szCs w:val="24"/>
        </w:rPr>
        <w:t>BCIS registry only started collecting operator level data from the last two year</w:t>
      </w:r>
      <w:r w:rsidR="00D70E51" w:rsidRPr="003A674A">
        <w:rPr>
          <w:rFonts w:ascii="Times New Roman" w:hAnsi="Times New Roman" w:cs="Times New Roman"/>
          <w:sz w:val="24"/>
          <w:szCs w:val="24"/>
        </w:rPr>
        <w:t>s</w:t>
      </w:r>
      <w:r w:rsidR="0086158F" w:rsidRPr="003A674A">
        <w:rPr>
          <w:rFonts w:ascii="Times New Roman" w:hAnsi="Times New Roman" w:cs="Times New Roman"/>
          <w:sz w:val="24"/>
          <w:szCs w:val="24"/>
        </w:rPr>
        <w:t xml:space="preserve"> of this study period</w:t>
      </w:r>
      <w:r w:rsidR="00C41916" w:rsidRPr="003A674A">
        <w:rPr>
          <w:rFonts w:ascii="Times New Roman" w:hAnsi="Times New Roman" w:cs="Times New Roman"/>
          <w:sz w:val="24"/>
          <w:szCs w:val="24"/>
        </w:rPr>
        <w:t xml:space="preserve">; we </w:t>
      </w:r>
      <w:r w:rsidR="00D70E51" w:rsidRPr="003A674A">
        <w:rPr>
          <w:rFonts w:ascii="Times New Roman" w:hAnsi="Times New Roman" w:cs="Times New Roman"/>
          <w:sz w:val="24"/>
          <w:szCs w:val="24"/>
        </w:rPr>
        <w:t xml:space="preserve">therefore </w:t>
      </w:r>
      <w:r w:rsidR="00C41916" w:rsidRPr="003A674A">
        <w:rPr>
          <w:rFonts w:ascii="Times New Roman" w:hAnsi="Times New Roman" w:cs="Times New Roman"/>
          <w:sz w:val="24"/>
          <w:szCs w:val="24"/>
        </w:rPr>
        <w:t xml:space="preserve">limited analysis </w:t>
      </w:r>
      <w:r w:rsidR="00835E93" w:rsidRPr="003A674A">
        <w:rPr>
          <w:rFonts w:ascii="Times New Roman" w:hAnsi="Times New Roman" w:cs="Times New Roman"/>
          <w:sz w:val="24"/>
          <w:szCs w:val="24"/>
        </w:rPr>
        <w:t>to patient level data</w:t>
      </w:r>
      <w:r w:rsidR="00C41916" w:rsidRPr="003A674A">
        <w:rPr>
          <w:rFonts w:ascii="Times New Roman" w:hAnsi="Times New Roman" w:cs="Times New Roman"/>
          <w:sz w:val="24"/>
          <w:szCs w:val="24"/>
        </w:rPr>
        <w:t>. Consequently, changes in access site practice in patients undergoing repeat PCI may</w:t>
      </w:r>
      <w:r w:rsidR="00835E93" w:rsidRPr="003A674A">
        <w:rPr>
          <w:rFonts w:ascii="Times New Roman" w:hAnsi="Times New Roman" w:cs="Times New Roman"/>
          <w:sz w:val="24"/>
          <w:szCs w:val="24"/>
        </w:rPr>
        <w:t xml:space="preserve"> actually reflect differences in operator practice. </w:t>
      </w:r>
      <w:r w:rsidR="007F752C" w:rsidRPr="003A674A">
        <w:rPr>
          <w:rFonts w:ascii="Times New Roman" w:hAnsi="Times New Roman" w:cs="Times New Roman"/>
          <w:sz w:val="24"/>
          <w:szCs w:val="24"/>
        </w:rPr>
        <w:t xml:space="preserve">Finally, our findings are observational in nature and a possibility of biases from unmeasured confounders may have contributed to the results. </w:t>
      </w:r>
    </w:p>
    <w:p w14:paraId="41640D72" w14:textId="4EB53080" w:rsidR="008174FC" w:rsidRPr="003A674A" w:rsidRDefault="007F752C" w:rsidP="00F8300A">
      <w:pPr>
        <w:pStyle w:val="Heading2"/>
        <w:ind w:firstLine="0"/>
        <w:rPr>
          <w:rFonts w:ascii="Times New Roman" w:hAnsi="Times New Roman" w:cs="Times New Roman"/>
          <w:b/>
          <w:color w:val="000000" w:themeColor="text1"/>
          <w:sz w:val="24"/>
          <w:szCs w:val="24"/>
        </w:rPr>
      </w:pPr>
      <w:r w:rsidRPr="003A674A">
        <w:rPr>
          <w:rFonts w:ascii="Times New Roman" w:hAnsi="Times New Roman" w:cs="Times New Roman"/>
          <w:b/>
          <w:color w:val="000000" w:themeColor="text1"/>
          <w:sz w:val="24"/>
          <w:szCs w:val="24"/>
        </w:rPr>
        <w:t xml:space="preserve">Conclusion: </w:t>
      </w:r>
    </w:p>
    <w:p w14:paraId="3664AE40" w14:textId="001E1720" w:rsidR="00977D7C" w:rsidRDefault="0086158F" w:rsidP="00977D7C">
      <w:pPr>
        <w:rPr>
          <w:rFonts w:ascii="Times New Roman" w:hAnsi="Times New Roman" w:cs="Times New Roman"/>
          <w:sz w:val="24"/>
          <w:szCs w:val="24"/>
        </w:rPr>
      </w:pPr>
      <w:r w:rsidRPr="003A674A">
        <w:rPr>
          <w:rFonts w:ascii="Times New Roman" w:hAnsi="Times New Roman" w:cs="Times New Roman"/>
          <w:sz w:val="24"/>
          <w:szCs w:val="24"/>
        </w:rPr>
        <w:t>Using our national registry</w:t>
      </w:r>
      <w:r w:rsidR="00977D7C" w:rsidRPr="003A674A">
        <w:rPr>
          <w:rFonts w:ascii="Times New Roman" w:hAnsi="Times New Roman" w:cs="Times New Roman"/>
          <w:sz w:val="24"/>
          <w:szCs w:val="24"/>
        </w:rPr>
        <w:t xml:space="preserve">, we have shown that LRA </w:t>
      </w:r>
      <w:r w:rsidRPr="003A674A">
        <w:rPr>
          <w:rFonts w:ascii="Times New Roman" w:hAnsi="Times New Roman" w:cs="Times New Roman"/>
          <w:sz w:val="24"/>
          <w:szCs w:val="24"/>
        </w:rPr>
        <w:t xml:space="preserve">access </w:t>
      </w:r>
      <w:r w:rsidR="00977D7C" w:rsidRPr="003A674A">
        <w:rPr>
          <w:rFonts w:ascii="Times New Roman" w:hAnsi="Times New Roman" w:cs="Times New Roman"/>
          <w:sz w:val="24"/>
          <w:szCs w:val="24"/>
        </w:rPr>
        <w:t xml:space="preserve">provides a safe and effective alternative access site choice compared to </w:t>
      </w:r>
      <w:r w:rsidRPr="003A674A">
        <w:rPr>
          <w:rFonts w:ascii="Times New Roman" w:hAnsi="Times New Roman" w:cs="Times New Roman"/>
          <w:sz w:val="24"/>
          <w:szCs w:val="24"/>
        </w:rPr>
        <w:t xml:space="preserve">the </w:t>
      </w:r>
      <w:r w:rsidR="00977D7C" w:rsidRPr="003A674A">
        <w:rPr>
          <w:rFonts w:ascii="Times New Roman" w:hAnsi="Times New Roman" w:cs="Times New Roman"/>
          <w:sz w:val="24"/>
          <w:szCs w:val="24"/>
        </w:rPr>
        <w:t>RRA.</w:t>
      </w:r>
      <w:r w:rsidR="00AA7750" w:rsidRPr="003A674A">
        <w:rPr>
          <w:rFonts w:ascii="Times New Roman" w:hAnsi="Times New Roman" w:cs="Times New Roman"/>
          <w:sz w:val="24"/>
          <w:szCs w:val="24"/>
        </w:rPr>
        <w:t xml:space="preserve"> Th</w:t>
      </w:r>
      <w:r w:rsidR="0018594C" w:rsidRPr="003A674A">
        <w:rPr>
          <w:rFonts w:ascii="Times New Roman" w:hAnsi="Times New Roman" w:cs="Times New Roman"/>
          <w:sz w:val="24"/>
          <w:szCs w:val="24"/>
        </w:rPr>
        <w:t xml:space="preserve">ere is significant variation in use </w:t>
      </w:r>
      <w:r w:rsidR="00AA7750" w:rsidRPr="003A674A">
        <w:rPr>
          <w:rFonts w:ascii="Times New Roman" w:hAnsi="Times New Roman" w:cs="Times New Roman"/>
          <w:sz w:val="24"/>
          <w:szCs w:val="24"/>
        </w:rPr>
        <w:t xml:space="preserve">of </w:t>
      </w:r>
      <w:r w:rsidRPr="003A674A">
        <w:rPr>
          <w:rFonts w:ascii="Times New Roman" w:hAnsi="Times New Roman" w:cs="Times New Roman"/>
          <w:sz w:val="24"/>
          <w:szCs w:val="24"/>
        </w:rPr>
        <w:t xml:space="preserve">the </w:t>
      </w:r>
      <w:r w:rsidR="00AA7750" w:rsidRPr="003A674A">
        <w:rPr>
          <w:rFonts w:ascii="Times New Roman" w:hAnsi="Times New Roman" w:cs="Times New Roman"/>
          <w:sz w:val="24"/>
          <w:szCs w:val="24"/>
        </w:rPr>
        <w:t xml:space="preserve">LRA across different </w:t>
      </w:r>
      <w:r w:rsidR="0018594C" w:rsidRPr="003A674A">
        <w:rPr>
          <w:rFonts w:ascii="Times New Roman" w:hAnsi="Times New Roman" w:cs="Times New Roman"/>
          <w:sz w:val="24"/>
          <w:szCs w:val="24"/>
        </w:rPr>
        <w:t xml:space="preserve">health care </w:t>
      </w:r>
      <w:r w:rsidR="00AA7750" w:rsidRPr="003A674A">
        <w:rPr>
          <w:rFonts w:ascii="Times New Roman" w:hAnsi="Times New Roman" w:cs="Times New Roman"/>
          <w:sz w:val="24"/>
          <w:szCs w:val="24"/>
        </w:rPr>
        <w:t xml:space="preserve">regions in </w:t>
      </w:r>
      <w:r w:rsidR="00B0591D" w:rsidRPr="003A674A">
        <w:rPr>
          <w:rFonts w:ascii="Times New Roman" w:hAnsi="Times New Roman" w:cs="Times New Roman"/>
          <w:sz w:val="24"/>
          <w:szCs w:val="24"/>
        </w:rPr>
        <w:t xml:space="preserve">the </w:t>
      </w:r>
      <w:r w:rsidR="00AA7750" w:rsidRPr="003A674A">
        <w:rPr>
          <w:rFonts w:ascii="Times New Roman" w:hAnsi="Times New Roman" w:cs="Times New Roman"/>
          <w:sz w:val="24"/>
          <w:szCs w:val="24"/>
        </w:rPr>
        <w:t>UK</w:t>
      </w:r>
      <w:r w:rsidR="0018594C" w:rsidRPr="003A674A">
        <w:rPr>
          <w:rFonts w:ascii="Times New Roman" w:hAnsi="Times New Roman" w:cs="Times New Roman"/>
          <w:sz w:val="24"/>
          <w:szCs w:val="24"/>
        </w:rPr>
        <w:t xml:space="preserve"> with higher proportions of LRA PCI being undertaken in England compared to Wales and Scotland regions</w:t>
      </w:r>
      <w:r w:rsidR="00977D7C" w:rsidRPr="003A674A">
        <w:rPr>
          <w:rFonts w:ascii="Times New Roman" w:hAnsi="Times New Roman" w:cs="Times New Roman"/>
          <w:sz w:val="24"/>
          <w:szCs w:val="24"/>
        </w:rPr>
        <w:t>.</w:t>
      </w:r>
      <w:r w:rsidR="00AA7750" w:rsidRPr="003A674A">
        <w:rPr>
          <w:rFonts w:ascii="Times New Roman" w:hAnsi="Times New Roman" w:cs="Times New Roman"/>
          <w:sz w:val="24"/>
          <w:szCs w:val="24"/>
        </w:rPr>
        <w:t xml:space="preserve"> In patients undergoing repeat PCI, </w:t>
      </w:r>
      <w:r w:rsidR="00F8300A" w:rsidRPr="003A674A">
        <w:rPr>
          <w:rFonts w:ascii="Times New Roman" w:hAnsi="Times New Roman" w:cs="Times New Roman"/>
          <w:sz w:val="24"/>
          <w:szCs w:val="24"/>
        </w:rPr>
        <w:t xml:space="preserve">although TRA </w:t>
      </w:r>
      <w:r w:rsidRPr="003A674A">
        <w:rPr>
          <w:rFonts w:ascii="Times New Roman" w:hAnsi="Times New Roman" w:cs="Times New Roman"/>
          <w:sz w:val="24"/>
          <w:szCs w:val="24"/>
        </w:rPr>
        <w:t xml:space="preserve">access </w:t>
      </w:r>
      <w:r w:rsidR="00F8300A" w:rsidRPr="003A674A">
        <w:rPr>
          <w:rFonts w:ascii="Times New Roman" w:hAnsi="Times New Roman" w:cs="Times New Roman"/>
          <w:sz w:val="24"/>
          <w:szCs w:val="24"/>
        </w:rPr>
        <w:t xml:space="preserve">was safely used in about two thirds of patients, </w:t>
      </w:r>
      <w:r w:rsidRPr="003A674A">
        <w:rPr>
          <w:rFonts w:ascii="Times New Roman" w:hAnsi="Times New Roman" w:cs="Times New Roman"/>
          <w:sz w:val="24"/>
          <w:szCs w:val="24"/>
        </w:rPr>
        <w:t xml:space="preserve">a change to a predominantly TFA approach, </w:t>
      </w:r>
      <w:r w:rsidR="00F8300A" w:rsidRPr="003A674A">
        <w:rPr>
          <w:rFonts w:ascii="Times New Roman" w:hAnsi="Times New Roman" w:cs="Times New Roman"/>
          <w:sz w:val="24"/>
          <w:szCs w:val="24"/>
        </w:rPr>
        <w:t>particularly</w:t>
      </w:r>
      <w:r w:rsidR="0050349B" w:rsidRPr="003A674A">
        <w:rPr>
          <w:rFonts w:ascii="Times New Roman" w:hAnsi="Times New Roman" w:cs="Times New Roman"/>
          <w:sz w:val="24"/>
          <w:szCs w:val="24"/>
        </w:rPr>
        <w:t xml:space="preserve"> </w:t>
      </w:r>
      <w:r w:rsidR="00F8300A" w:rsidRPr="003A674A">
        <w:rPr>
          <w:rFonts w:ascii="Times New Roman" w:hAnsi="Times New Roman" w:cs="Times New Roman"/>
          <w:sz w:val="24"/>
          <w:szCs w:val="24"/>
        </w:rPr>
        <w:t>in females and elderly patients</w:t>
      </w:r>
      <w:r w:rsidRPr="003A674A">
        <w:rPr>
          <w:rFonts w:ascii="Times New Roman" w:hAnsi="Times New Roman" w:cs="Times New Roman"/>
          <w:sz w:val="24"/>
          <w:szCs w:val="24"/>
        </w:rPr>
        <w:t>,</w:t>
      </w:r>
      <w:r w:rsidR="00F8300A" w:rsidRPr="003A674A">
        <w:rPr>
          <w:rFonts w:ascii="Times New Roman" w:hAnsi="Times New Roman" w:cs="Times New Roman"/>
          <w:sz w:val="24"/>
          <w:szCs w:val="24"/>
        </w:rPr>
        <w:t xml:space="preserve"> </w:t>
      </w:r>
      <w:r w:rsidR="00AA7750" w:rsidRPr="003A674A">
        <w:rPr>
          <w:rFonts w:ascii="Times New Roman" w:hAnsi="Times New Roman" w:cs="Times New Roman"/>
          <w:sz w:val="24"/>
          <w:szCs w:val="24"/>
        </w:rPr>
        <w:t>was used in up</w:t>
      </w:r>
      <w:r w:rsidRPr="003A674A">
        <w:rPr>
          <w:rFonts w:ascii="Times New Roman" w:hAnsi="Times New Roman" w:cs="Times New Roman"/>
          <w:sz w:val="24"/>
          <w:szCs w:val="24"/>
        </w:rPr>
        <w:t xml:space="preserve"> </w:t>
      </w:r>
      <w:r w:rsidR="00AA7750" w:rsidRPr="003A674A">
        <w:rPr>
          <w:rFonts w:ascii="Times New Roman" w:hAnsi="Times New Roman" w:cs="Times New Roman"/>
          <w:sz w:val="24"/>
          <w:szCs w:val="24"/>
        </w:rPr>
        <w:t>to one third of patients despite established advantages of radial access</w:t>
      </w:r>
      <w:r w:rsidR="00F8300A" w:rsidRPr="003A674A">
        <w:rPr>
          <w:rFonts w:ascii="Times New Roman" w:hAnsi="Times New Roman" w:cs="Times New Roman"/>
          <w:sz w:val="24"/>
          <w:szCs w:val="24"/>
        </w:rPr>
        <w:t xml:space="preserve"> in this high-risk group</w:t>
      </w:r>
      <w:r w:rsidR="00AA7750" w:rsidRPr="003A674A">
        <w:rPr>
          <w:rFonts w:ascii="Times New Roman" w:hAnsi="Times New Roman" w:cs="Times New Roman"/>
          <w:sz w:val="24"/>
          <w:szCs w:val="24"/>
        </w:rPr>
        <w:t>.</w:t>
      </w:r>
      <w:r w:rsidR="0018594C" w:rsidRPr="003A674A">
        <w:rPr>
          <w:rFonts w:ascii="Times New Roman" w:hAnsi="Times New Roman" w:cs="Times New Roman"/>
          <w:sz w:val="24"/>
          <w:szCs w:val="24"/>
        </w:rPr>
        <w:t xml:space="preserve"> Finally, we observed an important signal that LRA </w:t>
      </w:r>
      <w:r w:rsidRPr="003A674A">
        <w:rPr>
          <w:rFonts w:ascii="Times New Roman" w:hAnsi="Times New Roman" w:cs="Times New Roman"/>
          <w:sz w:val="24"/>
          <w:szCs w:val="24"/>
        </w:rPr>
        <w:t xml:space="preserve">access </w:t>
      </w:r>
      <w:r w:rsidR="0018594C" w:rsidRPr="003A674A">
        <w:rPr>
          <w:rFonts w:ascii="Times New Roman" w:hAnsi="Times New Roman" w:cs="Times New Roman"/>
          <w:sz w:val="24"/>
          <w:szCs w:val="24"/>
        </w:rPr>
        <w:t xml:space="preserve">may be associated with </w:t>
      </w:r>
      <w:r w:rsidRPr="003A674A">
        <w:rPr>
          <w:rFonts w:ascii="Times New Roman" w:hAnsi="Times New Roman" w:cs="Times New Roman"/>
          <w:sz w:val="24"/>
          <w:szCs w:val="24"/>
        </w:rPr>
        <w:t xml:space="preserve">a </w:t>
      </w:r>
      <w:r w:rsidR="0018594C" w:rsidRPr="003A674A">
        <w:rPr>
          <w:rFonts w:ascii="Times New Roman" w:hAnsi="Times New Roman" w:cs="Times New Roman"/>
          <w:sz w:val="24"/>
          <w:szCs w:val="24"/>
        </w:rPr>
        <w:t xml:space="preserve">reduced risk of stroke compared to </w:t>
      </w:r>
      <w:r w:rsidRPr="003A674A">
        <w:rPr>
          <w:rFonts w:ascii="Times New Roman" w:hAnsi="Times New Roman" w:cs="Times New Roman"/>
          <w:sz w:val="24"/>
          <w:szCs w:val="24"/>
        </w:rPr>
        <w:t xml:space="preserve">the </w:t>
      </w:r>
      <w:r w:rsidR="0018594C" w:rsidRPr="003A674A">
        <w:rPr>
          <w:rFonts w:ascii="Times New Roman" w:hAnsi="Times New Roman" w:cs="Times New Roman"/>
          <w:sz w:val="24"/>
          <w:szCs w:val="24"/>
        </w:rPr>
        <w:t>RRA.</w:t>
      </w:r>
      <w:r w:rsidR="00AA7750" w:rsidRPr="003A674A">
        <w:rPr>
          <w:rFonts w:ascii="Times New Roman" w:hAnsi="Times New Roman" w:cs="Times New Roman"/>
          <w:sz w:val="24"/>
          <w:szCs w:val="24"/>
        </w:rPr>
        <w:t xml:space="preserve"> </w:t>
      </w:r>
      <w:r w:rsidR="005079CC" w:rsidRPr="003A674A">
        <w:rPr>
          <w:rFonts w:ascii="Times New Roman" w:hAnsi="Times New Roman" w:cs="Times New Roman"/>
          <w:sz w:val="24"/>
          <w:szCs w:val="24"/>
        </w:rPr>
        <w:t xml:space="preserve">Future efforts need to focus around education and training to </w:t>
      </w:r>
      <w:r w:rsidR="0095295B" w:rsidRPr="003A674A">
        <w:rPr>
          <w:rFonts w:ascii="Times New Roman" w:hAnsi="Times New Roman" w:cs="Times New Roman"/>
          <w:sz w:val="24"/>
          <w:szCs w:val="24"/>
        </w:rPr>
        <w:t xml:space="preserve">preserve </w:t>
      </w:r>
      <w:r w:rsidR="00EC69EA" w:rsidRPr="003A674A">
        <w:rPr>
          <w:rFonts w:ascii="Times New Roman" w:hAnsi="Times New Roman" w:cs="Times New Roman"/>
          <w:sz w:val="24"/>
          <w:szCs w:val="24"/>
        </w:rPr>
        <w:t xml:space="preserve">radial artery </w:t>
      </w:r>
      <w:r w:rsidRPr="003A674A">
        <w:rPr>
          <w:rFonts w:ascii="Times New Roman" w:hAnsi="Times New Roman" w:cs="Times New Roman"/>
          <w:sz w:val="24"/>
          <w:szCs w:val="24"/>
        </w:rPr>
        <w:t xml:space="preserve">patency </w:t>
      </w:r>
      <w:r w:rsidR="00EC69EA" w:rsidRPr="003A674A">
        <w:rPr>
          <w:rFonts w:ascii="Times New Roman" w:hAnsi="Times New Roman" w:cs="Times New Roman"/>
          <w:sz w:val="24"/>
          <w:szCs w:val="24"/>
        </w:rPr>
        <w:t xml:space="preserve">and increase skills </w:t>
      </w:r>
      <w:r w:rsidRPr="003A674A">
        <w:rPr>
          <w:rFonts w:ascii="Times New Roman" w:hAnsi="Times New Roman" w:cs="Times New Roman"/>
          <w:sz w:val="24"/>
          <w:szCs w:val="24"/>
        </w:rPr>
        <w:t xml:space="preserve">in the </w:t>
      </w:r>
      <w:r w:rsidR="00EC69EA" w:rsidRPr="003A674A">
        <w:rPr>
          <w:rFonts w:ascii="Times New Roman" w:hAnsi="Times New Roman" w:cs="Times New Roman"/>
          <w:sz w:val="24"/>
          <w:szCs w:val="24"/>
        </w:rPr>
        <w:t>use of LRA</w:t>
      </w:r>
      <w:r w:rsidRPr="003A674A">
        <w:rPr>
          <w:rFonts w:ascii="Times New Roman" w:hAnsi="Times New Roman" w:cs="Times New Roman"/>
          <w:sz w:val="24"/>
          <w:szCs w:val="24"/>
        </w:rPr>
        <w:t xml:space="preserve"> access</w:t>
      </w:r>
      <w:r w:rsidR="00EC69EA" w:rsidRPr="003A674A">
        <w:rPr>
          <w:rFonts w:ascii="Times New Roman" w:hAnsi="Times New Roman" w:cs="Times New Roman"/>
          <w:sz w:val="24"/>
          <w:szCs w:val="24"/>
        </w:rPr>
        <w:t xml:space="preserve">. </w:t>
      </w:r>
    </w:p>
    <w:p w14:paraId="001D71EB" w14:textId="77777777" w:rsidR="00EE7B85" w:rsidRDefault="00EE7B85" w:rsidP="00EE7B85">
      <w:pPr>
        <w:spacing w:line="480" w:lineRule="auto"/>
        <w:ind w:firstLine="0"/>
        <w:rPr>
          <w:rFonts w:ascii="Times New Roman" w:hAnsi="Times New Roman" w:cs="Times New Roman"/>
          <w:b/>
          <w:sz w:val="24"/>
          <w:szCs w:val="24"/>
        </w:rPr>
      </w:pPr>
      <w:proofErr w:type="spellStart"/>
      <w:r w:rsidRPr="00474DB7">
        <w:rPr>
          <w:rFonts w:ascii="Times New Roman" w:hAnsi="Times New Roman" w:cs="Times New Roman"/>
          <w:b/>
          <w:sz w:val="24"/>
          <w:szCs w:val="24"/>
        </w:rPr>
        <w:t>Contributorship</w:t>
      </w:r>
      <w:proofErr w:type="spellEnd"/>
      <w:r w:rsidRPr="00474DB7">
        <w:rPr>
          <w:rFonts w:ascii="Times New Roman" w:hAnsi="Times New Roman" w:cs="Times New Roman"/>
          <w:b/>
          <w:sz w:val="24"/>
          <w:szCs w:val="24"/>
        </w:rPr>
        <w:t xml:space="preserve">: </w:t>
      </w:r>
    </w:p>
    <w:p w14:paraId="04A7EB1D" w14:textId="4A71ECBA" w:rsidR="00EE7B85" w:rsidRDefault="00EE7B85" w:rsidP="00EE7B85">
      <w:pPr>
        <w:spacing w:line="480" w:lineRule="auto"/>
        <w:ind w:firstLine="0"/>
        <w:rPr>
          <w:rFonts w:ascii="Times New Roman" w:hAnsi="Times New Roman" w:cs="Times New Roman"/>
          <w:sz w:val="24"/>
          <w:szCs w:val="24"/>
        </w:rPr>
      </w:pPr>
      <w:r>
        <w:rPr>
          <w:rFonts w:ascii="Times New Roman" w:hAnsi="Times New Roman" w:cs="Times New Roman"/>
          <w:sz w:val="24"/>
          <w:szCs w:val="24"/>
        </w:rPr>
        <w:t>MAM conceived the study and developed study protocol and analysis plan. MR  analysed the data and drafted the paper. All authors contributed in interpretation of results and in making an important contribution to the manuscript. MR &amp; MAM are the guarantors.</w:t>
      </w:r>
    </w:p>
    <w:p w14:paraId="38F3677E" w14:textId="77777777" w:rsidR="00EE7B85" w:rsidRPr="00474DB7" w:rsidRDefault="00EE7B85" w:rsidP="00EE7B85">
      <w:pPr>
        <w:spacing w:line="480" w:lineRule="auto"/>
        <w:ind w:firstLine="0"/>
        <w:rPr>
          <w:rFonts w:ascii="Times New Roman" w:hAnsi="Times New Roman" w:cs="Times New Roman"/>
          <w:b/>
          <w:sz w:val="24"/>
          <w:szCs w:val="24"/>
        </w:rPr>
      </w:pPr>
      <w:r w:rsidRPr="00474DB7">
        <w:rPr>
          <w:rFonts w:ascii="Times New Roman" w:hAnsi="Times New Roman" w:cs="Times New Roman"/>
          <w:b/>
          <w:sz w:val="24"/>
          <w:szCs w:val="24"/>
        </w:rPr>
        <w:t>Acknowledgement:</w:t>
      </w:r>
    </w:p>
    <w:p w14:paraId="6CD61836" w14:textId="77777777" w:rsidR="00EE7B85" w:rsidRDefault="00EE7B85" w:rsidP="00EE7B85">
      <w:pPr>
        <w:spacing w:line="480" w:lineRule="auto"/>
        <w:ind w:firstLine="0"/>
        <w:rPr>
          <w:rFonts w:ascii="Times New Roman" w:hAnsi="Times New Roman" w:cs="Times New Roman"/>
          <w:sz w:val="24"/>
          <w:szCs w:val="24"/>
        </w:rPr>
      </w:pPr>
      <w:r>
        <w:rPr>
          <w:rFonts w:ascii="Times New Roman" w:hAnsi="Times New Roman" w:cs="Times New Roman"/>
          <w:sz w:val="24"/>
          <w:szCs w:val="24"/>
        </w:rPr>
        <w:t>None</w:t>
      </w:r>
    </w:p>
    <w:p w14:paraId="6C6BB598" w14:textId="77777777" w:rsidR="00EE7B85" w:rsidRPr="00124D2F" w:rsidRDefault="00EE7B85" w:rsidP="00EE7B85">
      <w:pPr>
        <w:spacing w:line="480" w:lineRule="auto"/>
        <w:ind w:firstLine="0"/>
        <w:rPr>
          <w:rFonts w:ascii="Times New Roman" w:hAnsi="Times New Roman" w:cs="Times New Roman"/>
          <w:b/>
          <w:sz w:val="24"/>
          <w:szCs w:val="24"/>
        </w:rPr>
      </w:pPr>
      <w:r w:rsidRPr="00124D2F">
        <w:rPr>
          <w:rFonts w:ascii="Times New Roman" w:hAnsi="Times New Roman" w:cs="Times New Roman"/>
          <w:b/>
          <w:sz w:val="24"/>
          <w:szCs w:val="24"/>
        </w:rPr>
        <w:t>Disclosures:</w:t>
      </w:r>
    </w:p>
    <w:p w14:paraId="7B226A4C" w14:textId="77777777" w:rsidR="00EE7B85" w:rsidRPr="00214F72" w:rsidRDefault="00EE7B85" w:rsidP="00EE7B85">
      <w:pPr>
        <w:spacing w:line="480" w:lineRule="auto"/>
        <w:ind w:firstLine="0"/>
        <w:rPr>
          <w:rFonts w:ascii="Times New Roman" w:hAnsi="Times New Roman" w:cs="Times New Roman"/>
          <w:b/>
          <w:sz w:val="24"/>
          <w:szCs w:val="24"/>
        </w:rPr>
      </w:pPr>
      <w:r>
        <w:rPr>
          <w:rFonts w:ascii="Times New Roman" w:hAnsi="Times New Roman" w:cs="Times New Roman"/>
          <w:sz w:val="24"/>
          <w:szCs w:val="24"/>
        </w:rPr>
        <w:t>None</w:t>
      </w:r>
    </w:p>
    <w:p w14:paraId="1D69D502" w14:textId="77777777" w:rsidR="00EE7B85" w:rsidRPr="003A674A" w:rsidRDefault="00EE7B85" w:rsidP="00977D7C">
      <w:pPr>
        <w:rPr>
          <w:rFonts w:ascii="Times New Roman" w:hAnsi="Times New Roman" w:cs="Times New Roman"/>
          <w:sz w:val="24"/>
          <w:szCs w:val="24"/>
        </w:rPr>
      </w:pPr>
    </w:p>
    <w:p w14:paraId="4F7D8CF0" w14:textId="77777777" w:rsidR="008174FC" w:rsidRPr="003A674A" w:rsidRDefault="008174FC" w:rsidP="00977D7C">
      <w:pPr>
        <w:rPr>
          <w:rFonts w:ascii="Times New Roman" w:hAnsi="Times New Roman" w:cs="Times New Roman"/>
          <w:sz w:val="24"/>
          <w:szCs w:val="24"/>
        </w:rPr>
      </w:pPr>
    </w:p>
    <w:p w14:paraId="35EEFAAB" w14:textId="617A4D47" w:rsidR="00117E8E" w:rsidRPr="003A674A" w:rsidRDefault="008174FC" w:rsidP="00117E8E">
      <w:pPr>
        <w:pStyle w:val="NormalWeb"/>
        <w:ind w:firstLine="0"/>
      </w:pPr>
      <w:r w:rsidRPr="003A674A">
        <w:rPr>
          <w:b/>
        </w:rPr>
        <w:t xml:space="preserve">References: </w:t>
      </w:r>
      <w:r w:rsidR="00117E8E" w:rsidRPr="003A674A">
        <w:rPr>
          <w:b/>
        </w:rPr>
        <w:fldChar w:fldCharType="begin"/>
      </w:r>
      <w:r w:rsidR="00117E8E" w:rsidRPr="003A674A">
        <w:rPr>
          <w:b/>
        </w:rPr>
        <w:instrText>ADDIN RW.BIB</w:instrText>
      </w:r>
      <w:r w:rsidR="00117E8E" w:rsidRPr="003A674A">
        <w:rPr>
          <w:b/>
        </w:rPr>
        <w:fldChar w:fldCharType="separate"/>
      </w:r>
    </w:p>
    <w:p w14:paraId="2C134A3D" w14:textId="0564B6BD" w:rsidR="00117E8E" w:rsidRPr="003A674A" w:rsidRDefault="00117E8E" w:rsidP="00117E8E">
      <w:pPr>
        <w:pStyle w:val="NormalWeb"/>
        <w:ind w:firstLine="0"/>
      </w:pPr>
      <w:r w:rsidRPr="003A674A">
        <w:t>1. Roffi M, Patrono C, Collet JP, et al.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Eur Heart J 2016;37:267-315.</w:t>
      </w:r>
    </w:p>
    <w:p w14:paraId="7B13D103" w14:textId="328FF1B9" w:rsidR="00117E8E" w:rsidRPr="003A674A" w:rsidRDefault="00117E8E" w:rsidP="00117E8E">
      <w:pPr>
        <w:pStyle w:val="NormalWeb"/>
        <w:ind w:firstLine="0"/>
      </w:pPr>
      <w:r w:rsidRPr="003A674A">
        <w:t>2. Caputo RP, Tremmel JA, Rao S, et al. Transradial arterial access for coronary and peripheral procedures: executive summary by the Transradial Committee of the SCAI. Catheter Cardiovasc Interv 2011;78</w:t>
      </w:r>
      <w:r w:rsidR="0024315A" w:rsidRPr="003A674A">
        <w:t>:823-39</w:t>
      </w:r>
      <w:r w:rsidRPr="003A674A">
        <w:t>.</w:t>
      </w:r>
    </w:p>
    <w:p w14:paraId="42464B8A" w14:textId="532BABEF" w:rsidR="00117E8E" w:rsidRPr="003A674A" w:rsidRDefault="00117E8E" w:rsidP="00117E8E">
      <w:pPr>
        <w:pStyle w:val="NormalWeb"/>
        <w:ind w:firstLine="0"/>
      </w:pPr>
      <w:r w:rsidRPr="003A674A">
        <w:t xml:space="preserve">3. Sachdeva S, Saha S. Transradial approach to cardiovascular interventions: an update. Int J Angiol </w:t>
      </w:r>
      <w:r w:rsidR="0024315A" w:rsidRPr="003A674A">
        <w:t>2014;23:77-84</w:t>
      </w:r>
      <w:r w:rsidRPr="003A674A">
        <w:t>.</w:t>
      </w:r>
    </w:p>
    <w:p w14:paraId="1DCCB2E5" w14:textId="211FF3BF" w:rsidR="00117E8E" w:rsidRPr="003A674A" w:rsidRDefault="00117E8E" w:rsidP="00117E8E">
      <w:pPr>
        <w:pStyle w:val="NormalWeb"/>
        <w:ind w:firstLine="0"/>
      </w:pPr>
      <w:r w:rsidRPr="003A674A">
        <w:t>4. Feldman DN, Swaminathan RV, Kaltenbach LA, et al. Adoption of radial access and comparison of outcomes to femoral access in percutaneous coronary intervention: an updated report from the national cardiovascular data registry (2007-2012). Circu</w:t>
      </w:r>
      <w:r w:rsidR="0024315A" w:rsidRPr="003A674A">
        <w:t>lation 2013;127:2295-306</w:t>
      </w:r>
      <w:r w:rsidRPr="003A674A">
        <w:t>.</w:t>
      </w:r>
    </w:p>
    <w:p w14:paraId="50F7B2CA" w14:textId="6C8B31B8" w:rsidR="00117E8E" w:rsidRPr="003A674A" w:rsidRDefault="00117E8E" w:rsidP="00117E8E">
      <w:pPr>
        <w:pStyle w:val="NormalWeb"/>
        <w:ind w:firstLine="0"/>
      </w:pPr>
      <w:r w:rsidRPr="003A674A">
        <w:t xml:space="preserve">5. Yeh RW, Kirtane AJ, Rao SV. Incentivizing Transradial Access for Primary Percutaneous Coronary Intervention While Maintaining Timely Reperfusion. JAMA </w:t>
      </w:r>
      <w:r w:rsidR="0024315A" w:rsidRPr="003A674A">
        <w:t>Cardiol 2017, 10.1001</w:t>
      </w:r>
      <w:r w:rsidRPr="003A674A">
        <w:t>.</w:t>
      </w:r>
    </w:p>
    <w:p w14:paraId="4992C0AE" w14:textId="3D7DDB55" w:rsidR="00117E8E" w:rsidRPr="003A674A" w:rsidRDefault="00117E8E" w:rsidP="00117E8E">
      <w:pPr>
        <w:pStyle w:val="NormalWeb"/>
        <w:ind w:firstLine="0"/>
      </w:pPr>
      <w:r w:rsidRPr="003A674A">
        <w:t>6. Valgimigli M, Gagnor A, Calabro P, et al. Radial versus femoral access in patients with acute coronary syndromes undergoing invasive management: a randomised multicentre t</w:t>
      </w:r>
      <w:r w:rsidR="0024315A" w:rsidRPr="003A674A">
        <w:t>rial. Lancet 2015;385:2465-76</w:t>
      </w:r>
      <w:r w:rsidRPr="003A674A">
        <w:t>.</w:t>
      </w:r>
    </w:p>
    <w:p w14:paraId="1DF6B020" w14:textId="19771206" w:rsidR="00117E8E" w:rsidRPr="003A674A" w:rsidRDefault="00117E8E" w:rsidP="00117E8E">
      <w:pPr>
        <w:pStyle w:val="NormalWeb"/>
        <w:ind w:firstLine="0"/>
      </w:pPr>
      <w:r w:rsidRPr="003A674A">
        <w:t>7. Jolly SS, Yusuf S, Cairns J, et al. Radial versus femoral access for coronary angiography and intervention in patients with acute coronary syndromes (RIVAL): a randomised, parallel group, multicentre trial. Lancet 201</w:t>
      </w:r>
      <w:r w:rsidR="0024315A" w:rsidRPr="003A674A">
        <w:t>1;377:1409-20</w:t>
      </w:r>
      <w:r w:rsidRPr="003A674A">
        <w:t>.</w:t>
      </w:r>
    </w:p>
    <w:p w14:paraId="1BCF7818" w14:textId="77777777" w:rsidR="00117E8E" w:rsidRPr="003A674A" w:rsidRDefault="00117E8E" w:rsidP="00117E8E">
      <w:pPr>
        <w:pStyle w:val="NormalWeb"/>
        <w:ind w:firstLine="0"/>
      </w:pPr>
      <w:r w:rsidRPr="003A674A">
        <w:t>8. Mehta SR, Jolly SS, Cairns J, et al. Effects of radial versus femoral artery access in patients with acute coronary syndromes with or without ST-segment elevation. J Am Coll Cardiol 2012;60:2490-9.</w:t>
      </w:r>
    </w:p>
    <w:p w14:paraId="013EFA9A" w14:textId="4BA2E469" w:rsidR="00117E8E" w:rsidRPr="003A674A" w:rsidRDefault="00117E8E" w:rsidP="00117E8E">
      <w:pPr>
        <w:pStyle w:val="NormalWeb"/>
        <w:ind w:firstLine="0"/>
      </w:pPr>
      <w:r w:rsidRPr="003A674A">
        <w:t>9. Amin AP, Patterson M, House JA, et al. Costs Associated With Access Site and Same-Day Discharge Among Medicare Beneficiaries Undergoing Percutaneous Coronary Intervention: An Evaluation of the Current Percutaneous Coronary Intervention Care Pathways in the United States. JACC Cardiovasc Interv 2017;10:342</w:t>
      </w:r>
      <w:r w:rsidR="0024315A" w:rsidRPr="003A674A">
        <w:t>-51</w:t>
      </w:r>
      <w:r w:rsidRPr="003A674A">
        <w:t>.</w:t>
      </w:r>
    </w:p>
    <w:p w14:paraId="68209D2A" w14:textId="3E3D8711" w:rsidR="00117E8E" w:rsidRPr="003A674A" w:rsidRDefault="00117E8E" w:rsidP="00117E8E">
      <w:pPr>
        <w:pStyle w:val="NormalWeb"/>
        <w:ind w:firstLine="0"/>
      </w:pPr>
      <w:r w:rsidRPr="003A674A">
        <w:t>10. Hess CN, Krucoff MW, Sheng S, et al. Comparison of quality-of-life measures after radial versus femoral artery access for cardiac catheterization in women: Results of the Study of Access Site for Enhancement of Percutaneous Coronary Intervention for Women quality-of-life subs</w:t>
      </w:r>
      <w:r w:rsidR="0024315A" w:rsidRPr="003A674A">
        <w:t>tudy. Am Heart J 2015;170:371-9</w:t>
      </w:r>
      <w:r w:rsidRPr="003A674A">
        <w:t>.</w:t>
      </w:r>
    </w:p>
    <w:p w14:paraId="463A4F71" w14:textId="6AF063A8" w:rsidR="00117E8E" w:rsidRPr="003A674A" w:rsidRDefault="00117E8E" w:rsidP="00117E8E">
      <w:pPr>
        <w:pStyle w:val="NormalWeb"/>
        <w:ind w:firstLine="0"/>
      </w:pPr>
      <w:r w:rsidRPr="003A674A">
        <w:lastRenderedPageBreak/>
        <w:t>11. Bertrand OF, Rao SV, Pancholy S, et al. Transradial approach for coronary angiography and interventions: results of the first international transradial practice survey. JACC C</w:t>
      </w:r>
      <w:r w:rsidR="0024315A" w:rsidRPr="003A674A">
        <w:t>ardiovasc Interv 2010;3:1022-31</w:t>
      </w:r>
      <w:r w:rsidRPr="003A674A">
        <w:t>.</w:t>
      </w:r>
    </w:p>
    <w:p w14:paraId="460678AB" w14:textId="3CD7308E" w:rsidR="00117E8E" w:rsidRPr="003A674A" w:rsidRDefault="00117E8E" w:rsidP="00117E8E">
      <w:pPr>
        <w:pStyle w:val="NormalWeb"/>
        <w:ind w:firstLine="0"/>
      </w:pPr>
      <w:r w:rsidRPr="003A674A">
        <w:t>12. Kwok CS, Rashid M, Fraser D, Nolan J, Mamas M. Intra-arterial vasodilators to prevent radial artery spasm: a systematic review and pooled analysis of clinical studies. Cardiova</w:t>
      </w:r>
      <w:r w:rsidR="0024315A" w:rsidRPr="003A674A">
        <w:t>sc Revasc Med 2015;16:484-90</w:t>
      </w:r>
      <w:r w:rsidRPr="003A674A">
        <w:t>.</w:t>
      </w:r>
    </w:p>
    <w:p w14:paraId="01501111" w14:textId="66A30361" w:rsidR="00117E8E" w:rsidRPr="003A674A" w:rsidRDefault="00117E8E" w:rsidP="00117E8E">
      <w:pPr>
        <w:pStyle w:val="NormalWeb"/>
        <w:ind w:firstLine="0"/>
      </w:pPr>
      <w:r w:rsidRPr="003A674A">
        <w:t>13. Rashid M, Kwok CS, Pancholy S, et al. Radial Artery Occlusion After Transradial Interventions: A Systematic Review and Meta-Analysis. J Am Heart Ass</w:t>
      </w:r>
      <w:r w:rsidR="0024315A" w:rsidRPr="003A674A">
        <w:t>oc 2016;5:10.1161</w:t>
      </w:r>
      <w:r w:rsidRPr="003A674A">
        <w:t>.</w:t>
      </w:r>
    </w:p>
    <w:p w14:paraId="77AB5D96" w14:textId="4B96C2DE" w:rsidR="00117E8E" w:rsidRPr="003A674A" w:rsidRDefault="00117E8E" w:rsidP="00117E8E">
      <w:pPr>
        <w:pStyle w:val="NormalWeb"/>
        <w:ind w:firstLine="0"/>
      </w:pPr>
      <w:r w:rsidRPr="003A674A">
        <w:t>14. Kawashima O, Endoh N, Terashima M, et al. Effectiveness of right or left radial approach for coronary angiography. Catheter Cardiovasc Interv 2004;61:333-7.</w:t>
      </w:r>
    </w:p>
    <w:p w14:paraId="04324E57" w14:textId="55CD2E65" w:rsidR="00117E8E" w:rsidRPr="003A674A" w:rsidRDefault="00117E8E" w:rsidP="00117E8E">
      <w:pPr>
        <w:pStyle w:val="NormalWeb"/>
        <w:ind w:firstLine="0"/>
      </w:pPr>
      <w:r w:rsidRPr="003A674A">
        <w:t>15. Lo TS, Nolan J, Fountzopoulos E, et al. Radial artery anomaly and its influence on transradial coronary procedural outcome. Heart 2009;95:410-5.</w:t>
      </w:r>
    </w:p>
    <w:p w14:paraId="18F40E97" w14:textId="5C5EF488" w:rsidR="00117E8E" w:rsidRPr="003A674A" w:rsidRDefault="00117E8E" w:rsidP="00117E8E">
      <w:pPr>
        <w:pStyle w:val="NormalWeb"/>
        <w:ind w:firstLine="0"/>
      </w:pPr>
      <w:r w:rsidRPr="003A674A">
        <w:t>16. Hamon M, Gomes S, Clergeau MR, Fradin S, Morello R, Hamon M. Risk of acute brain injury related to cerebral microembolism during cardiac catheterization performed by right upper limb arterial access. Stroke 2007;38:2176-9.</w:t>
      </w:r>
    </w:p>
    <w:p w14:paraId="65E0660F" w14:textId="45D415B0" w:rsidR="00117E8E" w:rsidRPr="003A674A" w:rsidRDefault="00117E8E" w:rsidP="00117E8E">
      <w:pPr>
        <w:pStyle w:val="NormalWeb"/>
        <w:ind w:firstLine="0"/>
      </w:pPr>
      <w:r w:rsidRPr="003A674A">
        <w:t>17. Kado H, Patel AM, Suryadevara S, et al. Operator radiation exposure and physical discomfort during a right versus left radial approach for coronary interventions: a randomized evaluation. JACC Cardiovasc Interv 2014;7:810-6.</w:t>
      </w:r>
    </w:p>
    <w:p w14:paraId="6CB837EB" w14:textId="1028D4E9" w:rsidR="00117E8E" w:rsidRPr="003A674A" w:rsidRDefault="00117E8E" w:rsidP="00117E8E">
      <w:pPr>
        <w:pStyle w:val="NormalWeb"/>
        <w:ind w:firstLine="0"/>
      </w:pPr>
      <w:r w:rsidRPr="003A674A">
        <w:t>18. Shah RM, Patel D, Abbate A, Cowley MJ, Jovin IS. Comparison of transradial coronary procedures via right radial versus left radial artery approach: A meta-analysis. Catheter Cardiovasc Interv 2016;88:1027-33.</w:t>
      </w:r>
    </w:p>
    <w:p w14:paraId="724636D7" w14:textId="57B2EA20" w:rsidR="00117E8E" w:rsidRPr="003A674A" w:rsidRDefault="00117E8E" w:rsidP="00117E8E">
      <w:pPr>
        <w:pStyle w:val="NormalWeb"/>
        <w:ind w:firstLine="0"/>
      </w:pPr>
      <w:r w:rsidRPr="003A674A">
        <w:t>19. Pacchioni A, Versaci F, Mugnolo A, et al. Risk of brain injury during diagnostic coronary angiography: comparison between right and left radial approach. Int J Cardiol 2013;167:3021-6.</w:t>
      </w:r>
    </w:p>
    <w:p w14:paraId="0AB2DBB5" w14:textId="5DBEE8B9" w:rsidR="00117E8E" w:rsidRPr="003A674A" w:rsidRDefault="00117E8E" w:rsidP="00117E8E">
      <w:pPr>
        <w:pStyle w:val="NormalWeb"/>
        <w:ind w:firstLine="0"/>
      </w:pPr>
      <w:r w:rsidRPr="003A674A">
        <w:t>20. Biondi-Zoccai G, Sciahbasi A, Bodi V, et al. Right versus left radial artery access for coronary procedures: an international collaborative systematic review and meta-analysis including 5 randomized trials and 3210 patients. Int J Cardiol 2013;166:621-6.</w:t>
      </w:r>
    </w:p>
    <w:p w14:paraId="0AA35D23" w14:textId="6F29998F" w:rsidR="00117E8E" w:rsidRPr="003A674A" w:rsidRDefault="00117E8E" w:rsidP="00117E8E">
      <w:pPr>
        <w:pStyle w:val="NormalWeb"/>
        <w:ind w:firstLine="0"/>
      </w:pPr>
      <w:r w:rsidRPr="003A674A">
        <w:t>21. Sciahbasi A, Romagnoli E, Burzotta F, et al. Transradial approach (left vs right) and procedural times during percutaneous coronary procedures: TALENT study. Am Heart J 2011;161:172-9.</w:t>
      </w:r>
    </w:p>
    <w:p w14:paraId="3838CBE7" w14:textId="516B1C8F" w:rsidR="00117E8E" w:rsidRPr="003A674A" w:rsidRDefault="00117E8E" w:rsidP="00117E8E">
      <w:pPr>
        <w:pStyle w:val="NormalWeb"/>
        <w:ind w:firstLine="0"/>
      </w:pPr>
      <w:r w:rsidRPr="003A674A">
        <w:t>22. Ludman PF, British Cardiovascular Intervention Society. British Cardiovascular Intervention Society Registry for audit and quality assessment of percutaneous coronary interventions in the United Kingdom. Heart 2011;97:1293-7.</w:t>
      </w:r>
    </w:p>
    <w:p w14:paraId="75F31BA1" w14:textId="6A70DE34" w:rsidR="00117E8E" w:rsidRPr="003A674A" w:rsidRDefault="00117E8E" w:rsidP="00117E8E">
      <w:pPr>
        <w:pStyle w:val="NormalWeb"/>
        <w:ind w:firstLine="0"/>
      </w:pPr>
      <w:r w:rsidRPr="003A674A">
        <w:t>23. Mamas MA, Nolan J, de Belder MA, et al. Changes in Arterial Access Site and Association With Mortality in the United Kingdom: Observations From a National Percutaneous Coronary Intervention Database. Circulation 2016;133:1655-67.</w:t>
      </w:r>
    </w:p>
    <w:p w14:paraId="0A77F0F8" w14:textId="345A1FC5" w:rsidR="00117E8E" w:rsidRPr="003A674A" w:rsidRDefault="00117E8E" w:rsidP="00117E8E">
      <w:pPr>
        <w:pStyle w:val="NormalWeb"/>
        <w:ind w:firstLine="0"/>
      </w:pPr>
      <w:r w:rsidRPr="003A674A">
        <w:lastRenderedPageBreak/>
        <w:t>24. Hulme W, Sperrin M, Rushton H, et al. Is There a Relationship of Operator and Center Volume With Access Site-Related Outcomes? An Analysis From the British Cardiovascular Intervention Society. Circ Cardiovasc Interv 2016;9:e003333.</w:t>
      </w:r>
    </w:p>
    <w:p w14:paraId="366408C6" w14:textId="54FE7064" w:rsidR="00117E8E" w:rsidRPr="003A674A" w:rsidRDefault="00117E8E" w:rsidP="00117E8E">
      <w:pPr>
        <w:pStyle w:val="NormalWeb"/>
        <w:ind w:firstLine="0"/>
      </w:pPr>
      <w:r w:rsidRPr="003A674A">
        <w:t>25. Kontopantelis E, White IR, Sperrin M, Buchan I. Outcome-sensitive multiple imputation: a simulation study. BMC Med Res Methodol 2017;17:2,016-0281-5.</w:t>
      </w:r>
    </w:p>
    <w:p w14:paraId="36B173FD" w14:textId="15F8C663" w:rsidR="00117E8E" w:rsidRPr="003A674A" w:rsidRDefault="00117E8E" w:rsidP="00117E8E">
      <w:pPr>
        <w:pStyle w:val="NormalWeb"/>
        <w:ind w:firstLine="0"/>
      </w:pPr>
      <w:r w:rsidRPr="003A674A">
        <w:t>26. Kontopantelis E, White IR, Sperrin M, Buchan I. Outcome-sensitive multiple imputation: a simulation study. BMC Med Res Methodol 2017;17:2,016-0281-5.</w:t>
      </w:r>
    </w:p>
    <w:p w14:paraId="50BB8581" w14:textId="176E1050" w:rsidR="00117E8E" w:rsidRPr="003A674A" w:rsidRDefault="00117E8E" w:rsidP="00117E8E">
      <w:pPr>
        <w:pStyle w:val="NormalWeb"/>
        <w:ind w:firstLine="0"/>
      </w:pPr>
      <w:r w:rsidRPr="003A674A">
        <w:t>27. Ibanez B, James S, Agewall S, et al. 2017 ESC Guidelines for the management of acute myocardial infarction in patients presenting with ST-segment elevation: The Task Force for the management of acute myocardial infarction in patients presenting with ST-segment elevation of the European Society of Cardiology (ESC). Eur Heart J 2017, 10.1093/eurheartj/ehx393.</w:t>
      </w:r>
    </w:p>
    <w:p w14:paraId="44FD827A" w14:textId="616C0308" w:rsidR="00117E8E" w:rsidRPr="003A674A" w:rsidRDefault="00117E8E" w:rsidP="00117E8E">
      <w:pPr>
        <w:pStyle w:val="NormalWeb"/>
        <w:ind w:firstLine="0"/>
      </w:pPr>
      <w:r w:rsidRPr="003A674A">
        <w:t>28. Rao SV, Tremmel JA, Gilchrist IC, et al. Best practices for transradial angiography and intervention: a consensus statement from the society for cardiovascular angiography and intervention's transradial working group. Catheter Cardiovasc Interv 2014;83:228-36.</w:t>
      </w:r>
    </w:p>
    <w:p w14:paraId="4C834947" w14:textId="55D40893" w:rsidR="00117E8E" w:rsidRPr="003A674A" w:rsidRDefault="00117E8E" w:rsidP="00117E8E">
      <w:pPr>
        <w:pStyle w:val="NormalWeb"/>
        <w:ind w:firstLine="0"/>
      </w:pPr>
      <w:r w:rsidRPr="003A674A">
        <w:t>29. Naidu SS, Aronow HD, Box LC, et al. SCAI expert consensus statement: 2016 best practices in the cardiac catheterization laboratory: (Endorsed by the cardiological society of india, and sociedad Latino Americana de Cardiologia intervencionista; Affirmation of value by the Canadian Association of interventional cardiology-Association canadienne de cardiologie d'intervention). Catheter Cardiovasc Interv 2016;88:407-23.</w:t>
      </w:r>
    </w:p>
    <w:p w14:paraId="639F0328" w14:textId="0E047825" w:rsidR="00117E8E" w:rsidRPr="003A674A" w:rsidRDefault="00117E8E" w:rsidP="00117E8E">
      <w:pPr>
        <w:pStyle w:val="NormalWeb"/>
        <w:ind w:firstLine="0"/>
      </w:pPr>
      <w:r w:rsidRPr="003A674A">
        <w:t>30. Abdelaal E, Molin P, Plourde G, et al. Successive transradial access for coronary procedures: experience of Quebec Heart-Lung Institute. Am Heart J 2013;165:325-31.</w:t>
      </w:r>
    </w:p>
    <w:p w14:paraId="6648F19E" w14:textId="6F0EF715" w:rsidR="00117E8E" w:rsidRPr="003A674A" w:rsidRDefault="00117E8E" w:rsidP="00117E8E">
      <w:pPr>
        <w:pStyle w:val="NormalWeb"/>
        <w:ind w:firstLine="0"/>
      </w:pPr>
      <w:r w:rsidRPr="003A674A">
        <w:t>31. Caputo RP, Simons A, Giambartolomei A, et al. Safety and efficacy of repeat transradial access for cardiac catheterization procedures. Catheter Cardiovasc Interv 2001;54:188-90.</w:t>
      </w:r>
    </w:p>
    <w:p w14:paraId="176A1D4E" w14:textId="078F3CAD" w:rsidR="00117E8E" w:rsidRPr="003A674A" w:rsidRDefault="00117E8E" w:rsidP="00117E8E">
      <w:pPr>
        <w:pStyle w:val="NormalWeb"/>
        <w:ind w:firstLine="0"/>
      </w:pPr>
      <w:r w:rsidRPr="003A674A">
        <w:t>32. Sakai H, Ikeda S, Harada T, et al. Limitations of successive transradial approach in the same arm: the Japanese experience. Catheter Cardiovasc Interv 2001;54:204-8.</w:t>
      </w:r>
    </w:p>
    <w:p w14:paraId="5CF30A2F" w14:textId="7CFAAD93" w:rsidR="00117E8E" w:rsidRPr="003A674A" w:rsidRDefault="00117E8E" w:rsidP="00117E8E">
      <w:pPr>
        <w:pStyle w:val="NormalWeb"/>
        <w:ind w:firstLine="0"/>
      </w:pPr>
      <w:r w:rsidRPr="003A674A">
        <w:t>33. Mamas MA, Fraser DG, Ratib K, et al. Minimising radial injury: prevention is better than cure. EuroIntervention 2014;10:824-32.</w:t>
      </w:r>
    </w:p>
    <w:p w14:paraId="72DA8689" w14:textId="0AAB18D1" w:rsidR="00117E8E" w:rsidRPr="003A674A" w:rsidRDefault="00117E8E" w:rsidP="00117E8E">
      <w:pPr>
        <w:pStyle w:val="NormalWeb"/>
        <w:ind w:firstLine="0"/>
      </w:pPr>
      <w:r w:rsidRPr="003A674A">
        <w:t>34. Sciahbasi A, Rigattieri S, Sarandrea A, et al. Operator radiation exposure during right or left transradial coronary angiography: A phantom study. Cardiovasc Revasc Med 2015;16:386-90.</w:t>
      </w:r>
    </w:p>
    <w:p w14:paraId="44683154" w14:textId="757D5403" w:rsidR="00117E8E" w:rsidRPr="003A674A" w:rsidRDefault="00117E8E" w:rsidP="00117E8E">
      <w:pPr>
        <w:pStyle w:val="NormalWeb"/>
        <w:ind w:firstLine="0"/>
      </w:pPr>
      <w:r w:rsidRPr="003A674A">
        <w:t>35. Kwok CS, Kontopantelis E, Myint PK, et al. Stroke following percutaneous coronary intervention: type-specific incidence, outcomes and determinants seen by the British Cardiovascular Intervention Society 2007-12. Eur Heart J 2015;36:1618-28.</w:t>
      </w:r>
    </w:p>
    <w:p w14:paraId="6C392B38" w14:textId="34037F52" w:rsidR="00117E8E" w:rsidRPr="003A674A" w:rsidRDefault="00117E8E" w:rsidP="00117E8E">
      <w:pPr>
        <w:pStyle w:val="NormalWeb"/>
        <w:ind w:firstLine="0"/>
      </w:pPr>
      <w:r w:rsidRPr="003A674A">
        <w:t>36. Myint PK, Kwok CS, Roffe C, et al. Determinants and Outcomes of Stroke Following Percutaneous Coronary Intervention by Indication. Stroke 2016;47:1500-7.</w:t>
      </w:r>
    </w:p>
    <w:p w14:paraId="1E94BC2A" w14:textId="1F936BB2" w:rsidR="00117E8E" w:rsidRPr="003A674A" w:rsidRDefault="00117E8E" w:rsidP="00117E8E">
      <w:pPr>
        <w:rPr>
          <w:rFonts w:ascii="Times New Roman" w:hAnsi="Times New Roman" w:cs="Times New Roman"/>
          <w:sz w:val="24"/>
          <w:szCs w:val="24"/>
        </w:rPr>
      </w:pPr>
      <w:r w:rsidRPr="003A674A">
        <w:rPr>
          <w:rFonts w:ascii="Times New Roman" w:eastAsia="Times New Roman" w:hAnsi="Times New Roman" w:cs="Times New Roman"/>
          <w:sz w:val="24"/>
          <w:szCs w:val="24"/>
        </w:rPr>
        <w:t> </w:t>
      </w:r>
      <w:r w:rsidRPr="003A674A">
        <w:rPr>
          <w:rFonts w:ascii="Times New Roman" w:hAnsi="Times New Roman" w:cs="Times New Roman"/>
          <w:b/>
          <w:sz w:val="24"/>
          <w:szCs w:val="24"/>
        </w:rPr>
        <w:fldChar w:fldCharType="end"/>
      </w:r>
    </w:p>
    <w:p w14:paraId="14B715AD" w14:textId="1549C83F" w:rsidR="008174FC" w:rsidRPr="003A674A" w:rsidRDefault="008174FC" w:rsidP="00117E8E">
      <w:pPr>
        <w:rPr>
          <w:rFonts w:ascii="Times New Roman" w:hAnsi="Times New Roman" w:cs="Times New Roman"/>
          <w:sz w:val="24"/>
          <w:szCs w:val="24"/>
        </w:rPr>
      </w:pPr>
    </w:p>
    <w:p w14:paraId="4EC7394E" w14:textId="77777777" w:rsidR="007F752C" w:rsidRPr="003A674A" w:rsidRDefault="007F752C" w:rsidP="00311DCA">
      <w:pPr>
        <w:rPr>
          <w:rFonts w:ascii="Times New Roman" w:hAnsi="Times New Roman" w:cs="Times New Roman"/>
          <w:sz w:val="24"/>
          <w:szCs w:val="24"/>
        </w:rPr>
      </w:pPr>
    </w:p>
    <w:p w14:paraId="4BEE4CA9" w14:textId="77777777" w:rsidR="00D64465" w:rsidRPr="003A674A" w:rsidRDefault="00D64465" w:rsidP="008C19D1">
      <w:pPr>
        <w:rPr>
          <w:rFonts w:ascii="Times New Roman" w:hAnsi="Times New Roman" w:cs="Times New Roman"/>
          <w:sz w:val="24"/>
          <w:szCs w:val="24"/>
        </w:rPr>
      </w:pPr>
    </w:p>
    <w:p w14:paraId="0FFFDBBE" w14:textId="77777777" w:rsidR="00071400" w:rsidRPr="003A674A" w:rsidRDefault="002B5E0E" w:rsidP="00071400">
      <w:pPr>
        <w:rPr>
          <w:rFonts w:ascii="Times New Roman" w:hAnsi="Times New Roman" w:cs="Times New Roman"/>
          <w:sz w:val="24"/>
          <w:szCs w:val="24"/>
        </w:rPr>
      </w:pPr>
      <w:r w:rsidRPr="003A674A">
        <w:rPr>
          <w:rFonts w:ascii="Times New Roman" w:hAnsi="Times New Roman" w:cs="Times New Roman"/>
          <w:sz w:val="24"/>
          <w:szCs w:val="24"/>
        </w:rPr>
        <w:t xml:space="preserve"> </w:t>
      </w:r>
    </w:p>
    <w:p w14:paraId="659DD486" w14:textId="1B0CD35E" w:rsidR="00296335" w:rsidRPr="003A674A" w:rsidRDefault="00296335" w:rsidP="00296335">
      <w:pPr>
        <w:rPr>
          <w:rFonts w:ascii="Times New Roman" w:hAnsi="Times New Roman" w:cs="Times New Roman"/>
          <w:sz w:val="24"/>
          <w:szCs w:val="24"/>
        </w:rPr>
      </w:pPr>
    </w:p>
    <w:sectPr w:rsidR="00296335" w:rsidRPr="003A6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23C"/>
    <w:multiLevelType w:val="hybridMultilevel"/>
    <w:tmpl w:val="8048E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F1301"/>
    <w:multiLevelType w:val="hybridMultilevel"/>
    <w:tmpl w:val="13A4E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702B6A"/>
    <w:multiLevelType w:val="hybridMultilevel"/>
    <w:tmpl w:val="8C0E5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C4539D"/>
    <w:multiLevelType w:val="hybridMultilevel"/>
    <w:tmpl w:val="82F08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33F07"/>
    <w:rsid w:val="00005431"/>
    <w:rsid w:val="000225FE"/>
    <w:rsid w:val="0002490A"/>
    <w:rsid w:val="0003042F"/>
    <w:rsid w:val="00032ECB"/>
    <w:rsid w:val="000338D8"/>
    <w:rsid w:val="00033C79"/>
    <w:rsid w:val="0004785E"/>
    <w:rsid w:val="000524C8"/>
    <w:rsid w:val="00054F46"/>
    <w:rsid w:val="000602D5"/>
    <w:rsid w:val="00063A63"/>
    <w:rsid w:val="00071400"/>
    <w:rsid w:val="00073670"/>
    <w:rsid w:val="000777CB"/>
    <w:rsid w:val="000B1DA5"/>
    <w:rsid w:val="000B6799"/>
    <w:rsid w:val="000B67F4"/>
    <w:rsid w:val="000C1C0F"/>
    <w:rsid w:val="000D01E9"/>
    <w:rsid w:val="000E56BE"/>
    <w:rsid w:val="000E5F59"/>
    <w:rsid w:val="000F40AC"/>
    <w:rsid w:val="000F50DA"/>
    <w:rsid w:val="000F744B"/>
    <w:rsid w:val="00103E9E"/>
    <w:rsid w:val="001103BE"/>
    <w:rsid w:val="00117DF5"/>
    <w:rsid w:val="00117E8E"/>
    <w:rsid w:val="00120B85"/>
    <w:rsid w:val="0012349B"/>
    <w:rsid w:val="00123AF5"/>
    <w:rsid w:val="00127E9A"/>
    <w:rsid w:val="001303FD"/>
    <w:rsid w:val="00136067"/>
    <w:rsid w:val="00145909"/>
    <w:rsid w:val="00162973"/>
    <w:rsid w:val="0017322E"/>
    <w:rsid w:val="001764BF"/>
    <w:rsid w:val="0018177D"/>
    <w:rsid w:val="00183BB4"/>
    <w:rsid w:val="0018594C"/>
    <w:rsid w:val="00195FEA"/>
    <w:rsid w:val="001A494B"/>
    <w:rsid w:val="001A514D"/>
    <w:rsid w:val="001A6E90"/>
    <w:rsid w:val="001A7FB1"/>
    <w:rsid w:val="001B6BE5"/>
    <w:rsid w:val="001C464A"/>
    <w:rsid w:val="001D0A9F"/>
    <w:rsid w:val="001E2C6F"/>
    <w:rsid w:val="001E35A2"/>
    <w:rsid w:val="001E7509"/>
    <w:rsid w:val="001F1E3B"/>
    <w:rsid w:val="001F68F2"/>
    <w:rsid w:val="00204539"/>
    <w:rsid w:val="00205512"/>
    <w:rsid w:val="00213148"/>
    <w:rsid w:val="0024315A"/>
    <w:rsid w:val="00244DCF"/>
    <w:rsid w:val="00245729"/>
    <w:rsid w:val="002459DC"/>
    <w:rsid w:val="002706B8"/>
    <w:rsid w:val="00283227"/>
    <w:rsid w:val="00290621"/>
    <w:rsid w:val="00290CC2"/>
    <w:rsid w:val="00296335"/>
    <w:rsid w:val="00296419"/>
    <w:rsid w:val="002B5E0E"/>
    <w:rsid w:val="002C2286"/>
    <w:rsid w:val="002C6449"/>
    <w:rsid w:val="002D5467"/>
    <w:rsid w:val="002D67E4"/>
    <w:rsid w:val="002E2C21"/>
    <w:rsid w:val="002F6112"/>
    <w:rsid w:val="00303573"/>
    <w:rsid w:val="0031187C"/>
    <w:rsid w:val="00311DCA"/>
    <w:rsid w:val="00332DE2"/>
    <w:rsid w:val="003339EF"/>
    <w:rsid w:val="00333E80"/>
    <w:rsid w:val="003417EA"/>
    <w:rsid w:val="003452E6"/>
    <w:rsid w:val="00353A58"/>
    <w:rsid w:val="00361727"/>
    <w:rsid w:val="003676A0"/>
    <w:rsid w:val="00380C17"/>
    <w:rsid w:val="0038610D"/>
    <w:rsid w:val="00386EA1"/>
    <w:rsid w:val="0039584D"/>
    <w:rsid w:val="003A3D3D"/>
    <w:rsid w:val="003A674A"/>
    <w:rsid w:val="003B07C9"/>
    <w:rsid w:val="003B27B3"/>
    <w:rsid w:val="003B292C"/>
    <w:rsid w:val="003B305F"/>
    <w:rsid w:val="003B75ED"/>
    <w:rsid w:val="003C5BC0"/>
    <w:rsid w:val="003D1BF9"/>
    <w:rsid w:val="003D5929"/>
    <w:rsid w:val="003D72B5"/>
    <w:rsid w:val="003E2DF3"/>
    <w:rsid w:val="003E3376"/>
    <w:rsid w:val="003E3442"/>
    <w:rsid w:val="003E37E2"/>
    <w:rsid w:val="003F592D"/>
    <w:rsid w:val="003F5A2E"/>
    <w:rsid w:val="003F7CD4"/>
    <w:rsid w:val="00412037"/>
    <w:rsid w:val="004201A3"/>
    <w:rsid w:val="00421751"/>
    <w:rsid w:val="00422AD9"/>
    <w:rsid w:val="00425CC2"/>
    <w:rsid w:val="00435F4D"/>
    <w:rsid w:val="0044326A"/>
    <w:rsid w:val="00445CB7"/>
    <w:rsid w:val="0044606C"/>
    <w:rsid w:val="00446C15"/>
    <w:rsid w:val="00447401"/>
    <w:rsid w:val="00450E9D"/>
    <w:rsid w:val="00452ED5"/>
    <w:rsid w:val="0045398C"/>
    <w:rsid w:val="00454A43"/>
    <w:rsid w:val="00464974"/>
    <w:rsid w:val="00467F78"/>
    <w:rsid w:val="00474BE2"/>
    <w:rsid w:val="00477616"/>
    <w:rsid w:val="00477EC7"/>
    <w:rsid w:val="004A1FCD"/>
    <w:rsid w:val="004A2546"/>
    <w:rsid w:val="004A566F"/>
    <w:rsid w:val="004A60CA"/>
    <w:rsid w:val="004B5A1E"/>
    <w:rsid w:val="004B6C0F"/>
    <w:rsid w:val="004C4C8B"/>
    <w:rsid w:val="004D3A9B"/>
    <w:rsid w:val="004D4E71"/>
    <w:rsid w:val="004D6B43"/>
    <w:rsid w:val="004E0F57"/>
    <w:rsid w:val="004F4EAF"/>
    <w:rsid w:val="005019D8"/>
    <w:rsid w:val="0050349B"/>
    <w:rsid w:val="00503B30"/>
    <w:rsid w:val="00505E57"/>
    <w:rsid w:val="005079CC"/>
    <w:rsid w:val="00507DD7"/>
    <w:rsid w:val="005328BD"/>
    <w:rsid w:val="00534689"/>
    <w:rsid w:val="005346E1"/>
    <w:rsid w:val="00535B8F"/>
    <w:rsid w:val="005362B9"/>
    <w:rsid w:val="00542CDC"/>
    <w:rsid w:val="0054501C"/>
    <w:rsid w:val="00546FA6"/>
    <w:rsid w:val="00560417"/>
    <w:rsid w:val="005657C7"/>
    <w:rsid w:val="00567B32"/>
    <w:rsid w:val="0057638C"/>
    <w:rsid w:val="00593E5C"/>
    <w:rsid w:val="00595E50"/>
    <w:rsid w:val="005B64DB"/>
    <w:rsid w:val="005C4AB3"/>
    <w:rsid w:val="005C56DF"/>
    <w:rsid w:val="005C6E69"/>
    <w:rsid w:val="005C6EBC"/>
    <w:rsid w:val="005C719F"/>
    <w:rsid w:val="005D0069"/>
    <w:rsid w:val="005D06E6"/>
    <w:rsid w:val="005E0052"/>
    <w:rsid w:val="005E14F3"/>
    <w:rsid w:val="005E31CE"/>
    <w:rsid w:val="005E4661"/>
    <w:rsid w:val="00601186"/>
    <w:rsid w:val="0060168A"/>
    <w:rsid w:val="006024D5"/>
    <w:rsid w:val="0060378A"/>
    <w:rsid w:val="00607434"/>
    <w:rsid w:val="0060796B"/>
    <w:rsid w:val="00613DC3"/>
    <w:rsid w:val="006322E2"/>
    <w:rsid w:val="00650E84"/>
    <w:rsid w:val="00651E96"/>
    <w:rsid w:val="00666995"/>
    <w:rsid w:val="00673C82"/>
    <w:rsid w:val="006756C0"/>
    <w:rsid w:val="00684957"/>
    <w:rsid w:val="006931CD"/>
    <w:rsid w:val="0069684E"/>
    <w:rsid w:val="006A2078"/>
    <w:rsid w:val="006A2457"/>
    <w:rsid w:val="006B4B96"/>
    <w:rsid w:val="006B7A6E"/>
    <w:rsid w:val="006C7F3E"/>
    <w:rsid w:val="006D2F1D"/>
    <w:rsid w:val="006E00B7"/>
    <w:rsid w:val="006E348A"/>
    <w:rsid w:val="006E489F"/>
    <w:rsid w:val="006F0CCA"/>
    <w:rsid w:val="006F1A22"/>
    <w:rsid w:val="00703FC6"/>
    <w:rsid w:val="00707087"/>
    <w:rsid w:val="00707B6A"/>
    <w:rsid w:val="007106F8"/>
    <w:rsid w:val="007112FB"/>
    <w:rsid w:val="0071258E"/>
    <w:rsid w:val="00716B99"/>
    <w:rsid w:val="007218FC"/>
    <w:rsid w:val="00723CDA"/>
    <w:rsid w:val="00733A11"/>
    <w:rsid w:val="00735999"/>
    <w:rsid w:val="00735D55"/>
    <w:rsid w:val="00737237"/>
    <w:rsid w:val="00741A14"/>
    <w:rsid w:val="007429C9"/>
    <w:rsid w:val="00742AB7"/>
    <w:rsid w:val="00770C0D"/>
    <w:rsid w:val="00776DB6"/>
    <w:rsid w:val="00784906"/>
    <w:rsid w:val="0078639C"/>
    <w:rsid w:val="007863EA"/>
    <w:rsid w:val="00796F42"/>
    <w:rsid w:val="007A417D"/>
    <w:rsid w:val="007B69A7"/>
    <w:rsid w:val="007F1846"/>
    <w:rsid w:val="007F752C"/>
    <w:rsid w:val="008061A0"/>
    <w:rsid w:val="008109B6"/>
    <w:rsid w:val="0081441A"/>
    <w:rsid w:val="00815BF4"/>
    <w:rsid w:val="008174FC"/>
    <w:rsid w:val="00823414"/>
    <w:rsid w:val="00831AE3"/>
    <w:rsid w:val="008325F2"/>
    <w:rsid w:val="00834A77"/>
    <w:rsid w:val="00835E93"/>
    <w:rsid w:val="00842A8B"/>
    <w:rsid w:val="0086158F"/>
    <w:rsid w:val="008651B7"/>
    <w:rsid w:val="00866D78"/>
    <w:rsid w:val="00874320"/>
    <w:rsid w:val="00885D55"/>
    <w:rsid w:val="0089016D"/>
    <w:rsid w:val="00892FD6"/>
    <w:rsid w:val="00893A2F"/>
    <w:rsid w:val="00894CAA"/>
    <w:rsid w:val="008978B2"/>
    <w:rsid w:val="008C19D1"/>
    <w:rsid w:val="008C3FAF"/>
    <w:rsid w:val="008D5960"/>
    <w:rsid w:val="008E4E29"/>
    <w:rsid w:val="008E5DF0"/>
    <w:rsid w:val="008F0D3E"/>
    <w:rsid w:val="009001F4"/>
    <w:rsid w:val="00901AF2"/>
    <w:rsid w:val="00902FA9"/>
    <w:rsid w:val="00905EED"/>
    <w:rsid w:val="00910696"/>
    <w:rsid w:val="00914E1F"/>
    <w:rsid w:val="00950745"/>
    <w:rsid w:val="00950766"/>
    <w:rsid w:val="00951EE7"/>
    <w:rsid w:val="0095295B"/>
    <w:rsid w:val="009612F5"/>
    <w:rsid w:val="00975EA8"/>
    <w:rsid w:val="00977D7C"/>
    <w:rsid w:val="00986A1B"/>
    <w:rsid w:val="009906F2"/>
    <w:rsid w:val="0099697B"/>
    <w:rsid w:val="009A02D0"/>
    <w:rsid w:val="009A04F6"/>
    <w:rsid w:val="009A2CFE"/>
    <w:rsid w:val="009A35B0"/>
    <w:rsid w:val="009A6483"/>
    <w:rsid w:val="009B1530"/>
    <w:rsid w:val="009B45EC"/>
    <w:rsid w:val="009B6B68"/>
    <w:rsid w:val="009C6C57"/>
    <w:rsid w:val="009D037E"/>
    <w:rsid w:val="009D430C"/>
    <w:rsid w:val="009E236C"/>
    <w:rsid w:val="009E2ED2"/>
    <w:rsid w:val="009E3E63"/>
    <w:rsid w:val="009F3D45"/>
    <w:rsid w:val="009F57F0"/>
    <w:rsid w:val="00A03F04"/>
    <w:rsid w:val="00A15C7F"/>
    <w:rsid w:val="00A31110"/>
    <w:rsid w:val="00A35198"/>
    <w:rsid w:val="00A378C1"/>
    <w:rsid w:val="00A6296A"/>
    <w:rsid w:val="00A705D6"/>
    <w:rsid w:val="00A82677"/>
    <w:rsid w:val="00A83978"/>
    <w:rsid w:val="00A94D14"/>
    <w:rsid w:val="00A9514F"/>
    <w:rsid w:val="00A97239"/>
    <w:rsid w:val="00AA1031"/>
    <w:rsid w:val="00AA7750"/>
    <w:rsid w:val="00AB73B1"/>
    <w:rsid w:val="00AC0802"/>
    <w:rsid w:val="00AD038E"/>
    <w:rsid w:val="00AE07B2"/>
    <w:rsid w:val="00AE2976"/>
    <w:rsid w:val="00AE3CF2"/>
    <w:rsid w:val="00AE6743"/>
    <w:rsid w:val="00AF1E29"/>
    <w:rsid w:val="00AF2B18"/>
    <w:rsid w:val="00B01552"/>
    <w:rsid w:val="00B0464E"/>
    <w:rsid w:val="00B0591D"/>
    <w:rsid w:val="00B0620A"/>
    <w:rsid w:val="00B16128"/>
    <w:rsid w:val="00B3618D"/>
    <w:rsid w:val="00B6515D"/>
    <w:rsid w:val="00B7561B"/>
    <w:rsid w:val="00B8050B"/>
    <w:rsid w:val="00B84921"/>
    <w:rsid w:val="00B919CD"/>
    <w:rsid w:val="00B92961"/>
    <w:rsid w:val="00B96DB2"/>
    <w:rsid w:val="00BA1892"/>
    <w:rsid w:val="00BB41CE"/>
    <w:rsid w:val="00BB6D1A"/>
    <w:rsid w:val="00BC1986"/>
    <w:rsid w:val="00BD1330"/>
    <w:rsid w:val="00BE40F0"/>
    <w:rsid w:val="00BE6F01"/>
    <w:rsid w:val="00C123C2"/>
    <w:rsid w:val="00C2275F"/>
    <w:rsid w:val="00C26721"/>
    <w:rsid w:val="00C33F07"/>
    <w:rsid w:val="00C352C9"/>
    <w:rsid w:val="00C41916"/>
    <w:rsid w:val="00C4271F"/>
    <w:rsid w:val="00C435EE"/>
    <w:rsid w:val="00C458C8"/>
    <w:rsid w:val="00C56BEC"/>
    <w:rsid w:val="00C575C6"/>
    <w:rsid w:val="00C6330D"/>
    <w:rsid w:val="00C63C55"/>
    <w:rsid w:val="00C66439"/>
    <w:rsid w:val="00C67242"/>
    <w:rsid w:val="00C67ADB"/>
    <w:rsid w:val="00C716D2"/>
    <w:rsid w:val="00C71CD1"/>
    <w:rsid w:val="00C80025"/>
    <w:rsid w:val="00C90746"/>
    <w:rsid w:val="00C92027"/>
    <w:rsid w:val="00CA666F"/>
    <w:rsid w:val="00CC29C7"/>
    <w:rsid w:val="00CD5E43"/>
    <w:rsid w:val="00CD7247"/>
    <w:rsid w:val="00CD7E04"/>
    <w:rsid w:val="00CE0AF9"/>
    <w:rsid w:val="00D07DFC"/>
    <w:rsid w:val="00D1237A"/>
    <w:rsid w:val="00D264A1"/>
    <w:rsid w:val="00D30253"/>
    <w:rsid w:val="00D33C2E"/>
    <w:rsid w:val="00D362B8"/>
    <w:rsid w:val="00D40A2A"/>
    <w:rsid w:val="00D5096F"/>
    <w:rsid w:val="00D51507"/>
    <w:rsid w:val="00D56949"/>
    <w:rsid w:val="00D5769A"/>
    <w:rsid w:val="00D603A4"/>
    <w:rsid w:val="00D64465"/>
    <w:rsid w:val="00D70E51"/>
    <w:rsid w:val="00D90624"/>
    <w:rsid w:val="00D91117"/>
    <w:rsid w:val="00DA14D3"/>
    <w:rsid w:val="00DA499B"/>
    <w:rsid w:val="00DA714E"/>
    <w:rsid w:val="00DB0E70"/>
    <w:rsid w:val="00DB6456"/>
    <w:rsid w:val="00DC525E"/>
    <w:rsid w:val="00DC5C5A"/>
    <w:rsid w:val="00DC61A1"/>
    <w:rsid w:val="00DD277B"/>
    <w:rsid w:val="00DD282F"/>
    <w:rsid w:val="00DE33DB"/>
    <w:rsid w:val="00DE369E"/>
    <w:rsid w:val="00DF1798"/>
    <w:rsid w:val="00DF1839"/>
    <w:rsid w:val="00DF1BBF"/>
    <w:rsid w:val="00DF34C1"/>
    <w:rsid w:val="00E2097F"/>
    <w:rsid w:val="00E22D83"/>
    <w:rsid w:val="00E253B4"/>
    <w:rsid w:val="00E27D32"/>
    <w:rsid w:val="00E33F9F"/>
    <w:rsid w:val="00E40557"/>
    <w:rsid w:val="00E40D65"/>
    <w:rsid w:val="00E41E92"/>
    <w:rsid w:val="00E43777"/>
    <w:rsid w:val="00E46492"/>
    <w:rsid w:val="00E472A3"/>
    <w:rsid w:val="00E60B22"/>
    <w:rsid w:val="00E65938"/>
    <w:rsid w:val="00E6636A"/>
    <w:rsid w:val="00E72D75"/>
    <w:rsid w:val="00E7656F"/>
    <w:rsid w:val="00E929D1"/>
    <w:rsid w:val="00E952BE"/>
    <w:rsid w:val="00E959F8"/>
    <w:rsid w:val="00E966A0"/>
    <w:rsid w:val="00E96C80"/>
    <w:rsid w:val="00E97ECF"/>
    <w:rsid w:val="00EB2FE9"/>
    <w:rsid w:val="00EB34BC"/>
    <w:rsid w:val="00EC69EA"/>
    <w:rsid w:val="00ED7F10"/>
    <w:rsid w:val="00EE427C"/>
    <w:rsid w:val="00EE7B85"/>
    <w:rsid w:val="00F00E16"/>
    <w:rsid w:val="00F20F0D"/>
    <w:rsid w:val="00F232A8"/>
    <w:rsid w:val="00F31489"/>
    <w:rsid w:val="00F36547"/>
    <w:rsid w:val="00F41F83"/>
    <w:rsid w:val="00F52AC6"/>
    <w:rsid w:val="00F5639A"/>
    <w:rsid w:val="00F5735F"/>
    <w:rsid w:val="00F60A0D"/>
    <w:rsid w:val="00F6482E"/>
    <w:rsid w:val="00F64AB9"/>
    <w:rsid w:val="00F65837"/>
    <w:rsid w:val="00F70D7E"/>
    <w:rsid w:val="00F72D25"/>
    <w:rsid w:val="00F74795"/>
    <w:rsid w:val="00F7621B"/>
    <w:rsid w:val="00F8024E"/>
    <w:rsid w:val="00F8277A"/>
    <w:rsid w:val="00F8300A"/>
    <w:rsid w:val="00FB18DE"/>
    <w:rsid w:val="00FD155F"/>
    <w:rsid w:val="00FD24E9"/>
    <w:rsid w:val="00FD29D4"/>
    <w:rsid w:val="00FD5D76"/>
    <w:rsid w:val="00FE1E96"/>
    <w:rsid w:val="00FE3F9E"/>
    <w:rsid w:val="00FE461D"/>
    <w:rsid w:val="00FE4B01"/>
    <w:rsid w:val="00FE4BFC"/>
    <w:rsid w:val="00FE4E86"/>
    <w:rsid w:val="00FF08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63F26"/>
  <w15:docId w15:val="{325AE830-09D8-4A0C-AE63-81A58288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5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F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2FE9"/>
    <w:pPr>
      <w:ind w:left="720"/>
      <w:contextualSpacing/>
    </w:pPr>
  </w:style>
  <w:style w:type="paragraph" w:styleId="Subtitle">
    <w:name w:val="Subtitle"/>
    <w:basedOn w:val="Normal"/>
    <w:next w:val="Normal"/>
    <w:link w:val="SubtitleChar"/>
    <w:uiPriority w:val="11"/>
    <w:qFormat/>
    <w:rsid w:val="00071400"/>
    <w:pPr>
      <w:numPr>
        <w:ilvl w:val="1"/>
      </w:numPr>
      <w:ind w:firstLine="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400"/>
    <w:rPr>
      <w:rFonts w:eastAsiaTheme="minorEastAsia"/>
      <w:color w:val="5A5A5A" w:themeColor="text1" w:themeTint="A5"/>
      <w:spacing w:val="15"/>
    </w:rPr>
  </w:style>
  <w:style w:type="character" w:styleId="SubtleEmphasis">
    <w:name w:val="Subtle Emphasis"/>
    <w:basedOn w:val="DefaultParagraphFont"/>
    <w:uiPriority w:val="19"/>
    <w:qFormat/>
    <w:rsid w:val="00546FA6"/>
    <w:rPr>
      <w:i/>
      <w:iCs/>
      <w:color w:val="404040" w:themeColor="text1" w:themeTint="BF"/>
    </w:rPr>
  </w:style>
  <w:style w:type="character" w:customStyle="1" w:styleId="Heading2Char">
    <w:name w:val="Heading 2 Char"/>
    <w:basedOn w:val="DefaultParagraphFont"/>
    <w:link w:val="Heading2"/>
    <w:uiPriority w:val="9"/>
    <w:rsid w:val="003F5A2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50766"/>
    <w:rPr>
      <w:sz w:val="16"/>
      <w:szCs w:val="16"/>
    </w:rPr>
  </w:style>
  <w:style w:type="paragraph" w:styleId="CommentText">
    <w:name w:val="annotation text"/>
    <w:basedOn w:val="Normal"/>
    <w:link w:val="CommentTextChar"/>
    <w:uiPriority w:val="99"/>
    <w:semiHidden/>
    <w:unhideWhenUsed/>
    <w:rsid w:val="00950766"/>
    <w:pPr>
      <w:spacing w:line="240" w:lineRule="auto"/>
    </w:pPr>
    <w:rPr>
      <w:sz w:val="20"/>
      <w:szCs w:val="20"/>
    </w:rPr>
  </w:style>
  <w:style w:type="character" w:customStyle="1" w:styleId="CommentTextChar">
    <w:name w:val="Comment Text Char"/>
    <w:basedOn w:val="DefaultParagraphFont"/>
    <w:link w:val="CommentText"/>
    <w:uiPriority w:val="99"/>
    <w:semiHidden/>
    <w:rsid w:val="00950766"/>
    <w:rPr>
      <w:sz w:val="20"/>
      <w:szCs w:val="20"/>
    </w:rPr>
  </w:style>
  <w:style w:type="paragraph" w:styleId="CommentSubject">
    <w:name w:val="annotation subject"/>
    <w:basedOn w:val="CommentText"/>
    <w:next w:val="CommentText"/>
    <w:link w:val="CommentSubjectChar"/>
    <w:uiPriority w:val="99"/>
    <w:semiHidden/>
    <w:unhideWhenUsed/>
    <w:rsid w:val="00950766"/>
    <w:rPr>
      <w:b/>
      <w:bCs/>
    </w:rPr>
  </w:style>
  <w:style w:type="character" w:customStyle="1" w:styleId="CommentSubjectChar">
    <w:name w:val="Comment Subject Char"/>
    <w:basedOn w:val="CommentTextChar"/>
    <w:link w:val="CommentSubject"/>
    <w:uiPriority w:val="99"/>
    <w:semiHidden/>
    <w:rsid w:val="00950766"/>
    <w:rPr>
      <w:b/>
      <w:bCs/>
      <w:sz w:val="20"/>
      <w:szCs w:val="20"/>
    </w:rPr>
  </w:style>
  <w:style w:type="paragraph" w:styleId="BalloonText">
    <w:name w:val="Balloon Text"/>
    <w:basedOn w:val="Normal"/>
    <w:link w:val="BalloonTextChar"/>
    <w:uiPriority w:val="99"/>
    <w:semiHidden/>
    <w:unhideWhenUsed/>
    <w:rsid w:val="0095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66"/>
    <w:rPr>
      <w:rFonts w:ascii="Segoe UI" w:hAnsi="Segoe UI" w:cs="Segoe UI"/>
      <w:sz w:val="18"/>
      <w:szCs w:val="18"/>
    </w:rPr>
  </w:style>
  <w:style w:type="paragraph" w:styleId="NormalWeb">
    <w:name w:val="Normal (Web)"/>
    <w:basedOn w:val="Normal"/>
    <w:uiPriority w:val="99"/>
    <w:semiHidden/>
    <w:unhideWhenUsed/>
    <w:rsid w:val="008174F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E43777"/>
    <w:pPr>
      <w:spacing w:after="0" w:line="240" w:lineRule="auto"/>
    </w:pPr>
  </w:style>
  <w:style w:type="character" w:styleId="Hyperlink">
    <w:name w:val="Hyperlink"/>
    <w:uiPriority w:val="99"/>
    <w:rsid w:val="00D91117"/>
    <w:rPr>
      <w:color w:val="0000FF"/>
      <w:u w:val="single"/>
    </w:rPr>
  </w:style>
  <w:style w:type="character" w:styleId="FollowedHyperlink">
    <w:name w:val="FollowedHyperlink"/>
    <w:basedOn w:val="DefaultParagraphFont"/>
    <w:uiPriority w:val="99"/>
    <w:semiHidden/>
    <w:unhideWhenUsed/>
    <w:rsid w:val="00B84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478">
      <w:bodyDiv w:val="1"/>
      <w:marLeft w:val="0"/>
      <w:marRight w:val="0"/>
      <w:marTop w:val="0"/>
      <w:marBottom w:val="0"/>
      <w:divBdr>
        <w:top w:val="none" w:sz="0" w:space="0" w:color="auto"/>
        <w:left w:val="none" w:sz="0" w:space="0" w:color="auto"/>
        <w:bottom w:val="none" w:sz="0" w:space="0" w:color="auto"/>
        <w:right w:val="none" w:sz="0" w:space="0" w:color="auto"/>
      </w:divBdr>
    </w:div>
    <w:div w:id="155656625">
      <w:bodyDiv w:val="1"/>
      <w:marLeft w:val="0"/>
      <w:marRight w:val="0"/>
      <w:marTop w:val="0"/>
      <w:marBottom w:val="0"/>
      <w:divBdr>
        <w:top w:val="none" w:sz="0" w:space="0" w:color="auto"/>
        <w:left w:val="none" w:sz="0" w:space="0" w:color="auto"/>
        <w:bottom w:val="none" w:sz="0" w:space="0" w:color="auto"/>
        <w:right w:val="none" w:sz="0" w:space="0" w:color="auto"/>
      </w:divBdr>
    </w:div>
    <w:div w:id="237132437">
      <w:bodyDiv w:val="1"/>
      <w:marLeft w:val="0"/>
      <w:marRight w:val="0"/>
      <w:marTop w:val="0"/>
      <w:marBottom w:val="0"/>
      <w:divBdr>
        <w:top w:val="none" w:sz="0" w:space="0" w:color="auto"/>
        <w:left w:val="none" w:sz="0" w:space="0" w:color="auto"/>
        <w:bottom w:val="none" w:sz="0" w:space="0" w:color="auto"/>
        <w:right w:val="none" w:sz="0" w:space="0" w:color="auto"/>
      </w:divBdr>
    </w:div>
    <w:div w:id="273948862">
      <w:bodyDiv w:val="1"/>
      <w:marLeft w:val="0"/>
      <w:marRight w:val="0"/>
      <w:marTop w:val="0"/>
      <w:marBottom w:val="0"/>
      <w:divBdr>
        <w:top w:val="none" w:sz="0" w:space="0" w:color="auto"/>
        <w:left w:val="none" w:sz="0" w:space="0" w:color="auto"/>
        <w:bottom w:val="none" w:sz="0" w:space="0" w:color="auto"/>
        <w:right w:val="none" w:sz="0" w:space="0" w:color="auto"/>
      </w:divBdr>
    </w:div>
    <w:div w:id="289751213">
      <w:bodyDiv w:val="1"/>
      <w:marLeft w:val="0"/>
      <w:marRight w:val="0"/>
      <w:marTop w:val="0"/>
      <w:marBottom w:val="0"/>
      <w:divBdr>
        <w:top w:val="none" w:sz="0" w:space="0" w:color="auto"/>
        <w:left w:val="none" w:sz="0" w:space="0" w:color="auto"/>
        <w:bottom w:val="none" w:sz="0" w:space="0" w:color="auto"/>
        <w:right w:val="none" w:sz="0" w:space="0" w:color="auto"/>
      </w:divBdr>
    </w:div>
    <w:div w:id="298725458">
      <w:bodyDiv w:val="1"/>
      <w:marLeft w:val="0"/>
      <w:marRight w:val="0"/>
      <w:marTop w:val="0"/>
      <w:marBottom w:val="0"/>
      <w:divBdr>
        <w:top w:val="none" w:sz="0" w:space="0" w:color="auto"/>
        <w:left w:val="none" w:sz="0" w:space="0" w:color="auto"/>
        <w:bottom w:val="none" w:sz="0" w:space="0" w:color="auto"/>
        <w:right w:val="none" w:sz="0" w:space="0" w:color="auto"/>
      </w:divBdr>
    </w:div>
    <w:div w:id="355469110">
      <w:bodyDiv w:val="1"/>
      <w:marLeft w:val="0"/>
      <w:marRight w:val="0"/>
      <w:marTop w:val="0"/>
      <w:marBottom w:val="0"/>
      <w:divBdr>
        <w:top w:val="none" w:sz="0" w:space="0" w:color="auto"/>
        <w:left w:val="none" w:sz="0" w:space="0" w:color="auto"/>
        <w:bottom w:val="none" w:sz="0" w:space="0" w:color="auto"/>
        <w:right w:val="none" w:sz="0" w:space="0" w:color="auto"/>
      </w:divBdr>
    </w:div>
    <w:div w:id="374818148">
      <w:bodyDiv w:val="1"/>
      <w:marLeft w:val="0"/>
      <w:marRight w:val="0"/>
      <w:marTop w:val="0"/>
      <w:marBottom w:val="0"/>
      <w:divBdr>
        <w:top w:val="none" w:sz="0" w:space="0" w:color="auto"/>
        <w:left w:val="none" w:sz="0" w:space="0" w:color="auto"/>
        <w:bottom w:val="none" w:sz="0" w:space="0" w:color="auto"/>
        <w:right w:val="none" w:sz="0" w:space="0" w:color="auto"/>
      </w:divBdr>
    </w:div>
    <w:div w:id="379861145">
      <w:bodyDiv w:val="1"/>
      <w:marLeft w:val="0"/>
      <w:marRight w:val="0"/>
      <w:marTop w:val="0"/>
      <w:marBottom w:val="0"/>
      <w:divBdr>
        <w:top w:val="none" w:sz="0" w:space="0" w:color="auto"/>
        <w:left w:val="none" w:sz="0" w:space="0" w:color="auto"/>
        <w:bottom w:val="none" w:sz="0" w:space="0" w:color="auto"/>
        <w:right w:val="none" w:sz="0" w:space="0" w:color="auto"/>
      </w:divBdr>
    </w:div>
    <w:div w:id="402411008">
      <w:bodyDiv w:val="1"/>
      <w:marLeft w:val="0"/>
      <w:marRight w:val="0"/>
      <w:marTop w:val="0"/>
      <w:marBottom w:val="0"/>
      <w:divBdr>
        <w:top w:val="none" w:sz="0" w:space="0" w:color="auto"/>
        <w:left w:val="none" w:sz="0" w:space="0" w:color="auto"/>
        <w:bottom w:val="none" w:sz="0" w:space="0" w:color="auto"/>
        <w:right w:val="none" w:sz="0" w:space="0" w:color="auto"/>
      </w:divBdr>
    </w:div>
    <w:div w:id="418721870">
      <w:bodyDiv w:val="1"/>
      <w:marLeft w:val="0"/>
      <w:marRight w:val="0"/>
      <w:marTop w:val="0"/>
      <w:marBottom w:val="0"/>
      <w:divBdr>
        <w:top w:val="none" w:sz="0" w:space="0" w:color="auto"/>
        <w:left w:val="none" w:sz="0" w:space="0" w:color="auto"/>
        <w:bottom w:val="none" w:sz="0" w:space="0" w:color="auto"/>
        <w:right w:val="none" w:sz="0" w:space="0" w:color="auto"/>
      </w:divBdr>
    </w:div>
    <w:div w:id="498739157">
      <w:bodyDiv w:val="1"/>
      <w:marLeft w:val="0"/>
      <w:marRight w:val="0"/>
      <w:marTop w:val="0"/>
      <w:marBottom w:val="0"/>
      <w:divBdr>
        <w:top w:val="none" w:sz="0" w:space="0" w:color="auto"/>
        <w:left w:val="none" w:sz="0" w:space="0" w:color="auto"/>
        <w:bottom w:val="none" w:sz="0" w:space="0" w:color="auto"/>
        <w:right w:val="none" w:sz="0" w:space="0" w:color="auto"/>
      </w:divBdr>
    </w:div>
    <w:div w:id="941687659">
      <w:bodyDiv w:val="1"/>
      <w:marLeft w:val="0"/>
      <w:marRight w:val="0"/>
      <w:marTop w:val="0"/>
      <w:marBottom w:val="0"/>
      <w:divBdr>
        <w:top w:val="none" w:sz="0" w:space="0" w:color="auto"/>
        <w:left w:val="none" w:sz="0" w:space="0" w:color="auto"/>
        <w:bottom w:val="none" w:sz="0" w:space="0" w:color="auto"/>
        <w:right w:val="none" w:sz="0" w:space="0" w:color="auto"/>
      </w:divBdr>
    </w:div>
    <w:div w:id="960573216">
      <w:bodyDiv w:val="1"/>
      <w:marLeft w:val="0"/>
      <w:marRight w:val="0"/>
      <w:marTop w:val="0"/>
      <w:marBottom w:val="0"/>
      <w:divBdr>
        <w:top w:val="none" w:sz="0" w:space="0" w:color="auto"/>
        <w:left w:val="none" w:sz="0" w:space="0" w:color="auto"/>
        <w:bottom w:val="none" w:sz="0" w:space="0" w:color="auto"/>
        <w:right w:val="none" w:sz="0" w:space="0" w:color="auto"/>
      </w:divBdr>
    </w:div>
    <w:div w:id="1063411791">
      <w:bodyDiv w:val="1"/>
      <w:marLeft w:val="0"/>
      <w:marRight w:val="0"/>
      <w:marTop w:val="0"/>
      <w:marBottom w:val="0"/>
      <w:divBdr>
        <w:top w:val="none" w:sz="0" w:space="0" w:color="auto"/>
        <w:left w:val="none" w:sz="0" w:space="0" w:color="auto"/>
        <w:bottom w:val="none" w:sz="0" w:space="0" w:color="auto"/>
        <w:right w:val="none" w:sz="0" w:space="0" w:color="auto"/>
      </w:divBdr>
    </w:div>
    <w:div w:id="1109811474">
      <w:bodyDiv w:val="1"/>
      <w:marLeft w:val="0"/>
      <w:marRight w:val="0"/>
      <w:marTop w:val="0"/>
      <w:marBottom w:val="0"/>
      <w:divBdr>
        <w:top w:val="none" w:sz="0" w:space="0" w:color="auto"/>
        <w:left w:val="none" w:sz="0" w:space="0" w:color="auto"/>
        <w:bottom w:val="none" w:sz="0" w:space="0" w:color="auto"/>
        <w:right w:val="none" w:sz="0" w:space="0" w:color="auto"/>
      </w:divBdr>
    </w:div>
    <w:div w:id="1167747844">
      <w:bodyDiv w:val="1"/>
      <w:marLeft w:val="0"/>
      <w:marRight w:val="0"/>
      <w:marTop w:val="0"/>
      <w:marBottom w:val="0"/>
      <w:divBdr>
        <w:top w:val="none" w:sz="0" w:space="0" w:color="auto"/>
        <w:left w:val="none" w:sz="0" w:space="0" w:color="auto"/>
        <w:bottom w:val="none" w:sz="0" w:space="0" w:color="auto"/>
        <w:right w:val="none" w:sz="0" w:space="0" w:color="auto"/>
      </w:divBdr>
    </w:div>
    <w:div w:id="1193958278">
      <w:bodyDiv w:val="1"/>
      <w:marLeft w:val="0"/>
      <w:marRight w:val="0"/>
      <w:marTop w:val="0"/>
      <w:marBottom w:val="0"/>
      <w:divBdr>
        <w:top w:val="none" w:sz="0" w:space="0" w:color="auto"/>
        <w:left w:val="none" w:sz="0" w:space="0" w:color="auto"/>
        <w:bottom w:val="none" w:sz="0" w:space="0" w:color="auto"/>
        <w:right w:val="none" w:sz="0" w:space="0" w:color="auto"/>
      </w:divBdr>
    </w:div>
    <w:div w:id="1353144107">
      <w:bodyDiv w:val="1"/>
      <w:marLeft w:val="0"/>
      <w:marRight w:val="0"/>
      <w:marTop w:val="0"/>
      <w:marBottom w:val="0"/>
      <w:divBdr>
        <w:top w:val="none" w:sz="0" w:space="0" w:color="auto"/>
        <w:left w:val="none" w:sz="0" w:space="0" w:color="auto"/>
        <w:bottom w:val="none" w:sz="0" w:space="0" w:color="auto"/>
        <w:right w:val="none" w:sz="0" w:space="0" w:color="auto"/>
      </w:divBdr>
    </w:div>
    <w:div w:id="1388065862">
      <w:bodyDiv w:val="1"/>
      <w:marLeft w:val="0"/>
      <w:marRight w:val="0"/>
      <w:marTop w:val="0"/>
      <w:marBottom w:val="0"/>
      <w:divBdr>
        <w:top w:val="none" w:sz="0" w:space="0" w:color="auto"/>
        <w:left w:val="none" w:sz="0" w:space="0" w:color="auto"/>
        <w:bottom w:val="none" w:sz="0" w:space="0" w:color="auto"/>
        <w:right w:val="none" w:sz="0" w:space="0" w:color="auto"/>
      </w:divBdr>
    </w:div>
    <w:div w:id="1722555792">
      <w:bodyDiv w:val="1"/>
      <w:marLeft w:val="0"/>
      <w:marRight w:val="0"/>
      <w:marTop w:val="0"/>
      <w:marBottom w:val="0"/>
      <w:divBdr>
        <w:top w:val="none" w:sz="0" w:space="0" w:color="auto"/>
        <w:left w:val="none" w:sz="0" w:space="0" w:color="auto"/>
        <w:bottom w:val="none" w:sz="0" w:space="0" w:color="auto"/>
        <w:right w:val="none" w:sz="0" w:space="0" w:color="auto"/>
      </w:divBdr>
    </w:div>
    <w:div w:id="1724476856">
      <w:bodyDiv w:val="1"/>
      <w:marLeft w:val="0"/>
      <w:marRight w:val="0"/>
      <w:marTop w:val="0"/>
      <w:marBottom w:val="0"/>
      <w:divBdr>
        <w:top w:val="none" w:sz="0" w:space="0" w:color="auto"/>
        <w:left w:val="none" w:sz="0" w:space="0" w:color="auto"/>
        <w:bottom w:val="none" w:sz="0" w:space="0" w:color="auto"/>
        <w:right w:val="none" w:sz="0" w:space="0" w:color="auto"/>
      </w:divBdr>
    </w:div>
    <w:div w:id="1726026451">
      <w:bodyDiv w:val="1"/>
      <w:marLeft w:val="0"/>
      <w:marRight w:val="0"/>
      <w:marTop w:val="0"/>
      <w:marBottom w:val="0"/>
      <w:divBdr>
        <w:top w:val="none" w:sz="0" w:space="0" w:color="auto"/>
        <w:left w:val="none" w:sz="0" w:space="0" w:color="auto"/>
        <w:bottom w:val="none" w:sz="0" w:space="0" w:color="auto"/>
        <w:right w:val="none" w:sz="0" w:space="0" w:color="auto"/>
      </w:divBdr>
    </w:div>
    <w:div w:id="1781144335">
      <w:bodyDiv w:val="1"/>
      <w:marLeft w:val="0"/>
      <w:marRight w:val="0"/>
      <w:marTop w:val="0"/>
      <w:marBottom w:val="0"/>
      <w:divBdr>
        <w:top w:val="none" w:sz="0" w:space="0" w:color="auto"/>
        <w:left w:val="none" w:sz="0" w:space="0" w:color="auto"/>
        <w:bottom w:val="none" w:sz="0" w:space="0" w:color="auto"/>
        <w:right w:val="none" w:sz="0" w:space="0" w:color="auto"/>
      </w:divBdr>
    </w:div>
    <w:div w:id="1785345818">
      <w:bodyDiv w:val="1"/>
      <w:marLeft w:val="0"/>
      <w:marRight w:val="0"/>
      <w:marTop w:val="0"/>
      <w:marBottom w:val="0"/>
      <w:divBdr>
        <w:top w:val="none" w:sz="0" w:space="0" w:color="auto"/>
        <w:left w:val="none" w:sz="0" w:space="0" w:color="auto"/>
        <w:bottom w:val="none" w:sz="0" w:space="0" w:color="auto"/>
        <w:right w:val="none" w:sz="0" w:space="0" w:color="auto"/>
      </w:divBdr>
    </w:div>
    <w:div w:id="1838760582">
      <w:bodyDiv w:val="1"/>
      <w:marLeft w:val="0"/>
      <w:marRight w:val="0"/>
      <w:marTop w:val="0"/>
      <w:marBottom w:val="0"/>
      <w:divBdr>
        <w:top w:val="none" w:sz="0" w:space="0" w:color="auto"/>
        <w:left w:val="none" w:sz="0" w:space="0" w:color="auto"/>
        <w:bottom w:val="none" w:sz="0" w:space="0" w:color="auto"/>
        <w:right w:val="none" w:sz="0" w:space="0" w:color="auto"/>
      </w:divBdr>
    </w:div>
    <w:div w:id="1982035220">
      <w:bodyDiv w:val="1"/>
      <w:marLeft w:val="0"/>
      <w:marRight w:val="0"/>
      <w:marTop w:val="0"/>
      <w:marBottom w:val="0"/>
      <w:divBdr>
        <w:top w:val="none" w:sz="0" w:space="0" w:color="auto"/>
        <w:left w:val="none" w:sz="0" w:space="0" w:color="auto"/>
        <w:bottom w:val="none" w:sz="0" w:space="0" w:color="auto"/>
        <w:right w:val="none" w:sz="0" w:space="0" w:color="auto"/>
      </w:divBdr>
    </w:div>
    <w:div w:id="2022661573">
      <w:bodyDiv w:val="1"/>
      <w:marLeft w:val="0"/>
      <w:marRight w:val="0"/>
      <w:marTop w:val="0"/>
      <w:marBottom w:val="0"/>
      <w:divBdr>
        <w:top w:val="none" w:sz="0" w:space="0" w:color="auto"/>
        <w:left w:val="none" w:sz="0" w:space="0" w:color="auto"/>
        <w:bottom w:val="none" w:sz="0" w:space="0" w:color="auto"/>
        <w:right w:val="none" w:sz="0" w:space="0" w:color="auto"/>
      </w:divBdr>
    </w:div>
    <w:div w:id="21421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ctorrashid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D6B8-7A5A-4915-BC7B-2B7EE83C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5604</Words>
  <Characters>31945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_</vt:lpstr>
    </vt:vector>
  </TitlesOfParts>
  <Company>South Tees Hospitals NHS Foundation Trust</Company>
  <LinksUpToDate>false</LinksUpToDate>
  <CharactersWithSpaces>37475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Muhammad Rashid</dc:creator>
  <cp:keywords/>
  <cp:lastModifiedBy>Muhammad Rashid</cp:lastModifiedBy>
  <cp:revision>8</cp:revision>
  <dcterms:created xsi:type="dcterms:W3CDTF">2017-10-02T11:56:00Z</dcterms:created>
  <dcterms:modified xsi:type="dcterms:W3CDTF">2017-11-21T00:41:00Z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6521</vt:lpwstr>
  </property>
  <property fmtid="{D5CDD505-2E9C-101B-9397-08002B2CF9AE}" pid="3" name="WnCSubscriberId">
    <vt:lpwstr>5428</vt:lpwstr>
  </property>
  <property fmtid="{D5CDD505-2E9C-101B-9397-08002B2CF9AE}" pid="4" name="WnCOutputStyleId">
    <vt:lpwstr>4164</vt:lpwstr>
  </property>
  <property fmtid="{D5CDD505-2E9C-101B-9397-08002B2CF9AE}" pid="5" name="RWProductId">
    <vt:lpwstr>WnC</vt:lpwstr>
  </property>
  <property fmtid="{D5CDD505-2E9C-101B-9397-08002B2CF9AE}" pid="6" name="WnC4Folder">
    <vt:lpwstr/>
  </property>
</Properties>
</file>