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CA" w:rsidRDefault="0014505F">
      <w:pPr>
        <w:spacing w:line="480" w:lineRule="auto"/>
        <w:ind w:left="720" w:hanging="720"/>
        <w:rPr>
          <w:rFonts w:ascii="Times New Roman" w:hAnsi="Times New Roman" w:cs="Times New Roman"/>
          <w:sz w:val="24"/>
          <w:szCs w:val="24"/>
        </w:rPr>
      </w:pPr>
      <w:proofErr w:type="gramStart"/>
      <w:r>
        <w:rPr>
          <w:rFonts w:ascii="Times New Roman" w:hAnsi="Times New Roman" w:cs="Times New Roman"/>
          <w:i/>
          <w:sz w:val="24"/>
          <w:szCs w:val="24"/>
        </w:rPr>
        <w:t xml:space="preserve">Crossing the </w:t>
      </w:r>
      <w:proofErr w:type="spellStart"/>
      <w:r>
        <w:rPr>
          <w:rFonts w:ascii="Times New Roman" w:hAnsi="Times New Roman" w:cs="Times New Roman"/>
          <w:i/>
          <w:sz w:val="24"/>
          <w:szCs w:val="24"/>
        </w:rPr>
        <w:t>Color</w:t>
      </w:r>
      <w:proofErr w:type="spellEnd"/>
      <w:r>
        <w:rPr>
          <w:rFonts w:ascii="Times New Roman" w:hAnsi="Times New Roman" w:cs="Times New Roman"/>
          <w:i/>
          <w:sz w:val="24"/>
          <w:szCs w:val="24"/>
        </w:rPr>
        <w:t xml:space="preserve"> Line: Race, Sex and the Contested Politics of Colonialism in Ghana</w:t>
      </w:r>
      <w:r>
        <w:rPr>
          <w:rFonts w:ascii="Times New Roman" w:hAnsi="Times New Roman" w:cs="Times New Roman"/>
          <w:sz w:val="24"/>
          <w:szCs w:val="24"/>
        </w:rPr>
        <w:t>.</w:t>
      </w:r>
      <w:proofErr w:type="gramEnd"/>
      <w:r>
        <w:rPr>
          <w:rFonts w:ascii="Times New Roman" w:hAnsi="Times New Roman" w:cs="Times New Roman"/>
          <w:sz w:val="24"/>
          <w:szCs w:val="24"/>
        </w:rPr>
        <w:t xml:space="preserve"> By Carina E. Ray. Athens, OH: Ohio University Press, 2015. pp.333. $64 (cloth). $26.36 (paper).</w:t>
      </w:r>
    </w:p>
    <w:p w:rsidR="006A34CA" w:rsidRDefault="0014505F">
      <w:pPr>
        <w:spacing w:line="480" w:lineRule="auto"/>
        <w:jc w:val="right"/>
        <w:rPr>
          <w:rFonts w:ascii="Times New Roman" w:hAnsi="Times New Roman" w:cs="Times New Roman"/>
          <w:sz w:val="24"/>
          <w:szCs w:val="24"/>
        </w:rPr>
      </w:pPr>
      <w:r>
        <w:rPr>
          <w:rFonts w:ascii="Times New Roman" w:hAnsi="Times New Roman" w:cs="Times New Roman"/>
          <w:sz w:val="24"/>
          <w:szCs w:val="24"/>
        </w:rPr>
        <w:t>Rachel K. Bright</w:t>
      </w:r>
    </w:p>
    <w:p w:rsidR="006A34CA" w:rsidRDefault="0014505F">
      <w:pPr>
        <w:spacing w:line="480" w:lineRule="auto"/>
        <w:jc w:val="right"/>
        <w:rPr>
          <w:rFonts w:ascii="Times New Roman" w:hAnsi="Times New Roman" w:cs="Times New Roman"/>
          <w:sz w:val="24"/>
          <w:szCs w:val="24"/>
          <w:u w:val="single"/>
        </w:rPr>
      </w:pPr>
      <w:proofErr w:type="spellStart"/>
      <w:r>
        <w:rPr>
          <w:rFonts w:ascii="Times New Roman" w:hAnsi="Times New Roman" w:cs="Times New Roman"/>
          <w:sz w:val="24"/>
          <w:szCs w:val="24"/>
          <w:u w:val="single"/>
        </w:rPr>
        <w:t>Keele</w:t>
      </w:r>
      <w:proofErr w:type="spellEnd"/>
      <w:r>
        <w:rPr>
          <w:rFonts w:ascii="Times New Roman" w:hAnsi="Times New Roman" w:cs="Times New Roman"/>
          <w:sz w:val="24"/>
          <w:szCs w:val="24"/>
          <w:u w:val="single"/>
        </w:rPr>
        <w:t xml:space="preserve"> University</w:t>
      </w:r>
    </w:p>
    <w:p w:rsidR="006A34CA" w:rsidRDefault="006A34CA">
      <w:pPr>
        <w:spacing w:line="480" w:lineRule="auto"/>
        <w:ind w:firstLine="720"/>
        <w:rPr>
          <w:rFonts w:ascii="Times New Roman" w:hAnsi="Times New Roman" w:cs="Times New Roman"/>
          <w:sz w:val="24"/>
          <w:szCs w:val="24"/>
        </w:rPr>
      </w:pPr>
    </w:p>
    <w:p w:rsidR="006A34CA" w:rsidRDefault="0014505F">
      <w:pPr>
        <w:spacing w:line="480" w:lineRule="auto"/>
        <w:ind w:firstLine="720"/>
      </w:pPr>
      <w:r>
        <w:rPr>
          <w:rFonts w:ascii="Times New Roman" w:hAnsi="Times New Roman" w:cs="Times New Roman"/>
          <w:sz w:val="24"/>
          <w:szCs w:val="24"/>
        </w:rPr>
        <w:t xml:space="preserve">The regulation of sexuality in European colonies is a popular topic, but rarely has it been </w:t>
      </w:r>
      <w:r w:rsidR="00083893">
        <w:rPr>
          <w:rFonts w:ascii="Times New Roman" w:hAnsi="Times New Roman" w:cs="Times New Roman"/>
          <w:sz w:val="24"/>
          <w:szCs w:val="24"/>
        </w:rPr>
        <w:t>examined</w:t>
      </w:r>
      <w:r w:rsidR="00083893">
        <w:rPr>
          <w:rFonts w:ascii="Times New Roman" w:hAnsi="Times New Roman" w:cs="Times New Roman"/>
          <w:sz w:val="24"/>
          <w:szCs w:val="24"/>
        </w:rPr>
        <w:t xml:space="preserve"> </w:t>
      </w:r>
      <w:r>
        <w:rPr>
          <w:rFonts w:ascii="Times New Roman" w:hAnsi="Times New Roman" w:cs="Times New Roman"/>
          <w:sz w:val="24"/>
          <w:szCs w:val="24"/>
        </w:rPr>
        <w:t>in such a nuance</w:t>
      </w:r>
      <w:r w:rsidR="00242ABE">
        <w:rPr>
          <w:rFonts w:ascii="Times New Roman" w:hAnsi="Times New Roman" w:cs="Times New Roman"/>
          <w:sz w:val="24"/>
          <w:szCs w:val="24"/>
        </w:rPr>
        <w:t>d</w:t>
      </w:r>
      <w:r w:rsidR="00F04D26">
        <w:rPr>
          <w:rFonts w:ascii="Times New Roman" w:hAnsi="Times New Roman" w:cs="Times New Roman"/>
          <w:sz w:val="24"/>
          <w:szCs w:val="24"/>
        </w:rPr>
        <w:t xml:space="preserve"> way. This well-sourced</w:t>
      </w:r>
      <w:bookmarkStart w:id="0" w:name="_GoBack"/>
      <w:bookmarkEnd w:id="0"/>
      <w:r>
        <w:rPr>
          <w:rFonts w:ascii="Times New Roman" w:hAnsi="Times New Roman" w:cs="Times New Roman"/>
          <w:sz w:val="24"/>
          <w:szCs w:val="24"/>
        </w:rPr>
        <w:t xml:space="preserve"> book covers the sixteenth century to the present day, although primarily focuses on African-European ‘</w:t>
      </w:r>
      <w:proofErr w:type="spellStart"/>
      <w:r>
        <w:rPr>
          <w:rFonts w:ascii="Times New Roman" w:hAnsi="Times New Roman" w:cs="Times New Roman"/>
          <w:sz w:val="24"/>
          <w:szCs w:val="24"/>
        </w:rPr>
        <w:t>concubinage</w:t>
      </w:r>
      <w:proofErr w:type="spellEnd"/>
      <w:r>
        <w:rPr>
          <w:rFonts w:ascii="Times New Roman" w:hAnsi="Times New Roman" w:cs="Times New Roman"/>
          <w:sz w:val="24"/>
          <w:szCs w:val="24"/>
        </w:rPr>
        <w:t>’ and ‘marriage’ in the Gold Coast during British colonisation</w:t>
      </w:r>
      <w:r>
        <w:rPr>
          <w:rFonts w:ascii="Times New Roman" w:hAnsi="Times New Roman" w:cs="Times New Roman"/>
          <w:sz w:val="24"/>
          <w:szCs w:val="24"/>
        </w:rPr>
        <w:t>, between the 1890s and the 1950s</w:t>
      </w:r>
      <w:r>
        <w:rPr>
          <w:rFonts w:ascii="Times New Roman" w:hAnsi="Times New Roman" w:cs="Times New Roman"/>
          <w:sz w:val="24"/>
          <w:szCs w:val="24"/>
        </w:rPr>
        <w:t xml:space="preserve">. The strength of this book is Ray’s close study of the thousands of pages of material </w:t>
      </w:r>
      <w:r w:rsidR="00242ABE">
        <w:rPr>
          <w:rFonts w:ascii="Times New Roman" w:hAnsi="Times New Roman" w:cs="Times New Roman"/>
          <w:sz w:val="24"/>
          <w:szCs w:val="24"/>
        </w:rPr>
        <w:t>covering</w:t>
      </w:r>
      <w:r>
        <w:rPr>
          <w:rFonts w:ascii="Times New Roman" w:hAnsi="Times New Roman" w:cs="Times New Roman"/>
          <w:sz w:val="24"/>
          <w:szCs w:val="24"/>
        </w:rPr>
        <w:t xml:space="preserve"> the small number of ‘inter-racial’ relationships investigated by the Colonial Office, which make up the bulk of Part I, and the few cases of inter-marriage in Britain and the repercussions there and in the Gold Coast from 1919 to the present day, as detailed in the shorter Part II. Her analysis of available records shock</w:t>
      </w:r>
      <w:r w:rsidR="00083893">
        <w:rPr>
          <w:rFonts w:ascii="Times New Roman" w:hAnsi="Times New Roman" w:cs="Times New Roman"/>
          <w:sz w:val="24"/>
          <w:szCs w:val="24"/>
        </w:rPr>
        <w:t>s</w:t>
      </w:r>
      <w:r>
        <w:rPr>
          <w:rFonts w:ascii="Times New Roman" w:hAnsi="Times New Roman" w:cs="Times New Roman"/>
          <w:sz w:val="24"/>
          <w:szCs w:val="24"/>
        </w:rPr>
        <w:t xml:space="preserve"> and move</w:t>
      </w:r>
      <w:r w:rsidR="00083893">
        <w:rPr>
          <w:rFonts w:ascii="Times New Roman" w:hAnsi="Times New Roman" w:cs="Times New Roman"/>
          <w:sz w:val="24"/>
          <w:szCs w:val="24"/>
        </w:rPr>
        <w:t>s</w:t>
      </w:r>
      <w:r>
        <w:rPr>
          <w:rFonts w:ascii="Times New Roman" w:hAnsi="Times New Roman" w:cs="Times New Roman"/>
          <w:sz w:val="24"/>
          <w:szCs w:val="24"/>
        </w:rPr>
        <w:t xml:space="preserve"> readers, offering delicately nuanced interpretations of the lives and relationships (not just sexual) of the men and women caught up in scandal. Indeed, few historians can match her skill in demonstrating the interplay between race, sexuality, an</w:t>
      </w:r>
      <w:r w:rsidR="00083893">
        <w:rPr>
          <w:rFonts w:ascii="Times New Roman" w:hAnsi="Times New Roman" w:cs="Times New Roman"/>
          <w:sz w:val="24"/>
          <w:szCs w:val="24"/>
        </w:rPr>
        <w:t>d class.</w:t>
      </w:r>
    </w:p>
    <w:p w:rsidR="006A34CA" w:rsidRDefault="0014505F">
      <w:pPr>
        <w:spacing w:line="480" w:lineRule="auto"/>
        <w:ind w:firstLine="720"/>
      </w:pPr>
      <w:r>
        <w:rPr>
          <w:rFonts w:ascii="Times New Roman" w:hAnsi="Times New Roman" w:cs="Times New Roman"/>
          <w:sz w:val="24"/>
          <w:szCs w:val="24"/>
        </w:rPr>
        <w:t xml:space="preserve">This is exemplified in chapter 2, which discusses Marcus Clarke, the first colonial officer investigated for violating a 1907 ban on </w:t>
      </w:r>
      <w:proofErr w:type="spellStart"/>
      <w:r>
        <w:rPr>
          <w:rFonts w:ascii="Times New Roman" w:hAnsi="Times New Roman" w:cs="Times New Roman"/>
          <w:sz w:val="24"/>
          <w:szCs w:val="24"/>
        </w:rPr>
        <w:t>concubinage</w:t>
      </w:r>
      <w:proofErr w:type="spellEnd"/>
      <w:r>
        <w:rPr>
          <w:rFonts w:ascii="Times New Roman" w:hAnsi="Times New Roman" w:cs="Times New Roman"/>
          <w:sz w:val="24"/>
          <w:szCs w:val="24"/>
        </w:rPr>
        <w:t>. Accused of attempting to procure young African girls for sex, Ray reveals how the case was less about illicit sex than it was about the racial and class implications of Clarke’s position as a ‘West Indian</w:t>
      </w:r>
      <w:r w:rsidR="00083893">
        <w:rPr>
          <w:rFonts w:ascii="Times New Roman" w:hAnsi="Times New Roman" w:cs="Times New Roman"/>
          <w:sz w:val="24"/>
          <w:szCs w:val="24"/>
        </w:rPr>
        <w:t xml:space="preserve"> of partial African descent’ (</w:t>
      </w:r>
      <w:r>
        <w:rPr>
          <w:rFonts w:ascii="Times New Roman" w:hAnsi="Times New Roman" w:cs="Times New Roman"/>
          <w:sz w:val="24"/>
          <w:szCs w:val="24"/>
        </w:rPr>
        <w:t xml:space="preserve">58), imported into the Gold Coast as a ‘European’ official with European </w:t>
      </w:r>
      <w:r>
        <w:rPr>
          <w:rFonts w:ascii="Times New Roman" w:hAnsi="Times New Roman" w:cs="Times New Roman"/>
          <w:sz w:val="24"/>
          <w:szCs w:val="24"/>
        </w:rPr>
        <w:lastRenderedPageBreak/>
        <w:t xml:space="preserve">wages. This episode </w:t>
      </w:r>
      <w:r w:rsidR="00242ABE">
        <w:rPr>
          <w:rFonts w:ascii="Times New Roman" w:hAnsi="Times New Roman" w:cs="Times New Roman"/>
          <w:sz w:val="24"/>
          <w:szCs w:val="24"/>
        </w:rPr>
        <w:t>demonstrates</w:t>
      </w:r>
      <w:r>
        <w:rPr>
          <w:rFonts w:ascii="Times New Roman" w:hAnsi="Times New Roman" w:cs="Times New Roman"/>
          <w:sz w:val="24"/>
          <w:szCs w:val="24"/>
        </w:rPr>
        <w:t xml:space="preserve"> how cases of sexual misconduct were only ever partly about sex. Indeed, Clarke’s case publicised how difficult it was for colonial administrators to actually distinguish between coloniser and colonised, as well as the dangers of investigating such cases. While the ‘litmus test for deciding whether disciplinary action had to be taken’ was whether sexual behaviour wou</w:t>
      </w:r>
      <w:r w:rsidR="00083893">
        <w:rPr>
          <w:rFonts w:ascii="Times New Roman" w:hAnsi="Times New Roman" w:cs="Times New Roman"/>
          <w:sz w:val="24"/>
          <w:szCs w:val="24"/>
        </w:rPr>
        <w:t>ld create ‘a public scandal’</w:t>
      </w:r>
      <w:r w:rsidR="00242ABE">
        <w:rPr>
          <w:rFonts w:ascii="Times New Roman" w:hAnsi="Times New Roman" w:cs="Times New Roman"/>
          <w:sz w:val="24"/>
          <w:szCs w:val="24"/>
        </w:rPr>
        <w:t xml:space="preserve"> in the colony</w:t>
      </w:r>
      <w:r w:rsidR="00083893">
        <w:rPr>
          <w:rFonts w:ascii="Times New Roman" w:hAnsi="Times New Roman" w:cs="Times New Roman"/>
          <w:sz w:val="24"/>
          <w:szCs w:val="24"/>
        </w:rPr>
        <w:t xml:space="preserve"> (</w:t>
      </w:r>
      <w:r>
        <w:rPr>
          <w:rFonts w:ascii="Times New Roman" w:hAnsi="Times New Roman" w:cs="Times New Roman"/>
          <w:sz w:val="24"/>
          <w:szCs w:val="24"/>
        </w:rPr>
        <w:t xml:space="preserve">119), officials soon realised that almost every investigation itself caused a scandal. When attempts were made to cement hierarchies of power through sexual regulation, colonial officials actually created ‘powerful tools of coercion and sabotage used by both Africans and Europeans to achieve a range of </w:t>
      </w:r>
      <w:r>
        <w:rPr>
          <w:rFonts w:ascii="Times New Roman" w:hAnsi="Times New Roman" w:cs="Times New Roman"/>
          <w:sz w:val="24"/>
          <w:szCs w:val="24"/>
        </w:rPr>
        <w:t xml:space="preserve">different </w:t>
      </w:r>
      <w:r>
        <w:rPr>
          <w:rFonts w:ascii="Times New Roman" w:hAnsi="Times New Roman" w:cs="Times New Roman"/>
          <w:sz w:val="24"/>
          <w:szCs w:val="24"/>
        </w:rPr>
        <w:t>goals, chief among them extorting money, redressing workplace grievances, and ruining rival officers’ careers</w:t>
      </w:r>
      <w:r w:rsidR="00242ABE">
        <w:rPr>
          <w:rFonts w:ascii="Times New Roman" w:hAnsi="Times New Roman" w:cs="Times New Roman"/>
          <w:sz w:val="24"/>
          <w:szCs w:val="24"/>
        </w:rPr>
        <w:t>’</w:t>
      </w:r>
      <w:r>
        <w:rPr>
          <w:rFonts w:ascii="Times New Roman" w:hAnsi="Times New Roman" w:cs="Times New Roman"/>
          <w:sz w:val="24"/>
          <w:szCs w:val="24"/>
        </w:rPr>
        <w:t>, which ‘undermined Britis</w:t>
      </w:r>
      <w:r w:rsidR="00083893">
        <w:rPr>
          <w:rFonts w:ascii="Times New Roman" w:hAnsi="Times New Roman" w:cs="Times New Roman"/>
          <w:sz w:val="24"/>
          <w:szCs w:val="24"/>
        </w:rPr>
        <w:t>h authority and credibility’ (</w:t>
      </w:r>
      <w:r>
        <w:rPr>
          <w:rFonts w:ascii="Times New Roman" w:hAnsi="Times New Roman" w:cs="Times New Roman"/>
          <w:sz w:val="24"/>
          <w:szCs w:val="24"/>
        </w:rPr>
        <w:t xml:space="preserve">18). In the process, Ray depicts a </w:t>
      </w:r>
      <w:r w:rsidR="00545F8B">
        <w:rPr>
          <w:rFonts w:ascii="Times New Roman" w:hAnsi="Times New Roman" w:cs="Times New Roman"/>
          <w:sz w:val="24"/>
          <w:szCs w:val="24"/>
        </w:rPr>
        <w:t>less moralistic, more pragmatic</w:t>
      </w:r>
      <w:r>
        <w:rPr>
          <w:rFonts w:ascii="Times New Roman" w:hAnsi="Times New Roman" w:cs="Times New Roman"/>
          <w:sz w:val="24"/>
          <w:szCs w:val="24"/>
        </w:rPr>
        <w:t xml:space="preserve"> colonial administ</w:t>
      </w:r>
      <w:r w:rsidR="00242ABE">
        <w:rPr>
          <w:rFonts w:ascii="Times New Roman" w:hAnsi="Times New Roman" w:cs="Times New Roman"/>
          <w:sz w:val="24"/>
          <w:szCs w:val="24"/>
        </w:rPr>
        <w:t>ration than is usually supposed, and with Africans as central agents in sexual encounters.</w:t>
      </w:r>
    </w:p>
    <w:p w:rsidR="00242ABE" w:rsidRDefault="001450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 also attempts to invert the gaze, focusing partly on Ghanaian attitudes to ‘mixed race’ relationships, offering an essential counterpoint of the more commonly studied ‘black peril’ panics in the US and Africa. Indeed, chapter 7 is an illuminating study of how Ghanaian men articulated a ‘white peril’ panic, concerned with ‘immoral’ relationships between European men and local women. Here, Ray makes an unusual but compelling argument that the first Ghanaian calls for independence were reactions to the 1919 Liverpool riots, directed against British working class women marrying West Africans, not after World War II as is more commonly supposed. Women’s bodies </w:t>
      </w:r>
      <w:r w:rsidR="00545F8B">
        <w:rPr>
          <w:rFonts w:ascii="Times New Roman" w:hAnsi="Times New Roman" w:cs="Times New Roman"/>
          <w:sz w:val="24"/>
          <w:szCs w:val="24"/>
        </w:rPr>
        <w:t>became sites</w:t>
      </w:r>
      <w:r>
        <w:rPr>
          <w:rFonts w:ascii="Times New Roman" w:hAnsi="Times New Roman" w:cs="Times New Roman"/>
          <w:sz w:val="24"/>
          <w:szCs w:val="24"/>
        </w:rPr>
        <w:t xml:space="preserve"> of male power contestation, and such relationships were used ‘as proof of the demoralizing influences of European men, and by extension colonial rule</w:t>
      </w:r>
      <w:r w:rsidR="00242ABE">
        <w:rPr>
          <w:rFonts w:ascii="Times New Roman" w:hAnsi="Times New Roman" w:cs="Times New Roman"/>
          <w:sz w:val="24"/>
          <w:szCs w:val="24"/>
        </w:rPr>
        <w:t xml:space="preserve">’ </w:t>
      </w:r>
      <w:r w:rsidR="00545F8B">
        <w:rPr>
          <w:rFonts w:ascii="Times New Roman" w:hAnsi="Times New Roman" w:cs="Times New Roman"/>
          <w:sz w:val="24"/>
          <w:szCs w:val="24"/>
        </w:rPr>
        <w:t>itself</w:t>
      </w:r>
      <w:r w:rsidR="00083893">
        <w:rPr>
          <w:rFonts w:ascii="Times New Roman" w:hAnsi="Times New Roman" w:cs="Times New Roman"/>
          <w:sz w:val="24"/>
          <w:szCs w:val="24"/>
        </w:rPr>
        <w:t xml:space="preserve"> (</w:t>
      </w:r>
      <w:r>
        <w:rPr>
          <w:rFonts w:ascii="Times New Roman" w:hAnsi="Times New Roman" w:cs="Times New Roman"/>
          <w:sz w:val="24"/>
          <w:szCs w:val="24"/>
        </w:rPr>
        <w:t xml:space="preserve">200). </w:t>
      </w:r>
    </w:p>
    <w:p w:rsidR="006A34CA" w:rsidRDefault="0014505F">
      <w:pPr>
        <w:spacing w:line="480" w:lineRule="auto"/>
        <w:ind w:firstLine="720"/>
      </w:pPr>
      <w:r>
        <w:rPr>
          <w:rFonts w:ascii="Times New Roman" w:hAnsi="Times New Roman" w:cs="Times New Roman"/>
          <w:sz w:val="24"/>
          <w:szCs w:val="24"/>
        </w:rPr>
        <w:t xml:space="preserve">Throughout, Ray deals with archival omissions thoughtfully, especially in more recent cases where she has been able to interview the actual participants of such relationships or </w:t>
      </w:r>
      <w:r>
        <w:rPr>
          <w:rFonts w:ascii="Times New Roman" w:hAnsi="Times New Roman" w:cs="Times New Roman"/>
          <w:sz w:val="24"/>
          <w:szCs w:val="24"/>
        </w:rPr>
        <w:lastRenderedPageBreak/>
        <w:t xml:space="preserve">their offspring. The focus on the working-class Ghanaian-German Jewish-British Annan family in chapter 6 is a striking example of where government archives have been matched with oral history, to provide a complex and moving story of global migration and marriage ‘across the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line’. There are also attempts to balance out much of the male-dominated discourse</w:t>
      </w:r>
      <w:r w:rsidR="00242ABE">
        <w:rPr>
          <w:rFonts w:ascii="Times New Roman" w:hAnsi="Times New Roman" w:cs="Times New Roman"/>
          <w:sz w:val="24"/>
          <w:szCs w:val="24"/>
        </w:rPr>
        <w:t>,</w:t>
      </w:r>
      <w:r>
        <w:rPr>
          <w:rFonts w:ascii="Times New Roman" w:hAnsi="Times New Roman" w:cs="Times New Roman"/>
          <w:sz w:val="24"/>
          <w:szCs w:val="24"/>
        </w:rPr>
        <w:t xml:space="preserve"> with insights into the reasons for female participation in such relationships, although the records often make </w:t>
      </w:r>
      <w:r w:rsidR="00242ABE">
        <w:rPr>
          <w:rFonts w:ascii="Times New Roman" w:hAnsi="Times New Roman" w:cs="Times New Roman"/>
          <w:sz w:val="24"/>
          <w:szCs w:val="24"/>
        </w:rPr>
        <w:t>this</w:t>
      </w:r>
      <w:r>
        <w:rPr>
          <w:rFonts w:ascii="Times New Roman" w:hAnsi="Times New Roman" w:cs="Times New Roman"/>
          <w:sz w:val="24"/>
          <w:szCs w:val="24"/>
        </w:rPr>
        <w:t xml:space="preserve"> </w:t>
      </w:r>
      <w:r w:rsidR="00242ABE">
        <w:rPr>
          <w:rFonts w:ascii="Times New Roman" w:hAnsi="Times New Roman" w:cs="Times New Roman"/>
          <w:sz w:val="24"/>
          <w:szCs w:val="24"/>
        </w:rPr>
        <w:t>problematic</w:t>
      </w:r>
      <w:r>
        <w:rPr>
          <w:rFonts w:ascii="Times New Roman" w:hAnsi="Times New Roman" w:cs="Times New Roman"/>
          <w:sz w:val="24"/>
          <w:szCs w:val="24"/>
        </w:rPr>
        <w:t>. Indeed, despite her skills, it is difficult not to be aware of the very unusualness of the cases examined, and the sorts of s</w:t>
      </w:r>
      <w:r w:rsidR="00242ABE">
        <w:rPr>
          <w:rFonts w:ascii="Times New Roman" w:hAnsi="Times New Roman" w:cs="Times New Roman"/>
          <w:sz w:val="24"/>
          <w:szCs w:val="24"/>
        </w:rPr>
        <w:t xml:space="preserve">exual encounters not included. </w:t>
      </w:r>
      <w:r>
        <w:rPr>
          <w:rFonts w:ascii="Times New Roman" w:hAnsi="Times New Roman" w:cs="Times New Roman"/>
          <w:sz w:val="24"/>
          <w:szCs w:val="24"/>
        </w:rPr>
        <w:t xml:space="preserve">The reliance on British colonial </w:t>
      </w:r>
      <w:r w:rsidR="00545F8B">
        <w:rPr>
          <w:rFonts w:ascii="Times New Roman" w:hAnsi="Times New Roman" w:cs="Times New Roman"/>
          <w:sz w:val="24"/>
          <w:szCs w:val="24"/>
        </w:rPr>
        <w:t>records means</w:t>
      </w:r>
      <w:r>
        <w:rPr>
          <w:rFonts w:ascii="Times New Roman" w:hAnsi="Times New Roman" w:cs="Times New Roman"/>
          <w:sz w:val="24"/>
          <w:szCs w:val="24"/>
        </w:rPr>
        <w:t xml:space="preserve"> that most cases focus on colonial officials, even though the majority of Europeans in </w:t>
      </w:r>
      <w:r w:rsidR="00242ABE">
        <w:rPr>
          <w:rFonts w:ascii="Times New Roman" w:hAnsi="Times New Roman" w:cs="Times New Roman"/>
          <w:sz w:val="24"/>
          <w:szCs w:val="24"/>
        </w:rPr>
        <w:t>the Gold Coast</w:t>
      </w:r>
      <w:r>
        <w:rPr>
          <w:rFonts w:ascii="Times New Roman" w:hAnsi="Times New Roman" w:cs="Times New Roman"/>
          <w:sz w:val="24"/>
          <w:szCs w:val="24"/>
        </w:rPr>
        <w:t xml:space="preserve"> were privately employed. Colonial officials were most concerned with long-term heterosexual relationships between Africans and </w:t>
      </w:r>
      <w:r w:rsidR="00545F8B">
        <w:rPr>
          <w:rFonts w:ascii="Times New Roman" w:hAnsi="Times New Roman" w:cs="Times New Roman"/>
          <w:sz w:val="24"/>
          <w:szCs w:val="24"/>
        </w:rPr>
        <w:t>Europeans, so</w:t>
      </w:r>
      <w:r>
        <w:rPr>
          <w:rFonts w:ascii="Times New Roman" w:hAnsi="Times New Roman" w:cs="Times New Roman"/>
          <w:sz w:val="24"/>
          <w:szCs w:val="24"/>
        </w:rPr>
        <w:t xml:space="preserve"> there is little on homosexuality, rape or more casual sexual relationships. The fascinating cover photograph of (probably) French colonial officials with their ‘native wives’ and children illustrates how challenging it has been for Ray to find substan</w:t>
      </w:r>
      <w:r w:rsidR="00242ABE">
        <w:rPr>
          <w:rFonts w:ascii="Times New Roman" w:hAnsi="Times New Roman" w:cs="Times New Roman"/>
          <w:sz w:val="24"/>
          <w:szCs w:val="24"/>
        </w:rPr>
        <w:t>tial information in many cases.</w:t>
      </w:r>
    </w:p>
    <w:p w:rsidR="006A34CA" w:rsidRDefault="0014505F">
      <w:pPr>
        <w:spacing w:line="480" w:lineRule="auto"/>
        <w:ind w:firstLine="720"/>
      </w:pPr>
      <w:r>
        <w:rPr>
          <w:rFonts w:ascii="Times New Roman" w:hAnsi="Times New Roman" w:cs="Times New Roman"/>
          <w:sz w:val="24"/>
          <w:szCs w:val="24"/>
        </w:rPr>
        <w:t xml:space="preserve">Still, her focus on the long-term relationships which evolved ‘across the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line’ in Ghana allows her to reach some surprising and important conclusions. For instance, colonial administrators in the Gold Coast were never particularly interested in the progeny of these relationships, who remained classified as ‘African’ throughout the colonial period. This counters much of the existing general literature on sex and empire, which has assumed that fears of miscegenation we</w:t>
      </w:r>
      <w:r w:rsidR="00083893">
        <w:rPr>
          <w:rFonts w:ascii="Times New Roman" w:hAnsi="Times New Roman" w:cs="Times New Roman"/>
          <w:sz w:val="24"/>
          <w:szCs w:val="24"/>
        </w:rPr>
        <w:t>re central in driving policy (</w:t>
      </w:r>
      <w:r w:rsidR="00242ABE">
        <w:rPr>
          <w:rFonts w:ascii="Times New Roman" w:hAnsi="Times New Roman" w:cs="Times New Roman"/>
          <w:sz w:val="24"/>
          <w:szCs w:val="24"/>
        </w:rPr>
        <w:t>15</w:t>
      </w:r>
      <w:proofErr w:type="gramStart"/>
      <w:r w:rsidR="00242ABE">
        <w:rPr>
          <w:rFonts w:ascii="Times New Roman" w:hAnsi="Times New Roman" w:cs="Times New Roman"/>
          <w:sz w:val="24"/>
          <w:szCs w:val="24"/>
        </w:rPr>
        <w:t>,48</w:t>
      </w:r>
      <w:proofErr w:type="gramEnd"/>
      <w:r w:rsidR="00242ABE">
        <w:rPr>
          <w:rFonts w:ascii="Times New Roman" w:hAnsi="Times New Roman" w:cs="Times New Roman"/>
          <w:sz w:val="24"/>
          <w:szCs w:val="24"/>
        </w:rPr>
        <w:t>-53).</w:t>
      </w:r>
    </w:p>
    <w:p w:rsidR="00687205" w:rsidRDefault="001450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most importantly, these chapters offer an excellent critique of Ronald </w:t>
      </w:r>
      <w:proofErr w:type="spellStart"/>
      <w:r>
        <w:rPr>
          <w:rFonts w:ascii="Times New Roman" w:hAnsi="Times New Roman" w:cs="Times New Roman"/>
          <w:sz w:val="24"/>
          <w:szCs w:val="24"/>
        </w:rPr>
        <w:t>Hyam’s</w:t>
      </w:r>
      <w:proofErr w:type="spellEnd"/>
      <w:r>
        <w:rPr>
          <w:rFonts w:ascii="Times New Roman" w:hAnsi="Times New Roman" w:cs="Times New Roman"/>
          <w:sz w:val="24"/>
          <w:szCs w:val="24"/>
        </w:rPr>
        <w:t xml:space="preserve"> interpretation of the 1909 Crewe Circular (the specific focus of Ray’s chapter 4). </w:t>
      </w:r>
      <w:proofErr w:type="spellStart"/>
      <w:r>
        <w:rPr>
          <w:rFonts w:ascii="Times New Roman" w:hAnsi="Times New Roman" w:cs="Times New Roman"/>
          <w:sz w:val="24"/>
          <w:szCs w:val="24"/>
        </w:rPr>
        <w:t>Hyam</w:t>
      </w:r>
      <w:proofErr w:type="spellEnd"/>
      <w:r>
        <w:rPr>
          <w:rFonts w:ascii="Times New Roman" w:hAnsi="Times New Roman" w:cs="Times New Roman"/>
          <w:sz w:val="24"/>
          <w:szCs w:val="24"/>
        </w:rPr>
        <w:t xml:space="preserve"> concluded that the ban was driven </w:t>
      </w:r>
      <w:r w:rsidR="00545F8B">
        <w:rPr>
          <w:rFonts w:ascii="Times New Roman" w:hAnsi="Times New Roman" w:cs="Times New Roman"/>
          <w:sz w:val="24"/>
          <w:szCs w:val="24"/>
        </w:rPr>
        <w:t>by</w:t>
      </w:r>
      <w:r>
        <w:rPr>
          <w:rFonts w:ascii="Times New Roman" w:hAnsi="Times New Roman" w:cs="Times New Roman"/>
          <w:sz w:val="24"/>
          <w:szCs w:val="24"/>
        </w:rPr>
        <w:t xml:space="preserve"> a puritanical metropolis, ‘</w:t>
      </w:r>
      <w:proofErr w:type="spellStart"/>
      <w:r>
        <w:rPr>
          <w:rFonts w:ascii="Times New Roman" w:hAnsi="Times New Roman" w:cs="Times New Roman"/>
          <w:sz w:val="24"/>
          <w:szCs w:val="24"/>
        </w:rPr>
        <w:t>concubinage</w:t>
      </w:r>
      <w:proofErr w:type="spellEnd"/>
      <w:r>
        <w:rPr>
          <w:rFonts w:ascii="Times New Roman" w:hAnsi="Times New Roman" w:cs="Times New Roman"/>
          <w:sz w:val="24"/>
          <w:szCs w:val="24"/>
        </w:rPr>
        <w:t xml:space="preserve"> itself never produced any confrontations with African peoples’, nor affected ‘African perceptions of </w:t>
      </w:r>
      <w:r>
        <w:rPr>
          <w:rFonts w:ascii="Times New Roman" w:hAnsi="Times New Roman" w:cs="Times New Roman"/>
          <w:sz w:val="24"/>
          <w:szCs w:val="24"/>
        </w:rPr>
        <w:lastRenderedPageBreak/>
        <w:t>w</w:t>
      </w:r>
      <w:r w:rsidR="00687205">
        <w:rPr>
          <w:rFonts w:ascii="Times New Roman" w:hAnsi="Times New Roman" w:cs="Times New Roman"/>
          <w:sz w:val="24"/>
          <w:szCs w:val="24"/>
        </w:rPr>
        <w:t>hite man’s rule’, before being ‘</w:t>
      </w:r>
      <w:r>
        <w:rPr>
          <w:rFonts w:ascii="Times New Roman" w:hAnsi="Times New Roman" w:cs="Times New Roman"/>
          <w:sz w:val="24"/>
          <w:szCs w:val="24"/>
        </w:rPr>
        <w:t>generally eliminated in African colonies by the mid-1920s’.</w:t>
      </w:r>
      <w:r>
        <w:rPr>
          <w:rStyle w:val="FootnoteAnchor"/>
          <w:rFonts w:ascii="Times New Roman" w:hAnsi="Times New Roman" w:cs="Times New Roman"/>
          <w:sz w:val="24"/>
          <w:szCs w:val="24"/>
        </w:rPr>
        <w:footnoteReference w:id="1"/>
      </w:r>
      <w:r>
        <w:rPr>
          <w:rFonts w:ascii="Times New Roman" w:hAnsi="Times New Roman" w:cs="Times New Roman"/>
          <w:sz w:val="24"/>
          <w:szCs w:val="24"/>
        </w:rPr>
        <w:t xml:space="preserve"> Ray challenges all of these points. Indeed, the very importance of the Circular as a key moment in the history of imperial rule is called into question, given the reluctance to actually enforce the legislation.</w:t>
      </w:r>
      <w:r w:rsidR="00687205">
        <w:rPr>
          <w:rFonts w:ascii="Times New Roman" w:hAnsi="Times New Roman" w:cs="Times New Roman"/>
          <w:sz w:val="24"/>
          <w:szCs w:val="24"/>
        </w:rPr>
        <w:t xml:space="preserve"> </w:t>
      </w:r>
    </w:p>
    <w:p w:rsidR="00687205" w:rsidRDefault="00687205">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Overall, this book is full of stories well told, and offers the reader a more nuanced understanding of the inter-relationship between sex, race and class in colonial Africa. It is, in short, a pleasure to read.</w:t>
      </w:r>
    </w:p>
    <w:sectPr w:rsidR="00687205">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5F" w:rsidRDefault="0014505F">
      <w:pPr>
        <w:spacing w:after="0" w:line="240" w:lineRule="auto"/>
      </w:pPr>
      <w:r>
        <w:separator/>
      </w:r>
    </w:p>
  </w:endnote>
  <w:endnote w:type="continuationSeparator" w:id="0">
    <w:p w:rsidR="0014505F" w:rsidRDefault="0014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5F" w:rsidRDefault="0014505F">
      <w:r>
        <w:separator/>
      </w:r>
    </w:p>
  </w:footnote>
  <w:footnote w:type="continuationSeparator" w:id="0">
    <w:p w:rsidR="0014505F" w:rsidRDefault="0014505F">
      <w:r>
        <w:continuationSeparator/>
      </w:r>
    </w:p>
  </w:footnote>
  <w:footnote w:id="1">
    <w:p w:rsidR="006A34CA" w:rsidRDefault="0014505F">
      <w:pPr>
        <w:pStyle w:val="Footnote"/>
      </w:pPr>
      <w:r>
        <w:rPr>
          <w:rStyle w:val="FootnoteReference"/>
        </w:rPr>
        <w:footnoteRef/>
      </w:r>
      <w:r w:rsidR="00083893">
        <w:rPr>
          <w:rStyle w:val="FootnoteReference"/>
        </w:rPr>
        <w:t xml:space="preserve"> </w:t>
      </w:r>
      <w:r w:rsidR="00083893">
        <w:t xml:space="preserve">Ronald </w:t>
      </w:r>
      <w:proofErr w:type="spellStart"/>
      <w:r w:rsidR="00083893">
        <w:t>Hyam</w:t>
      </w:r>
      <w:proofErr w:type="spellEnd"/>
      <w:r w:rsidR="00083893">
        <w:t xml:space="preserve">, </w:t>
      </w:r>
      <w:r w:rsidRPr="00083893">
        <w:rPr>
          <w:i/>
        </w:rPr>
        <w:t>Empire and Sexuality</w:t>
      </w:r>
      <w:r w:rsidR="00083893" w:rsidRPr="00083893">
        <w:rPr>
          <w:i/>
        </w:rPr>
        <w:t>: The British Experience</w:t>
      </w:r>
      <w:r w:rsidR="00083893">
        <w:t xml:space="preserve"> (Manchester: Manchester University Press, 1991) 178,169-70</w:t>
      </w:r>
      <w: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 Swain">
    <w15:presenceInfo w15:providerId="None" w15:userId="KR Sw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CA"/>
    <w:rsid w:val="00083893"/>
    <w:rsid w:val="0014505F"/>
    <w:rsid w:val="00242ABE"/>
    <w:rsid w:val="00545F8B"/>
    <w:rsid w:val="00654FCD"/>
    <w:rsid w:val="00687205"/>
    <w:rsid w:val="006A34CA"/>
    <w:rsid w:val="009740D9"/>
    <w:rsid w:val="00D85144"/>
    <w:rsid w:val="00F04D2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paragraph" w:styleId="Heading2">
    <w:name w:val="heading 2"/>
    <w:basedOn w:val="Normal"/>
    <w:next w:val="Normal"/>
    <w:link w:val="Heading2Char"/>
    <w:autoRedefine/>
    <w:uiPriority w:val="9"/>
    <w:unhideWhenUsed/>
    <w:qFormat/>
    <w:rsid w:val="00274A5E"/>
    <w:pPr>
      <w:keepNext/>
      <w:keepLines/>
      <w:spacing w:before="40" w:after="0" w:line="259" w:lineRule="auto"/>
      <w:outlineLvl w:val="1"/>
    </w:pPr>
    <w:rPr>
      <w:rFonts w:asciiTheme="majorHAnsi" w:eastAsiaTheme="majorEastAsia" w:hAnsiTheme="majorHAnsi"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274A5E"/>
    <w:rPr>
      <w:rFonts w:asciiTheme="majorHAnsi" w:eastAsiaTheme="majorEastAsia" w:hAnsiTheme="majorHAnsi" w:cstheme="majorBidi"/>
      <w:color w:val="365F91" w:themeColor="accent1" w:themeShade="BF"/>
      <w:sz w:val="28"/>
      <w:szCs w:val="26"/>
    </w:rPr>
  </w:style>
  <w:style w:type="character" w:customStyle="1" w:styleId="FootnoteTextChar">
    <w:name w:val="Footnote Text Char"/>
    <w:basedOn w:val="DefaultParagraphFont"/>
    <w:link w:val="FootnoteText"/>
    <w:uiPriority w:val="99"/>
    <w:semiHidden/>
    <w:qFormat/>
    <w:rsid w:val="00FB0400"/>
    <w:rPr>
      <w:sz w:val="20"/>
      <w:szCs w:val="20"/>
    </w:rPr>
  </w:style>
  <w:style w:type="character" w:styleId="FootnoteReference">
    <w:name w:val="footnote reference"/>
    <w:basedOn w:val="DefaultParagraphFont"/>
    <w:uiPriority w:val="99"/>
    <w:semiHidden/>
    <w:unhideWhenUsed/>
    <w:qFormat/>
    <w:rsid w:val="00FB0400"/>
    <w:rPr>
      <w:vertAlign w:val="superscript"/>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FootnoteText">
    <w:name w:val="footnote text"/>
    <w:basedOn w:val="Normal"/>
    <w:link w:val="FootnoteTextChar"/>
    <w:uiPriority w:val="99"/>
    <w:semiHidden/>
    <w:unhideWhenUsed/>
    <w:qFormat/>
    <w:rsid w:val="00FB0400"/>
    <w:pPr>
      <w:spacing w:after="0" w:line="240" w:lineRule="auto"/>
    </w:pPr>
    <w:rPr>
      <w:sz w:val="20"/>
      <w:szCs w:val="20"/>
    </w:rPr>
  </w:style>
  <w:style w:type="paragraph" w:customStyle="1" w:styleId="Footnote">
    <w:name w:val="Footnote"/>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paragraph" w:styleId="Heading2">
    <w:name w:val="heading 2"/>
    <w:basedOn w:val="Normal"/>
    <w:next w:val="Normal"/>
    <w:link w:val="Heading2Char"/>
    <w:autoRedefine/>
    <w:uiPriority w:val="9"/>
    <w:unhideWhenUsed/>
    <w:qFormat/>
    <w:rsid w:val="00274A5E"/>
    <w:pPr>
      <w:keepNext/>
      <w:keepLines/>
      <w:spacing w:before="40" w:after="0" w:line="259" w:lineRule="auto"/>
      <w:outlineLvl w:val="1"/>
    </w:pPr>
    <w:rPr>
      <w:rFonts w:asciiTheme="majorHAnsi" w:eastAsiaTheme="majorEastAsia" w:hAnsiTheme="majorHAnsi"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274A5E"/>
    <w:rPr>
      <w:rFonts w:asciiTheme="majorHAnsi" w:eastAsiaTheme="majorEastAsia" w:hAnsiTheme="majorHAnsi" w:cstheme="majorBidi"/>
      <w:color w:val="365F91" w:themeColor="accent1" w:themeShade="BF"/>
      <w:sz w:val="28"/>
      <w:szCs w:val="26"/>
    </w:rPr>
  </w:style>
  <w:style w:type="character" w:customStyle="1" w:styleId="FootnoteTextChar">
    <w:name w:val="Footnote Text Char"/>
    <w:basedOn w:val="DefaultParagraphFont"/>
    <w:link w:val="FootnoteText"/>
    <w:uiPriority w:val="99"/>
    <w:semiHidden/>
    <w:qFormat/>
    <w:rsid w:val="00FB0400"/>
    <w:rPr>
      <w:sz w:val="20"/>
      <w:szCs w:val="20"/>
    </w:rPr>
  </w:style>
  <w:style w:type="character" w:styleId="FootnoteReference">
    <w:name w:val="footnote reference"/>
    <w:basedOn w:val="DefaultParagraphFont"/>
    <w:uiPriority w:val="99"/>
    <w:semiHidden/>
    <w:unhideWhenUsed/>
    <w:qFormat/>
    <w:rsid w:val="00FB0400"/>
    <w:rPr>
      <w:vertAlign w:val="superscript"/>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FootnoteText">
    <w:name w:val="footnote text"/>
    <w:basedOn w:val="Normal"/>
    <w:link w:val="FootnoteTextChar"/>
    <w:uiPriority w:val="99"/>
    <w:semiHidden/>
    <w:unhideWhenUsed/>
    <w:qFormat/>
    <w:rsid w:val="00FB0400"/>
    <w:pPr>
      <w:spacing w:after="0" w:line="240" w:lineRule="auto"/>
    </w:pPr>
    <w:rPr>
      <w:sz w:val="20"/>
      <w:szCs w:val="20"/>
    </w:rPr>
  </w:style>
  <w:style w:type="paragraph" w:customStyle="1" w:styleId="Footnote">
    <w:name w:val="Foot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KeeleUni</cp:lastModifiedBy>
  <cp:revision>6</cp:revision>
  <dcterms:created xsi:type="dcterms:W3CDTF">2016-08-26T10:05:00Z</dcterms:created>
  <dcterms:modified xsi:type="dcterms:W3CDTF">2016-08-26T10:23:00Z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Keele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