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BD18" w14:textId="6A9483DA" w:rsidR="00AC4E72" w:rsidRDefault="00C320C3" w:rsidP="00A977AE">
      <w:pPr>
        <w:pStyle w:val="Title"/>
        <w:spacing w:before="120" w:after="120" w:line="276" w:lineRule="auto"/>
        <w:contextualSpacing w:val="0"/>
        <w:rPr>
          <w:rFonts w:ascii="Arial" w:hAnsi="Arial" w:cs="Arial"/>
          <w:b/>
          <w:color w:val="002060"/>
          <w:sz w:val="32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2060"/>
          <w:sz w:val="32"/>
          <w:szCs w:val="20"/>
          <w:lang w:eastAsia="en-GB"/>
        </w:rPr>
        <w:drawing>
          <wp:inline distT="0" distB="0" distL="0" distR="0" wp14:anchorId="5E93417F" wp14:editId="743759EF">
            <wp:extent cx="1695450" cy="5009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720162106_RPS Logo Flat for Webs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67" cy="51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AE1DF" w14:textId="77777777" w:rsidR="00332751" w:rsidRPr="00332751" w:rsidRDefault="00332751" w:rsidP="00332751">
      <w:pPr>
        <w:rPr>
          <w:sz w:val="20"/>
          <w:szCs w:val="20"/>
        </w:rPr>
      </w:pPr>
    </w:p>
    <w:p w14:paraId="0BBA0D46" w14:textId="5EA850F1" w:rsidR="00EC426E" w:rsidRPr="00C320C3" w:rsidRDefault="003642C7" w:rsidP="00A977AE">
      <w:pPr>
        <w:pStyle w:val="Title"/>
        <w:spacing w:before="120" w:after="120" w:line="276" w:lineRule="auto"/>
        <w:contextualSpacing w:val="0"/>
        <w:rPr>
          <w:rFonts w:ascii="Georgia" w:hAnsi="Georgia" w:cs="Arial"/>
          <w:b/>
          <w:color w:val="1C2045"/>
          <w:sz w:val="32"/>
          <w:szCs w:val="20"/>
        </w:rPr>
      </w:pPr>
      <w:r w:rsidRPr="00C320C3">
        <w:rPr>
          <w:rFonts w:ascii="Georgia" w:hAnsi="Georgia" w:cs="Arial"/>
          <w:b/>
          <w:color w:val="1C2045"/>
          <w:sz w:val="32"/>
          <w:szCs w:val="20"/>
        </w:rPr>
        <w:t xml:space="preserve">Abstract Submission Form </w:t>
      </w:r>
    </w:p>
    <w:p w14:paraId="258650AF" w14:textId="50247FB1" w:rsidR="003642C7" w:rsidRPr="00445ECA" w:rsidRDefault="003642C7" w:rsidP="00A977AE">
      <w:pPr>
        <w:spacing w:before="120" w:after="120" w:line="276" w:lineRule="auto"/>
        <w:rPr>
          <w:rFonts w:ascii="Arial" w:hAnsi="Arial" w:cs="Arial"/>
          <w:color w:val="333333"/>
          <w:sz w:val="20"/>
          <w:szCs w:val="20"/>
        </w:rPr>
      </w:pPr>
      <w:r w:rsidRPr="00445ECA">
        <w:rPr>
          <w:rFonts w:ascii="Arial" w:hAnsi="Arial" w:cs="Arial"/>
          <w:color w:val="333333"/>
          <w:sz w:val="20"/>
          <w:szCs w:val="20"/>
        </w:rPr>
        <w:t xml:space="preserve">Please </w:t>
      </w:r>
      <w:r w:rsidR="00A6749A" w:rsidRPr="00445ECA">
        <w:rPr>
          <w:rFonts w:ascii="Arial" w:hAnsi="Arial" w:cs="Arial"/>
          <w:color w:val="333333"/>
          <w:sz w:val="20"/>
          <w:szCs w:val="20"/>
        </w:rPr>
        <w:t xml:space="preserve">read through the </w:t>
      </w:r>
      <w:hyperlink r:id="rId9" w:history="1">
        <w:r w:rsidRPr="00184B5E">
          <w:rPr>
            <w:rStyle w:val="Hyperlink"/>
            <w:rFonts w:ascii="Arial" w:hAnsi="Arial" w:cs="Arial"/>
            <w:sz w:val="20"/>
            <w:szCs w:val="20"/>
          </w:rPr>
          <w:t>abstract submission guidance</w:t>
        </w:r>
      </w:hyperlink>
      <w:r w:rsidRPr="00CD75D1">
        <w:rPr>
          <w:rFonts w:ascii="Arial" w:hAnsi="Arial" w:cs="Arial"/>
          <w:sz w:val="20"/>
          <w:szCs w:val="20"/>
        </w:rPr>
        <w:t xml:space="preserve"> </w:t>
      </w:r>
      <w:r w:rsidRPr="00445ECA">
        <w:rPr>
          <w:rFonts w:ascii="Arial" w:hAnsi="Arial" w:cs="Arial"/>
          <w:color w:val="333333"/>
          <w:sz w:val="20"/>
          <w:szCs w:val="20"/>
        </w:rPr>
        <w:t xml:space="preserve">before submitting </w:t>
      </w:r>
      <w:proofErr w:type="gramStart"/>
      <w:r w:rsidRPr="00445ECA">
        <w:rPr>
          <w:rFonts w:ascii="Arial" w:hAnsi="Arial" w:cs="Arial"/>
          <w:color w:val="333333"/>
          <w:sz w:val="20"/>
          <w:szCs w:val="20"/>
        </w:rPr>
        <w:t>your</w:t>
      </w:r>
      <w:proofErr w:type="gramEnd"/>
      <w:r w:rsidRPr="00445ECA">
        <w:rPr>
          <w:rFonts w:ascii="Arial" w:hAnsi="Arial" w:cs="Arial"/>
          <w:color w:val="333333"/>
          <w:sz w:val="20"/>
          <w:szCs w:val="20"/>
        </w:rPr>
        <w:t xml:space="preserve"> abstract.  </w:t>
      </w:r>
      <w:r w:rsidR="00CB60DA" w:rsidRPr="00445ECA">
        <w:rPr>
          <w:rFonts w:ascii="Arial" w:hAnsi="Arial" w:cs="Arial"/>
          <w:color w:val="333333"/>
          <w:sz w:val="20"/>
          <w:szCs w:val="20"/>
        </w:rPr>
        <w:t>T</w:t>
      </w:r>
      <w:r w:rsidR="00D50B9E" w:rsidRPr="00445ECA">
        <w:rPr>
          <w:rFonts w:ascii="Arial" w:hAnsi="Arial" w:cs="Arial"/>
          <w:color w:val="333333"/>
          <w:sz w:val="20"/>
          <w:szCs w:val="20"/>
        </w:rPr>
        <w:t xml:space="preserve">he </w:t>
      </w:r>
      <w:r w:rsidRPr="00445ECA">
        <w:rPr>
          <w:rFonts w:ascii="Arial" w:hAnsi="Arial" w:cs="Arial"/>
          <w:color w:val="333333"/>
          <w:sz w:val="20"/>
          <w:szCs w:val="20"/>
        </w:rPr>
        <w:t>maximum word count for abstract</w:t>
      </w:r>
      <w:r w:rsidR="00A6749A" w:rsidRPr="00445ECA">
        <w:rPr>
          <w:rFonts w:ascii="Arial" w:hAnsi="Arial" w:cs="Arial"/>
          <w:color w:val="333333"/>
          <w:sz w:val="20"/>
          <w:szCs w:val="20"/>
        </w:rPr>
        <w:t>s</w:t>
      </w:r>
      <w:r w:rsidRPr="00445ECA">
        <w:rPr>
          <w:rFonts w:ascii="Arial" w:hAnsi="Arial" w:cs="Arial"/>
          <w:color w:val="333333"/>
          <w:sz w:val="20"/>
          <w:szCs w:val="20"/>
        </w:rPr>
        <w:t xml:space="preserve"> is </w:t>
      </w:r>
      <w:r w:rsidR="00EB63F3" w:rsidRPr="00445ECA">
        <w:rPr>
          <w:rFonts w:ascii="Arial" w:hAnsi="Arial" w:cs="Arial"/>
          <w:b/>
          <w:color w:val="333333"/>
          <w:sz w:val="20"/>
          <w:szCs w:val="20"/>
        </w:rPr>
        <w:t xml:space="preserve">500 </w:t>
      </w:r>
      <w:r w:rsidRPr="00445ECA">
        <w:rPr>
          <w:rFonts w:ascii="Arial" w:hAnsi="Arial" w:cs="Arial"/>
          <w:b/>
          <w:color w:val="333333"/>
          <w:sz w:val="20"/>
          <w:szCs w:val="20"/>
        </w:rPr>
        <w:t>words</w:t>
      </w:r>
      <w:r w:rsidRPr="00445ECA">
        <w:rPr>
          <w:rFonts w:ascii="Arial" w:hAnsi="Arial" w:cs="Arial"/>
          <w:color w:val="333333"/>
          <w:sz w:val="20"/>
          <w:szCs w:val="20"/>
        </w:rPr>
        <w:t>.</w:t>
      </w:r>
    </w:p>
    <w:p w14:paraId="00D4CD43" w14:textId="786E93F7" w:rsidR="00E728A6" w:rsidRPr="00445ECA" w:rsidRDefault="00864A18" w:rsidP="00A977AE">
      <w:pPr>
        <w:spacing w:before="120" w:after="120" w:line="276" w:lineRule="auto"/>
        <w:rPr>
          <w:rStyle w:val="Hyperlink"/>
          <w:rFonts w:ascii="Arial" w:hAnsi="Arial" w:cs="Arial"/>
          <w:color w:val="333333"/>
          <w:sz w:val="20"/>
          <w:szCs w:val="20"/>
          <w:u w:val="none"/>
        </w:rPr>
      </w:pPr>
      <w:r w:rsidRPr="00445ECA">
        <w:rPr>
          <w:rFonts w:ascii="Arial" w:hAnsi="Arial" w:cs="Arial"/>
          <w:color w:val="333333"/>
          <w:sz w:val="20"/>
          <w:szCs w:val="20"/>
        </w:rPr>
        <w:t>P</w:t>
      </w:r>
      <w:r w:rsidR="00CB60DA" w:rsidRPr="00445ECA">
        <w:rPr>
          <w:rFonts w:ascii="Arial" w:hAnsi="Arial" w:cs="Arial"/>
          <w:color w:val="333333"/>
          <w:sz w:val="20"/>
          <w:szCs w:val="20"/>
        </w:rPr>
        <w:t xml:space="preserve">lease submit completed </w:t>
      </w:r>
      <w:r w:rsidR="00A6749A" w:rsidRPr="00445ECA">
        <w:rPr>
          <w:rFonts w:ascii="Arial" w:hAnsi="Arial" w:cs="Arial"/>
          <w:color w:val="333333"/>
          <w:sz w:val="20"/>
          <w:szCs w:val="20"/>
        </w:rPr>
        <w:t xml:space="preserve">abstract </w:t>
      </w:r>
      <w:r w:rsidR="00CB60DA" w:rsidRPr="00445ECA">
        <w:rPr>
          <w:rFonts w:ascii="Arial" w:hAnsi="Arial" w:cs="Arial"/>
          <w:color w:val="333333"/>
          <w:sz w:val="20"/>
          <w:szCs w:val="20"/>
        </w:rPr>
        <w:t>forms to</w:t>
      </w:r>
      <w:r w:rsidRPr="00445ECA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10" w:history="1">
        <w:r w:rsidRPr="00EB63F3">
          <w:rPr>
            <w:rStyle w:val="Hyperlink"/>
            <w:rFonts w:ascii="Arial" w:hAnsi="Arial" w:cs="Arial"/>
            <w:sz w:val="20"/>
            <w:szCs w:val="20"/>
          </w:rPr>
          <w:t>research@rpharms.com</w:t>
        </w:r>
      </w:hyperlink>
      <w:r w:rsidR="00DD47F8" w:rsidRPr="00445ECA">
        <w:rPr>
          <w:rStyle w:val="Hyperlink"/>
          <w:rFonts w:ascii="Arial" w:hAnsi="Arial" w:cs="Arial"/>
          <w:color w:val="333333"/>
          <w:sz w:val="20"/>
          <w:szCs w:val="20"/>
          <w:u w:val="none"/>
        </w:rPr>
        <w:t xml:space="preserve">. </w:t>
      </w:r>
    </w:p>
    <w:p w14:paraId="6C857D31" w14:textId="5EB7A5B3" w:rsidR="00CA09A8" w:rsidRPr="00445ECA" w:rsidRDefault="00DD47F8" w:rsidP="00A977AE">
      <w:pPr>
        <w:spacing w:before="120" w:after="120" w:line="276" w:lineRule="auto"/>
        <w:rPr>
          <w:rStyle w:val="Hyperlink"/>
          <w:rFonts w:ascii="Arial" w:hAnsi="Arial" w:cs="Arial"/>
          <w:b/>
          <w:i/>
          <w:color w:val="333333"/>
          <w:sz w:val="20"/>
          <w:szCs w:val="20"/>
          <w:u w:val="none"/>
        </w:rPr>
      </w:pPr>
      <w:r w:rsidRPr="00445ECA">
        <w:rPr>
          <w:rStyle w:val="Hyperlink"/>
          <w:rFonts w:ascii="Arial" w:hAnsi="Arial" w:cs="Arial"/>
          <w:color w:val="333333"/>
          <w:sz w:val="20"/>
          <w:szCs w:val="20"/>
          <w:u w:val="none"/>
        </w:rPr>
        <w:t>The d</w:t>
      </w:r>
      <w:r w:rsidR="00A35209" w:rsidRPr="00445ECA">
        <w:rPr>
          <w:rStyle w:val="Hyperlink"/>
          <w:rFonts w:ascii="Arial" w:hAnsi="Arial" w:cs="Arial"/>
          <w:color w:val="333333"/>
          <w:sz w:val="20"/>
          <w:szCs w:val="20"/>
          <w:u w:val="none"/>
        </w:rPr>
        <w:t xml:space="preserve">eadline for abstract submissions is </w:t>
      </w:r>
      <w:r w:rsidR="00011982" w:rsidRPr="00445ECA">
        <w:rPr>
          <w:rStyle w:val="Hyperlink"/>
          <w:rFonts w:ascii="Arial" w:hAnsi="Arial" w:cs="Arial"/>
          <w:b/>
          <w:color w:val="333333"/>
          <w:sz w:val="20"/>
          <w:szCs w:val="20"/>
        </w:rPr>
        <w:t>5:00pm</w:t>
      </w:r>
      <w:r w:rsidR="00E728A6" w:rsidRPr="00445ECA">
        <w:rPr>
          <w:rStyle w:val="Hyperlink"/>
          <w:rFonts w:ascii="Arial" w:hAnsi="Arial" w:cs="Arial"/>
          <w:b/>
          <w:color w:val="333333"/>
          <w:sz w:val="20"/>
          <w:szCs w:val="20"/>
        </w:rPr>
        <w:t xml:space="preserve"> </w:t>
      </w:r>
      <w:r w:rsidR="00811F47" w:rsidRPr="00445ECA">
        <w:rPr>
          <w:rStyle w:val="Hyperlink"/>
          <w:rFonts w:ascii="Arial" w:hAnsi="Arial" w:cs="Arial"/>
          <w:b/>
          <w:color w:val="333333"/>
          <w:sz w:val="20"/>
          <w:szCs w:val="20"/>
        </w:rPr>
        <w:t xml:space="preserve">Monday </w:t>
      </w:r>
      <w:r w:rsidR="007E0950">
        <w:rPr>
          <w:rStyle w:val="Hyperlink"/>
          <w:rFonts w:ascii="Arial" w:hAnsi="Arial" w:cs="Arial"/>
          <w:b/>
          <w:color w:val="333333"/>
          <w:sz w:val="20"/>
          <w:szCs w:val="20"/>
        </w:rPr>
        <w:t>1</w:t>
      </w:r>
      <w:r w:rsidR="007E0950" w:rsidRPr="007E0950">
        <w:rPr>
          <w:rStyle w:val="Hyperlink"/>
          <w:rFonts w:ascii="Arial" w:hAnsi="Arial" w:cs="Arial"/>
          <w:b/>
          <w:color w:val="333333"/>
          <w:sz w:val="20"/>
          <w:szCs w:val="20"/>
          <w:vertAlign w:val="superscript"/>
        </w:rPr>
        <w:t>st</w:t>
      </w:r>
      <w:r w:rsidR="007E0950">
        <w:rPr>
          <w:rStyle w:val="Hyperlink"/>
          <w:rFonts w:ascii="Arial" w:hAnsi="Arial" w:cs="Arial"/>
          <w:b/>
          <w:color w:val="333333"/>
          <w:sz w:val="20"/>
          <w:szCs w:val="20"/>
        </w:rPr>
        <w:t xml:space="preserve"> October</w:t>
      </w:r>
      <w:r w:rsidR="00E728A6" w:rsidRPr="00445ECA">
        <w:rPr>
          <w:rStyle w:val="Hyperlink"/>
          <w:rFonts w:ascii="Arial" w:hAnsi="Arial" w:cs="Arial"/>
          <w:b/>
          <w:color w:val="333333"/>
          <w:sz w:val="20"/>
          <w:szCs w:val="20"/>
        </w:rPr>
        <w:t xml:space="preserve"> 2018</w:t>
      </w:r>
      <w:r w:rsidR="00E728A6" w:rsidRPr="00445ECA">
        <w:rPr>
          <w:rStyle w:val="Hyperlink"/>
          <w:rFonts w:ascii="Arial" w:hAnsi="Arial" w:cs="Arial"/>
          <w:b/>
          <w:i/>
          <w:color w:val="333333"/>
          <w:sz w:val="20"/>
          <w:szCs w:val="20"/>
          <w:u w:val="none"/>
        </w:rPr>
        <w:t>.</w:t>
      </w:r>
    </w:p>
    <w:p w14:paraId="72206250" w14:textId="77777777" w:rsidR="0032099D" w:rsidRPr="00445ECA" w:rsidRDefault="0032099D" w:rsidP="00A977AE">
      <w:pPr>
        <w:spacing w:before="120" w:after="120" w:line="276" w:lineRule="auto"/>
        <w:rPr>
          <w:rFonts w:ascii="Arial" w:hAnsi="Arial" w:cs="Arial"/>
          <w:color w:val="333333"/>
          <w:sz w:val="20"/>
          <w:szCs w:val="20"/>
        </w:rPr>
      </w:pPr>
    </w:p>
    <w:p w14:paraId="4FFED29A" w14:textId="21E018AF" w:rsidR="00011353" w:rsidRPr="00445ECA" w:rsidRDefault="00E56FEA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t>Lead Author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445ECA" w:rsidRPr="00445ECA" w14:paraId="6AFEFF65" w14:textId="77777777" w:rsidTr="00AC4E72">
        <w:tc>
          <w:tcPr>
            <w:tcW w:w="9016" w:type="dxa"/>
          </w:tcPr>
          <w:p w14:paraId="5398C60B" w14:textId="71F24F9A" w:rsidR="00011353" w:rsidRPr="00445ECA" w:rsidRDefault="00011353" w:rsidP="00A977A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Name</w:t>
            </w:r>
            <w:r w:rsidR="00D50B9E" w:rsidRPr="00445ECA">
              <w:rPr>
                <w:rFonts w:ascii="Arial" w:hAnsi="Arial" w:cs="Arial"/>
                <w:color w:val="333333"/>
                <w:sz w:val="20"/>
                <w:szCs w:val="20"/>
              </w:rPr>
              <w:t xml:space="preserve"> (forename and surname)</w:t>
            </w: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G Hall</w:t>
            </w:r>
          </w:p>
          <w:p w14:paraId="1F620B5F" w14:textId="5D0E8BAB" w:rsidR="00011353" w:rsidRPr="00445ECA" w:rsidRDefault="00011353" w:rsidP="00A977A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Affiliation:</w:t>
            </w:r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South Staffordshire Local Pharmaceutical Committee</w:t>
            </w:r>
          </w:p>
          <w:p w14:paraId="2C08DC7A" w14:textId="244B6D19" w:rsidR="00011353" w:rsidRPr="00445ECA" w:rsidRDefault="00011353" w:rsidP="002B2127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Email:</w:t>
            </w:r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26F273AE" w14:textId="6912BA6D" w:rsidR="00011353" w:rsidRPr="00445ECA" w:rsidRDefault="00011353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t>Secondary Author</w:t>
      </w:r>
      <w:r w:rsidR="00A977AE" w:rsidRPr="00445ECA">
        <w:rPr>
          <w:rFonts w:ascii="Arial" w:hAnsi="Arial" w:cs="Arial"/>
          <w:b/>
          <w:color w:val="333333"/>
          <w:sz w:val="20"/>
          <w:szCs w:val="20"/>
        </w:rPr>
        <w:t>(</w:t>
      </w:r>
      <w:r w:rsidRPr="00445ECA">
        <w:rPr>
          <w:rFonts w:ascii="Arial" w:hAnsi="Arial" w:cs="Arial"/>
          <w:b/>
          <w:color w:val="333333"/>
          <w:sz w:val="20"/>
          <w:szCs w:val="20"/>
        </w:rPr>
        <w:t>s</w:t>
      </w:r>
      <w:r w:rsidR="00A977AE" w:rsidRPr="00445ECA">
        <w:rPr>
          <w:rFonts w:ascii="Arial" w:hAnsi="Arial" w:cs="Arial"/>
          <w:b/>
          <w:color w:val="333333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445ECA" w:rsidRPr="00445ECA" w14:paraId="41E62DEA" w14:textId="77777777" w:rsidTr="00AC4E72">
        <w:tc>
          <w:tcPr>
            <w:tcW w:w="9016" w:type="dxa"/>
          </w:tcPr>
          <w:p w14:paraId="341595B6" w14:textId="6CFAFD8B" w:rsidR="00E56FEA" w:rsidRPr="009606BA" w:rsidRDefault="00E56FEA" w:rsidP="00A977A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06BA">
              <w:rPr>
                <w:rFonts w:ascii="Arial" w:hAnsi="Arial" w:cs="Arial"/>
                <w:color w:val="333333"/>
                <w:sz w:val="20"/>
                <w:szCs w:val="20"/>
              </w:rPr>
              <w:t>Name (forename and surname):</w:t>
            </w:r>
            <w:r w:rsidR="009606BA" w:rsidRP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T Cork</w:t>
            </w:r>
          </w:p>
          <w:p w14:paraId="2DB2DD72" w14:textId="37B974BB" w:rsidR="00EC19CF" w:rsidRPr="009606BA" w:rsidRDefault="00011353" w:rsidP="00A977A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606BA">
              <w:rPr>
                <w:rFonts w:ascii="Arial" w:hAnsi="Arial" w:cs="Arial"/>
                <w:color w:val="333333"/>
                <w:sz w:val="20"/>
                <w:szCs w:val="20"/>
              </w:rPr>
              <w:t>Affiliation:</w:t>
            </w:r>
            <w:r w:rsidR="009606BA" w:rsidRP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606BA" w:rsidRPr="009606BA">
              <w:rPr>
                <w:rFonts w:ascii="Arial" w:hAnsi="Arial" w:cs="Arial"/>
                <w:sz w:val="20"/>
                <w:szCs w:val="20"/>
              </w:rPr>
              <w:t>North Staffordshire and Stoke-On-Trent Local Pharmaceutical Committee</w:t>
            </w:r>
            <w:r w:rsidR="009606BA" w:rsidRP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45ECA" w:rsidRPr="00445ECA" w14:paraId="11F767FB" w14:textId="77777777" w:rsidTr="00AC4E72">
        <w:tc>
          <w:tcPr>
            <w:tcW w:w="9016" w:type="dxa"/>
          </w:tcPr>
          <w:p w14:paraId="3B1D3425" w14:textId="153BE4F2" w:rsidR="00E56FEA" w:rsidRPr="00445ECA" w:rsidRDefault="00E56FEA" w:rsidP="00A977A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Name (forename and surname):</w:t>
            </w:r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S White</w:t>
            </w:r>
          </w:p>
          <w:p w14:paraId="6C0EE1C0" w14:textId="024D9822" w:rsidR="00EC19CF" w:rsidRPr="00445ECA" w:rsidRDefault="00EC19CF" w:rsidP="00A977A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Affiliation:</w:t>
            </w:r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School of Pharmacy, </w:t>
            </w:r>
            <w:proofErr w:type="spellStart"/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>Keele</w:t>
            </w:r>
            <w:proofErr w:type="spellEnd"/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University</w:t>
            </w:r>
          </w:p>
        </w:tc>
      </w:tr>
      <w:tr w:rsidR="00AC4E72" w:rsidRPr="00445ECA" w14:paraId="439B3493" w14:textId="77777777" w:rsidTr="00AC4E72">
        <w:tc>
          <w:tcPr>
            <w:tcW w:w="9016" w:type="dxa"/>
          </w:tcPr>
          <w:p w14:paraId="6A663ECA" w14:textId="1061DA2C" w:rsidR="00E56FEA" w:rsidRPr="00445ECA" w:rsidRDefault="00E56FEA" w:rsidP="00A977A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Name (forename and surname):</w:t>
            </w:r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H Berry</w:t>
            </w:r>
          </w:p>
          <w:p w14:paraId="0AF712DC" w14:textId="257056CC" w:rsidR="00EC19CF" w:rsidRPr="00445ECA" w:rsidRDefault="00D045F2" w:rsidP="00A977A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Affiliation:</w:t>
            </w:r>
            <w:r w:rsidR="009606B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606BA" w:rsidRPr="009606BA">
              <w:rPr>
                <w:rFonts w:ascii="Arial" w:eastAsia="Calibri" w:hAnsi="Arial" w:cs="Arial"/>
                <w:sz w:val="20"/>
                <w:szCs w:val="20"/>
              </w:rPr>
              <w:t>Centre for Postgraduate Pharmacy Education, University of Manchester</w:t>
            </w:r>
          </w:p>
        </w:tc>
      </w:tr>
      <w:tr w:rsidR="009606BA" w:rsidRPr="00445ECA" w14:paraId="06B1AF04" w14:textId="77777777" w:rsidTr="00AC4E72">
        <w:tc>
          <w:tcPr>
            <w:tcW w:w="9016" w:type="dxa"/>
          </w:tcPr>
          <w:p w14:paraId="1D130B37" w14:textId="24C0DF7D" w:rsidR="009606BA" w:rsidRPr="00445ECA" w:rsidRDefault="009606BA" w:rsidP="009606BA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Name (forename and surname):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 Smith</w:t>
            </w:r>
          </w:p>
          <w:p w14:paraId="356BE15E" w14:textId="4CB62162" w:rsidR="009606BA" w:rsidRPr="00445ECA" w:rsidRDefault="009606BA" w:rsidP="009606BA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45ECA">
              <w:rPr>
                <w:rFonts w:ascii="Arial" w:hAnsi="Arial" w:cs="Arial"/>
                <w:color w:val="333333"/>
                <w:sz w:val="20"/>
                <w:szCs w:val="20"/>
              </w:rPr>
              <w:t>Affiliation: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9606B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Faculty of Biology, Medicine and Health, </w:t>
            </w:r>
            <w:r w:rsidRPr="009606BA">
              <w:rPr>
                <w:rFonts w:ascii="Arial" w:eastAsia="Calibri" w:hAnsi="Arial" w:cs="Arial"/>
                <w:sz w:val="20"/>
                <w:szCs w:val="20"/>
              </w:rPr>
              <w:t>University of Manchester</w:t>
            </w:r>
          </w:p>
        </w:tc>
      </w:tr>
    </w:tbl>
    <w:p w14:paraId="571FBE78" w14:textId="77777777" w:rsidR="00A042AA" w:rsidRPr="00445ECA" w:rsidRDefault="00A042AA" w:rsidP="00A977AE">
      <w:pPr>
        <w:spacing w:before="120" w:after="120" w:line="276" w:lineRule="auto"/>
        <w:rPr>
          <w:rFonts w:ascii="Arial" w:hAnsi="Arial" w:cs="Arial"/>
          <w:color w:val="333333"/>
          <w:sz w:val="20"/>
          <w:szCs w:val="20"/>
        </w:rPr>
      </w:pPr>
    </w:p>
    <w:p w14:paraId="2CD1FE8D" w14:textId="3F6357F4" w:rsidR="003642C7" w:rsidRPr="00445ECA" w:rsidRDefault="003642C7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t>Title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445ECA" w:rsidRPr="00445ECA" w14:paraId="44E315AF" w14:textId="77777777" w:rsidTr="00AC4E72">
        <w:tc>
          <w:tcPr>
            <w:tcW w:w="9628" w:type="dxa"/>
          </w:tcPr>
          <w:p w14:paraId="326F1BAC" w14:textId="77777777" w:rsidR="00CB60DA" w:rsidRPr="000B3534" w:rsidRDefault="009606BA" w:rsidP="009606BA">
            <w:pPr>
              <w:rPr>
                <w:rFonts w:ascii="Arial" w:eastAsia="Calibri" w:hAnsi="Arial" w:cs="Arial"/>
              </w:rPr>
            </w:pPr>
            <w:r w:rsidRPr="009606BA">
              <w:rPr>
                <w:rFonts w:ascii="Arial" w:eastAsia="Calibri" w:hAnsi="Arial" w:cs="Arial"/>
              </w:rPr>
              <w:t>Evaluation of a new patient consultation initiative in community pharmacy for ear, nose and throat and eye conditions</w:t>
            </w:r>
          </w:p>
          <w:p w14:paraId="6DFAAD9B" w14:textId="3BBBE5E3" w:rsidR="009606BA" w:rsidRPr="009606BA" w:rsidRDefault="009606BA" w:rsidP="009606BA">
            <w:pPr>
              <w:rPr>
                <w:rFonts w:ascii="Arial" w:eastAsia="Calibri" w:hAnsi="Arial" w:cs="Arial"/>
              </w:rPr>
            </w:pPr>
          </w:p>
        </w:tc>
      </w:tr>
    </w:tbl>
    <w:p w14:paraId="194AC63E" w14:textId="433FCCC7" w:rsidR="00A977AE" w:rsidRPr="00445ECA" w:rsidRDefault="00A977AE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t>Keywords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AC4E72" w:rsidRPr="00445ECA" w14:paraId="38A01602" w14:textId="77777777" w:rsidTr="00AC4E72">
        <w:tc>
          <w:tcPr>
            <w:tcW w:w="9628" w:type="dxa"/>
          </w:tcPr>
          <w:p w14:paraId="2AFC54C9" w14:textId="77777777" w:rsidR="00CB60DA" w:rsidRDefault="009606BA" w:rsidP="004E38CC">
            <w:pPr>
              <w:spacing w:before="120" w:after="120"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Common ailments service</w:t>
            </w:r>
          </w:p>
          <w:p w14:paraId="682D88E7" w14:textId="77777777" w:rsidR="009606BA" w:rsidRDefault="009606BA" w:rsidP="004E38CC">
            <w:pPr>
              <w:spacing w:before="120" w:after="120"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Minor ailments service</w:t>
            </w:r>
          </w:p>
          <w:p w14:paraId="6B9448D0" w14:textId="77777777" w:rsidR="009606BA" w:rsidRDefault="009606BA" w:rsidP="004E38CC">
            <w:pPr>
              <w:spacing w:before="120" w:after="120"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Community pharmacy services</w:t>
            </w:r>
          </w:p>
          <w:p w14:paraId="020FF113" w14:textId="0F445306" w:rsidR="009606BA" w:rsidRPr="00445ECA" w:rsidRDefault="009606BA" w:rsidP="004E38CC">
            <w:pPr>
              <w:spacing w:before="120" w:after="120"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Self care</w:t>
            </w:r>
            <w:proofErr w:type="spellEnd"/>
          </w:p>
        </w:tc>
      </w:tr>
    </w:tbl>
    <w:p w14:paraId="164031FB" w14:textId="77777777" w:rsidR="009606BA" w:rsidRDefault="009606BA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57663C6D" w14:textId="77777777" w:rsidR="009606BA" w:rsidRDefault="009606BA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056C002C" w14:textId="15A78A02" w:rsidR="003642C7" w:rsidRPr="00445ECA" w:rsidRDefault="00E56FEA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lastRenderedPageBreak/>
        <w:t>Introduction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AC4E72" w:rsidRPr="00445ECA" w14:paraId="1A0900AA" w14:textId="77777777" w:rsidTr="00AC4E72">
        <w:tc>
          <w:tcPr>
            <w:tcW w:w="9628" w:type="dxa"/>
          </w:tcPr>
          <w:p w14:paraId="44555E21" w14:textId="1DE7FB70" w:rsidR="00CB60DA" w:rsidRPr="000B3534" w:rsidRDefault="009606BA" w:rsidP="00960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34">
              <w:rPr>
                <w:rFonts w:ascii="Arial" w:hAnsi="Arial" w:cs="Arial"/>
                <w:sz w:val="20"/>
                <w:szCs w:val="20"/>
              </w:rPr>
              <w:t xml:space="preserve">Community pharmacy Common Ailments Services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have been shown to be effective and </w:t>
            </w:r>
            <w:r w:rsidRPr="000B3534">
              <w:rPr>
                <w:rFonts w:ascii="Arial" w:hAnsi="Arial" w:cs="Arial"/>
                <w:sz w:val="20"/>
                <w:szCs w:val="20"/>
              </w:rPr>
              <w:t>can ease the considerable workload pressures on primary and secondary care services.</w:t>
            </w:r>
            <w:r w:rsidR="00E300D8" w:rsidRPr="000B353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Start"/>
            <w:r w:rsidR="00E300D8" w:rsidRPr="000B3534">
              <w:rPr>
                <w:rFonts w:ascii="Arial" w:hAnsi="Arial" w:cs="Arial"/>
                <w:sz w:val="20"/>
                <w:szCs w:val="20"/>
                <w:vertAlign w:val="superscript"/>
              </w:rPr>
              <w:t>,2</w:t>
            </w:r>
            <w:proofErr w:type="gramEnd"/>
            <w:r w:rsidRPr="000B3534">
              <w:rPr>
                <w:rFonts w:ascii="Arial" w:hAnsi="Arial" w:cs="Arial"/>
                <w:sz w:val="20"/>
                <w:szCs w:val="20"/>
              </w:rPr>
              <w:t xml:space="preserve"> However, evidence is needed to determine whether there are benefits of extending such services beyond their typically limited scope. This study therefore aimed to evaluate a new community pharmacy model of a service for patients with ear, nose and throat (ENT) and eye conditions who would otherwise have had to seek primary care appointments or emergency care.</w:t>
            </w:r>
          </w:p>
        </w:tc>
      </w:tr>
    </w:tbl>
    <w:p w14:paraId="565C6535" w14:textId="24D01ED7" w:rsidR="003642C7" w:rsidRPr="00445ECA" w:rsidRDefault="005E3A20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t>Method</w:t>
      </w:r>
      <w:r w:rsidR="00E75098">
        <w:rPr>
          <w:rFonts w:ascii="Arial" w:hAnsi="Arial" w:cs="Arial"/>
          <w:b/>
          <w:color w:val="333333"/>
          <w:sz w:val="20"/>
          <w:szCs w:val="20"/>
        </w:rPr>
        <w:t>s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445ECA" w:rsidRPr="00445ECA" w14:paraId="6B1CE1BD" w14:textId="77777777" w:rsidTr="00AC4E72">
        <w:tc>
          <w:tcPr>
            <w:tcW w:w="9628" w:type="dxa"/>
          </w:tcPr>
          <w:p w14:paraId="704390F4" w14:textId="4B27DEAC" w:rsidR="00CB60DA" w:rsidRPr="000B3534" w:rsidRDefault="009606BA" w:rsidP="00960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34">
              <w:rPr>
                <w:rFonts w:ascii="Arial" w:hAnsi="Arial" w:cs="Arial"/>
                <w:sz w:val="20"/>
                <w:szCs w:val="20"/>
              </w:rPr>
              <w:t xml:space="preserve">People with specified ENT or eye conditions registered with General Practitioners in Staffordshire or Shropshire who presented at </w:t>
            </w:r>
            <w:r w:rsidR="003E1DE1">
              <w:rPr>
                <w:rFonts w:ascii="Arial" w:hAnsi="Arial" w:cs="Arial"/>
                <w:sz w:val="20"/>
                <w:szCs w:val="20"/>
              </w:rPr>
              <w:t xml:space="preserve">one of </w:t>
            </w:r>
            <w:r w:rsidR="00166752" w:rsidRPr="000B3534">
              <w:rPr>
                <w:rFonts w:ascii="Arial" w:hAnsi="Arial" w:cs="Arial"/>
                <w:sz w:val="20"/>
                <w:szCs w:val="20"/>
              </w:rPr>
              <w:t xml:space="preserve">ten </w:t>
            </w:r>
            <w:r w:rsidRPr="000B3534">
              <w:rPr>
                <w:rFonts w:ascii="Arial" w:hAnsi="Arial" w:cs="Arial"/>
                <w:sz w:val="20"/>
                <w:szCs w:val="20"/>
              </w:rPr>
              <w:t>participating community pharmacies were offered a consultation with a pharmacist tra</w:t>
            </w:r>
            <w:r w:rsidR="00411105">
              <w:rPr>
                <w:rFonts w:ascii="Arial" w:hAnsi="Arial" w:cs="Arial"/>
                <w:sz w:val="20"/>
                <w:szCs w:val="20"/>
              </w:rPr>
              <w:t>ined to provide the service.</w:t>
            </w:r>
            <w:r w:rsidR="001368AF">
              <w:rPr>
                <w:rFonts w:ascii="Arial" w:hAnsi="Arial" w:cs="Arial"/>
                <w:sz w:val="20"/>
                <w:szCs w:val="20"/>
              </w:rPr>
              <w:t xml:space="preserve"> All pharmacies in the area were invited to </w:t>
            </w:r>
            <w:r w:rsidR="003E1DE1">
              <w:rPr>
                <w:rFonts w:ascii="Arial" w:hAnsi="Arial" w:cs="Arial"/>
                <w:sz w:val="20"/>
                <w:szCs w:val="20"/>
              </w:rPr>
              <w:t>participate and 10</w:t>
            </w:r>
            <w:r w:rsidR="001327AA">
              <w:rPr>
                <w:rFonts w:ascii="Arial" w:hAnsi="Arial" w:cs="Arial"/>
                <w:sz w:val="20"/>
                <w:szCs w:val="20"/>
              </w:rPr>
              <w:t xml:space="preserve"> that best met </w:t>
            </w:r>
            <w:r w:rsidR="001368AF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="001327AA">
              <w:rPr>
                <w:rFonts w:ascii="Arial" w:hAnsi="Arial" w:cs="Arial"/>
                <w:sz w:val="20"/>
                <w:szCs w:val="20"/>
              </w:rPr>
              <w:t>delivery</w:t>
            </w:r>
            <w:r w:rsidR="001368AF">
              <w:rPr>
                <w:rFonts w:ascii="Arial" w:hAnsi="Arial" w:cs="Arial"/>
                <w:sz w:val="20"/>
                <w:szCs w:val="20"/>
              </w:rPr>
              <w:t xml:space="preserve"> criteria</w:t>
            </w:r>
            <w:r w:rsidR="001327AA">
              <w:rPr>
                <w:rFonts w:ascii="Arial" w:hAnsi="Arial" w:cs="Arial"/>
                <w:sz w:val="20"/>
                <w:szCs w:val="20"/>
              </w:rPr>
              <w:t xml:space="preserve"> were selected</w:t>
            </w:r>
            <w:r w:rsidR="001368AF">
              <w:rPr>
                <w:rFonts w:ascii="Arial" w:hAnsi="Arial" w:cs="Arial"/>
                <w:sz w:val="20"/>
                <w:szCs w:val="20"/>
              </w:rPr>
              <w:t>.</w:t>
            </w:r>
            <w:r w:rsidR="004111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The conditions </w:t>
            </w:r>
            <w:r w:rsidR="001327AA">
              <w:rPr>
                <w:rFonts w:ascii="Arial" w:hAnsi="Arial" w:cs="Arial"/>
                <w:sz w:val="20"/>
                <w:szCs w:val="20"/>
              </w:rPr>
              <w:t xml:space="preserve">the service included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>were</w:t>
            </w:r>
            <w:r w:rsidR="00166752" w:rsidRPr="000B3534">
              <w:rPr>
                <w:rFonts w:ascii="Arial" w:hAnsi="Arial" w:cs="Arial"/>
                <w:sz w:val="20"/>
                <w:szCs w:val="20"/>
              </w:rPr>
              <w:t xml:space="preserve"> bacterial conju</w:t>
            </w:r>
            <w:r w:rsidR="000B3534" w:rsidRPr="000B3534">
              <w:rPr>
                <w:rFonts w:ascii="Arial" w:hAnsi="Arial" w:cs="Arial"/>
                <w:sz w:val="20"/>
                <w:szCs w:val="20"/>
              </w:rPr>
              <w:t xml:space="preserve">nctivitis, bacterial sinusitis, </w:t>
            </w:r>
            <w:proofErr w:type="gramStart"/>
            <w:r w:rsidR="00166752" w:rsidRPr="000B3534">
              <w:rPr>
                <w:rFonts w:ascii="Arial" w:hAnsi="Arial" w:cs="Arial"/>
                <w:sz w:val="20"/>
                <w:szCs w:val="20"/>
              </w:rPr>
              <w:t>otitis</w:t>
            </w:r>
            <w:proofErr w:type="gramEnd"/>
            <w:r w:rsidR="00166752" w:rsidRPr="000B3534">
              <w:rPr>
                <w:rFonts w:ascii="Arial" w:hAnsi="Arial" w:cs="Arial"/>
                <w:sz w:val="20"/>
                <w:szCs w:val="20"/>
              </w:rPr>
              <w:t xml:space="preserve"> externa with suspected secondary infection, otitis media</w:t>
            </w:r>
            <w:r w:rsidR="000B3534" w:rsidRPr="000B3534">
              <w:rPr>
                <w:rFonts w:ascii="Arial" w:hAnsi="Arial" w:cs="Arial"/>
                <w:sz w:val="20"/>
                <w:szCs w:val="20"/>
              </w:rPr>
              <w:t>, chronic sinusitis and sore throat. These</w:t>
            </w:r>
            <w:r w:rsidR="00166752" w:rsidRPr="000B3534">
              <w:rPr>
                <w:rFonts w:ascii="Arial" w:hAnsi="Arial" w:cs="Arial"/>
                <w:sz w:val="20"/>
                <w:szCs w:val="20"/>
              </w:rPr>
              <w:t xml:space="preserve"> were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chosen </w:t>
            </w:r>
            <w:r w:rsidR="001327AA">
              <w:rPr>
                <w:rFonts w:ascii="Arial" w:hAnsi="Arial" w:cs="Arial"/>
                <w:sz w:val="20"/>
                <w:szCs w:val="20"/>
              </w:rPr>
              <w:t xml:space="preserve">because they were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common local reasons for Accident and Emergency Department attendance or GP appointments. </w:t>
            </w:r>
            <w:r w:rsidRPr="000B3534">
              <w:rPr>
                <w:rFonts w:ascii="Arial" w:hAnsi="Arial" w:cs="Arial"/>
                <w:sz w:val="20"/>
                <w:szCs w:val="20"/>
              </w:rPr>
              <w:t>The service included provision of relevant self-care advice and, where clinically appropriate, supply of non-prescription medicines or specified prescription-only medicines (POMs), including antibiotics, under Patient Group Directi</w:t>
            </w:r>
            <w:r w:rsidR="001327AA">
              <w:rPr>
                <w:rFonts w:ascii="Arial" w:hAnsi="Arial" w:cs="Arial"/>
                <w:sz w:val="20"/>
                <w:szCs w:val="20"/>
              </w:rPr>
              <w:t>ons. Patients received a follow-</w:t>
            </w:r>
            <w:r w:rsidRPr="000B3534">
              <w:rPr>
                <w:rFonts w:ascii="Arial" w:hAnsi="Arial" w:cs="Arial"/>
                <w:sz w:val="20"/>
                <w:szCs w:val="20"/>
              </w:rPr>
              <w:t xml:space="preserve">up telephone call from the pharmacist five days later.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>Anonymised d</w:t>
            </w:r>
            <w:r w:rsidRPr="000B3534">
              <w:rPr>
                <w:rFonts w:ascii="Arial" w:hAnsi="Arial" w:cs="Arial"/>
                <w:sz w:val="20"/>
                <w:szCs w:val="20"/>
              </w:rPr>
              <w:t xml:space="preserve">ata were collected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from </w:t>
            </w:r>
            <w:proofErr w:type="spellStart"/>
            <w:r w:rsidR="00E300D8" w:rsidRPr="000B3534">
              <w:rPr>
                <w:rFonts w:ascii="Arial" w:hAnsi="Arial" w:cs="Arial"/>
                <w:i/>
                <w:sz w:val="20"/>
                <w:szCs w:val="20"/>
              </w:rPr>
              <w:t>PharmOutcomes</w:t>
            </w:r>
            <w:proofErr w:type="spellEnd"/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 records </w:t>
            </w:r>
            <w:r w:rsidRPr="000B3534">
              <w:rPr>
                <w:rFonts w:ascii="Arial" w:hAnsi="Arial" w:cs="Arial"/>
                <w:sz w:val="20"/>
                <w:szCs w:val="20"/>
              </w:rPr>
              <w:t>on the characteristics of patients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752" w:rsidRPr="000B3534">
              <w:rPr>
                <w:rFonts w:ascii="Arial" w:hAnsi="Arial" w:cs="Arial"/>
                <w:sz w:val="20"/>
                <w:szCs w:val="20"/>
              </w:rPr>
              <w:t>who accessed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 the service and </w:t>
            </w:r>
            <w:r w:rsidRPr="000B3534">
              <w:rPr>
                <w:rFonts w:ascii="Arial" w:hAnsi="Arial" w:cs="Arial"/>
                <w:sz w:val="20"/>
                <w:szCs w:val="20"/>
              </w:rPr>
              <w:t>the proportion of those who were treated by the pharmacist without subsequently seeing another health professional about the same condition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66752" w:rsidRPr="000B3534">
              <w:rPr>
                <w:rFonts w:ascii="Arial" w:hAnsi="Arial" w:cs="Arial"/>
                <w:sz w:val="20"/>
                <w:szCs w:val="20"/>
              </w:rPr>
              <w:t>Following their consultation, p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atients were invited to </w:t>
            </w:r>
            <w:r w:rsidR="00166752" w:rsidRPr="000B3534">
              <w:rPr>
                <w:rFonts w:ascii="Arial" w:hAnsi="Arial" w:cs="Arial"/>
                <w:sz w:val="20"/>
                <w:szCs w:val="20"/>
              </w:rPr>
              <w:t xml:space="preserve">anonymously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>complete a short questionnaire</w:t>
            </w:r>
            <w:r w:rsidR="00166752" w:rsidRPr="000B3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to rate their </w:t>
            </w:r>
            <w:r w:rsidRPr="000B3534">
              <w:rPr>
                <w:rFonts w:ascii="Arial" w:hAnsi="Arial" w:cs="Arial"/>
                <w:sz w:val="20"/>
                <w:szCs w:val="20"/>
              </w:rPr>
              <w:t>satisfaction</w:t>
            </w:r>
            <w:r w:rsidR="00E300D8" w:rsidRPr="000B3534">
              <w:rPr>
                <w:rFonts w:ascii="Arial" w:hAnsi="Arial" w:cs="Arial"/>
                <w:sz w:val="20"/>
                <w:szCs w:val="20"/>
              </w:rPr>
              <w:t xml:space="preserve"> about the service</w:t>
            </w:r>
            <w:r w:rsidR="000B3534">
              <w:rPr>
                <w:rFonts w:ascii="Arial" w:hAnsi="Arial" w:cs="Arial"/>
                <w:sz w:val="20"/>
                <w:szCs w:val="20"/>
              </w:rPr>
              <w:t xml:space="preserve"> on a 5-point L</w:t>
            </w:r>
            <w:r w:rsidR="000B3534" w:rsidRPr="000B3534">
              <w:rPr>
                <w:rFonts w:ascii="Arial" w:hAnsi="Arial" w:cs="Arial"/>
                <w:sz w:val="20"/>
                <w:szCs w:val="20"/>
              </w:rPr>
              <w:t xml:space="preserve">ikert scale ranging from very dissatisfied to very </w:t>
            </w:r>
            <w:proofErr w:type="gramStart"/>
            <w:r w:rsidR="000B3534" w:rsidRPr="000B3534">
              <w:rPr>
                <w:rFonts w:ascii="Arial" w:hAnsi="Arial" w:cs="Arial"/>
                <w:sz w:val="20"/>
                <w:szCs w:val="20"/>
              </w:rPr>
              <w:t>satisfied</w:t>
            </w:r>
            <w:proofErr w:type="gramEnd"/>
            <w:r w:rsidR="00E300D8" w:rsidRPr="000B3534">
              <w:rPr>
                <w:rFonts w:ascii="Arial" w:hAnsi="Arial" w:cs="Arial"/>
                <w:sz w:val="20"/>
                <w:szCs w:val="20"/>
              </w:rPr>
              <w:t>.</w:t>
            </w:r>
            <w:r w:rsidR="003E1DE1">
              <w:rPr>
                <w:rFonts w:ascii="Arial" w:hAnsi="Arial" w:cs="Arial"/>
                <w:sz w:val="20"/>
                <w:szCs w:val="20"/>
              </w:rPr>
              <w:t xml:space="preserve"> As a service evaluation</w:t>
            </w:r>
            <w:r w:rsidR="00411105">
              <w:rPr>
                <w:rFonts w:ascii="Arial" w:hAnsi="Arial" w:cs="Arial"/>
                <w:sz w:val="20"/>
                <w:szCs w:val="20"/>
              </w:rPr>
              <w:t xml:space="preserve"> the study did not require ethics approval.</w:t>
            </w:r>
          </w:p>
        </w:tc>
      </w:tr>
    </w:tbl>
    <w:p w14:paraId="2510EE88" w14:textId="0B8FC047" w:rsidR="003642C7" w:rsidRPr="00445ECA" w:rsidRDefault="00E56FEA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t>Results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445ECA" w:rsidRPr="00445ECA" w14:paraId="054B6C04" w14:textId="77777777" w:rsidTr="00AC4E72">
        <w:tc>
          <w:tcPr>
            <w:tcW w:w="9628" w:type="dxa"/>
          </w:tcPr>
          <w:p w14:paraId="65F86519" w14:textId="20DF8C50" w:rsidR="009606BA" w:rsidRPr="000B3534" w:rsidRDefault="009606BA" w:rsidP="009606B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606BA">
              <w:rPr>
                <w:rFonts w:ascii="Arial" w:eastAsia="Calibri" w:hAnsi="Arial" w:cs="Arial"/>
                <w:sz w:val="20"/>
                <w:szCs w:val="20"/>
              </w:rPr>
              <w:t>A total of 408 patients accessed the service</w:t>
            </w:r>
            <w:r w:rsidR="00411105">
              <w:rPr>
                <w:rFonts w:ascii="Arial" w:eastAsia="Calibri" w:hAnsi="Arial" w:cs="Arial"/>
                <w:sz w:val="20"/>
                <w:szCs w:val="20"/>
              </w:rPr>
              <w:t xml:space="preserve"> between December 2017 and March 2018</w:t>
            </w:r>
            <w:r w:rsidRPr="009606BA">
              <w:rPr>
                <w:rFonts w:ascii="Arial" w:eastAsia="Calibri" w:hAnsi="Arial" w:cs="Arial"/>
                <w:sz w:val="20"/>
                <w:szCs w:val="20"/>
              </w:rPr>
              <w:t>, of whom 61% received a POM, 15% received advice and medicine supplied under the common ailments service, 9% received advice and purchased a medicine, 10% received advice only and 5% were referred onwards. Sore throat accounted for 45% of diagnoses where a POM was supplied, 32% were diagnosed with acute otitis media and 15% were diagnosed with acute bacterial conjunctivitis. The number of patients successfully followed up was 309 (76%), of whom 264 (85%) had not seen another health professional for the same symptoms, whilst 45 (15%) had seen another health professional, usually their GP</w:t>
            </w:r>
            <w:r w:rsidR="003E1DE1">
              <w:rPr>
                <w:rFonts w:ascii="Arial" w:eastAsia="Calibri" w:hAnsi="Arial" w:cs="Arial"/>
                <w:sz w:val="20"/>
                <w:szCs w:val="20"/>
              </w:rPr>
              <w:t xml:space="preserve">, but one patient </w:t>
            </w:r>
            <w:r w:rsidR="001368AF">
              <w:rPr>
                <w:rFonts w:ascii="Arial" w:eastAsia="Calibri" w:hAnsi="Arial" w:cs="Arial"/>
                <w:sz w:val="20"/>
                <w:szCs w:val="20"/>
              </w:rPr>
              <w:t>attended an out-of-hours service due to a suspected adverse drug event</w:t>
            </w:r>
            <w:r w:rsidRPr="009606BA">
              <w:rPr>
                <w:rFonts w:ascii="Arial" w:eastAsia="Calibri" w:hAnsi="Arial" w:cs="Arial"/>
                <w:sz w:val="20"/>
                <w:szCs w:val="20"/>
              </w:rPr>
              <w:t>. The questionnaire was completed by 259 patients (response rate 63%) of whom 96% reported being very satisfied or satisfied with the service.</w:t>
            </w:r>
          </w:p>
        </w:tc>
      </w:tr>
    </w:tbl>
    <w:p w14:paraId="7041418D" w14:textId="54938DAD" w:rsidR="00375D0B" w:rsidRPr="00445ECA" w:rsidRDefault="003642C7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t>Discussion</w:t>
      </w:r>
      <w:r w:rsidR="00A977AE" w:rsidRPr="00445ECA">
        <w:rPr>
          <w:rFonts w:ascii="Arial" w:hAnsi="Arial" w:cs="Arial"/>
          <w:b/>
          <w:color w:val="333333"/>
          <w:sz w:val="20"/>
          <w:szCs w:val="20"/>
        </w:rPr>
        <w:t xml:space="preserve"> and Conclusion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445ECA" w:rsidRPr="00445ECA" w14:paraId="1C8C9979" w14:textId="77777777" w:rsidTr="00AC4E72">
        <w:tc>
          <w:tcPr>
            <w:tcW w:w="9628" w:type="dxa"/>
          </w:tcPr>
          <w:p w14:paraId="55BF076C" w14:textId="43437BF4" w:rsidR="00CB60DA" w:rsidRPr="000B3534" w:rsidRDefault="009606BA" w:rsidP="00960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34">
              <w:rPr>
                <w:rFonts w:ascii="Arial" w:hAnsi="Arial" w:cs="Arial"/>
                <w:sz w:val="20"/>
                <w:szCs w:val="20"/>
              </w:rPr>
              <w:t xml:space="preserve">The study demonstrates that pharmacists can effectively diagnose and treat these conditions, with a high degree of patient satisfaction. </w:t>
            </w:r>
            <w:r w:rsidR="00561C8E" w:rsidRPr="000B3534">
              <w:rPr>
                <w:rFonts w:ascii="Arial" w:hAnsi="Arial" w:cs="Arial"/>
                <w:sz w:val="20"/>
                <w:szCs w:val="20"/>
              </w:rPr>
              <w:t>Whilst a small-scale study, the findings suggest that w</w:t>
            </w:r>
            <w:r w:rsidRPr="000B3534">
              <w:rPr>
                <w:rFonts w:ascii="Arial" w:hAnsi="Arial" w:cs="Arial"/>
                <w:sz w:val="20"/>
                <w:szCs w:val="20"/>
              </w:rPr>
              <w:t>ider adoption of such service models could substantially benefit primary care and emergency care services</w:t>
            </w:r>
            <w:r w:rsidR="00561C8E" w:rsidRPr="000B3534">
              <w:rPr>
                <w:rFonts w:ascii="Arial" w:hAnsi="Arial" w:cs="Arial"/>
                <w:sz w:val="20"/>
                <w:szCs w:val="20"/>
              </w:rPr>
              <w:t>, but evaluating the full benefit for patient and the health economy would require an appropriately d</w:t>
            </w:r>
            <w:r w:rsidR="00166752" w:rsidRPr="000B3534">
              <w:rPr>
                <w:rFonts w:ascii="Arial" w:hAnsi="Arial" w:cs="Arial"/>
                <w:sz w:val="20"/>
                <w:szCs w:val="20"/>
              </w:rPr>
              <w:t>esigned clinical trial</w:t>
            </w:r>
            <w:r w:rsidR="00561C8E" w:rsidRPr="000B3534">
              <w:rPr>
                <w:rFonts w:ascii="Arial" w:hAnsi="Arial" w:cs="Arial"/>
                <w:sz w:val="20"/>
                <w:szCs w:val="20"/>
              </w:rPr>
              <w:t>.</w:t>
            </w:r>
            <w:r w:rsidRPr="000B3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EEFD15C" w14:textId="684C628C" w:rsidR="003642C7" w:rsidRPr="00445ECA" w:rsidRDefault="00375D0B" w:rsidP="00A977AE">
      <w:pPr>
        <w:spacing w:before="120" w:after="120"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445ECA">
        <w:rPr>
          <w:rFonts w:ascii="Arial" w:hAnsi="Arial" w:cs="Arial"/>
          <w:b/>
          <w:color w:val="333333"/>
          <w:sz w:val="20"/>
          <w:szCs w:val="20"/>
        </w:rPr>
        <w:t>Reference</w:t>
      </w:r>
      <w:r w:rsidR="00A977AE" w:rsidRPr="00445ECA">
        <w:rPr>
          <w:rFonts w:ascii="Arial" w:hAnsi="Arial" w:cs="Arial"/>
          <w:b/>
          <w:color w:val="333333"/>
          <w:sz w:val="20"/>
          <w:szCs w:val="20"/>
        </w:rPr>
        <w:t>(</w:t>
      </w:r>
      <w:r w:rsidRPr="00445ECA">
        <w:rPr>
          <w:rFonts w:ascii="Arial" w:hAnsi="Arial" w:cs="Arial"/>
          <w:b/>
          <w:color w:val="333333"/>
          <w:sz w:val="20"/>
          <w:szCs w:val="20"/>
        </w:rPr>
        <w:t>s</w:t>
      </w:r>
      <w:r w:rsidR="00A977AE" w:rsidRPr="00445ECA">
        <w:rPr>
          <w:rFonts w:ascii="Arial" w:hAnsi="Arial" w:cs="Arial"/>
          <w:b/>
          <w:color w:val="333333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9016"/>
      </w:tblGrid>
      <w:tr w:rsidR="00445ECA" w:rsidRPr="00445ECA" w14:paraId="45C75781" w14:textId="77777777" w:rsidTr="00AC4E72">
        <w:tc>
          <w:tcPr>
            <w:tcW w:w="9628" w:type="dxa"/>
          </w:tcPr>
          <w:p w14:paraId="184AF267" w14:textId="77777777" w:rsidR="00E300D8" w:rsidRPr="000B3534" w:rsidRDefault="00E300D8" w:rsidP="00E300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3534">
              <w:rPr>
                <w:rFonts w:ascii="Arial" w:hAnsi="Arial" w:cs="Arial"/>
                <w:sz w:val="20"/>
                <w:szCs w:val="20"/>
                <w:lang w:val="fr-FR"/>
              </w:rPr>
              <w:t>Paudyal</w:t>
            </w:r>
            <w:proofErr w:type="spellEnd"/>
            <w:r w:rsidRPr="000B3534">
              <w:rPr>
                <w:rFonts w:ascii="Arial" w:hAnsi="Arial" w:cs="Arial"/>
                <w:sz w:val="20"/>
                <w:szCs w:val="20"/>
                <w:lang w:val="fr-FR"/>
              </w:rPr>
              <w:t xml:space="preserve"> V, Watson M, </w:t>
            </w:r>
            <w:proofErr w:type="spellStart"/>
            <w:r w:rsidRPr="000B3534">
              <w:rPr>
                <w:rFonts w:ascii="Arial" w:hAnsi="Arial" w:cs="Arial"/>
                <w:sz w:val="20"/>
                <w:szCs w:val="20"/>
                <w:lang w:val="fr-FR"/>
              </w:rPr>
              <w:t>Sach</w:t>
            </w:r>
            <w:proofErr w:type="spellEnd"/>
            <w:r w:rsidRPr="000B3534">
              <w:rPr>
                <w:rFonts w:ascii="Arial" w:hAnsi="Arial" w:cs="Arial"/>
                <w:sz w:val="20"/>
                <w:szCs w:val="20"/>
                <w:lang w:val="fr-FR"/>
              </w:rPr>
              <w:t xml:space="preserve"> T, et </w:t>
            </w:r>
            <w:r w:rsidRPr="000B3534">
              <w:rPr>
                <w:rFonts w:ascii="Arial" w:hAnsi="Arial" w:cs="Arial"/>
                <w:i/>
                <w:sz w:val="20"/>
                <w:szCs w:val="20"/>
                <w:lang w:val="fr-FR"/>
              </w:rPr>
              <w:t>al</w:t>
            </w:r>
            <w:r w:rsidRPr="000B3534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Pr="000B3534">
              <w:rPr>
                <w:rFonts w:ascii="Arial" w:hAnsi="Arial" w:cs="Arial"/>
                <w:sz w:val="20"/>
                <w:szCs w:val="20"/>
              </w:rPr>
              <w:t xml:space="preserve">Are pharmacy-based minor ailment schemes a substitute for other service providers: A systematic </w:t>
            </w:r>
            <w:proofErr w:type="gramStart"/>
            <w:r w:rsidRPr="000B3534">
              <w:rPr>
                <w:rFonts w:ascii="Arial" w:hAnsi="Arial" w:cs="Arial"/>
                <w:sz w:val="20"/>
                <w:szCs w:val="20"/>
              </w:rPr>
              <w:t>review.</w:t>
            </w:r>
            <w:proofErr w:type="gramEnd"/>
            <w:r w:rsidRPr="000B3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534">
              <w:rPr>
                <w:rFonts w:ascii="Arial" w:hAnsi="Arial" w:cs="Arial"/>
                <w:i/>
                <w:sz w:val="20"/>
                <w:szCs w:val="20"/>
              </w:rPr>
              <w:t xml:space="preserve">Br J Gen </w:t>
            </w:r>
            <w:proofErr w:type="spellStart"/>
            <w:r w:rsidRPr="000B3534">
              <w:rPr>
                <w:rFonts w:ascii="Arial" w:hAnsi="Arial" w:cs="Arial"/>
                <w:i/>
                <w:sz w:val="20"/>
                <w:szCs w:val="20"/>
              </w:rPr>
              <w:t>Pract</w:t>
            </w:r>
            <w:proofErr w:type="spellEnd"/>
            <w:r w:rsidRPr="000B3534">
              <w:rPr>
                <w:rFonts w:ascii="Arial" w:hAnsi="Arial" w:cs="Arial"/>
                <w:sz w:val="20"/>
                <w:szCs w:val="20"/>
              </w:rPr>
              <w:t xml:space="preserve"> 2013; </w:t>
            </w:r>
            <w:proofErr w:type="spellStart"/>
            <w:r w:rsidRPr="000B3534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0B3534">
              <w:rPr>
                <w:rFonts w:ascii="Arial" w:hAnsi="Arial" w:cs="Arial"/>
                <w:sz w:val="20"/>
                <w:szCs w:val="20"/>
              </w:rPr>
              <w:t>: 10.3399/bjgp13X669194.</w:t>
            </w:r>
          </w:p>
          <w:p w14:paraId="6B0F51F0" w14:textId="379182BD" w:rsidR="00A35209" w:rsidRPr="00E300D8" w:rsidRDefault="00E300D8" w:rsidP="00E300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534">
              <w:rPr>
                <w:rFonts w:ascii="Arial" w:hAnsi="Arial" w:cs="Arial"/>
                <w:sz w:val="20"/>
                <w:szCs w:val="20"/>
                <w:lang w:val="fr-FR"/>
              </w:rPr>
              <w:t xml:space="preserve">Watson M, Ferguson J, Barton G, </w:t>
            </w:r>
            <w:r w:rsidRPr="000B3534">
              <w:rPr>
                <w:rFonts w:ascii="Arial" w:hAnsi="Arial" w:cs="Arial"/>
                <w:i/>
                <w:sz w:val="20"/>
                <w:szCs w:val="20"/>
                <w:lang w:val="fr-FR"/>
              </w:rPr>
              <w:t>et al</w:t>
            </w:r>
            <w:r w:rsidRPr="000B3534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Pr="000B3534">
              <w:rPr>
                <w:rFonts w:ascii="Arial" w:hAnsi="Arial" w:cs="Arial"/>
                <w:sz w:val="20"/>
                <w:szCs w:val="20"/>
              </w:rPr>
              <w:t xml:space="preserve">A cohort study of influences, health outcomes and costs of patients’ health-seeking behaviour for minor ailments from primary and emergency care settings. </w:t>
            </w:r>
            <w:r w:rsidRPr="000B3534">
              <w:rPr>
                <w:rFonts w:ascii="Arial" w:hAnsi="Arial" w:cs="Arial"/>
                <w:i/>
                <w:sz w:val="20"/>
                <w:szCs w:val="20"/>
              </w:rPr>
              <w:t>BMJ Open</w:t>
            </w:r>
            <w:r w:rsidRPr="000B3534">
              <w:rPr>
                <w:rFonts w:ascii="Arial" w:hAnsi="Arial" w:cs="Arial"/>
                <w:sz w:val="20"/>
                <w:szCs w:val="20"/>
              </w:rPr>
              <w:t xml:space="preserve"> 2015; 5: e006261.doi:10.1136/bmjopen-2014-006261.</w:t>
            </w:r>
          </w:p>
        </w:tc>
      </w:tr>
    </w:tbl>
    <w:p w14:paraId="1CDBC199" w14:textId="77777777" w:rsidR="00137A84" w:rsidRPr="00445ECA" w:rsidRDefault="00137A84" w:rsidP="00137A84">
      <w:pPr>
        <w:spacing w:before="120" w:after="120" w:line="276" w:lineRule="auto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175"/>
      </w:tblGrid>
      <w:tr w:rsidR="00AC4E72" w:rsidRPr="00AC4E72" w14:paraId="1C7F4434" w14:textId="77777777" w:rsidTr="00137A84">
        <w:tc>
          <w:tcPr>
            <w:tcW w:w="3261" w:type="dxa"/>
          </w:tcPr>
          <w:p w14:paraId="25C5D8EF" w14:textId="77777777" w:rsidR="00137A84" w:rsidRPr="00AC4E72" w:rsidRDefault="00137A84" w:rsidP="000B3534">
            <w:pPr>
              <w:spacing w:before="120" w:after="120"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C4E72">
              <w:rPr>
                <w:rFonts w:ascii="Arial" w:hAnsi="Arial" w:cs="Arial"/>
                <w:b/>
                <w:color w:val="333333"/>
                <w:sz w:val="20"/>
                <w:szCs w:val="20"/>
              </w:rPr>
              <w:t>I wish to submit for</w:t>
            </w:r>
          </w:p>
          <w:p w14:paraId="32200F2F" w14:textId="77777777" w:rsidR="00137A84" w:rsidRPr="00AC4E72" w:rsidRDefault="00137A84" w:rsidP="000B3534">
            <w:pPr>
              <w:spacing w:before="120" w:after="120"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C4E72">
              <w:rPr>
                <w:rFonts w:ascii="Arial" w:hAnsi="Arial" w:cs="Arial"/>
                <w:b/>
                <w:color w:val="333333"/>
                <w:sz w:val="20"/>
                <w:szCs w:val="20"/>
              </w:rPr>
              <w:t>(please select one or both)</w:t>
            </w:r>
          </w:p>
        </w:tc>
        <w:tc>
          <w:tcPr>
            <w:tcW w:w="2693" w:type="dxa"/>
          </w:tcPr>
          <w:p w14:paraId="12F3470F" w14:textId="5264EA09" w:rsidR="00137A84" w:rsidRPr="00AC4E72" w:rsidRDefault="00137A84" w:rsidP="00137A84">
            <w:pPr>
              <w:spacing w:before="120" w:after="120"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C4E72">
              <w:rPr>
                <w:rFonts w:ascii="Arial" w:hAnsi="Arial" w:cs="Arial"/>
                <w:color w:val="333333"/>
                <w:sz w:val="20"/>
                <w:szCs w:val="20"/>
              </w:rPr>
              <w:t xml:space="preserve">Oral Presentation  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834521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534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175" w:type="dxa"/>
          </w:tcPr>
          <w:p w14:paraId="19F9BAC8" w14:textId="47A00685" w:rsidR="00137A84" w:rsidRPr="00AC4E72" w:rsidRDefault="00137A84" w:rsidP="00137A84">
            <w:pPr>
              <w:spacing w:before="120" w:after="120"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C4E72">
              <w:rPr>
                <w:rFonts w:ascii="Arial" w:hAnsi="Arial" w:cs="Arial"/>
                <w:color w:val="333333"/>
                <w:sz w:val="20"/>
                <w:szCs w:val="20"/>
              </w:rPr>
              <w:t xml:space="preserve">Poster Presentation  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1514133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D8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359EBD02" w14:textId="77777777" w:rsidR="00137A84" w:rsidRPr="00445ECA" w:rsidRDefault="00137A84" w:rsidP="00137A84">
      <w:pPr>
        <w:spacing w:before="120" w:after="120" w:line="276" w:lineRule="auto"/>
        <w:rPr>
          <w:rFonts w:ascii="Arial" w:hAnsi="Arial" w:cs="Arial"/>
          <w:color w:val="333333"/>
          <w:sz w:val="20"/>
          <w:szCs w:val="20"/>
        </w:rPr>
      </w:pPr>
    </w:p>
    <w:sectPr w:rsidR="00137A84" w:rsidRPr="00445E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83ECC" w14:textId="77777777" w:rsidR="00DC4016" w:rsidRDefault="00DC4016" w:rsidP="003642C7">
      <w:pPr>
        <w:spacing w:after="0" w:line="240" w:lineRule="auto"/>
      </w:pPr>
      <w:r>
        <w:separator/>
      </w:r>
    </w:p>
  </w:endnote>
  <w:endnote w:type="continuationSeparator" w:id="0">
    <w:p w14:paraId="3BCC285C" w14:textId="77777777" w:rsidR="00DC4016" w:rsidRDefault="00DC4016" w:rsidP="0036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CA0F" w14:textId="77777777" w:rsidR="00870659" w:rsidRDefault="00870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711B" w14:textId="77777777" w:rsidR="00870659" w:rsidRDefault="00870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2325" w14:textId="77777777" w:rsidR="00870659" w:rsidRDefault="00870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2F44" w14:textId="77777777" w:rsidR="00DC4016" w:rsidRDefault="00DC4016" w:rsidP="003642C7">
      <w:pPr>
        <w:spacing w:after="0" w:line="240" w:lineRule="auto"/>
      </w:pPr>
      <w:r>
        <w:separator/>
      </w:r>
    </w:p>
  </w:footnote>
  <w:footnote w:type="continuationSeparator" w:id="0">
    <w:p w14:paraId="4ECB7499" w14:textId="77777777" w:rsidR="00DC4016" w:rsidRDefault="00DC4016" w:rsidP="0036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0962" w14:textId="77777777" w:rsidR="00870659" w:rsidRDefault="00870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FF46" w14:textId="77777777" w:rsidR="00870659" w:rsidRDefault="00870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09D1" w14:textId="77777777" w:rsidR="00870659" w:rsidRDefault="00870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FD9"/>
    <w:multiLevelType w:val="hybridMultilevel"/>
    <w:tmpl w:val="C9B6ED74"/>
    <w:lvl w:ilvl="0" w:tplc="596C1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764F3"/>
    <w:multiLevelType w:val="hybridMultilevel"/>
    <w:tmpl w:val="17FC62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896682"/>
    <w:multiLevelType w:val="hybridMultilevel"/>
    <w:tmpl w:val="A55EA6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C7"/>
    <w:rsid w:val="00011353"/>
    <w:rsid w:val="00011982"/>
    <w:rsid w:val="00093872"/>
    <w:rsid w:val="000B3534"/>
    <w:rsid w:val="000E62EE"/>
    <w:rsid w:val="00106B0B"/>
    <w:rsid w:val="001327AA"/>
    <w:rsid w:val="00133300"/>
    <w:rsid w:val="001368AF"/>
    <w:rsid w:val="00137A84"/>
    <w:rsid w:val="001552C6"/>
    <w:rsid w:val="00166752"/>
    <w:rsid w:val="00184B5E"/>
    <w:rsid w:val="00207495"/>
    <w:rsid w:val="002510C2"/>
    <w:rsid w:val="00266FB0"/>
    <w:rsid w:val="002B2127"/>
    <w:rsid w:val="002B3569"/>
    <w:rsid w:val="002F0A2B"/>
    <w:rsid w:val="0032099D"/>
    <w:rsid w:val="00332751"/>
    <w:rsid w:val="003539AE"/>
    <w:rsid w:val="00353CBC"/>
    <w:rsid w:val="00363F9F"/>
    <w:rsid w:val="003642C7"/>
    <w:rsid w:val="00375D0B"/>
    <w:rsid w:val="0038629C"/>
    <w:rsid w:val="003B1DB6"/>
    <w:rsid w:val="003E1DE1"/>
    <w:rsid w:val="003E52C4"/>
    <w:rsid w:val="003F762B"/>
    <w:rsid w:val="00411105"/>
    <w:rsid w:val="00421836"/>
    <w:rsid w:val="00445ECA"/>
    <w:rsid w:val="004924A8"/>
    <w:rsid w:val="004D44A2"/>
    <w:rsid w:val="00524F2B"/>
    <w:rsid w:val="0055524F"/>
    <w:rsid w:val="00561C8E"/>
    <w:rsid w:val="00582FB6"/>
    <w:rsid w:val="005E3A20"/>
    <w:rsid w:val="00654908"/>
    <w:rsid w:val="00691B72"/>
    <w:rsid w:val="006920D8"/>
    <w:rsid w:val="006B5E29"/>
    <w:rsid w:val="006C161B"/>
    <w:rsid w:val="006C4392"/>
    <w:rsid w:val="006C5F42"/>
    <w:rsid w:val="006D0143"/>
    <w:rsid w:val="00714CFD"/>
    <w:rsid w:val="007564EC"/>
    <w:rsid w:val="007646E5"/>
    <w:rsid w:val="007815B8"/>
    <w:rsid w:val="007E0950"/>
    <w:rsid w:val="007E6028"/>
    <w:rsid w:val="00811F47"/>
    <w:rsid w:val="008174BE"/>
    <w:rsid w:val="00864A18"/>
    <w:rsid w:val="00870659"/>
    <w:rsid w:val="00887CC8"/>
    <w:rsid w:val="008B4B24"/>
    <w:rsid w:val="008D157F"/>
    <w:rsid w:val="0095783B"/>
    <w:rsid w:val="009606BA"/>
    <w:rsid w:val="009A0CCB"/>
    <w:rsid w:val="00A042AA"/>
    <w:rsid w:val="00A21B13"/>
    <w:rsid w:val="00A35209"/>
    <w:rsid w:val="00A4517C"/>
    <w:rsid w:val="00A45A2E"/>
    <w:rsid w:val="00A66B59"/>
    <w:rsid w:val="00A6749A"/>
    <w:rsid w:val="00A977AE"/>
    <w:rsid w:val="00AA2B64"/>
    <w:rsid w:val="00AC4E72"/>
    <w:rsid w:val="00AC700C"/>
    <w:rsid w:val="00AD38B4"/>
    <w:rsid w:val="00AE47B0"/>
    <w:rsid w:val="00B42059"/>
    <w:rsid w:val="00B472D4"/>
    <w:rsid w:val="00B611D7"/>
    <w:rsid w:val="00BB19D4"/>
    <w:rsid w:val="00C320C3"/>
    <w:rsid w:val="00CA09A8"/>
    <w:rsid w:val="00CA4257"/>
    <w:rsid w:val="00CB60DA"/>
    <w:rsid w:val="00CD75D1"/>
    <w:rsid w:val="00D045F2"/>
    <w:rsid w:val="00D06F7D"/>
    <w:rsid w:val="00D166D2"/>
    <w:rsid w:val="00D4452A"/>
    <w:rsid w:val="00D45687"/>
    <w:rsid w:val="00D50B9E"/>
    <w:rsid w:val="00D6082E"/>
    <w:rsid w:val="00D93472"/>
    <w:rsid w:val="00DB4A2B"/>
    <w:rsid w:val="00DC4016"/>
    <w:rsid w:val="00DD47F8"/>
    <w:rsid w:val="00E25197"/>
    <w:rsid w:val="00E300D8"/>
    <w:rsid w:val="00E436F2"/>
    <w:rsid w:val="00E56FEA"/>
    <w:rsid w:val="00E728A6"/>
    <w:rsid w:val="00E75098"/>
    <w:rsid w:val="00E805AA"/>
    <w:rsid w:val="00EB6002"/>
    <w:rsid w:val="00EB63F3"/>
    <w:rsid w:val="00EC19CF"/>
    <w:rsid w:val="00EC426E"/>
    <w:rsid w:val="00F15666"/>
    <w:rsid w:val="00F66136"/>
    <w:rsid w:val="00F93724"/>
    <w:rsid w:val="00F937DB"/>
    <w:rsid w:val="00FA241A"/>
    <w:rsid w:val="00FB54F7"/>
    <w:rsid w:val="00FC6062"/>
    <w:rsid w:val="00FE22CE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5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42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64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2C7"/>
  </w:style>
  <w:style w:type="paragraph" w:styleId="Footer">
    <w:name w:val="footer"/>
    <w:basedOn w:val="Normal"/>
    <w:link w:val="FooterChar"/>
    <w:uiPriority w:val="99"/>
    <w:unhideWhenUsed/>
    <w:rsid w:val="0036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C7"/>
  </w:style>
  <w:style w:type="character" w:styleId="Hyperlink">
    <w:name w:val="Hyperlink"/>
    <w:basedOn w:val="DefaultParagraphFont"/>
    <w:uiPriority w:val="99"/>
    <w:unhideWhenUsed/>
    <w:rsid w:val="00864A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search@rpharms.com?subject=RPS%20Summit%20-%20Abstract%20Submi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pharms.com/Portals/0/RPS%20document%20library/Open%20access/Events/RPS%20Summit/Abstract%20Submission%20Guidanc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6437-1973-4B21-AB21-4ABFDA0F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2019-02-12T11:36:00Z</dcterms:created>
  <dcterms:modified xsi:type="dcterms:W3CDTF">2019-02-12T11:36:00Z</dcterms:modified>
</cp:coreProperties>
</file>