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EF429" w14:textId="7CD6136A" w:rsidR="00725E9C" w:rsidRDefault="00725E9C">
      <w:pPr>
        <w:rPr>
          <w:rFonts w:ascii="Times New Roman" w:hAnsi="Times New Roman" w:cs="Times New Roman"/>
        </w:rPr>
      </w:pPr>
      <w:bookmarkStart w:id="0" w:name="_GoBack"/>
      <w:bookmarkEnd w:id="0"/>
      <w:r w:rsidRPr="00E26A1E">
        <w:rPr>
          <w:rFonts w:ascii="Times New Roman" w:hAnsi="Times New Roman" w:cs="Times New Roman"/>
        </w:rPr>
        <w:t>Title</w:t>
      </w:r>
    </w:p>
    <w:p w14:paraId="3BB3B5A1" w14:textId="7102A4FA" w:rsidR="00432CDB" w:rsidRPr="00E26A1E" w:rsidRDefault="00432C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 interactive clinical avatars improve pre-registration pharmacists’ knowledge base? </w:t>
      </w:r>
    </w:p>
    <w:p w14:paraId="185808B6" w14:textId="7462F647" w:rsidR="00CD4DB0" w:rsidRPr="00E26A1E" w:rsidRDefault="00773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 </w:t>
      </w:r>
      <w:r w:rsidR="00CD4DB0" w:rsidRPr="00E26A1E">
        <w:rPr>
          <w:rFonts w:ascii="Times New Roman" w:hAnsi="Times New Roman" w:cs="Times New Roman"/>
        </w:rPr>
        <w:t>J. Thompson</w:t>
      </w:r>
      <w:r w:rsidR="00E67E4B" w:rsidRPr="00E26A1E">
        <w:rPr>
          <w:rFonts w:ascii="Times New Roman" w:hAnsi="Times New Roman" w:cs="Times New Roman"/>
        </w:rPr>
        <w:t>, Dr</w:t>
      </w:r>
      <w:r w:rsidR="00CD4DB0" w:rsidRPr="00E26A1E">
        <w:rPr>
          <w:rFonts w:ascii="Times New Roman" w:hAnsi="Times New Roman" w:cs="Times New Roman"/>
        </w:rPr>
        <w:t xml:space="preserve"> S. White</w:t>
      </w:r>
      <w:r w:rsidR="0012255A" w:rsidRPr="00E26A1E">
        <w:rPr>
          <w:rFonts w:ascii="Times New Roman" w:hAnsi="Times New Roman" w:cs="Times New Roman"/>
        </w:rPr>
        <w:t>, Professor S. Chapman</w:t>
      </w:r>
    </w:p>
    <w:p w14:paraId="0452ED96" w14:textId="2B654156" w:rsidR="00CD4DB0" w:rsidRDefault="00CD4DB0">
      <w:pPr>
        <w:rPr>
          <w:rFonts w:ascii="Times New Roman" w:hAnsi="Times New Roman" w:cs="Times New Roman"/>
        </w:rPr>
      </w:pPr>
      <w:r w:rsidRPr="00E26A1E">
        <w:rPr>
          <w:rFonts w:ascii="Times New Roman" w:hAnsi="Times New Roman" w:cs="Times New Roman"/>
        </w:rPr>
        <w:t>Keele University</w:t>
      </w:r>
      <w:r w:rsidRPr="00E26A1E">
        <w:rPr>
          <w:rFonts w:ascii="Times New Roman" w:hAnsi="Times New Roman" w:cs="Times New Roman"/>
        </w:rPr>
        <w:br/>
      </w:r>
      <w:hyperlink r:id="rId6" w:history="1">
        <w:r w:rsidR="000C4A17" w:rsidRPr="00DC4A22">
          <w:rPr>
            <w:rStyle w:val="Hyperlink"/>
            <w:rFonts w:ascii="Times New Roman" w:hAnsi="Times New Roman" w:cs="Times New Roman"/>
          </w:rPr>
          <w:t>j.f.thompson@keele.ac.uk</w:t>
        </w:r>
      </w:hyperlink>
    </w:p>
    <w:p w14:paraId="3053B1E6" w14:textId="77777777" w:rsidR="000C4A17" w:rsidRPr="00E26A1E" w:rsidRDefault="000C4A17">
      <w:pPr>
        <w:rPr>
          <w:rFonts w:ascii="Times New Roman" w:hAnsi="Times New Roman" w:cs="Times New Roman"/>
        </w:rPr>
      </w:pPr>
    </w:p>
    <w:p w14:paraId="58C9864C" w14:textId="40ACC3AD" w:rsidR="00432CDB" w:rsidRDefault="0064509B">
      <w:pPr>
        <w:rPr>
          <w:rFonts w:ascii="Times New Roman" w:hAnsi="Times New Roman" w:cs="Times New Roman"/>
        </w:rPr>
      </w:pPr>
      <w:r w:rsidRPr="00E26A1E">
        <w:rPr>
          <w:rFonts w:ascii="Times New Roman" w:hAnsi="Times New Roman" w:cs="Times New Roman"/>
        </w:rPr>
        <w:t>Introductory Line</w:t>
      </w:r>
    </w:p>
    <w:p w14:paraId="56AB51C3" w14:textId="113E8AC5" w:rsidR="000C4A17" w:rsidRDefault="000C4A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variability in pre-registration training </w:t>
      </w:r>
      <w:proofErr w:type="gramStart"/>
      <w:r>
        <w:rPr>
          <w:rFonts w:ascii="Times New Roman" w:hAnsi="Times New Roman" w:cs="Times New Roman"/>
        </w:rPr>
        <w:t>experiences</w:t>
      </w:r>
      <w:r w:rsidRPr="00DB3B27">
        <w:rPr>
          <w:rStyle w:val="SubtleEmphasis"/>
          <w:i w:val="0"/>
          <w:vertAlign w:val="superscript"/>
        </w:rPr>
        <w:t>[</w:t>
      </w:r>
      <w:proofErr w:type="gramEnd"/>
      <w:r w:rsidRPr="00DB3B27">
        <w:rPr>
          <w:rStyle w:val="SubtleEmphasis"/>
          <w:i w:val="0"/>
          <w:vertAlign w:val="superscript"/>
        </w:rPr>
        <w:t>1]</w:t>
      </w:r>
      <w:r>
        <w:rPr>
          <w:rFonts w:ascii="Times New Roman" w:hAnsi="Times New Roman" w:cs="Times New Roman"/>
        </w:rPr>
        <w:t xml:space="preserve"> and</w:t>
      </w:r>
      <w:r w:rsidR="00FE194D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increasing digital native generation of students</w:t>
      </w:r>
      <w:r w:rsidRPr="00DB3B27">
        <w:rPr>
          <w:rFonts w:ascii="Times New Roman" w:hAnsi="Times New Roman" w:cs="Times New Roman"/>
          <w:vertAlign w:val="superscript"/>
        </w:rPr>
        <w:t>[2]</w:t>
      </w:r>
      <w:r>
        <w:rPr>
          <w:rFonts w:ascii="Times New Roman" w:hAnsi="Times New Roman" w:cs="Times New Roman"/>
        </w:rPr>
        <w:t xml:space="preserve"> encourages the exploration of interactive clinical avatars (ICAs) as a learning tool. </w:t>
      </w:r>
    </w:p>
    <w:p w14:paraId="4C048416" w14:textId="686745BB" w:rsidR="00725E9C" w:rsidRDefault="00725E9C">
      <w:pPr>
        <w:rPr>
          <w:rFonts w:ascii="Times New Roman" w:hAnsi="Times New Roman" w:cs="Times New Roman"/>
        </w:rPr>
      </w:pPr>
      <w:r w:rsidRPr="00E26A1E">
        <w:rPr>
          <w:rFonts w:ascii="Times New Roman" w:hAnsi="Times New Roman" w:cs="Times New Roman"/>
        </w:rPr>
        <w:t>Aim</w:t>
      </w:r>
    </w:p>
    <w:p w14:paraId="5CEB0860" w14:textId="2187688F" w:rsidR="000C4A17" w:rsidRPr="00E26A1E" w:rsidRDefault="000C4A17">
      <w:pPr>
        <w:rPr>
          <w:rFonts w:ascii="Times New Roman" w:hAnsi="Times New Roman" w:cs="Times New Roman"/>
        </w:rPr>
      </w:pPr>
      <w:bookmarkStart w:id="1" w:name="_Hlk492216272"/>
      <w:r w:rsidRPr="000C4A17">
        <w:rPr>
          <w:rFonts w:ascii="Times New Roman" w:hAnsi="Times New Roman" w:cs="Times New Roman"/>
        </w:rPr>
        <w:t>To quan</w:t>
      </w:r>
      <w:r w:rsidR="003054E4">
        <w:rPr>
          <w:rFonts w:ascii="Times New Roman" w:hAnsi="Times New Roman" w:cs="Times New Roman"/>
        </w:rPr>
        <w:t>titatively assess the ability of</w:t>
      </w:r>
      <w:r w:rsidRPr="000C4A17">
        <w:rPr>
          <w:rFonts w:ascii="Times New Roman" w:hAnsi="Times New Roman" w:cs="Times New Roman"/>
        </w:rPr>
        <w:t xml:space="preserve"> ICA</w:t>
      </w:r>
      <w:r w:rsidR="003F2CEC">
        <w:rPr>
          <w:rFonts w:ascii="Times New Roman" w:hAnsi="Times New Roman" w:cs="Times New Roman"/>
        </w:rPr>
        <w:t>s</w:t>
      </w:r>
      <w:r w:rsidRPr="000C4A17">
        <w:rPr>
          <w:rFonts w:ascii="Times New Roman" w:hAnsi="Times New Roman" w:cs="Times New Roman"/>
        </w:rPr>
        <w:t xml:space="preserve"> to enhance the knowledge base of pre-regis</w:t>
      </w:r>
      <w:r w:rsidR="003F2CEC">
        <w:rPr>
          <w:rFonts w:ascii="Times New Roman" w:hAnsi="Times New Roman" w:cs="Times New Roman"/>
        </w:rPr>
        <w:t xml:space="preserve">tration pharmacists compared to </w:t>
      </w:r>
      <w:r w:rsidR="00E86A9C">
        <w:rPr>
          <w:rFonts w:ascii="Times New Roman" w:hAnsi="Times New Roman" w:cs="Times New Roman"/>
        </w:rPr>
        <w:t>non-interactive</w:t>
      </w:r>
      <w:r w:rsidRPr="000C4A17">
        <w:rPr>
          <w:rFonts w:ascii="Times New Roman" w:hAnsi="Times New Roman" w:cs="Times New Roman"/>
        </w:rPr>
        <w:t xml:space="preserve"> case studies</w:t>
      </w:r>
      <w:r w:rsidR="00E86A9C">
        <w:rPr>
          <w:rFonts w:ascii="Times New Roman" w:hAnsi="Times New Roman" w:cs="Times New Roman"/>
        </w:rPr>
        <w:t>.</w:t>
      </w:r>
      <w:bookmarkEnd w:id="1"/>
    </w:p>
    <w:p w14:paraId="5742A9A5" w14:textId="41DE1076" w:rsidR="00725E9C" w:rsidRDefault="0064509B">
      <w:pPr>
        <w:rPr>
          <w:rFonts w:ascii="Times New Roman" w:hAnsi="Times New Roman" w:cs="Times New Roman"/>
        </w:rPr>
      </w:pPr>
      <w:r w:rsidRPr="00E26A1E">
        <w:rPr>
          <w:rFonts w:ascii="Times New Roman" w:hAnsi="Times New Roman" w:cs="Times New Roman"/>
        </w:rPr>
        <w:t xml:space="preserve">Research Design and </w:t>
      </w:r>
      <w:r w:rsidR="00725E9C" w:rsidRPr="00E26A1E">
        <w:rPr>
          <w:rFonts w:ascii="Times New Roman" w:hAnsi="Times New Roman" w:cs="Times New Roman"/>
        </w:rPr>
        <w:t>Methodology</w:t>
      </w:r>
    </w:p>
    <w:p w14:paraId="7F2A624B" w14:textId="067ED49B" w:rsidR="00E86A9C" w:rsidRPr="005304E6" w:rsidRDefault="00E86A9C">
      <w:pPr>
        <w:rPr>
          <w:rFonts w:ascii="Times New Roman" w:hAnsi="Times New Roman" w:cs="Times New Roman"/>
        </w:rPr>
      </w:pPr>
      <w:r w:rsidRPr="005304E6">
        <w:rPr>
          <w:rFonts w:ascii="Times New Roman" w:hAnsi="Times New Roman" w:cs="Times New Roman"/>
        </w:rPr>
        <w:t>Following institutional ethical approval</w:t>
      </w:r>
      <w:r w:rsidR="003F2CEC">
        <w:rPr>
          <w:rFonts w:ascii="Times New Roman" w:hAnsi="Times New Roman" w:cs="Times New Roman"/>
        </w:rPr>
        <w:t>,</w:t>
      </w:r>
      <w:r w:rsidRPr="005304E6">
        <w:rPr>
          <w:rFonts w:ascii="Times New Roman" w:hAnsi="Times New Roman" w:cs="Times New Roman"/>
        </w:rPr>
        <w:t xml:space="preserve"> a purposive sample of pharmacist pre-registration trainees</w:t>
      </w:r>
      <w:r w:rsidR="00C16AF9">
        <w:rPr>
          <w:rFonts w:ascii="Times New Roman" w:hAnsi="Times New Roman" w:cs="Times New Roman"/>
        </w:rPr>
        <w:t xml:space="preserve"> (2014-2015)</w:t>
      </w:r>
      <w:r w:rsidRPr="005304E6">
        <w:rPr>
          <w:rFonts w:ascii="Times New Roman" w:hAnsi="Times New Roman" w:cs="Times New Roman"/>
        </w:rPr>
        <w:t xml:space="preserve"> were recruited </w:t>
      </w:r>
      <w:r w:rsidR="00E54DC1">
        <w:rPr>
          <w:rFonts w:ascii="Times New Roman" w:hAnsi="Times New Roman" w:cs="Times New Roman"/>
        </w:rPr>
        <w:t>from</w:t>
      </w:r>
      <w:r w:rsidRPr="005304E6">
        <w:rPr>
          <w:rFonts w:ascii="Times New Roman" w:hAnsi="Times New Roman" w:cs="Times New Roman"/>
        </w:rPr>
        <w:t xml:space="preserve"> the hospital and community sectors via presentations and emails. Those who consented were randomly stratified based </w:t>
      </w:r>
      <w:r w:rsidR="00B73867">
        <w:rPr>
          <w:rFonts w:ascii="Times New Roman" w:hAnsi="Times New Roman" w:cs="Times New Roman"/>
        </w:rPr>
        <w:t xml:space="preserve">on their </w:t>
      </w:r>
      <w:r w:rsidRPr="005304E6">
        <w:rPr>
          <w:rFonts w:ascii="Times New Roman" w:hAnsi="Times New Roman" w:cs="Times New Roman"/>
        </w:rPr>
        <w:t>ge</w:t>
      </w:r>
      <w:r w:rsidR="002A7D84" w:rsidRPr="005304E6">
        <w:rPr>
          <w:rFonts w:ascii="Times New Roman" w:hAnsi="Times New Roman" w:cs="Times New Roman"/>
        </w:rPr>
        <w:t>nder</w:t>
      </w:r>
      <w:r w:rsidR="00B73867">
        <w:rPr>
          <w:rFonts w:ascii="Times New Roman" w:hAnsi="Times New Roman" w:cs="Times New Roman"/>
        </w:rPr>
        <w:t xml:space="preserve"> and</w:t>
      </w:r>
      <w:r w:rsidR="002A7D84" w:rsidRPr="005304E6">
        <w:rPr>
          <w:rFonts w:ascii="Times New Roman" w:hAnsi="Times New Roman" w:cs="Times New Roman"/>
        </w:rPr>
        <w:t xml:space="preserve"> </w:t>
      </w:r>
      <w:r w:rsidR="00E05E3B">
        <w:rPr>
          <w:rFonts w:ascii="Times New Roman" w:hAnsi="Times New Roman" w:cs="Times New Roman"/>
        </w:rPr>
        <w:t xml:space="preserve">training </w:t>
      </w:r>
      <w:r w:rsidR="002A7D84" w:rsidRPr="005304E6">
        <w:rPr>
          <w:rFonts w:ascii="Times New Roman" w:hAnsi="Times New Roman" w:cs="Times New Roman"/>
        </w:rPr>
        <w:t>sector</w:t>
      </w:r>
      <w:r w:rsidR="00B73867">
        <w:rPr>
          <w:rFonts w:ascii="Times New Roman" w:hAnsi="Times New Roman" w:cs="Times New Roman"/>
        </w:rPr>
        <w:t xml:space="preserve"> </w:t>
      </w:r>
      <w:r w:rsidR="002A7D84" w:rsidRPr="005304E6">
        <w:rPr>
          <w:rFonts w:ascii="Times New Roman" w:hAnsi="Times New Roman" w:cs="Times New Roman"/>
        </w:rPr>
        <w:t xml:space="preserve">to receive </w:t>
      </w:r>
      <w:r w:rsidR="00F41CAF">
        <w:rPr>
          <w:rFonts w:ascii="Times New Roman" w:hAnsi="Times New Roman" w:cs="Times New Roman"/>
        </w:rPr>
        <w:t xml:space="preserve">three </w:t>
      </w:r>
      <w:r w:rsidR="002A7D84" w:rsidRPr="005304E6">
        <w:rPr>
          <w:rFonts w:ascii="Times New Roman" w:hAnsi="Times New Roman" w:cs="Times New Roman"/>
        </w:rPr>
        <w:t>ICA or</w:t>
      </w:r>
      <w:r w:rsidR="00F41CAF">
        <w:rPr>
          <w:rFonts w:ascii="Times New Roman" w:hAnsi="Times New Roman" w:cs="Times New Roman"/>
        </w:rPr>
        <w:t xml:space="preserve"> three</w:t>
      </w:r>
      <w:r w:rsidR="002A7D84" w:rsidRPr="005304E6">
        <w:rPr>
          <w:rFonts w:ascii="Times New Roman" w:hAnsi="Times New Roman" w:cs="Times New Roman"/>
        </w:rPr>
        <w:t xml:space="preserve"> non-interactive</w:t>
      </w:r>
      <w:r w:rsidR="00D92AE3" w:rsidRPr="005304E6">
        <w:rPr>
          <w:rFonts w:ascii="Times New Roman" w:hAnsi="Times New Roman" w:cs="Times New Roman"/>
        </w:rPr>
        <w:t xml:space="preserve"> (control)</w:t>
      </w:r>
      <w:r w:rsidR="002A7D84" w:rsidRPr="005304E6">
        <w:rPr>
          <w:rFonts w:ascii="Times New Roman" w:hAnsi="Times New Roman" w:cs="Times New Roman"/>
        </w:rPr>
        <w:t xml:space="preserve"> case studies</w:t>
      </w:r>
      <w:r w:rsidR="00895E50">
        <w:rPr>
          <w:rFonts w:ascii="Times New Roman" w:hAnsi="Times New Roman" w:cs="Times New Roman"/>
        </w:rPr>
        <w:t xml:space="preserve">. </w:t>
      </w:r>
      <w:r w:rsidR="00F41CAF">
        <w:rPr>
          <w:rFonts w:ascii="Times New Roman" w:hAnsi="Times New Roman" w:cs="Times New Roman"/>
        </w:rPr>
        <w:t xml:space="preserve">Each case </w:t>
      </w:r>
      <w:r w:rsidR="00F41CAF" w:rsidRPr="005304E6">
        <w:rPr>
          <w:rFonts w:ascii="Times New Roman" w:hAnsi="Times New Roman" w:cs="Times New Roman"/>
        </w:rPr>
        <w:t xml:space="preserve">was associated with </w:t>
      </w:r>
      <w:r w:rsidR="00BC2662">
        <w:rPr>
          <w:rFonts w:ascii="Times New Roman" w:hAnsi="Times New Roman" w:cs="Times New Roman"/>
        </w:rPr>
        <w:t xml:space="preserve">the same </w:t>
      </w:r>
      <w:r w:rsidR="00F41CAF" w:rsidRPr="005304E6">
        <w:rPr>
          <w:rFonts w:ascii="Times New Roman" w:hAnsi="Times New Roman" w:cs="Times New Roman"/>
        </w:rPr>
        <w:t>pre-and post</w:t>
      </w:r>
      <w:r w:rsidR="006A45F0">
        <w:rPr>
          <w:rFonts w:ascii="Times New Roman" w:hAnsi="Times New Roman" w:cs="Times New Roman"/>
        </w:rPr>
        <w:t xml:space="preserve">-quiz </w:t>
      </w:r>
      <w:r w:rsidR="00BC2662">
        <w:rPr>
          <w:rFonts w:ascii="Times New Roman" w:hAnsi="Times New Roman" w:cs="Times New Roman"/>
        </w:rPr>
        <w:t>to assess knowledge improvement from completing the cases</w:t>
      </w:r>
      <w:r w:rsidR="00E23CFB">
        <w:rPr>
          <w:rFonts w:ascii="Times New Roman" w:hAnsi="Times New Roman" w:cs="Times New Roman"/>
        </w:rPr>
        <w:t>.</w:t>
      </w:r>
      <w:r w:rsidR="00F06F11">
        <w:rPr>
          <w:rFonts w:ascii="Times New Roman" w:hAnsi="Times New Roman" w:cs="Times New Roman"/>
        </w:rPr>
        <w:t xml:space="preserve"> </w:t>
      </w:r>
      <w:r w:rsidR="00F06F11" w:rsidRPr="00F854E3">
        <w:rPr>
          <w:rFonts w:ascii="Times New Roman" w:hAnsi="Times New Roman" w:cs="Times New Roman"/>
        </w:rPr>
        <w:t>Both groups received case studies</w:t>
      </w:r>
      <w:r w:rsidR="00E23CFB">
        <w:rPr>
          <w:rFonts w:ascii="Times New Roman" w:hAnsi="Times New Roman" w:cs="Times New Roman"/>
        </w:rPr>
        <w:t xml:space="preserve"> on the same topics</w:t>
      </w:r>
      <w:r w:rsidR="00275270">
        <w:rPr>
          <w:rFonts w:ascii="Times New Roman" w:hAnsi="Times New Roman" w:cs="Times New Roman"/>
        </w:rPr>
        <w:t xml:space="preserve">: </w:t>
      </w:r>
      <w:r w:rsidR="00E14F75" w:rsidRPr="005304E6">
        <w:rPr>
          <w:rFonts w:ascii="Times New Roman" w:hAnsi="Times New Roman" w:cs="Times New Roman"/>
        </w:rPr>
        <w:t>emergency hormonal contraception (EHC), renal function</w:t>
      </w:r>
      <w:r w:rsidR="00E14F75">
        <w:rPr>
          <w:rFonts w:ascii="Times New Roman" w:hAnsi="Times New Roman" w:cs="Times New Roman"/>
        </w:rPr>
        <w:t xml:space="preserve"> (RF)</w:t>
      </w:r>
      <w:r w:rsidR="00E14F75" w:rsidRPr="005304E6">
        <w:rPr>
          <w:rFonts w:ascii="Times New Roman" w:hAnsi="Times New Roman" w:cs="Times New Roman"/>
        </w:rPr>
        <w:t xml:space="preserve"> and childhood illnesses</w:t>
      </w:r>
      <w:r w:rsidR="00E14F75">
        <w:rPr>
          <w:rFonts w:ascii="Times New Roman" w:hAnsi="Times New Roman" w:cs="Times New Roman"/>
        </w:rPr>
        <w:t xml:space="preserve"> (CI),</w:t>
      </w:r>
      <w:r w:rsidR="00F06F11" w:rsidRPr="00F854E3">
        <w:rPr>
          <w:rFonts w:ascii="Times New Roman" w:hAnsi="Times New Roman" w:cs="Times New Roman"/>
        </w:rPr>
        <w:t xml:space="preserve"> </w:t>
      </w:r>
      <w:r w:rsidR="00E23CFB">
        <w:rPr>
          <w:rFonts w:ascii="Times New Roman" w:hAnsi="Times New Roman" w:cs="Times New Roman"/>
        </w:rPr>
        <w:t xml:space="preserve">only </w:t>
      </w:r>
      <w:r w:rsidR="00F06F11">
        <w:rPr>
          <w:rFonts w:ascii="Times New Roman" w:hAnsi="Times New Roman" w:cs="Times New Roman"/>
        </w:rPr>
        <w:t xml:space="preserve">differing in </w:t>
      </w:r>
      <w:r w:rsidR="00F06F11" w:rsidRPr="00F854E3">
        <w:rPr>
          <w:rFonts w:ascii="Times New Roman" w:hAnsi="Times New Roman" w:cs="Times New Roman"/>
        </w:rPr>
        <w:t>their pre</w:t>
      </w:r>
      <w:r w:rsidR="00275270">
        <w:rPr>
          <w:rFonts w:ascii="Times New Roman" w:hAnsi="Times New Roman" w:cs="Times New Roman"/>
        </w:rPr>
        <w:t xml:space="preserve">sentation to allow </w:t>
      </w:r>
      <w:r w:rsidR="00F06F11" w:rsidRPr="00F854E3">
        <w:rPr>
          <w:rFonts w:ascii="Times New Roman" w:hAnsi="Times New Roman" w:cs="Times New Roman"/>
        </w:rPr>
        <w:t xml:space="preserve">comparison of </w:t>
      </w:r>
      <w:r w:rsidR="00F06F11">
        <w:rPr>
          <w:rFonts w:ascii="Times New Roman" w:hAnsi="Times New Roman" w:cs="Times New Roman"/>
        </w:rPr>
        <w:t>the</w:t>
      </w:r>
      <w:r w:rsidR="00F06F11" w:rsidRPr="00F854E3">
        <w:rPr>
          <w:rFonts w:ascii="Times New Roman" w:hAnsi="Times New Roman" w:cs="Times New Roman"/>
        </w:rPr>
        <w:t xml:space="preserve"> delivery methods.</w:t>
      </w:r>
    </w:p>
    <w:p w14:paraId="41774801" w14:textId="26A35ACF" w:rsidR="00D92AE3" w:rsidRPr="005304E6" w:rsidRDefault="00BC2662" w:rsidP="005304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92AE3" w:rsidRPr="005304E6">
        <w:rPr>
          <w:rFonts w:ascii="Times New Roman" w:hAnsi="Times New Roman" w:cs="Times New Roman"/>
        </w:rPr>
        <w:t xml:space="preserve">articipants were emailed a link to the </w:t>
      </w:r>
      <w:r>
        <w:rPr>
          <w:rFonts w:ascii="Times New Roman" w:hAnsi="Times New Roman" w:cs="Times New Roman"/>
        </w:rPr>
        <w:t>first</w:t>
      </w:r>
      <w:r w:rsidRPr="005304E6">
        <w:rPr>
          <w:rFonts w:ascii="Times New Roman" w:hAnsi="Times New Roman" w:cs="Times New Roman"/>
        </w:rPr>
        <w:t xml:space="preserve"> </w:t>
      </w:r>
      <w:r w:rsidR="00D92AE3" w:rsidRPr="005304E6">
        <w:rPr>
          <w:rFonts w:ascii="Times New Roman" w:hAnsi="Times New Roman" w:cs="Times New Roman"/>
        </w:rPr>
        <w:t xml:space="preserve">pre-quiz. </w:t>
      </w:r>
      <w:r w:rsidR="00C16AF9">
        <w:rPr>
          <w:rFonts w:ascii="Times New Roman" w:hAnsi="Times New Roman" w:cs="Times New Roman"/>
        </w:rPr>
        <w:t>Once completed,</w:t>
      </w:r>
      <w:r w:rsidR="00D92AE3" w:rsidRPr="005304E6">
        <w:rPr>
          <w:rFonts w:ascii="Times New Roman" w:hAnsi="Times New Roman" w:cs="Times New Roman"/>
        </w:rPr>
        <w:t xml:space="preserve"> they were </w:t>
      </w:r>
      <w:r w:rsidR="00C16AF9">
        <w:rPr>
          <w:rFonts w:ascii="Times New Roman" w:hAnsi="Times New Roman" w:cs="Times New Roman"/>
        </w:rPr>
        <w:t xml:space="preserve">directed to the </w:t>
      </w:r>
      <w:r>
        <w:rPr>
          <w:rFonts w:ascii="Times New Roman" w:hAnsi="Times New Roman" w:cs="Times New Roman"/>
        </w:rPr>
        <w:t xml:space="preserve">first </w:t>
      </w:r>
      <w:r w:rsidR="00C16AF9">
        <w:rPr>
          <w:rFonts w:ascii="Times New Roman" w:hAnsi="Times New Roman" w:cs="Times New Roman"/>
        </w:rPr>
        <w:t xml:space="preserve">ICA or </w:t>
      </w:r>
      <w:r>
        <w:rPr>
          <w:rFonts w:ascii="Times New Roman" w:hAnsi="Times New Roman" w:cs="Times New Roman"/>
        </w:rPr>
        <w:t>control</w:t>
      </w:r>
      <w:r w:rsidR="00C16AF9">
        <w:rPr>
          <w:rFonts w:ascii="Times New Roman" w:hAnsi="Times New Roman" w:cs="Times New Roman"/>
        </w:rPr>
        <w:t xml:space="preserve"> </w:t>
      </w:r>
      <w:r w:rsidR="00D92AE3" w:rsidRPr="005304E6">
        <w:rPr>
          <w:rFonts w:ascii="Times New Roman" w:hAnsi="Times New Roman" w:cs="Times New Roman"/>
        </w:rPr>
        <w:t xml:space="preserve">case study and </w:t>
      </w:r>
      <w:r w:rsidR="00C16AF9">
        <w:rPr>
          <w:rFonts w:ascii="Times New Roman" w:hAnsi="Times New Roman" w:cs="Times New Roman"/>
        </w:rPr>
        <w:t xml:space="preserve">then onto the </w:t>
      </w:r>
      <w:r w:rsidR="00D92AE3" w:rsidRPr="005304E6">
        <w:rPr>
          <w:rFonts w:ascii="Times New Roman" w:hAnsi="Times New Roman" w:cs="Times New Roman"/>
        </w:rPr>
        <w:t xml:space="preserve">associated post-quiz. Trainees had access to </w:t>
      </w:r>
      <w:r>
        <w:rPr>
          <w:rFonts w:ascii="Times New Roman" w:hAnsi="Times New Roman" w:cs="Times New Roman"/>
        </w:rPr>
        <w:t>each</w:t>
      </w:r>
      <w:r w:rsidRPr="005304E6">
        <w:rPr>
          <w:rFonts w:ascii="Times New Roman" w:hAnsi="Times New Roman" w:cs="Times New Roman"/>
        </w:rPr>
        <w:t xml:space="preserve"> </w:t>
      </w:r>
      <w:r w:rsidR="00D92AE3" w:rsidRPr="005304E6">
        <w:rPr>
          <w:rFonts w:ascii="Times New Roman" w:hAnsi="Times New Roman" w:cs="Times New Roman"/>
        </w:rPr>
        <w:t>case study for one</w:t>
      </w:r>
      <w:r>
        <w:rPr>
          <w:rFonts w:ascii="Times New Roman" w:hAnsi="Times New Roman" w:cs="Times New Roman"/>
        </w:rPr>
        <w:t xml:space="preserve"> </w:t>
      </w:r>
      <w:r w:rsidR="00D92AE3" w:rsidRPr="005304E6">
        <w:rPr>
          <w:rFonts w:ascii="Times New Roman" w:hAnsi="Times New Roman" w:cs="Times New Roman"/>
        </w:rPr>
        <w:t xml:space="preserve">month and were required to complete all </w:t>
      </w:r>
      <w:r w:rsidR="006A45F0">
        <w:rPr>
          <w:rFonts w:ascii="Times New Roman" w:hAnsi="Times New Roman" w:cs="Times New Roman"/>
        </w:rPr>
        <w:t>components</w:t>
      </w:r>
      <w:r w:rsidR="00D92AE3" w:rsidRPr="005304E6">
        <w:rPr>
          <w:rFonts w:ascii="Times New Roman" w:hAnsi="Times New Roman" w:cs="Times New Roman"/>
        </w:rPr>
        <w:t xml:space="preserve"> (case</w:t>
      </w:r>
      <w:r>
        <w:rPr>
          <w:rFonts w:ascii="Times New Roman" w:hAnsi="Times New Roman" w:cs="Times New Roman"/>
        </w:rPr>
        <w:t>, pre-and post-</w:t>
      </w:r>
      <w:r w:rsidR="00D92AE3" w:rsidRPr="005304E6">
        <w:rPr>
          <w:rFonts w:ascii="Times New Roman" w:hAnsi="Times New Roman" w:cs="Times New Roman"/>
        </w:rPr>
        <w:t xml:space="preserve">quiz) to receive the </w:t>
      </w:r>
      <w:r>
        <w:rPr>
          <w:rFonts w:ascii="Times New Roman" w:hAnsi="Times New Roman" w:cs="Times New Roman"/>
        </w:rPr>
        <w:t>next</w:t>
      </w:r>
      <w:r w:rsidRPr="005304E6">
        <w:rPr>
          <w:rFonts w:ascii="Times New Roman" w:hAnsi="Times New Roman" w:cs="Times New Roman"/>
        </w:rPr>
        <w:t xml:space="preserve"> </w:t>
      </w:r>
      <w:r w:rsidR="00D92AE3" w:rsidRPr="005304E6">
        <w:rPr>
          <w:rFonts w:ascii="Times New Roman" w:hAnsi="Times New Roman" w:cs="Times New Roman"/>
        </w:rPr>
        <w:t xml:space="preserve">case study and associated quizzes. </w:t>
      </w:r>
    </w:p>
    <w:p w14:paraId="73EC2A9D" w14:textId="605B2CD2" w:rsidR="00057515" w:rsidRPr="00E26A1E" w:rsidRDefault="005304E6">
      <w:pPr>
        <w:rPr>
          <w:rFonts w:ascii="Times New Roman" w:hAnsi="Times New Roman" w:cs="Times New Roman"/>
        </w:rPr>
      </w:pPr>
      <w:r w:rsidRPr="005304E6">
        <w:rPr>
          <w:rFonts w:ascii="Times New Roman" w:hAnsi="Times New Roman" w:cs="Times New Roman"/>
        </w:rPr>
        <w:t xml:space="preserve">Answers on the </w:t>
      </w:r>
      <w:r w:rsidR="00D5023F">
        <w:rPr>
          <w:rFonts w:ascii="Times New Roman" w:hAnsi="Times New Roman" w:cs="Times New Roman"/>
        </w:rPr>
        <w:t>pre-and post-quizzes</w:t>
      </w:r>
      <w:r w:rsidRPr="005304E6">
        <w:rPr>
          <w:rFonts w:ascii="Times New Roman" w:hAnsi="Times New Roman" w:cs="Times New Roman"/>
        </w:rPr>
        <w:t xml:space="preserve"> were marked as ‘correct’ or ‘incorrect’.</w:t>
      </w:r>
      <w:r w:rsidR="003F52BE">
        <w:rPr>
          <w:rFonts w:ascii="Times New Roman" w:hAnsi="Times New Roman" w:cs="Times New Roman"/>
        </w:rPr>
        <w:t xml:space="preserve"> Results were analysed using descriptive </w:t>
      </w:r>
      <w:r w:rsidR="00E14F75">
        <w:rPr>
          <w:rFonts w:ascii="Times New Roman" w:hAnsi="Times New Roman" w:cs="Times New Roman"/>
        </w:rPr>
        <w:t xml:space="preserve">and inferential </w:t>
      </w:r>
      <w:r w:rsidR="003F52BE">
        <w:rPr>
          <w:rFonts w:ascii="Times New Roman" w:hAnsi="Times New Roman" w:cs="Times New Roman"/>
        </w:rPr>
        <w:t xml:space="preserve">statistics </w:t>
      </w:r>
      <w:r w:rsidR="00BC2662">
        <w:rPr>
          <w:rFonts w:ascii="Times New Roman" w:hAnsi="Times New Roman" w:cs="Times New Roman"/>
        </w:rPr>
        <w:t>to determine knowledg</w:t>
      </w:r>
      <w:r w:rsidR="00601BD7">
        <w:rPr>
          <w:rFonts w:ascii="Times New Roman" w:hAnsi="Times New Roman" w:cs="Times New Roman"/>
        </w:rPr>
        <w:t>e improvement</w:t>
      </w:r>
      <w:r w:rsidR="00BC2662">
        <w:rPr>
          <w:rFonts w:ascii="Times New Roman" w:hAnsi="Times New Roman" w:cs="Times New Roman"/>
        </w:rPr>
        <w:t xml:space="preserve"> from using the cases (pre-to-post).</w:t>
      </w:r>
      <w:r w:rsidR="00057515">
        <w:rPr>
          <w:rFonts w:ascii="Times New Roman" w:hAnsi="Times New Roman" w:cs="Times New Roman"/>
        </w:rPr>
        <w:t xml:space="preserve"> A p-value </w:t>
      </w:r>
      <w:r w:rsidR="00DA7738">
        <w:rPr>
          <w:rFonts w:ascii="Times New Roman" w:hAnsi="Times New Roman" w:cs="Times New Roman"/>
        </w:rPr>
        <w:t>of ≤</w:t>
      </w:r>
      <w:r w:rsidR="00057515">
        <w:rPr>
          <w:rFonts w:ascii="Times New Roman" w:hAnsi="Times New Roman" w:cs="Times New Roman"/>
        </w:rPr>
        <w:t>0.05 was con</w:t>
      </w:r>
      <w:r w:rsidR="00057515" w:rsidRPr="003F52BE">
        <w:rPr>
          <w:rFonts w:ascii="Times New Roman" w:hAnsi="Times New Roman" w:cs="Times New Roman"/>
        </w:rPr>
        <w:t>sidered significant</w:t>
      </w:r>
      <w:r w:rsidR="00057515">
        <w:rPr>
          <w:rFonts w:ascii="Times New Roman" w:hAnsi="Times New Roman" w:cs="Times New Roman"/>
        </w:rPr>
        <w:t>.</w:t>
      </w:r>
    </w:p>
    <w:p w14:paraId="5CC781F0" w14:textId="26AB38D5" w:rsidR="00725E9C" w:rsidRDefault="00725E9C">
      <w:pPr>
        <w:rPr>
          <w:rFonts w:ascii="Times New Roman" w:hAnsi="Times New Roman" w:cs="Times New Roman"/>
        </w:rPr>
      </w:pPr>
      <w:r w:rsidRPr="00E26A1E">
        <w:rPr>
          <w:rFonts w:ascii="Times New Roman" w:hAnsi="Times New Roman" w:cs="Times New Roman"/>
        </w:rPr>
        <w:t>Results</w:t>
      </w:r>
    </w:p>
    <w:p w14:paraId="78C3ED9C" w14:textId="6697D51D" w:rsidR="003F52BE" w:rsidRDefault="00601BD7" w:rsidP="008F57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total, </w:t>
      </w:r>
      <w:r w:rsidR="00630F08" w:rsidRPr="00F854E3">
        <w:rPr>
          <w:rFonts w:ascii="Times New Roman" w:hAnsi="Times New Roman" w:cs="Times New Roman"/>
        </w:rPr>
        <w:t xml:space="preserve">165 pre-registration trainees </w:t>
      </w:r>
      <w:r w:rsidR="00630F08">
        <w:rPr>
          <w:rFonts w:ascii="Times New Roman" w:hAnsi="Times New Roman" w:cs="Times New Roman"/>
        </w:rPr>
        <w:t xml:space="preserve">were randomly stratified - 83 ICA </w:t>
      </w:r>
      <w:r w:rsidR="004C0BE7">
        <w:rPr>
          <w:rFonts w:ascii="Times New Roman" w:hAnsi="Times New Roman" w:cs="Times New Roman"/>
        </w:rPr>
        <w:t xml:space="preserve">group </w:t>
      </w:r>
      <w:r w:rsidR="00630F08">
        <w:rPr>
          <w:rFonts w:ascii="Times New Roman" w:hAnsi="Times New Roman" w:cs="Times New Roman"/>
        </w:rPr>
        <w:t>and 82 control</w:t>
      </w:r>
      <w:r w:rsidR="00391793">
        <w:rPr>
          <w:rFonts w:ascii="Times New Roman" w:hAnsi="Times New Roman" w:cs="Times New Roman"/>
        </w:rPr>
        <w:t xml:space="preserve"> group</w:t>
      </w:r>
      <w:r w:rsidR="00630F08" w:rsidRPr="00F854E3">
        <w:rPr>
          <w:rFonts w:ascii="Times New Roman" w:hAnsi="Times New Roman" w:cs="Times New Roman"/>
        </w:rPr>
        <w:t>.</w:t>
      </w:r>
      <w:r w:rsidR="00630F08">
        <w:rPr>
          <w:rFonts w:ascii="Times New Roman" w:hAnsi="Times New Roman" w:cs="Times New Roman"/>
        </w:rPr>
        <w:t xml:space="preserve"> </w:t>
      </w:r>
      <w:r w:rsidR="008F5763">
        <w:rPr>
          <w:rFonts w:ascii="Times New Roman" w:hAnsi="Times New Roman" w:cs="Times New Roman"/>
        </w:rPr>
        <w:t xml:space="preserve">The majority were female (72%), in their early twenties (mean age 23) and completing their training in a community </w:t>
      </w:r>
      <w:r w:rsidR="008F5763" w:rsidRPr="003019E6">
        <w:rPr>
          <w:rFonts w:ascii="Times New Roman" w:hAnsi="Times New Roman" w:cs="Times New Roman"/>
        </w:rPr>
        <w:t>pharmacy (56%). Similar response ra</w:t>
      </w:r>
      <w:r w:rsidR="00DA7738">
        <w:rPr>
          <w:rFonts w:ascii="Times New Roman" w:hAnsi="Times New Roman" w:cs="Times New Roman"/>
        </w:rPr>
        <w:t xml:space="preserve">tes were observed </w:t>
      </w:r>
      <w:r w:rsidR="003B31A0">
        <w:rPr>
          <w:rFonts w:ascii="Times New Roman" w:hAnsi="Times New Roman" w:cs="Times New Roman"/>
        </w:rPr>
        <w:t xml:space="preserve">for both groups; </w:t>
      </w:r>
      <w:r w:rsidR="008F5763" w:rsidRPr="003019E6">
        <w:rPr>
          <w:rFonts w:ascii="Times New Roman" w:hAnsi="Times New Roman" w:cs="Times New Roman"/>
        </w:rPr>
        <w:t>the</w:t>
      </w:r>
      <w:r w:rsidR="00A02003">
        <w:rPr>
          <w:rFonts w:ascii="Times New Roman" w:hAnsi="Times New Roman" w:cs="Times New Roman"/>
        </w:rPr>
        <w:t xml:space="preserve"> control</w:t>
      </w:r>
      <w:r w:rsidR="008F5763" w:rsidRPr="003019E6">
        <w:rPr>
          <w:rFonts w:ascii="Times New Roman" w:hAnsi="Times New Roman" w:cs="Times New Roman"/>
        </w:rPr>
        <w:t xml:space="preserve"> group had a higher </w:t>
      </w:r>
      <w:r w:rsidR="00D5023F">
        <w:rPr>
          <w:rFonts w:ascii="Times New Roman" w:hAnsi="Times New Roman" w:cs="Times New Roman"/>
        </w:rPr>
        <w:t xml:space="preserve">overall </w:t>
      </w:r>
      <w:r w:rsidR="008F5763" w:rsidRPr="003019E6">
        <w:rPr>
          <w:rFonts w:ascii="Times New Roman" w:hAnsi="Times New Roman" w:cs="Times New Roman"/>
        </w:rPr>
        <w:t xml:space="preserve">completion </w:t>
      </w:r>
      <w:r w:rsidR="003F52BE">
        <w:rPr>
          <w:rFonts w:ascii="Times New Roman" w:hAnsi="Times New Roman" w:cs="Times New Roman"/>
        </w:rPr>
        <w:t>rate of</w:t>
      </w:r>
      <w:r w:rsidR="008F5763" w:rsidRPr="003019E6">
        <w:rPr>
          <w:rFonts w:ascii="Times New Roman" w:hAnsi="Times New Roman" w:cs="Times New Roman"/>
        </w:rPr>
        <w:t xml:space="preserve"> 44% </w:t>
      </w:r>
      <w:r w:rsidR="002B6BAF">
        <w:rPr>
          <w:rFonts w:ascii="Times New Roman" w:hAnsi="Times New Roman" w:cs="Times New Roman"/>
        </w:rPr>
        <w:t>(n=</w:t>
      </w:r>
      <w:r w:rsidR="00E9732C">
        <w:rPr>
          <w:rFonts w:ascii="Times New Roman" w:hAnsi="Times New Roman" w:cs="Times New Roman"/>
        </w:rPr>
        <w:t xml:space="preserve">36) </w:t>
      </w:r>
      <w:r w:rsidR="008F5763" w:rsidRPr="00BE2078">
        <w:rPr>
          <w:rFonts w:ascii="Times New Roman" w:hAnsi="Times New Roman" w:cs="Times New Roman"/>
        </w:rPr>
        <w:t>compared to 33</w:t>
      </w:r>
      <w:r w:rsidR="003019E6" w:rsidRPr="00BE2078">
        <w:rPr>
          <w:rFonts w:ascii="Times New Roman" w:hAnsi="Times New Roman" w:cs="Times New Roman"/>
        </w:rPr>
        <w:t>%</w:t>
      </w:r>
      <w:r w:rsidR="00E9732C">
        <w:rPr>
          <w:rFonts w:ascii="Times New Roman" w:hAnsi="Times New Roman" w:cs="Times New Roman"/>
        </w:rPr>
        <w:t xml:space="preserve"> (n=27)</w:t>
      </w:r>
      <w:r w:rsidR="003019E6" w:rsidRPr="00BE2078">
        <w:rPr>
          <w:rFonts w:ascii="Times New Roman" w:hAnsi="Times New Roman" w:cs="Times New Roman"/>
        </w:rPr>
        <w:t xml:space="preserve"> in the ICA</w:t>
      </w:r>
      <w:r w:rsidR="008F5763" w:rsidRPr="00BE2078">
        <w:rPr>
          <w:rFonts w:ascii="Times New Roman" w:hAnsi="Times New Roman" w:cs="Times New Roman"/>
        </w:rPr>
        <w:t xml:space="preserve"> group.</w:t>
      </w:r>
      <w:r w:rsidR="003019E6" w:rsidRPr="00BE2078">
        <w:rPr>
          <w:rFonts w:ascii="Times New Roman" w:hAnsi="Times New Roman" w:cs="Times New Roman"/>
        </w:rPr>
        <w:t xml:space="preserve"> </w:t>
      </w:r>
    </w:p>
    <w:p w14:paraId="147B8CE2" w14:textId="2D0BC674" w:rsidR="00057515" w:rsidRDefault="003019E6">
      <w:pPr>
        <w:rPr>
          <w:rFonts w:ascii="Times New Roman" w:hAnsi="Times New Roman" w:cs="Times New Roman"/>
        </w:rPr>
      </w:pPr>
      <w:r w:rsidRPr="00BE2078">
        <w:rPr>
          <w:rFonts w:ascii="Times New Roman" w:hAnsi="Times New Roman" w:cs="Times New Roman"/>
        </w:rPr>
        <w:t>For all three cases, trainees in both groups significantly answered more questions correctly on the post-quizzes</w:t>
      </w:r>
      <w:r w:rsidR="0048319B">
        <w:rPr>
          <w:rFonts w:ascii="Times New Roman" w:hAnsi="Times New Roman" w:cs="Times New Roman"/>
        </w:rPr>
        <w:t xml:space="preserve"> (p</w:t>
      </w:r>
      <w:r w:rsidR="00D96563">
        <w:rPr>
          <w:rFonts w:ascii="Times New Roman" w:hAnsi="Times New Roman" w:cs="Times New Roman"/>
        </w:rPr>
        <w:t>≤</w:t>
      </w:r>
      <w:r w:rsidR="0048319B">
        <w:rPr>
          <w:rFonts w:ascii="Times New Roman" w:hAnsi="Times New Roman" w:cs="Times New Roman"/>
        </w:rPr>
        <w:t>0.05</w:t>
      </w:r>
      <w:r w:rsidR="00057515">
        <w:rPr>
          <w:rFonts w:ascii="Times New Roman" w:hAnsi="Times New Roman" w:cs="Times New Roman"/>
        </w:rPr>
        <w:t>)</w:t>
      </w:r>
      <w:r w:rsidR="00FB7881">
        <w:rPr>
          <w:rFonts w:ascii="Times New Roman" w:hAnsi="Times New Roman" w:cs="Times New Roman"/>
        </w:rPr>
        <w:t>; EHC n=124 (98%), RF n=86 (97%), CI n=26 (96%)</w:t>
      </w:r>
      <w:r w:rsidR="00E14F75">
        <w:rPr>
          <w:rFonts w:ascii="Times New Roman" w:hAnsi="Times New Roman" w:cs="Times New Roman"/>
        </w:rPr>
        <w:t xml:space="preserve"> </w:t>
      </w:r>
      <w:r w:rsidR="00057515">
        <w:rPr>
          <w:rFonts w:ascii="Times New Roman" w:hAnsi="Times New Roman" w:cs="Times New Roman"/>
        </w:rPr>
        <w:t>apart from the control group for the CI case (p=0.6)</w:t>
      </w:r>
      <w:r w:rsidR="00FB7881">
        <w:rPr>
          <w:rFonts w:ascii="Times New Roman" w:hAnsi="Times New Roman" w:cs="Times New Roman"/>
        </w:rPr>
        <w:t>; n=35 (97%).</w:t>
      </w:r>
      <w:r w:rsidR="00FC6BA7">
        <w:rPr>
          <w:rFonts w:ascii="Times New Roman" w:hAnsi="Times New Roman" w:cs="Times New Roman"/>
        </w:rPr>
        <w:t xml:space="preserve"> </w:t>
      </w:r>
      <w:r w:rsidR="00FB7881">
        <w:rPr>
          <w:rFonts w:ascii="Times New Roman" w:hAnsi="Times New Roman" w:cs="Times New Roman"/>
        </w:rPr>
        <w:t>N</w:t>
      </w:r>
      <w:r w:rsidR="00B73867" w:rsidRPr="00BE2078">
        <w:rPr>
          <w:rFonts w:ascii="Times New Roman" w:hAnsi="Times New Roman" w:cs="Times New Roman"/>
        </w:rPr>
        <w:t xml:space="preserve">o significant differences were observed </w:t>
      </w:r>
      <w:r w:rsidR="00057515">
        <w:rPr>
          <w:rFonts w:ascii="Times New Roman" w:hAnsi="Times New Roman" w:cs="Times New Roman"/>
        </w:rPr>
        <w:t xml:space="preserve">in knowledge improvement </w:t>
      </w:r>
      <w:r w:rsidR="00B73867" w:rsidRPr="00BE2078">
        <w:rPr>
          <w:rFonts w:ascii="Times New Roman" w:hAnsi="Times New Roman" w:cs="Times New Roman"/>
        </w:rPr>
        <w:t>between the</w:t>
      </w:r>
      <w:r w:rsidR="00057515">
        <w:rPr>
          <w:rFonts w:ascii="Times New Roman" w:hAnsi="Times New Roman" w:cs="Times New Roman"/>
        </w:rPr>
        <w:t xml:space="preserve"> </w:t>
      </w:r>
      <w:r w:rsidR="00B73867" w:rsidRPr="00BE2078">
        <w:rPr>
          <w:rFonts w:ascii="Times New Roman" w:hAnsi="Times New Roman" w:cs="Times New Roman"/>
        </w:rPr>
        <w:t>groups</w:t>
      </w:r>
      <w:r w:rsidR="00BE2078">
        <w:rPr>
          <w:rFonts w:ascii="Times New Roman" w:hAnsi="Times New Roman" w:cs="Times New Roman"/>
        </w:rPr>
        <w:t xml:space="preserve"> </w:t>
      </w:r>
      <w:r w:rsidR="00057515">
        <w:rPr>
          <w:rFonts w:ascii="Times New Roman" w:hAnsi="Times New Roman" w:cs="Times New Roman"/>
        </w:rPr>
        <w:t xml:space="preserve">for any of the case studies </w:t>
      </w:r>
      <w:r w:rsidR="00BE2078">
        <w:rPr>
          <w:rFonts w:ascii="Times New Roman" w:hAnsi="Times New Roman" w:cs="Times New Roman"/>
        </w:rPr>
        <w:t>(</w:t>
      </w:r>
      <w:r w:rsidR="00057515">
        <w:rPr>
          <w:rFonts w:ascii="Times New Roman" w:hAnsi="Times New Roman" w:cs="Times New Roman"/>
        </w:rPr>
        <w:t>p</w:t>
      </w:r>
      <w:r w:rsidR="0048319B">
        <w:rPr>
          <w:rFonts w:ascii="Times New Roman" w:hAnsi="Times New Roman" w:cs="Times New Roman"/>
        </w:rPr>
        <w:t>&gt;0.05</w:t>
      </w:r>
      <w:r w:rsidR="00057515">
        <w:rPr>
          <w:rFonts w:ascii="Times New Roman" w:hAnsi="Times New Roman" w:cs="Times New Roman"/>
        </w:rPr>
        <w:t>)</w:t>
      </w:r>
      <w:r w:rsidR="00E9732C">
        <w:rPr>
          <w:rFonts w:ascii="Times New Roman" w:hAnsi="Times New Roman" w:cs="Times New Roman"/>
        </w:rPr>
        <w:t xml:space="preserve">; EHC n=100 (79%), RF n=63 </w:t>
      </w:r>
      <w:r w:rsidR="00E9732C">
        <w:rPr>
          <w:rFonts w:ascii="Times New Roman" w:hAnsi="Times New Roman" w:cs="Times New Roman"/>
        </w:rPr>
        <w:lastRenderedPageBreak/>
        <w:t>(70%), CI n=46 (73%)</w:t>
      </w:r>
      <w:r w:rsidR="00057515">
        <w:rPr>
          <w:rFonts w:ascii="Times New Roman" w:hAnsi="Times New Roman" w:cs="Times New Roman"/>
        </w:rPr>
        <w:t xml:space="preserve">. </w:t>
      </w:r>
      <w:r w:rsidR="00BE2078" w:rsidRPr="00BE2078">
        <w:rPr>
          <w:rFonts w:ascii="Times New Roman" w:hAnsi="Times New Roman" w:cs="Times New Roman"/>
        </w:rPr>
        <w:t xml:space="preserve">Significant improvements in knowledge were found between the training sectors; the EHC case </w:t>
      </w:r>
      <w:r w:rsidR="00DA7738">
        <w:rPr>
          <w:rFonts w:ascii="Times New Roman" w:hAnsi="Times New Roman" w:cs="Times New Roman"/>
        </w:rPr>
        <w:t>improved</w:t>
      </w:r>
      <w:r w:rsidR="00BE2078" w:rsidRPr="00BE2078">
        <w:rPr>
          <w:rFonts w:ascii="Times New Roman" w:hAnsi="Times New Roman" w:cs="Times New Roman"/>
        </w:rPr>
        <w:t xml:space="preserve"> hospital</w:t>
      </w:r>
      <w:r w:rsidR="00BE2078">
        <w:rPr>
          <w:rFonts w:ascii="Times New Roman" w:hAnsi="Times New Roman" w:cs="Times New Roman"/>
        </w:rPr>
        <w:t>-</w:t>
      </w:r>
      <w:r w:rsidR="00BE2078" w:rsidRPr="00BE2078">
        <w:rPr>
          <w:rFonts w:ascii="Times New Roman" w:hAnsi="Times New Roman" w:cs="Times New Roman"/>
        </w:rPr>
        <w:t>based trainees knowledge most significantly</w:t>
      </w:r>
      <w:r w:rsidR="00BE2078">
        <w:rPr>
          <w:rFonts w:ascii="Times New Roman" w:hAnsi="Times New Roman" w:cs="Times New Roman"/>
        </w:rPr>
        <w:t xml:space="preserve"> </w:t>
      </w:r>
      <w:r w:rsidR="00ED448B">
        <w:rPr>
          <w:rFonts w:ascii="Times New Roman" w:hAnsi="Times New Roman" w:cs="Times New Roman"/>
        </w:rPr>
        <w:t>(</w:t>
      </w:r>
      <w:r w:rsidR="00ED448B">
        <w:t>p&lt;0.05)</w:t>
      </w:r>
      <w:r w:rsidR="004A4C07">
        <w:t>; n=54 (43</w:t>
      </w:r>
      <w:r w:rsidR="00E9732C">
        <w:t>%)</w:t>
      </w:r>
      <w:r w:rsidR="00ED448B">
        <w:t>,</w:t>
      </w:r>
      <w:r w:rsidR="00ED448B" w:rsidRPr="00BE2078">
        <w:rPr>
          <w:rFonts w:ascii="Times New Roman" w:hAnsi="Times New Roman" w:cs="Times New Roman"/>
        </w:rPr>
        <w:t xml:space="preserve"> </w:t>
      </w:r>
      <w:r w:rsidR="00BE2078" w:rsidRPr="00BE2078">
        <w:rPr>
          <w:rFonts w:ascii="Times New Roman" w:hAnsi="Times New Roman" w:cs="Times New Roman"/>
        </w:rPr>
        <w:t xml:space="preserve">whereas the </w:t>
      </w:r>
      <w:r w:rsidR="00ED448B">
        <w:rPr>
          <w:rFonts w:ascii="Times New Roman" w:hAnsi="Times New Roman" w:cs="Times New Roman"/>
        </w:rPr>
        <w:t>RF (</w:t>
      </w:r>
      <w:r w:rsidR="00057515">
        <w:t>p&lt;0.01</w:t>
      </w:r>
      <w:r w:rsidR="00E9732C">
        <w:t>); n=52 (58%),</w:t>
      </w:r>
      <w:r w:rsidR="00057515">
        <w:t xml:space="preserve"> </w:t>
      </w:r>
      <w:r w:rsidR="00BE2078" w:rsidRPr="00BE2078">
        <w:rPr>
          <w:rFonts w:ascii="Times New Roman" w:hAnsi="Times New Roman" w:cs="Times New Roman"/>
        </w:rPr>
        <w:t xml:space="preserve">and </w:t>
      </w:r>
      <w:r w:rsidR="00BE2078">
        <w:rPr>
          <w:rFonts w:ascii="Times New Roman" w:hAnsi="Times New Roman" w:cs="Times New Roman"/>
        </w:rPr>
        <w:t>CI</w:t>
      </w:r>
      <w:r w:rsidR="00BE2078" w:rsidRPr="00BE2078">
        <w:rPr>
          <w:rFonts w:ascii="Times New Roman" w:hAnsi="Times New Roman" w:cs="Times New Roman"/>
        </w:rPr>
        <w:t xml:space="preserve"> </w:t>
      </w:r>
      <w:r w:rsidR="00ED448B">
        <w:rPr>
          <w:rFonts w:ascii="Times New Roman" w:hAnsi="Times New Roman" w:cs="Times New Roman"/>
        </w:rPr>
        <w:t>(</w:t>
      </w:r>
      <w:r w:rsidR="00057515">
        <w:t>p&lt;0.05)</w:t>
      </w:r>
      <w:r w:rsidR="00E9732C">
        <w:t>; n=</w:t>
      </w:r>
      <w:r w:rsidR="004A4C07">
        <w:t>35</w:t>
      </w:r>
      <w:r w:rsidR="00E9732C">
        <w:t xml:space="preserve"> (</w:t>
      </w:r>
      <w:r w:rsidR="004A4C07">
        <w:t>5</w:t>
      </w:r>
      <w:r w:rsidR="00E9732C">
        <w:t>6%)</w:t>
      </w:r>
      <w:r w:rsidR="00057515">
        <w:t xml:space="preserve"> </w:t>
      </w:r>
      <w:r w:rsidR="00BE2078" w:rsidRPr="00BE2078">
        <w:rPr>
          <w:rFonts w:ascii="Times New Roman" w:hAnsi="Times New Roman" w:cs="Times New Roman"/>
        </w:rPr>
        <w:t>case</w:t>
      </w:r>
      <w:r w:rsidR="002B6BAF">
        <w:rPr>
          <w:rFonts w:ascii="Times New Roman" w:hAnsi="Times New Roman" w:cs="Times New Roman"/>
        </w:rPr>
        <w:t>s</w:t>
      </w:r>
      <w:r w:rsidR="00BE2078" w:rsidRPr="00BE2078">
        <w:rPr>
          <w:rFonts w:ascii="Times New Roman" w:hAnsi="Times New Roman" w:cs="Times New Roman"/>
        </w:rPr>
        <w:t xml:space="preserve"> i</w:t>
      </w:r>
      <w:r w:rsidR="00DA7738">
        <w:rPr>
          <w:rFonts w:ascii="Times New Roman" w:hAnsi="Times New Roman" w:cs="Times New Roman"/>
        </w:rPr>
        <w:t>mproved</w:t>
      </w:r>
      <w:r w:rsidR="00BE2078" w:rsidRPr="00BE2078">
        <w:rPr>
          <w:rFonts w:ascii="Times New Roman" w:hAnsi="Times New Roman" w:cs="Times New Roman"/>
        </w:rPr>
        <w:t xml:space="preserve"> community-based trainees </w:t>
      </w:r>
      <w:r w:rsidR="00DA7738">
        <w:rPr>
          <w:rFonts w:ascii="Times New Roman" w:hAnsi="Times New Roman" w:cs="Times New Roman"/>
        </w:rPr>
        <w:t>knowledge</w:t>
      </w:r>
      <w:r w:rsidR="00BE2078" w:rsidRPr="00BE2078">
        <w:rPr>
          <w:rFonts w:ascii="Times New Roman" w:hAnsi="Times New Roman" w:cs="Times New Roman"/>
        </w:rPr>
        <w:t xml:space="preserve"> most significantly</w:t>
      </w:r>
      <w:r w:rsidR="00057515">
        <w:rPr>
          <w:rFonts w:ascii="Times New Roman" w:hAnsi="Times New Roman" w:cs="Times New Roman"/>
        </w:rPr>
        <w:t>.</w:t>
      </w:r>
    </w:p>
    <w:p w14:paraId="26A4CEC1" w14:textId="462BAC3D" w:rsidR="00725E9C" w:rsidRDefault="00725E9C">
      <w:pPr>
        <w:rPr>
          <w:rFonts w:ascii="Times New Roman" w:hAnsi="Times New Roman" w:cs="Times New Roman"/>
        </w:rPr>
      </w:pPr>
      <w:r w:rsidRPr="00E26A1E">
        <w:rPr>
          <w:rFonts w:ascii="Times New Roman" w:hAnsi="Times New Roman" w:cs="Times New Roman"/>
        </w:rPr>
        <w:t>Conclusion</w:t>
      </w:r>
      <w:r w:rsidR="009E0606" w:rsidRPr="00E26A1E">
        <w:rPr>
          <w:rFonts w:ascii="Times New Roman" w:hAnsi="Times New Roman" w:cs="Times New Roman"/>
        </w:rPr>
        <w:t>s</w:t>
      </w:r>
    </w:p>
    <w:p w14:paraId="1013C876" w14:textId="37C92808" w:rsidR="00E86A9C" w:rsidRPr="00057515" w:rsidRDefault="00E069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D26E91">
        <w:rPr>
          <w:rFonts w:ascii="Times New Roman" w:hAnsi="Times New Roman" w:cs="Times New Roman"/>
        </w:rPr>
        <w:t xml:space="preserve">ignificant improvements in knowledge were found between the training sectors which may </w:t>
      </w:r>
      <w:r w:rsidR="002A757D">
        <w:rPr>
          <w:rFonts w:ascii="Times New Roman" w:hAnsi="Times New Roman" w:cs="Times New Roman"/>
        </w:rPr>
        <w:t xml:space="preserve">have resulted from </w:t>
      </w:r>
      <w:r w:rsidRPr="00D26E91">
        <w:rPr>
          <w:rFonts w:ascii="Times New Roman" w:hAnsi="Times New Roman" w:cs="Times New Roman"/>
        </w:rPr>
        <w:t>the variability in pre-registration experiences and support</w:t>
      </w:r>
      <w:r>
        <w:rPr>
          <w:rFonts w:ascii="Times New Roman" w:hAnsi="Times New Roman" w:cs="Times New Roman"/>
        </w:rPr>
        <w:t xml:space="preserve">. </w:t>
      </w:r>
      <w:r w:rsidR="00C04384">
        <w:rPr>
          <w:rFonts w:ascii="Times New Roman" w:hAnsi="Times New Roman" w:cs="Times New Roman"/>
        </w:rPr>
        <w:t>N</w:t>
      </w:r>
      <w:r w:rsidR="0024547D" w:rsidRPr="0024547D">
        <w:rPr>
          <w:rFonts w:ascii="Times New Roman" w:hAnsi="Times New Roman" w:cs="Times New Roman"/>
        </w:rPr>
        <w:t xml:space="preserve">o significant differences </w:t>
      </w:r>
      <w:r w:rsidR="00C04384">
        <w:rPr>
          <w:rFonts w:ascii="Times New Roman" w:hAnsi="Times New Roman" w:cs="Times New Roman"/>
        </w:rPr>
        <w:t xml:space="preserve">in knowledge improvement (pre-post) </w:t>
      </w:r>
      <w:r w:rsidR="0024547D" w:rsidRPr="0024547D">
        <w:rPr>
          <w:rFonts w:ascii="Times New Roman" w:hAnsi="Times New Roman" w:cs="Times New Roman"/>
        </w:rPr>
        <w:t>between the groups</w:t>
      </w:r>
      <w:r w:rsidR="00047B0B">
        <w:rPr>
          <w:rFonts w:ascii="Times New Roman" w:hAnsi="Times New Roman" w:cs="Times New Roman"/>
        </w:rPr>
        <w:t xml:space="preserve"> were found</w:t>
      </w:r>
      <w:r w:rsidR="0024547D" w:rsidRPr="0024547D">
        <w:rPr>
          <w:rFonts w:ascii="Times New Roman" w:hAnsi="Times New Roman" w:cs="Times New Roman"/>
        </w:rPr>
        <w:t xml:space="preserve"> for any of the case study topics, </w:t>
      </w:r>
      <w:r w:rsidR="0024547D" w:rsidRPr="00D26E91">
        <w:rPr>
          <w:rFonts w:ascii="Times New Roman" w:hAnsi="Times New Roman" w:cs="Times New Roman"/>
        </w:rPr>
        <w:t xml:space="preserve">indicating that the </w:t>
      </w:r>
      <w:r w:rsidR="00C04384" w:rsidRPr="00D26E91">
        <w:rPr>
          <w:rFonts w:ascii="Times New Roman" w:hAnsi="Times New Roman" w:cs="Times New Roman"/>
        </w:rPr>
        <w:t>ICAs were</w:t>
      </w:r>
      <w:r w:rsidR="0024547D" w:rsidRPr="00D26E91">
        <w:rPr>
          <w:rFonts w:ascii="Times New Roman" w:hAnsi="Times New Roman" w:cs="Times New Roman"/>
        </w:rPr>
        <w:t xml:space="preserve"> not a superior learning tool</w:t>
      </w:r>
      <w:r w:rsidR="00682E56">
        <w:rPr>
          <w:rFonts w:ascii="Times New Roman" w:hAnsi="Times New Roman" w:cs="Times New Roman"/>
        </w:rPr>
        <w:t xml:space="preserve">, however this </w:t>
      </w:r>
      <w:r w:rsidR="002A757D">
        <w:rPr>
          <w:rFonts w:ascii="Times New Roman" w:hAnsi="Times New Roman" w:cs="Times New Roman"/>
        </w:rPr>
        <w:t>could be a limitation of the sample size</w:t>
      </w:r>
      <w:r w:rsidR="00FC6BA7">
        <w:rPr>
          <w:rFonts w:ascii="Times New Roman" w:hAnsi="Times New Roman" w:cs="Times New Roman"/>
        </w:rPr>
        <w:t>.</w:t>
      </w:r>
      <w:r w:rsidR="004E1BE5">
        <w:rPr>
          <w:rFonts w:ascii="Times New Roman" w:hAnsi="Times New Roman" w:cs="Times New Roman"/>
        </w:rPr>
        <w:t xml:space="preserve"> </w:t>
      </w:r>
      <w:r w:rsidR="00D26E91" w:rsidRPr="00D26E91">
        <w:rPr>
          <w:rFonts w:ascii="Times New Roman" w:hAnsi="Times New Roman" w:cs="Times New Roman"/>
        </w:rPr>
        <w:t>B</w:t>
      </w:r>
      <w:r w:rsidR="0024547D" w:rsidRPr="00D26E91">
        <w:rPr>
          <w:rFonts w:ascii="Times New Roman" w:hAnsi="Times New Roman" w:cs="Times New Roman"/>
        </w:rPr>
        <w:t xml:space="preserve">oth </w:t>
      </w:r>
      <w:r w:rsidR="002A757D">
        <w:rPr>
          <w:rFonts w:ascii="Times New Roman" w:hAnsi="Times New Roman" w:cs="Times New Roman"/>
        </w:rPr>
        <w:t xml:space="preserve">types of case study </w:t>
      </w:r>
      <w:r w:rsidR="0024547D" w:rsidRPr="00D26E91">
        <w:rPr>
          <w:rFonts w:ascii="Times New Roman" w:hAnsi="Times New Roman" w:cs="Times New Roman"/>
        </w:rPr>
        <w:t xml:space="preserve">were an additional resource to </w:t>
      </w:r>
      <w:r w:rsidR="00C04384" w:rsidRPr="00D26E91">
        <w:rPr>
          <w:rFonts w:ascii="Times New Roman" w:hAnsi="Times New Roman" w:cs="Times New Roman"/>
        </w:rPr>
        <w:t>‘usual practice’</w:t>
      </w:r>
      <w:r w:rsidR="0024547D" w:rsidRPr="00D26E91">
        <w:rPr>
          <w:rFonts w:ascii="Times New Roman" w:hAnsi="Times New Roman" w:cs="Times New Roman"/>
        </w:rPr>
        <w:t xml:space="preserve"> which may have impacted individuals’ learning.</w:t>
      </w:r>
      <w:r w:rsidR="00C04384" w:rsidRPr="00D26E91">
        <w:rPr>
          <w:rFonts w:ascii="Times New Roman" w:hAnsi="Times New Roman" w:cs="Times New Roman"/>
        </w:rPr>
        <w:t xml:space="preserve"> Further research evaluating ICAs against no intervention </w:t>
      </w:r>
      <w:r w:rsidR="00E14F75">
        <w:rPr>
          <w:rFonts w:ascii="Times New Roman" w:hAnsi="Times New Roman" w:cs="Times New Roman"/>
        </w:rPr>
        <w:t>is</w:t>
      </w:r>
      <w:r w:rsidR="00E14F75" w:rsidRPr="00D26E91">
        <w:rPr>
          <w:rFonts w:ascii="Times New Roman" w:hAnsi="Times New Roman" w:cs="Times New Roman"/>
        </w:rPr>
        <w:t xml:space="preserve"> </w:t>
      </w:r>
      <w:r w:rsidR="00C04384" w:rsidRPr="00D26E91">
        <w:rPr>
          <w:rFonts w:ascii="Times New Roman" w:hAnsi="Times New Roman" w:cs="Times New Roman"/>
        </w:rPr>
        <w:t>required to de</w:t>
      </w:r>
      <w:r w:rsidR="00BE2078">
        <w:rPr>
          <w:rFonts w:ascii="Times New Roman" w:hAnsi="Times New Roman" w:cs="Times New Roman"/>
        </w:rPr>
        <w:t>termine their effectiveness as a</w:t>
      </w:r>
      <w:r w:rsidR="00C04384" w:rsidRPr="00D26E91">
        <w:rPr>
          <w:rFonts w:ascii="Times New Roman" w:hAnsi="Times New Roman" w:cs="Times New Roman"/>
        </w:rPr>
        <w:t xml:space="preserve"> learning tool.</w:t>
      </w:r>
      <w:r w:rsidR="00C04384">
        <w:rPr>
          <w:rFonts w:ascii="Times New Roman" w:hAnsi="Times New Roman" w:cs="Times New Roman"/>
        </w:rPr>
        <w:t xml:space="preserve"> </w:t>
      </w:r>
    </w:p>
    <w:p w14:paraId="5D9FA4C8" w14:textId="77777777" w:rsidR="00725E9C" w:rsidRPr="00057515" w:rsidRDefault="00725E9C">
      <w:pPr>
        <w:rPr>
          <w:rFonts w:ascii="Times New Roman" w:hAnsi="Times New Roman" w:cs="Times New Roman"/>
        </w:rPr>
      </w:pPr>
      <w:r w:rsidRPr="00057515">
        <w:rPr>
          <w:rFonts w:ascii="Times New Roman" w:hAnsi="Times New Roman" w:cs="Times New Roman"/>
        </w:rPr>
        <w:t xml:space="preserve">References </w:t>
      </w:r>
    </w:p>
    <w:p w14:paraId="693BCB03" w14:textId="4E4823B7" w:rsidR="00E86A9C" w:rsidRPr="00057515" w:rsidRDefault="00E86A9C" w:rsidP="00E86A9C">
      <w:pPr>
        <w:rPr>
          <w:rFonts w:ascii="Times New Roman" w:hAnsi="Times New Roman" w:cs="Times New Roman"/>
        </w:rPr>
      </w:pPr>
      <w:r w:rsidRPr="00057515">
        <w:rPr>
          <w:rFonts w:ascii="Times New Roman" w:hAnsi="Times New Roman" w:cs="Times New Roman"/>
        </w:rPr>
        <w:t>[1</w:t>
      </w:r>
      <w:r w:rsidR="00391793">
        <w:rPr>
          <w:rFonts w:ascii="Times New Roman" w:hAnsi="Times New Roman" w:cs="Times New Roman"/>
        </w:rPr>
        <w:t>]</w:t>
      </w:r>
      <w:r w:rsidRPr="00057515">
        <w:rPr>
          <w:rFonts w:ascii="Times New Roman" w:hAnsi="Times New Roman" w:cs="Times New Roman"/>
        </w:rPr>
        <w:t>The General Pharmaceutical Council, Pre-registration Surveys 2014, Surveys of 2013/14 pre-registration trainees and tutors - summary of findings and points for consideration, (</w:t>
      </w:r>
      <w:hyperlink r:id="rId7" w:history="1">
        <w:r w:rsidRPr="00057515">
          <w:rPr>
            <w:rStyle w:val="Hyperlink"/>
            <w:rFonts w:ascii="Times New Roman" w:hAnsi="Times New Roman" w:cs="Times New Roman"/>
          </w:rPr>
          <w:t>https://www.pharmacyregulation.org/sites/default/files/gphc_response_to_2013-2014_pre-reg_surveys_final.pdf</w:t>
        </w:r>
      </w:hyperlink>
      <w:r w:rsidRPr="00057515">
        <w:rPr>
          <w:rFonts w:ascii="Times New Roman" w:hAnsi="Times New Roman" w:cs="Times New Roman"/>
        </w:rPr>
        <w:t xml:space="preserve">) </w:t>
      </w:r>
    </w:p>
    <w:p w14:paraId="010590B4" w14:textId="4A762EFE" w:rsidR="00057515" w:rsidRPr="00057515" w:rsidRDefault="00391793" w:rsidP="0005751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>[2]</w:t>
      </w:r>
      <w:proofErr w:type="spellStart"/>
      <w:r w:rsidR="00057515" w:rsidRPr="00057515">
        <w:rPr>
          <w:rFonts w:ascii="Times New Roman" w:hAnsi="Times New Roman" w:cs="Times New Roman"/>
          <w:noProof/>
        </w:rPr>
        <w:t>Prensky</w:t>
      </w:r>
      <w:proofErr w:type="spellEnd"/>
      <w:r w:rsidR="00057515" w:rsidRPr="00057515">
        <w:rPr>
          <w:rFonts w:ascii="Times New Roman" w:hAnsi="Times New Roman" w:cs="Times New Roman"/>
          <w:noProof/>
        </w:rPr>
        <w:t xml:space="preserve">, M. (2001) ‘Digital natives, digital immigrants part 1’, </w:t>
      </w:r>
      <w:r w:rsidR="00057515" w:rsidRPr="00057515">
        <w:rPr>
          <w:rFonts w:ascii="Times New Roman" w:hAnsi="Times New Roman" w:cs="Times New Roman"/>
          <w:i/>
          <w:iCs/>
          <w:noProof/>
        </w:rPr>
        <w:t>On the Horizon</w:t>
      </w:r>
      <w:r w:rsidR="00057515" w:rsidRPr="00057515">
        <w:rPr>
          <w:rFonts w:ascii="Times New Roman" w:hAnsi="Times New Roman" w:cs="Times New Roman"/>
          <w:noProof/>
        </w:rPr>
        <w:t>, 9(5), pp. 1–6.</w:t>
      </w:r>
    </w:p>
    <w:p w14:paraId="15F1729A" w14:textId="27299353" w:rsidR="002C3B8D" w:rsidRDefault="002C3B8D" w:rsidP="00E86A9C">
      <w:pPr>
        <w:rPr>
          <w:rFonts w:ascii="Times New Roman" w:hAnsi="Times New Roman" w:cs="Times New Roman"/>
          <w:sz w:val="18"/>
        </w:rPr>
      </w:pPr>
    </w:p>
    <w:p w14:paraId="385FF80B" w14:textId="138EF58F" w:rsidR="00725E9C" w:rsidRPr="00866CAF" w:rsidRDefault="00725E9C">
      <w:pPr>
        <w:rPr>
          <w:rFonts w:ascii="Times New Roman" w:hAnsi="Times New Roman" w:cs="Times New Roman"/>
          <w:sz w:val="18"/>
        </w:rPr>
      </w:pPr>
    </w:p>
    <w:sectPr w:rsidR="00725E9C" w:rsidRPr="00866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605F3"/>
    <w:multiLevelType w:val="hybridMultilevel"/>
    <w:tmpl w:val="CE0E6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84E8F"/>
    <w:multiLevelType w:val="hybridMultilevel"/>
    <w:tmpl w:val="039258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C1EEE"/>
    <w:multiLevelType w:val="hybridMultilevel"/>
    <w:tmpl w:val="A4E46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9C"/>
    <w:rsid w:val="0000203C"/>
    <w:rsid w:val="00017094"/>
    <w:rsid w:val="00047B0B"/>
    <w:rsid w:val="00057515"/>
    <w:rsid w:val="000733FD"/>
    <w:rsid w:val="0007374A"/>
    <w:rsid w:val="00075279"/>
    <w:rsid w:val="000967D5"/>
    <w:rsid w:val="000C4A17"/>
    <w:rsid w:val="00105B8A"/>
    <w:rsid w:val="0012255A"/>
    <w:rsid w:val="00155B32"/>
    <w:rsid w:val="001A6F0D"/>
    <w:rsid w:val="001E0036"/>
    <w:rsid w:val="001F7935"/>
    <w:rsid w:val="0024547D"/>
    <w:rsid w:val="002551EF"/>
    <w:rsid w:val="00275270"/>
    <w:rsid w:val="002A757D"/>
    <w:rsid w:val="002A7D84"/>
    <w:rsid w:val="002B6BAF"/>
    <w:rsid w:val="002C3B8D"/>
    <w:rsid w:val="002C657F"/>
    <w:rsid w:val="00301100"/>
    <w:rsid w:val="003019E6"/>
    <w:rsid w:val="003054E4"/>
    <w:rsid w:val="00352D2D"/>
    <w:rsid w:val="00391793"/>
    <w:rsid w:val="003A41BE"/>
    <w:rsid w:val="003B31A0"/>
    <w:rsid w:val="003F2CEC"/>
    <w:rsid w:val="003F4C2F"/>
    <w:rsid w:val="003F52BE"/>
    <w:rsid w:val="00432CDB"/>
    <w:rsid w:val="0048319B"/>
    <w:rsid w:val="004A4C07"/>
    <w:rsid w:val="004C0BE7"/>
    <w:rsid w:val="004C79A6"/>
    <w:rsid w:val="004E1BE5"/>
    <w:rsid w:val="004F4E6F"/>
    <w:rsid w:val="0052562D"/>
    <w:rsid w:val="005304E6"/>
    <w:rsid w:val="00536825"/>
    <w:rsid w:val="00595A2A"/>
    <w:rsid w:val="00601BD7"/>
    <w:rsid w:val="00630F08"/>
    <w:rsid w:val="00632A72"/>
    <w:rsid w:val="0064509B"/>
    <w:rsid w:val="00682E56"/>
    <w:rsid w:val="006A45F0"/>
    <w:rsid w:val="006C0876"/>
    <w:rsid w:val="006D7FD9"/>
    <w:rsid w:val="00717FF2"/>
    <w:rsid w:val="00725E9C"/>
    <w:rsid w:val="00744F13"/>
    <w:rsid w:val="00754496"/>
    <w:rsid w:val="00773F0B"/>
    <w:rsid w:val="00785B4C"/>
    <w:rsid w:val="008540A5"/>
    <w:rsid w:val="008646DD"/>
    <w:rsid w:val="00866CAF"/>
    <w:rsid w:val="00895E50"/>
    <w:rsid w:val="008F5763"/>
    <w:rsid w:val="009168D7"/>
    <w:rsid w:val="0092027D"/>
    <w:rsid w:val="009270C3"/>
    <w:rsid w:val="009734CA"/>
    <w:rsid w:val="009867F5"/>
    <w:rsid w:val="009E0606"/>
    <w:rsid w:val="00A02003"/>
    <w:rsid w:val="00A256BE"/>
    <w:rsid w:val="00AD72FD"/>
    <w:rsid w:val="00AF7F0D"/>
    <w:rsid w:val="00B06783"/>
    <w:rsid w:val="00B12EC1"/>
    <w:rsid w:val="00B25E52"/>
    <w:rsid w:val="00B62A5D"/>
    <w:rsid w:val="00B63456"/>
    <w:rsid w:val="00B73867"/>
    <w:rsid w:val="00B94DEC"/>
    <w:rsid w:val="00B963D6"/>
    <w:rsid w:val="00BB303E"/>
    <w:rsid w:val="00BC2662"/>
    <w:rsid w:val="00BE2078"/>
    <w:rsid w:val="00C04384"/>
    <w:rsid w:val="00C16AF9"/>
    <w:rsid w:val="00C779B8"/>
    <w:rsid w:val="00C96078"/>
    <w:rsid w:val="00CD4DB0"/>
    <w:rsid w:val="00CF6AAA"/>
    <w:rsid w:val="00D12019"/>
    <w:rsid w:val="00D26466"/>
    <w:rsid w:val="00D26E91"/>
    <w:rsid w:val="00D404F1"/>
    <w:rsid w:val="00D5023F"/>
    <w:rsid w:val="00D50B29"/>
    <w:rsid w:val="00D61102"/>
    <w:rsid w:val="00D73FD6"/>
    <w:rsid w:val="00D74F25"/>
    <w:rsid w:val="00D92AE3"/>
    <w:rsid w:val="00D96563"/>
    <w:rsid w:val="00DA7738"/>
    <w:rsid w:val="00DB3B27"/>
    <w:rsid w:val="00E00FC5"/>
    <w:rsid w:val="00E05E3B"/>
    <w:rsid w:val="00E06944"/>
    <w:rsid w:val="00E14F75"/>
    <w:rsid w:val="00E23CFB"/>
    <w:rsid w:val="00E254E5"/>
    <w:rsid w:val="00E25BE9"/>
    <w:rsid w:val="00E26A1E"/>
    <w:rsid w:val="00E418BD"/>
    <w:rsid w:val="00E54DC1"/>
    <w:rsid w:val="00E67E4B"/>
    <w:rsid w:val="00E86A9C"/>
    <w:rsid w:val="00E9732C"/>
    <w:rsid w:val="00EA18FC"/>
    <w:rsid w:val="00EC4AB9"/>
    <w:rsid w:val="00ED448B"/>
    <w:rsid w:val="00F06F11"/>
    <w:rsid w:val="00F3371D"/>
    <w:rsid w:val="00F34FFF"/>
    <w:rsid w:val="00F41CAF"/>
    <w:rsid w:val="00F5759C"/>
    <w:rsid w:val="00F63FC1"/>
    <w:rsid w:val="00FA6AB4"/>
    <w:rsid w:val="00FB7881"/>
    <w:rsid w:val="00FC0EB3"/>
    <w:rsid w:val="00FC6BA7"/>
    <w:rsid w:val="00FE001F"/>
    <w:rsid w:val="00FE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3759A"/>
  <w15:docId w15:val="{E58AC053-0FF4-4CFC-8845-58F424FE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6C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C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D4DB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0F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F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F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F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F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FC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4A17"/>
    <w:pPr>
      <w:spacing w:after="160" w:line="259" w:lineRule="auto"/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DB3B2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harmacyregulation.org/sites/default/files/gphc_response_to_2013-2014_pre-reg_surveys_final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f.thompson@keele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59A4998-51D1-4FDF-A65B-5A169C38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Keele University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Thompson</dc:creator>
  <cp:lastModifiedBy>pyb22</cp:lastModifiedBy>
  <cp:revision>2</cp:revision>
  <cp:lastPrinted>2016-12-07T13:24:00Z</cp:lastPrinted>
  <dcterms:created xsi:type="dcterms:W3CDTF">2019-05-29T17:03:00Z</dcterms:created>
  <dcterms:modified xsi:type="dcterms:W3CDTF">2019-05-29T17:03:00Z</dcterms:modified>
</cp:coreProperties>
</file>