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E1830" w14:textId="04A5F70F" w:rsidR="00AF4845" w:rsidRPr="00EC2FCA" w:rsidRDefault="000D2360" w:rsidP="000D2360">
      <w:pPr>
        <w:spacing w:after="0" w:line="480" w:lineRule="auto"/>
        <w:jc w:val="both"/>
      </w:pPr>
      <w:r w:rsidRPr="00EC2FCA">
        <w:rPr>
          <w:b/>
        </w:rPr>
        <w:t>Full t</w:t>
      </w:r>
      <w:r w:rsidR="007D54AB" w:rsidRPr="00EC2FCA">
        <w:rPr>
          <w:b/>
        </w:rPr>
        <w:t>itle:</w:t>
      </w:r>
      <w:r w:rsidR="00636140" w:rsidRPr="00EC2FCA">
        <w:t xml:space="preserve"> </w:t>
      </w:r>
      <w:r w:rsidR="00494829" w:rsidRPr="00EC2FCA">
        <w:t xml:space="preserve">Validity of Gout Diagnosis in </w:t>
      </w:r>
      <w:r w:rsidR="00636140" w:rsidRPr="00EC2FCA">
        <w:t>Primary Care</w:t>
      </w:r>
      <w:bookmarkStart w:id="0" w:name="_GoBack"/>
      <w:bookmarkEnd w:id="0"/>
    </w:p>
    <w:p w14:paraId="32F8B183" w14:textId="74787F86" w:rsidR="00AD4A4F" w:rsidRPr="00EC2FCA" w:rsidRDefault="00AD4A4F" w:rsidP="000D2360">
      <w:pPr>
        <w:spacing w:after="0" w:line="480" w:lineRule="auto"/>
        <w:jc w:val="both"/>
        <w:rPr>
          <w:b/>
        </w:rPr>
      </w:pPr>
      <w:r w:rsidRPr="00EC2FCA">
        <w:rPr>
          <w:b/>
        </w:rPr>
        <w:t>Authors:</w:t>
      </w:r>
    </w:p>
    <w:p w14:paraId="3EF00FCE" w14:textId="09BEB6D3" w:rsidR="00AD4A4F" w:rsidRPr="00EC2FCA" w:rsidRDefault="000D2360" w:rsidP="000D2360">
      <w:pPr>
        <w:spacing w:after="0" w:line="480" w:lineRule="auto"/>
        <w:jc w:val="both"/>
      </w:pPr>
      <w:r w:rsidRPr="00EC2FCA">
        <w:t>LORRAINE WATSON orcid.org/0000-0002-4433-6345</w:t>
      </w:r>
    </w:p>
    <w:p w14:paraId="5C1166E2" w14:textId="77777777" w:rsidR="00AD4A4F" w:rsidRPr="00EC2FCA" w:rsidRDefault="000D2360" w:rsidP="000D2360">
      <w:pPr>
        <w:spacing w:after="0" w:line="480" w:lineRule="auto"/>
        <w:jc w:val="both"/>
      </w:pPr>
      <w:r w:rsidRPr="00EC2FCA">
        <w:t>SARA MULLER orcid.org/0000-0001-6645-5751</w:t>
      </w:r>
    </w:p>
    <w:p w14:paraId="264D6018" w14:textId="77777777" w:rsidR="00AD4A4F" w:rsidRPr="00EC2FCA" w:rsidRDefault="000D2360" w:rsidP="000D2360">
      <w:pPr>
        <w:spacing w:after="0" w:line="480" w:lineRule="auto"/>
        <w:jc w:val="both"/>
      </w:pPr>
      <w:r w:rsidRPr="00EC2FCA">
        <w:t>EDWARD RODDY orcid.org/0000-0002-8954-7082</w:t>
      </w:r>
    </w:p>
    <w:p w14:paraId="1A5EDCEF" w14:textId="4E5101BF" w:rsidR="001761A4" w:rsidRPr="00EC2FCA" w:rsidRDefault="001761A4" w:rsidP="000D2360">
      <w:pPr>
        <w:spacing w:after="0" w:line="480" w:lineRule="auto"/>
        <w:jc w:val="both"/>
      </w:pPr>
      <w:r w:rsidRPr="00EC2FCA">
        <w:rPr>
          <w:b/>
        </w:rPr>
        <w:t xml:space="preserve">Key indexing terms: </w:t>
      </w:r>
      <w:r w:rsidR="00AC6273" w:rsidRPr="00AC6273">
        <w:t>gout</w:t>
      </w:r>
      <w:r w:rsidR="00AC6273">
        <w:t>, gouty arthritis, cohort studies, hyperuricemia</w:t>
      </w:r>
    </w:p>
    <w:p w14:paraId="71EA9807" w14:textId="6633E802" w:rsidR="001761A4" w:rsidRPr="00EC2FCA" w:rsidRDefault="00031C11" w:rsidP="000D2360">
      <w:pPr>
        <w:spacing w:after="0" w:line="480" w:lineRule="auto"/>
        <w:jc w:val="both"/>
        <w:rPr>
          <w:b/>
        </w:rPr>
      </w:pPr>
      <w:r w:rsidRPr="00EC2FCA">
        <w:rPr>
          <w:b/>
        </w:rPr>
        <w:t xml:space="preserve">Name of </w:t>
      </w:r>
      <w:r w:rsidR="00130076" w:rsidRPr="00EC2FCA">
        <w:rPr>
          <w:b/>
        </w:rPr>
        <w:t>departments</w:t>
      </w:r>
      <w:r w:rsidRPr="00EC2FCA">
        <w:rPr>
          <w:b/>
        </w:rPr>
        <w:t xml:space="preserve"> and institutions</w:t>
      </w:r>
      <w:r w:rsidR="00130076" w:rsidRPr="00EC2FCA">
        <w:rPr>
          <w:b/>
        </w:rPr>
        <w:t>:</w:t>
      </w:r>
    </w:p>
    <w:p w14:paraId="6D050B7D" w14:textId="5999BEB6" w:rsidR="00130076" w:rsidRPr="00EC2FCA" w:rsidRDefault="00130076" w:rsidP="00130076">
      <w:pPr>
        <w:spacing w:after="0" w:line="480" w:lineRule="auto"/>
        <w:jc w:val="both"/>
      </w:pPr>
      <w:r w:rsidRPr="00EC2FCA">
        <w:t>LORRAINE WATSON Primary Care Centre Versus Arthritis, Research Institute for Primary Care &amp; Health Sciences</w:t>
      </w:r>
      <w:r w:rsidR="00A0473B" w:rsidRPr="00EC2FCA">
        <w:t xml:space="preserve">, </w:t>
      </w:r>
      <w:proofErr w:type="spellStart"/>
      <w:r w:rsidR="00A0473B" w:rsidRPr="00EC2FCA">
        <w:t>Keele</w:t>
      </w:r>
      <w:proofErr w:type="spellEnd"/>
      <w:r w:rsidR="00A0473B" w:rsidRPr="00EC2FCA">
        <w:t xml:space="preserve"> University, </w:t>
      </w:r>
      <w:proofErr w:type="spellStart"/>
      <w:r w:rsidR="00A0473B" w:rsidRPr="00EC2FCA">
        <w:t>Keele</w:t>
      </w:r>
      <w:proofErr w:type="spellEnd"/>
      <w:r w:rsidR="00A0473B" w:rsidRPr="00EC2FCA">
        <w:t>, Staffordshire, ST5 5BG, UK</w:t>
      </w:r>
    </w:p>
    <w:p w14:paraId="69C51047" w14:textId="0CAC1AE9" w:rsidR="00A0473B" w:rsidRPr="00EC2FCA" w:rsidRDefault="00130076" w:rsidP="00130076">
      <w:pPr>
        <w:spacing w:after="0" w:line="480" w:lineRule="auto"/>
        <w:jc w:val="both"/>
      </w:pPr>
      <w:r w:rsidRPr="00EC2FCA">
        <w:t xml:space="preserve">SARA MULLER Primary Care Centre Versus Arthritis, Research Institute for </w:t>
      </w:r>
      <w:r w:rsidR="00A0473B" w:rsidRPr="00EC2FCA">
        <w:t xml:space="preserve">Primary Care &amp; Health Sciences, </w:t>
      </w:r>
      <w:proofErr w:type="spellStart"/>
      <w:r w:rsidR="00A0473B" w:rsidRPr="00EC2FCA">
        <w:t>Keele</w:t>
      </w:r>
      <w:proofErr w:type="spellEnd"/>
      <w:r w:rsidR="00A0473B" w:rsidRPr="00EC2FCA">
        <w:t xml:space="preserve"> University, </w:t>
      </w:r>
      <w:proofErr w:type="spellStart"/>
      <w:r w:rsidR="00A0473B" w:rsidRPr="00EC2FCA">
        <w:t>Keele</w:t>
      </w:r>
      <w:proofErr w:type="spellEnd"/>
      <w:r w:rsidR="00A0473B" w:rsidRPr="00EC2FCA">
        <w:t>, Staffordshire, ST5 5BG, UK</w:t>
      </w:r>
    </w:p>
    <w:p w14:paraId="2D3C05F0" w14:textId="68E48497" w:rsidR="00130076" w:rsidRPr="00EC2FCA" w:rsidRDefault="00130076" w:rsidP="00130076">
      <w:pPr>
        <w:spacing w:after="0" w:line="480" w:lineRule="auto"/>
        <w:jc w:val="both"/>
      </w:pPr>
      <w:r w:rsidRPr="00EC2FCA">
        <w:t xml:space="preserve">EDWARD RODDY Primary Care Centre Versus Arthritis, Research Institute for Primary Care &amp; Health Sciences, </w:t>
      </w:r>
      <w:proofErr w:type="spellStart"/>
      <w:r w:rsidRPr="00EC2FCA">
        <w:t>Keele</w:t>
      </w:r>
      <w:proofErr w:type="spellEnd"/>
      <w:r w:rsidRPr="00EC2FCA">
        <w:t xml:space="preserve"> University, </w:t>
      </w:r>
      <w:proofErr w:type="spellStart"/>
      <w:r w:rsidRPr="00EC2FCA">
        <w:t>Keele</w:t>
      </w:r>
      <w:proofErr w:type="spellEnd"/>
      <w:r w:rsidRPr="00EC2FCA">
        <w:t xml:space="preserve">, Staffordshire, ST5 5BG, UK. Haywood Academic Rheumatology Centre, Midland Partnership NHS Foundation Trust, Haywood Hospital, </w:t>
      </w:r>
      <w:proofErr w:type="spellStart"/>
      <w:r w:rsidRPr="00EC2FCA">
        <w:t>Burslem</w:t>
      </w:r>
      <w:proofErr w:type="spellEnd"/>
      <w:r w:rsidRPr="00EC2FCA">
        <w:t>, Staffordshire, UK</w:t>
      </w:r>
    </w:p>
    <w:p w14:paraId="66CE124A" w14:textId="44685264" w:rsidR="00130076" w:rsidRPr="00EC2FCA" w:rsidRDefault="008B0908" w:rsidP="008B0908">
      <w:pPr>
        <w:spacing w:after="0" w:line="480" w:lineRule="auto"/>
        <w:jc w:val="both"/>
        <w:rPr>
          <w:b/>
        </w:rPr>
      </w:pPr>
      <w:r w:rsidRPr="00EC2FCA">
        <w:rPr>
          <w:b/>
        </w:rPr>
        <w:t xml:space="preserve">Funding statement:  </w:t>
      </w:r>
      <w:r w:rsidRPr="00EC2FCA">
        <w:t>No specific funding was received from any bodies in the public, commercial or not-for-profit sectors to carry out the work described in this manuscript.</w:t>
      </w:r>
    </w:p>
    <w:p w14:paraId="17953E2C" w14:textId="385DA409" w:rsidR="008B0908" w:rsidRPr="00EC2FCA" w:rsidRDefault="008B0908" w:rsidP="008B0908">
      <w:pPr>
        <w:spacing w:after="0" w:line="480" w:lineRule="auto"/>
        <w:jc w:val="both"/>
      </w:pPr>
      <w:r w:rsidRPr="00EC2FCA">
        <w:rPr>
          <w:b/>
        </w:rPr>
        <w:t>Conflict of interest:</w:t>
      </w:r>
      <w:r w:rsidRPr="00EC2FCA">
        <w:t xml:space="preserve"> None</w:t>
      </w:r>
    </w:p>
    <w:p w14:paraId="78406619" w14:textId="2DE93A44" w:rsidR="00031C11" w:rsidRPr="00FC1C0E" w:rsidRDefault="00D22006" w:rsidP="008B0908">
      <w:pPr>
        <w:spacing w:after="0" w:line="480" w:lineRule="auto"/>
        <w:jc w:val="both"/>
        <w:rPr>
          <w:b/>
        </w:rPr>
      </w:pPr>
      <w:r w:rsidRPr="00FC1C0E">
        <w:rPr>
          <w:b/>
        </w:rPr>
        <w:t>Initials, surnames, appointments, and highest academic degrees of all authors:</w:t>
      </w:r>
    </w:p>
    <w:p w14:paraId="2B95D3C0" w14:textId="3D8A8DC6" w:rsidR="00D22006" w:rsidRPr="00EC2FCA" w:rsidRDefault="00D22006" w:rsidP="008B0908">
      <w:pPr>
        <w:spacing w:after="0" w:line="480" w:lineRule="auto"/>
        <w:jc w:val="both"/>
      </w:pPr>
      <w:r w:rsidRPr="00EC2FCA">
        <w:t>L WATSON, Research Fellow, MSc</w:t>
      </w:r>
    </w:p>
    <w:p w14:paraId="076DC092" w14:textId="06C1720B" w:rsidR="00D22006" w:rsidRPr="00EC2FCA" w:rsidRDefault="00E63BA8" w:rsidP="008B0908">
      <w:pPr>
        <w:spacing w:after="0" w:line="480" w:lineRule="auto"/>
        <w:jc w:val="both"/>
      </w:pPr>
      <w:r w:rsidRPr="00EC2FCA">
        <w:t xml:space="preserve">S </w:t>
      </w:r>
      <w:r w:rsidR="00D22006" w:rsidRPr="00EC2FCA">
        <w:t>MULLER, Senior Research Fellow, PhD</w:t>
      </w:r>
    </w:p>
    <w:p w14:paraId="696BC8D0" w14:textId="038A43B5" w:rsidR="00D22006" w:rsidRPr="00EC2FCA" w:rsidRDefault="00E63BA8" w:rsidP="008B0908">
      <w:pPr>
        <w:spacing w:after="0" w:line="480" w:lineRule="auto"/>
        <w:jc w:val="both"/>
      </w:pPr>
      <w:r w:rsidRPr="00EC2FCA">
        <w:t>E RODDY Reader in Rheumatology &amp; Honorary Consultant Rheumatologist, DM</w:t>
      </w:r>
    </w:p>
    <w:p w14:paraId="4FD945BB" w14:textId="220EA03B" w:rsidR="000D2360" w:rsidRPr="00EC2FCA" w:rsidRDefault="000D2360" w:rsidP="000D2360">
      <w:pPr>
        <w:spacing w:after="0" w:line="480" w:lineRule="auto"/>
        <w:jc w:val="both"/>
      </w:pPr>
      <w:r w:rsidRPr="00B2597F">
        <w:rPr>
          <w:b/>
        </w:rPr>
        <w:t>Address correspondence to</w:t>
      </w:r>
      <w:r w:rsidR="00B2597F" w:rsidRPr="00B2597F">
        <w:rPr>
          <w:b/>
        </w:rPr>
        <w:t>:</w:t>
      </w:r>
      <w:r w:rsidRPr="00EC2FCA">
        <w:t xml:space="preserve"> Lorraine Watson,</w:t>
      </w:r>
      <w:r w:rsidR="002D6E3C" w:rsidRPr="002D6E3C">
        <w:t xml:space="preserve"> Primary Care Centre Versus Arthritis, Research Institute for Primary Care &amp; Health Sciences</w:t>
      </w:r>
      <w:r w:rsidR="00A64D8B">
        <w:t>,</w:t>
      </w:r>
      <w:r w:rsidRPr="00EC2FCA">
        <w:t xml:space="preserve"> </w:t>
      </w:r>
      <w:proofErr w:type="spellStart"/>
      <w:r w:rsidRPr="00EC2FCA">
        <w:t>Keele</w:t>
      </w:r>
      <w:proofErr w:type="spellEnd"/>
      <w:r w:rsidRPr="00EC2FCA">
        <w:t xml:space="preserve"> University, </w:t>
      </w:r>
      <w:proofErr w:type="gramStart"/>
      <w:r w:rsidRPr="00EC2FCA">
        <w:t>Staffordshire</w:t>
      </w:r>
      <w:proofErr w:type="gramEnd"/>
      <w:r w:rsidRPr="00EC2FCA">
        <w:t>, ST5 5BG, UK</w:t>
      </w:r>
    </w:p>
    <w:p w14:paraId="5E4DFFC8" w14:textId="5D54FE7C" w:rsidR="000D2360" w:rsidRPr="00EC2FCA" w:rsidRDefault="000D2360" w:rsidP="000D2360">
      <w:pPr>
        <w:spacing w:after="0" w:line="480" w:lineRule="auto"/>
        <w:jc w:val="both"/>
      </w:pPr>
      <w:r w:rsidRPr="00EC2FCA">
        <w:t>E-mail: l.watson@keele.ac.uk</w:t>
      </w:r>
    </w:p>
    <w:p w14:paraId="1EDCC279" w14:textId="5CE502D8" w:rsidR="00EC2FCA" w:rsidRPr="00EC2FCA" w:rsidRDefault="00EC2FCA" w:rsidP="00EC2FCA">
      <w:pPr>
        <w:spacing w:after="0" w:line="480" w:lineRule="auto"/>
        <w:jc w:val="both"/>
      </w:pPr>
      <w:r w:rsidRPr="00B2597F">
        <w:rPr>
          <w:b/>
        </w:rPr>
        <w:t>Running head:</w:t>
      </w:r>
      <w:r w:rsidRPr="00EC2FCA">
        <w:t xml:space="preserve"> Gout Diagnosis Primary Care</w:t>
      </w:r>
    </w:p>
    <w:p w14:paraId="715A8407" w14:textId="77777777" w:rsidR="000D2360" w:rsidRDefault="000D2360" w:rsidP="00BE6ECD">
      <w:pPr>
        <w:spacing w:after="0" w:line="480" w:lineRule="auto"/>
        <w:jc w:val="both"/>
      </w:pPr>
    </w:p>
    <w:p w14:paraId="5B2BD108" w14:textId="77777777" w:rsidR="00EC2FCA" w:rsidRPr="00EC2FCA" w:rsidRDefault="00EC2FCA" w:rsidP="00BE6ECD">
      <w:pPr>
        <w:spacing w:after="0" w:line="480" w:lineRule="auto"/>
        <w:jc w:val="both"/>
      </w:pPr>
    </w:p>
    <w:p w14:paraId="6079AE22" w14:textId="77777777" w:rsidR="007D54AB" w:rsidRPr="007D54AB" w:rsidRDefault="007D54AB" w:rsidP="00BE6ECD">
      <w:pPr>
        <w:spacing w:after="0" w:line="480" w:lineRule="auto"/>
        <w:jc w:val="both"/>
        <w:rPr>
          <w:i/>
        </w:rPr>
      </w:pPr>
      <w:r w:rsidRPr="007D54AB">
        <w:rPr>
          <w:i/>
        </w:rPr>
        <w:t>To the Editor:</w:t>
      </w:r>
    </w:p>
    <w:p w14:paraId="371A4962" w14:textId="05B326CF" w:rsidR="007C732B" w:rsidRDefault="001234DC" w:rsidP="00BE6ECD">
      <w:pPr>
        <w:spacing w:after="0" w:line="480" w:lineRule="auto"/>
        <w:jc w:val="both"/>
      </w:pPr>
      <w:r>
        <w:t>We re</w:t>
      </w:r>
      <w:r w:rsidR="00636140">
        <w:t>a</w:t>
      </w:r>
      <w:r>
        <w:t>d with</w:t>
      </w:r>
      <w:r w:rsidR="0026770A">
        <w:t xml:space="preserve"> </w:t>
      </w:r>
      <w:r>
        <w:t xml:space="preserve">interest the recent study by </w:t>
      </w:r>
      <w:proofErr w:type="spellStart"/>
      <w:r>
        <w:t>Dehlin</w:t>
      </w:r>
      <w:proofErr w:type="spellEnd"/>
      <w:r>
        <w:t xml:space="preserve"> and </w:t>
      </w:r>
      <w:r w:rsidRPr="000B1EFD">
        <w:t xml:space="preserve">colleagues </w:t>
      </w:r>
      <w:r w:rsidR="00FA1643" w:rsidRPr="000B1EFD">
        <w:t>[1]</w:t>
      </w:r>
      <w:r w:rsidR="00636140">
        <w:t>,</w:t>
      </w:r>
      <w:r w:rsidRPr="00FA1643">
        <w:t xml:space="preserve"> investigating the validity of a </w:t>
      </w:r>
      <w:r w:rsidR="0001499E">
        <w:t>gout diagnosis in</w:t>
      </w:r>
      <w:r>
        <w:t xml:space="preserve"> primary </w:t>
      </w:r>
      <w:r w:rsidRPr="00135623">
        <w:t>care</w:t>
      </w:r>
      <w:r>
        <w:t xml:space="preserve">.  We have </w:t>
      </w:r>
      <w:r w:rsidR="0026770A">
        <w:t xml:space="preserve">also </w:t>
      </w:r>
      <w:r w:rsidR="009A3BB6">
        <w:t>investigated</w:t>
      </w:r>
      <w:r>
        <w:t xml:space="preserve"> how a </w:t>
      </w:r>
      <w:r w:rsidR="009A3BB6">
        <w:t xml:space="preserve">primary care </w:t>
      </w:r>
      <w:r>
        <w:t xml:space="preserve">diagnosis of gout </w:t>
      </w:r>
      <w:r w:rsidR="009A3BB6">
        <w:t xml:space="preserve">compares to </w:t>
      </w:r>
      <w:r w:rsidR="005F5853">
        <w:t>a</w:t>
      </w:r>
      <w:r w:rsidR="008D2A1B">
        <w:t xml:space="preserve"> </w:t>
      </w:r>
      <w:r w:rsidR="009C7D50">
        <w:t xml:space="preserve">primary care </w:t>
      </w:r>
      <w:r w:rsidR="008D2A1B">
        <w:t>diagnostic rule</w:t>
      </w:r>
      <w:r w:rsidR="005F5853">
        <w:t xml:space="preserve"> for gout</w:t>
      </w:r>
      <w:r w:rsidR="008D2A1B">
        <w:t xml:space="preserve"> and </w:t>
      </w:r>
      <w:r w:rsidR="00581EE1">
        <w:t xml:space="preserve">to </w:t>
      </w:r>
      <w:r w:rsidR="008D2A1B">
        <w:t>classification criteri</w:t>
      </w:r>
      <w:r w:rsidR="006C60CC">
        <w:t xml:space="preserve">a. </w:t>
      </w:r>
      <w:r w:rsidR="008D2A1B">
        <w:t>Our</w:t>
      </w:r>
      <w:r>
        <w:t xml:space="preserve"> objective was to </w:t>
      </w:r>
      <w:r w:rsidR="009947F6">
        <w:t>determine</w:t>
      </w:r>
      <w:r>
        <w:t xml:space="preserve"> the proportion </w:t>
      </w:r>
      <w:r w:rsidR="00636140">
        <w:t xml:space="preserve">of </w:t>
      </w:r>
      <w:r>
        <w:t xml:space="preserve">patients </w:t>
      </w:r>
      <w:r w:rsidR="008D2A1B">
        <w:t xml:space="preserve">with a </w:t>
      </w:r>
      <w:r>
        <w:t xml:space="preserve">primary care </w:t>
      </w:r>
      <w:r w:rsidR="008D2A1B">
        <w:t xml:space="preserve">diagnosis of gout </w:t>
      </w:r>
      <w:r w:rsidRPr="005F5853">
        <w:t>who</w:t>
      </w:r>
      <w:r w:rsidR="005F5853" w:rsidRPr="005F5853">
        <w:t xml:space="preserve"> fulfilled the </w:t>
      </w:r>
      <w:r w:rsidR="00724F7C">
        <w:t xml:space="preserve">primary care </w:t>
      </w:r>
      <w:r w:rsidR="008D2A1B" w:rsidRPr="005F5853">
        <w:t xml:space="preserve">diagnostic </w:t>
      </w:r>
      <w:r w:rsidR="008D2A1B">
        <w:t xml:space="preserve">rule by Janssens </w:t>
      </w:r>
      <w:r w:rsidR="008D2A1B" w:rsidRPr="00130C0C">
        <w:rPr>
          <w:i/>
        </w:rPr>
        <w:t>et al</w:t>
      </w:r>
      <w:r w:rsidR="008D2A1B">
        <w:t xml:space="preserve"> for acute gout</w:t>
      </w:r>
      <w:r w:rsidR="005F5853">
        <w:t>y</w:t>
      </w:r>
      <w:r w:rsidR="008D2A1B">
        <w:t xml:space="preserve"> </w:t>
      </w:r>
      <w:r w:rsidR="008D2A1B" w:rsidRPr="00ED0BB8">
        <w:t>arthritis [</w:t>
      </w:r>
      <w:r w:rsidR="0031267E" w:rsidRPr="00ED0BB8">
        <w:t>2</w:t>
      </w:r>
      <w:r w:rsidR="008D2A1B" w:rsidRPr="00ED0BB8">
        <w:t xml:space="preserve">] </w:t>
      </w:r>
      <w:r w:rsidR="00011B05" w:rsidRPr="00ED0BB8">
        <w:t xml:space="preserve">and </w:t>
      </w:r>
      <w:r w:rsidR="008D2A1B" w:rsidRPr="00ED0BB8">
        <w:t xml:space="preserve">the </w:t>
      </w:r>
      <w:r w:rsidR="00BF6FAE">
        <w:t xml:space="preserve">1977 </w:t>
      </w:r>
      <w:r w:rsidR="008148C5" w:rsidRPr="00ED0BB8">
        <w:t>Am</w:t>
      </w:r>
      <w:r w:rsidR="009517FC" w:rsidRPr="00ED0BB8">
        <w:t xml:space="preserve">erican </w:t>
      </w:r>
      <w:r w:rsidR="009947F6" w:rsidRPr="00ED0BB8">
        <w:t xml:space="preserve">Rheumatism Association </w:t>
      </w:r>
      <w:r w:rsidR="009517FC" w:rsidRPr="00ED0BB8">
        <w:t>(ARA</w:t>
      </w:r>
      <w:r w:rsidR="008148C5" w:rsidRPr="00ED0BB8">
        <w:t>) criteria for</w:t>
      </w:r>
      <w:r w:rsidR="009947F6" w:rsidRPr="00ED0BB8">
        <w:t xml:space="preserve"> the classification of</w:t>
      </w:r>
      <w:r w:rsidR="008148C5" w:rsidRPr="00ED0BB8">
        <w:t xml:space="preserve"> acute arthritis of primary gout </w:t>
      </w:r>
      <w:r w:rsidR="006607FB" w:rsidRPr="00ED0BB8">
        <w:t>[</w:t>
      </w:r>
      <w:r w:rsidR="0031267E" w:rsidRPr="00ED0BB8">
        <w:t>3</w:t>
      </w:r>
      <w:r w:rsidR="006607FB" w:rsidRPr="00ED0BB8">
        <w:t>]</w:t>
      </w:r>
      <w:r w:rsidR="009947F6" w:rsidRPr="00ED0BB8">
        <w:t>.</w:t>
      </w:r>
    </w:p>
    <w:p w14:paraId="1F40AED6" w14:textId="77777777" w:rsidR="0071561F" w:rsidRPr="003A06BA" w:rsidRDefault="0071561F" w:rsidP="00BE6ECD">
      <w:pPr>
        <w:spacing w:after="0" w:line="480" w:lineRule="auto"/>
        <w:jc w:val="both"/>
        <w:rPr>
          <w:color w:val="00B0F0"/>
        </w:rPr>
      </w:pPr>
    </w:p>
    <w:p w14:paraId="120BD079" w14:textId="1F9CB5F4" w:rsidR="00A52810" w:rsidRDefault="008D2A1B" w:rsidP="003B26A0">
      <w:pPr>
        <w:spacing w:after="0" w:line="480" w:lineRule="auto"/>
        <w:jc w:val="both"/>
      </w:pPr>
      <w:r>
        <w:t xml:space="preserve">Participants with gout undergoing follow-up as part of a prospective observational cohort study </w:t>
      </w:r>
      <w:r w:rsidR="00B432E4">
        <w:t xml:space="preserve">[4] </w:t>
      </w:r>
      <w:r>
        <w:t>were sent a postal questionnaire</w:t>
      </w:r>
      <w:r w:rsidR="00ED0BB8">
        <w:t>,</w:t>
      </w:r>
      <w:r>
        <w:t xml:space="preserve"> which included question</w:t>
      </w:r>
      <w:r w:rsidR="00ED0BB8">
        <w:t>s</w:t>
      </w:r>
      <w:r w:rsidR="005F5853">
        <w:t xml:space="preserve"> </w:t>
      </w:r>
      <w:r>
        <w:t xml:space="preserve">about clinical features of gout and comorbidities required to assess fulfilment of the Janssens diagnostic rule </w:t>
      </w:r>
      <w:r w:rsidR="00ED0BB8">
        <w:t xml:space="preserve">[2] </w:t>
      </w:r>
      <w:r>
        <w:t xml:space="preserve">and the </w:t>
      </w:r>
      <w:r w:rsidR="00ED0BB8">
        <w:t xml:space="preserve">1977 ARA </w:t>
      </w:r>
      <w:r w:rsidR="00BF6FAE">
        <w:t xml:space="preserve">criteria </w:t>
      </w:r>
      <w:r w:rsidR="00ED0BB8">
        <w:t>[3]</w:t>
      </w:r>
      <w:r>
        <w:t>. The cohort had been</w:t>
      </w:r>
      <w:r w:rsidR="005C6EE8">
        <w:t xml:space="preserve"> established in </w:t>
      </w:r>
      <w:r w:rsidR="005C6EE8" w:rsidRPr="00CB09CC">
        <w:t xml:space="preserve">2012 </w:t>
      </w:r>
      <w:r w:rsidR="007410F7">
        <w:t>and recruited</w:t>
      </w:r>
      <w:r w:rsidR="005C6EE8" w:rsidRPr="00CB09CC">
        <w:t xml:space="preserve"> patients </w:t>
      </w:r>
      <w:r w:rsidR="005C6EE8">
        <w:t xml:space="preserve">over the age of 18 </w:t>
      </w:r>
      <w:r w:rsidR="005C6EE8" w:rsidRPr="00A3132A">
        <w:t>years</w:t>
      </w:r>
      <w:r w:rsidR="00A3132A" w:rsidRPr="00A3132A">
        <w:t xml:space="preserve"> </w:t>
      </w:r>
      <w:r w:rsidR="001E5B9B" w:rsidRPr="00A3132A">
        <w:t>registered</w:t>
      </w:r>
      <w:r w:rsidR="005C6EE8" w:rsidRPr="00A3132A">
        <w:t xml:space="preserve"> with 20 General Practices in the West Midlands</w:t>
      </w:r>
      <w:r w:rsidR="007410F7">
        <w:t>,</w:t>
      </w:r>
      <w:r w:rsidR="005C6EE8" w:rsidRPr="00A3132A">
        <w:t xml:space="preserve"> UK</w:t>
      </w:r>
      <w:r w:rsidR="007410F7">
        <w:t>.  Participants were required to have a Read</w:t>
      </w:r>
      <w:r w:rsidR="00643E32">
        <w:t>-</w:t>
      </w:r>
      <w:r w:rsidR="007410F7">
        <w:t xml:space="preserve">coded (diagnostic coding system used in UK general practice) </w:t>
      </w:r>
      <w:r w:rsidR="005C6EE8" w:rsidRPr="00A3132A">
        <w:t xml:space="preserve">consultation for gout or a prescription for allopurinol or colchicine within their medical records in the </w:t>
      </w:r>
      <w:r w:rsidR="007410F7">
        <w:t xml:space="preserve">two years preceding baseline questionnaire mailing.  </w:t>
      </w:r>
      <w:r w:rsidR="005C6EE8" w:rsidRPr="00825034">
        <w:t xml:space="preserve"> </w:t>
      </w:r>
      <w:r w:rsidR="005C6EE8">
        <w:t>Ethical approval was received from the North West – Liverpool East Research Ethics Committee (12/NW/</w:t>
      </w:r>
      <w:r w:rsidR="005C6EE8" w:rsidRPr="005F5853">
        <w:t xml:space="preserve">0297).  </w:t>
      </w:r>
      <w:r w:rsidR="005D7084" w:rsidRPr="005F5853">
        <w:t xml:space="preserve">The highest serum urate level and </w:t>
      </w:r>
      <w:r w:rsidR="007410F7" w:rsidRPr="005F5853">
        <w:t>the presence of</w:t>
      </w:r>
      <w:r w:rsidR="005D7084" w:rsidRPr="005F5853">
        <w:t xml:space="preserve"> tophi </w:t>
      </w:r>
      <w:r w:rsidR="007410F7" w:rsidRPr="005F5853">
        <w:t>were</w:t>
      </w:r>
      <w:r w:rsidR="005D7084" w:rsidRPr="005F5853">
        <w:t xml:space="preserve"> extracted from medical records </w:t>
      </w:r>
      <w:r w:rsidR="00255B57">
        <w:t>during</w:t>
      </w:r>
      <w:r w:rsidR="00643E32">
        <w:t xml:space="preserve"> the period </w:t>
      </w:r>
      <w:r w:rsidR="000D1481">
        <w:t xml:space="preserve">from </w:t>
      </w:r>
      <w:r w:rsidR="007410F7" w:rsidRPr="005F5853">
        <w:t>two</w:t>
      </w:r>
      <w:r w:rsidR="005D7084" w:rsidRPr="005F5853">
        <w:t xml:space="preserve"> years prior </w:t>
      </w:r>
      <w:r w:rsidR="00643E32">
        <w:t xml:space="preserve">to </w:t>
      </w:r>
      <w:r w:rsidR="00D90282">
        <w:t xml:space="preserve">baseline to </w:t>
      </w:r>
      <w:r w:rsidR="007410F7" w:rsidRPr="005F5853">
        <w:t>five</w:t>
      </w:r>
      <w:r w:rsidR="005D7084" w:rsidRPr="005F5853">
        <w:t xml:space="preserve"> years </w:t>
      </w:r>
      <w:r w:rsidR="00D90282">
        <w:t>post-baseline</w:t>
      </w:r>
      <w:r w:rsidR="005D7084" w:rsidRPr="005F5853">
        <w:t>.</w:t>
      </w:r>
      <w:r w:rsidR="005F5853">
        <w:t xml:space="preserve">  </w:t>
      </w:r>
      <w:r w:rsidR="00BA0E68">
        <w:t>Missing serum urate levels were assumed to be normal.</w:t>
      </w:r>
      <w:r w:rsidR="00BA0E68" w:rsidRPr="005F5853">
        <w:t xml:space="preserve"> </w:t>
      </w:r>
      <w:r w:rsidR="007410F7" w:rsidRPr="005F5853">
        <w:t xml:space="preserve">A </w:t>
      </w:r>
      <w:r w:rsidR="007410F7">
        <w:t xml:space="preserve">score of </w:t>
      </w:r>
      <w:r w:rsidR="00BC0E7D">
        <w:t>eight or</w:t>
      </w:r>
      <w:r w:rsidR="00BC0E7D" w:rsidRPr="008570D5">
        <w:t xml:space="preserve"> more</w:t>
      </w:r>
      <w:r w:rsidR="00BC0E7D" w:rsidRPr="006931F5">
        <w:t xml:space="preserve"> </w:t>
      </w:r>
      <w:r w:rsidR="007410F7">
        <w:t>for the</w:t>
      </w:r>
      <w:r w:rsidR="00937EAB">
        <w:t xml:space="preserve"> Janssens </w:t>
      </w:r>
      <w:r w:rsidR="007410F7">
        <w:t>diagnostic rule</w:t>
      </w:r>
      <w:r w:rsidR="00937EAB" w:rsidRPr="0031267E">
        <w:t xml:space="preserve"> </w:t>
      </w:r>
      <w:r w:rsidR="008F0F44" w:rsidRPr="0031267E">
        <w:t>[</w:t>
      </w:r>
      <w:r w:rsidR="0031267E" w:rsidRPr="0031267E">
        <w:t>2</w:t>
      </w:r>
      <w:r w:rsidR="008F0F44" w:rsidRPr="0031267E">
        <w:t xml:space="preserve">] </w:t>
      </w:r>
      <w:r w:rsidR="00D90282">
        <w:t>or</w:t>
      </w:r>
      <w:r w:rsidR="005D7084" w:rsidRPr="0031267E">
        <w:t xml:space="preserve"> </w:t>
      </w:r>
      <w:r w:rsidR="00BC0E7D" w:rsidRPr="0031267E">
        <w:t>six or more</w:t>
      </w:r>
      <w:r w:rsidR="009C5ADD" w:rsidRPr="0031267E">
        <w:t xml:space="preserve"> for the 1977 ARA criteria</w:t>
      </w:r>
      <w:r w:rsidR="00797EC7" w:rsidRPr="0031267E">
        <w:t xml:space="preserve"> </w:t>
      </w:r>
      <w:r w:rsidR="00363139" w:rsidRPr="0031267E">
        <w:t>[</w:t>
      </w:r>
      <w:r w:rsidR="0031267E" w:rsidRPr="0031267E">
        <w:t>3</w:t>
      </w:r>
      <w:r w:rsidR="00363139" w:rsidRPr="0031267E">
        <w:t>]</w:t>
      </w:r>
      <w:r w:rsidR="007410F7" w:rsidRPr="0031267E">
        <w:t xml:space="preserve"> indicated </w:t>
      </w:r>
      <w:r w:rsidR="007410F7">
        <w:t xml:space="preserve">a </w:t>
      </w:r>
      <w:r w:rsidR="000F4F73" w:rsidRPr="000F4F73">
        <w:t>diagnosis</w:t>
      </w:r>
      <w:r w:rsidR="007410F7" w:rsidRPr="000F4F73">
        <w:t xml:space="preserve"> of </w:t>
      </w:r>
      <w:r w:rsidR="007410F7">
        <w:t>gout</w:t>
      </w:r>
      <w:r w:rsidR="000F4F73">
        <w:t xml:space="preserve">.  </w:t>
      </w:r>
      <w:r w:rsidR="005D7084" w:rsidRPr="006931F5">
        <w:t xml:space="preserve">The </w:t>
      </w:r>
      <w:r w:rsidR="009947F6" w:rsidRPr="006931F5">
        <w:t xml:space="preserve">positive predictive </w:t>
      </w:r>
      <w:r w:rsidR="009947F6">
        <w:t>value (</w:t>
      </w:r>
      <w:r w:rsidR="00636140">
        <w:t>PPV</w:t>
      </w:r>
      <w:r w:rsidR="009947F6">
        <w:t>)</w:t>
      </w:r>
      <w:r w:rsidR="005D7084">
        <w:t xml:space="preserve"> for a </w:t>
      </w:r>
      <w:r w:rsidR="004C7992">
        <w:t xml:space="preserve">primary care </w:t>
      </w:r>
      <w:r w:rsidR="009C5ADD">
        <w:t xml:space="preserve">diagnosis of gout was calculated by dividing the number of participants who </w:t>
      </w:r>
      <w:r w:rsidR="00B331AB">
        <w:t xml:space="preserve">achieved the required score </w:t>
      </w:r>
      <w:r w:rsidR="005D7084">
        <w:t xml:space="preserve">by the </w:t>
      </w:r>
      <w:r w:rsidR="003B5DD6">
        <w:t xml:space="preserve">total number of </w:t>
      </w:r>
      <w:r w:rsidR="00DA4FB1">
        <w:t>pa</w:t>
      </w:r>
      <w:r w:rsidR="004C7992">
        <w:t>r</w:t>
      </w:r>
      <w:r w:rsidR="00DA4FB1">
        <w:t>ti</w:t>
      </w:r>
      <w:r w:rsidR="004C7992">
        <w:t>cipa</w:t>
      </w:r>
      <w:r w:rsidR="00DA4FB1">
        <w:t>nt</w:t>
      </w:r>
      <w:r w:rsidR="006251FB">
        <w:t>s</w:t>
      </w:r>
      <w:r w:rsidR="00AB30A6">
        <w:t xml:space="preserve">. </w:t>
      </w:r>
    </w:p>
    <w:p w14:paraId="3DD1453A" w14:textId="77777777" w:rsidR="0066238A" w:rsidRDefault="0066238A" w:rsidP="003B26A0">
      <w:pPr>
        <w:spacing w:after="0" w:line="480" w:lineRule="auto"/>
        <w:jc w:val="both"/>
      </w:pPr>
    </w:p>
    <w:p w14:paraId="20688CFA" w14:textId="5A8663E6" w:rsidR="00FF004C" w:rsidRDefault="00B331AB" w:rsidP="009A3B4E">
      <w:pPr>
        <w:spacing w:after="0" w:line="480" w:lineRule="auto"/>
        <w:jc w:val="both"/>
      </w:pPr>
      <w:r>
        <w:lastRenderedPageBreak/>
        <w:t>536</w:t>
      </w:r>
      <w:r w:rsidR="003B26A0">
        <w:t xml:space="preserve"> </w:t>
      </w:r>
      <w:r w:rsidR="009F111D">
        <w:t xml:space="preserve">participants </w:t>
      </w:r>
      <w:r w:rsidR="003B26A0">
        <w:t xml:space="preserve">were included in the </w:t>
      </w:r>
      <w:r w:rsidR="003B26A0" w:rsidRPr="00FF004C">
        <w:t>analysis</w:t>
      </w:r>
      <w:r w:rsidR="006F2E11" w:rsidRPr="00FF004C">
        <w:t xml:space="preserve">, </w:t>
      </w:r>
      <w:r w:rsidR="00FF0F95" w:rsidRPr="00FF004C">
        <w:t>484</w:t>
      </w:r>
      <w:r w:rsidR="00A52810" w:rsidRPr="00FF004C">
        <w:t xml:space="preserve"> </w:t>
      </w:r>
      <w:r w:rsidR="007057B4" w:rsidRPr="00FF004C">
        <w:t>(</w:t>
      </w:r>
      <w:r w:rsidR="00FF0F95" w:rsidRPr="00FF004C">
        <w:t>90.3</w:t>
      </w:r>
      <w:r w:rsidR="007057B4" w:rsidRPr="00FF004C">
        <w:t xml:space="preserve">%) were male, </w:t>
      </w:r>
      <w:r w:rsidR="006F2E11" w:rsidRPr="00FF004C">
        <w:t xml:space="preserve">with a mean (SD) age of </w:t>
      </w:r>
      <w:r w:rsidR="00FF0F95" w:rsidRPr="00FF004C">
        <w:t>64.3</w:t>
      </w:r>
      <w:r w:rsidR="00A52810" w:rsidRPr="00FF004C">
        <w:t xml:space="preserve"> </w:t>
      </w:r>
      <w:r w:rsidR="006F2E11" w:rsidRPr="00FF004C">
        <w:t>(</w:t>
      </w:r>
      <w:r w:rsidR="00FF0F95" w:rsidRPr="00FF004C">
        <w:t>11.3</w:t>
      </w:r>
      <w:r w:rsidR="006F2E11" w:rsidRPr="00FF004C">
        <w:t>)</w:t>
      </w:r>
      <w:r w:rsidR="00FF0F95" w:rsidRPr="00FF004C">
        <w:t xml:space="preserve"> years</w:t>
      </w:r>
      <w:r w:rsidR="006F2E11" w:rsidRPr="00FF004C">
        <w:t xml:space="preserve">, and BMI of </w:t>
      </w:r>
      <w:r w:rsidR="00FF0F95" w:rsidRPr="00FF004C">
        <w:t>29.0 (5.4)</w:t>
      </w:r>
      <w:r w:rsidR="005F5853" w:rsidRPr="00FF004C">
        <w:t xml:space="preserve"> </w:t>
      </w:r>
      <w:r w:rsidR="006F2E11" w:rsidRPr="00FF004C">
        <w:t>kg/m</w:t>
      </w:r>
      <w:r w:rsidR="006F2E11" w:rsidRPr="00FF004C">
        <w:rPr>
          <w:sz w:val="20"/>
          <w:vertAlign w:val="superscript"/>
        </w:rPr>
        <w:t>2</w:t>
      </w:r>
      <w:r w:rsidR="006F2E11" w:rsidRPr="00FF004C">
        <w:t xml:space="preserve">. </w:t>
      </w:r>
      <w:r w:rsidR="00255B57" w:rsidRPr="00FF004C">
        <w:t>M</w:t>
      </w:r>
      <w:r w:rsidR="006F2E11" w:rsidRPr="00FF004C">
        <w:t xml:space="preserve">edian (IQR) </w:t>
      </w:r>
      <w:r w:rsidR="00255B57" w:rsidRPr="00FF004C">
        <w:t>gout</w:t>
      </w:r>
      <w:r w:rsidR="006F2E11" w:rsidRPr="00FF004C">
        <w:t xml:space="preserve"> duration </w:t>
      </w:r>
      <w:r w:rsidR="00255B57" w:rsidRPr="00FF004C">
        <w:t>was</w:t>
      </w:r>
      <w:r w:rsidR="00591D0C" w:rsidRPr="00FF004C">
        <w:t xml:space="preserve"> </w:t>
      </w:r>
      <w:r w:rsidR="00FF0F95" w:rsidRPr="00FF004C">
        <w:t>10</w:t>
      </w:r>
      <w:r w:rsidR="00A52810" w:rsidRPr="00FF004C">
        <w:t xml:space="preserve"> </w:t>
      </w:r>
      <w:r w:rsidR="006F2E11" w:rsidRPr="00FF004C">
        <w:t>(</w:t>
      </w:r>
      <w:r w:rsidR="00FF0F95" w:rsidRPr="00FF004C">
        <w:t>3</w:t>
      </w:r>
      <w:r w:rsidR="006F2E11" w:rsidRPr="00FF004C">
        <w:t xml:space="preserve">, </w:t>
      </w:r>
      <w:r w:rsidR="00FF0F95" w:rsidRPr="00FF004C">
        <w:t>22</w:t>
      </w:r>
      <w:r w:rsidR="006F2E11" w:rsidRPr="00FF004C">
        <w:t>) years</w:t>
      </w:r>
      <w:r w:rsidR="00255B57" w:rsidRPr="00FF004C">
        <w:t>.</w:t>
      </w:r>
      <w:r w:rsidR="006F2E11" w:rsidRPr="00FF004C">
        <w:t xml:space="preserve"> </w:t>
      </w:r>
      <w:r w:rsidR="00255B57" w:rsidRPr="00FF004C">
        <w:t>M</w:t>
      </w:r>
      <w:r w:rsidR="006F2E11" w:rsidRPr="00FF004C">
        <w:t xml:space="preserve">ean (SD) highest serum urate level </w:t>
      </w:r>
      <w:r w:rsidR="00255B57" w:rsidRPr="00FF004C">
        <w:t>was</w:t>
      </w:r>
      <w:r w:rsidR="006F2E11" w:rsidRPr="00FF004C">
        <w:t xml:space="preserve"> </w:t>
      </w:r>
      <w:r w:rsidR="00FF0F95" w:rsidRPr="00FF004C">
        <w:t xml:space="preserve">370.2 </w:t>
      </w:r>
      <w:r w:rsidR="006F2E11" w:rsidRPr="00FF004C">
        <w:t>(</w:t>
      </w:r>
      <w:r w:rsidR="00FF0F95" w:rsidRPr="00FF004C">
        <w:t>104.4</w:t>
      </w:r>
      <w:r w:rsidR="006F2E11" w:rsidRPr="00FF004C">
        <w:t xml:space="preserve">) µmol/L, and </w:t>
      </w:r>
      <w:r w:rsidR="00FF0F95" w:rsidRPr="00FF004C">
        <w:t>13</w:t>
      </w:r>
      <w:r w:rsidR="00A52810" w:rsidRPr="00FF004C">
        <w:t xml:space="preserve"> </w:t>
      </w:r>
      <w:r w:rsidR="006F2E11" w:rsidRPr="00FF004C">
        <w:t>(</w:t>
      </w:r>
      <w:r w:rsidR="00FF0F95" w:rsidRPr="00FF004C">
        <w:t>2.4</w:t>
      </w:r>
      <w:r w:rsidR="006F2E11" w:rsidRPr="00FF004C">
        <w:t xml:space="preserve">%) participants </w:t>
      </w:r>
      <w:r w:rsidR="006F2E11" w:rsidRPr="006F2E11">
        <w:t xml:space="preserve">had </w:t>
      </w:r>
      <w:r w:rsidR="006F2E11" w:rsidRPr="00ED0BB8">
        <w:t>tophi</w:t>
      </w:r>
      <w:r w:rsidR="00255B57">
        <w:t xml:space="preserve"> recorded</w:t>
      </w:r>
      <w:r w:rsidR="006F2E11" w:rsidRPr="00ED0BB8">
        <w:t xml:space="preserve">.  </w:t>
      </w:r>
      <w:r>
        <w:t xml:space="preserve">The </w:t>
      </w:r>
      <w:r w:rsidR="00EF4BCC">
        <w:t xml:space="preserve">Janssens diagnostic rule and 1977 ARA criteria were fulfilled by </w:t>
      </w:r>
      <w:r w:rsidR="003F397B">
        <w:t>396</w:t>
      </w:r>
      <w:r w:rsidR="00EF4BCC">
        <w:t xml:space="preserve"> (PPV 73.9%) and </w:t>
      </w:r>
      <w:r w:rsidR="003F397B">
        <w:t>429</w:t>
      </w:r>
      <w:r w:rsidR="00EF4BCC">
        <w:t xml:space="preserve"> (</w:t>
      </w:r>
      <w:r>
        <w:t>P</w:t>
      </w:r>
      <w:r w:rsidR="00DA4FB1" w:rsidRPr="00DA4FB1">
        <w:t xml:space="preserve">PV </w:t>
      </w:r>
      <w:r w:rsidR="00EF4BCC" w:rsidRPr="00DA4FB1">
        <w:t>8</w:t>
      </w:r>
      <w:r w:rsidR="003F397B">
        <w:t>0.0</w:t>
      </w:r>
      <w:r w:rsidR="00EF4BCC" w:rsidRPr="00DA4FB1">
        <w:t>%</w:t>
      </w:r>
      <w:r w:rsidR="00EF4BCC">
        <w:t xml:space="preserve">) </w:t>
      </w:r>
      <w:r w:rsidR="00A50297">
        <w:t>participants with a primary care diagnosis of gout respectively</w:t>
      </w:r>
      <w:r w:rsidR="009C5ADD">
        <w:t>.  464 (86.6%) participant</w:t>
      </w:r>
      <w:r w:rsidR="00ED0BB8">
        <w:t>s</w:t>
      </w:r>
      <w:r w:rsidR="009C5ADD">
        <w:t xml:space="preserve"> </w:t>
      </w:r>
      <w:r w:rsidR="00C71ADA">
        <w:t>fulfilled</w:t>
      </w:r>
      <w:r w:rsidR="009C5ADD">
        <w:t xml:space="preserve"> either the Janssens diagnostic rule or the 1977 ARA criteria.</w:t>
      </w:r>
      <w:r w:rsidR="00600110">
        <w:t xml:space="preserve">  </w:t>
      </w:r>
    </w:p>
    <w:p w14:paraId="158BEB12" w14:textId="77777777" w:rsidR="00FF004C" w:rsidRDefault="00FF004C" w:rsidP="009A3B4E">
      <w:pPr>
        <w:spacing w:after="0" w:line="480" w:lineRule="auto"/>
        <w:jc w:val="both"/>
      </w:pPr>
    </w:p>
    <w:p w14:paraId="5C4BBBD3" w14:textId="07F322D5" w:rsidR="00FA663E" w:rsidRDefault="007A64BE" w:rsidP="009A3B4E">
      <w:pPr>
        <w:spacing w:after="0" w:line="480" w:lineRule="auto"/>
        <w:jc w:val="both"/>
      </w:pPr>
      <w:r>
        <w:t>Th</w:t>
      </w:r>
      <w:r w:rsidR="007B1CF2">
        <w:t xml:space="preserve">e </w:t>
      </w:r>
      <w:r>
        <w:t>PPV</w:t>
      </w:r>
      <w:r w:rsidR="007057B4" w:rsidRPr="007057B4">
        <w:t xml:space="preserve"> </w:t>
      </w:r>
      <w:r w:rsidR="007057B4" w:rsidRPr="00130C0C">
        <w:t xml:space="preserve">of </w:t>
      </w:r>
      <w:r w:rsidR="0002731A" w:rsidRPr="00130C0C">
        <w:t xml:space="preserve">73.9% </w:t>
      </w:r>
      <w:r w:rsidR="00FA0815">
        <w:t>for a primary care diagnosis compared to</w:t>
      </w:r>
      <w:r w:rsidR="00EF4089">
        <w:t xml:space="preserve"> </w:t>
      </w:r>
      <w:r w:rsidR="007B1CF2">
        <w:t>the Janssens</w:t>
      </w:r>
      <w:r w:rsidR="000F4F73">
        <w:t xml:space="preserve"> </w:t>
      </w:r>
      <w:r w:rsidR="007B1CF2">
        <w:t xml:space="preserve">diagnostic </w:t>
      </w:r>
      <w:r w:rsidR="007B1CF2" w:rsidRPr="00130C0C">
        <w:t>rule [</w:t>
      </w:r>
      <w:r w:rsidR="0031267E" w:rsidRPr="00130C0C">
        <w:t>2</w:t>
      </w:r>
      <w:r w:rsidR="007B1CF2" w:rsidRPr="00130C0C">
        <w:t xml:space="preserve">] </w:t>
      </w:r>
      <w:r w:rsidR="007D3EC9">
        <w:t>i</w:t>
      </w:r>
      <w:r w:rsidR="007B1CF2" w:rsidRPr="00130C0C">
        <w:t>s similar to th</w:t>
      </w:r>
      <w:r w:rsidR="00FA0815">
        <w:t>at</w:t>
      </w:r>
      <w:r w:rsidR="00DA5AD4" w:rsidRPr="00130C0C">
        <w:t xml:space="preserve"> reported by </w:t>
      </w:r>
      <w:proofErr w:type="spellStart"/>
      <w:r w:rsidR="00DA5AD4" w:rsidRPr="00130C0C">
        <w:t>Dehlin</w:t>
      </w:r>
      <w:proofErr w:type="spellEnd"/>
      <w:r w:rsidR="00DA5AD4" w:rsidRPr="00130C0C">
        <w:t xml:space="preserve"> and colleagues </w:t>
      </w:r>
      <w:r w:rsidR="00EF4089">
        <w:t>(</w:t>
      </w:r>
      <w:r w:rsidR="00EF4089" w:rsidRPr="003509D3">
        <w:t xml:space="preserve">71%) </w:t>
      </w:r>
      <w:r w:rsidR="00DA5AD4" w:rsidRPr="003509D3">
        <w:t>[1]</w:t>
      </w:r>
      <w:r w:rsidR="00855F85" w:rsidRPr="003509D3">
        <w:t xml:space="preserve">.  </w:t>
      </w:r>
      <w:r w:rsidR="0035457A" w:rsidRPr="003509D3">
        <w:t xml:space="preserve">When </w:t>
      </w:r>
      <w:r w:rsidR="00FA0815">
        <w:t xml:space="preserve">compared to </w:t>
      </w:r>
      <w:r w:rsidR="0035457A" w:rsidRPr="00DA5AD4">
        <w:t xml:space="preserve">the </w:t>
      </w:r>
      <w:r w:rsidR="007B1CF2">
        <w:t xml:space="preserve">1977 </w:t>
      </w:r>
      <w:r w:rsidR="007B1CF2" w:rsidRPr="0031267E">
        <w:t xml:space="preserve">ARA </w:t>
      </w:r>
      <w:r w:rsidR="00FA0815">
        <w:t xml:space="preserve">criteria </w:t>
      </w:r>
      <w:r w:rsidR="007B1CF2" w:rsidRPr="0031267E">
        <w:t>[</w:t>
      </w:r>
      <w:r w:rsidR="0031267E" w:rsidRPr="0031267E">
        <w:t>3</w:t>
      </w:r>
      <w:r w:rsidR="007B1CF2" w:rsidRPr="0031267E">
        <w:t>]</w:t>
      </w:r>
      <w:r w:rsidR="00FA0815">
        <w:t>,</w:t>
      </w:r>
      <w:r w:rsidR="0035457A">
        <w:t xml:space="preserve"> t</w:t>
      </w:r>
      <w:r w:rsidR="00DA5AD4" w:rsidRPr="00DA5AD4">
        <w:t xml:space="preserve">he PPV </w:t>
      </w:r>
      <w:r w:rsidR="00DA5AD4" w:rsidRPr="007B1CF2">
        <w:t xml:space="preserve">of </w:t>
      </w:r>
      <w:r w:rsidR="007B1CF2">
        <w:t>80</w:t>
      </w:r>
      <w:r w:rsidR="0035457A" w:rsidRPr="007B1CF2">
        <w:t xml:space="preserve">% </w:t>
      </w:r>
      <w:r w:rsidR="002A7D19">
        <w:t xml:space="preserve">was </w:t>
      </w:r>
      <w:r w:rsidR="00FA0815">
        <w:t>similar to that</w:t>
      </w:r>
      <w:r>
        <w:t xml:space="preserve"> </w:t>
      </w:r>
      <w:r w:rsidR="00117E22">
        <w:t xml:space="preserve">reported </w:t>
      </w:r>
      <w:r w:rsidR="002A7D19">
        <w:t xml:space="preserve">by </w:t>
      </w:r>
      <w:r w:rsidRPr="00DA5AD4">
        <w:t xml:space="preserve">Janssens </w:t>
      </w:r>
      <w:r w:rsidRPr="0035457A">
        <w:rPr>
          <w:i/>
        </w:rPr>
        <w:t>et al</w:t>
      </w:r>
      <w:r w:rsidRPr="00DA5AD4">
        <w:t xml:space="preserve"> </w:t>
      </w:r>
      <w:r w:rsidR="00D22A02">
        <w:t>[</w:t>
      </w:r>
      <w:r w:rsidR="00130C0C">
        <w:t>5</w:t>
      </w:r>
      <w:r w:rsidR="00D22A02">
        <w:t>]</w:t>
      </w:r>
      <w:r w:rsidR="00743397">
        <w:t xml:space="preserve"> </w:t>
      </w:r>
      <w:r w:rsidR="00D22A02">
        <w:t xml:space="preserve">in </w:t>
      </w:r>
      <w:r w:rsidR="00FA663E">
        <w:t xml:space="preserve">an earlier </w:t>
      </w:r>
      <w:r w:rsidR="00D22A02">
        <w:t>primary care</w:t>
      </w:r>
      <w:r w:rsidR="00FA663E">
        <w:t xml:space="preserve"> study</w:t>
      </w:r>
      <w:r w:rsidR="00DA5AD4" w:rsidRPr="00DA5AD4">
        <w:t>.</w:t>
      </w:r>
      <w:r w:rsidR="00A90AC4">
        <w:t xml:space="preserve"> </w:t>
      </w:r>
    </w:p>
    <w:p w14:paraId="411C1FC0" w14:textId="77777777" w:rsidR="00335C00" w:rsidRDefault="00335C00" w:rsidP="009A3B4E">
      <w:pPr>
        <w:spacing w:after="0" w:line="480" w:lineRule="auto"/>
        <w:jc w:val="both"/>
      </w:pPr>
    </w:p>
    <w:p w14:paraId="024FE0C1" w14:textId="6208EEF6" w:rsidR="00DA5AD4" w:rsidRDefault="00FA663E" w:rsidP="009A3B4E">
      <w:pPr>
        <w:spacing w:after="0" w:line="480" w:lineRule="auto"/>
        <w:jc w:val="both"/>
      </w:pPr>
      <w:r>
        <w:t xml:space="preserve">We also intended to </w:t>
      </w:r>
      <w:r w:rsidR="0064174B">
        <w:t>calculat</w:t>
      </w:r>
      <w:r>
        <w:t>e</w:t>
      </w:r>
      <w:r w:rsidR="0064174B">
        <w:t xml:space="preserve"> the PPV</w:t>
      </w:r>
      <w:r w:rsidR="00130C0C">
        <w:t xml:space="preserve"> </w:t>
      </w:r>
      <w:r>
        <w:t xml:space="preserve">of a primary care gout diagnosis compared to </w:t>
      </w:r>
      <w:r w:rsidR="0064174B">
        <w:t xml:space="preserve">the </w:t>
      </w:r>
      <w:r w:rsidR="0064174B" w:rsidRPr="0064174B">
        <w:t>American College of Rheumatology</w:t>
      </w:r>
      <w:r w:rsidR="0064174B">
        <w:t>-E</w:t>
      </w:r>
      <w:r w:rsidR="0064174B" w:rsidRPr="0064174B">
        <w:t xml:space="preserve">uropean League Against Rheumatism (ACR-EULAR) 2015 </w:t>
      </w:r>
      <w:r w:rsidR="000F4F73">
        <w:t>g</w:t>
      </w:r>
      <w:r w:rsidR="0064174B" w:rsidRPr="0064174B">
        <w:t xml:space="preserve">out classification </w:t>
      </w:r>
      <w:r w:rsidR="0064174B" w:rsidRPr="00130C0C">
        <w:t>criteria [</w:t>
      </w:r>
      <w:r w:rsidR="00130C0C" w:rsidRPr="00130C0C">
        <w:t>6</w:t>
      </w:r>
      <w:r w:rsidR="0064174B" w:rsidRPr="00130C0C">
        <w:t xml:space="preserve">].  However, </w:t>
      </w:r>
      <w:r w:rsidR="009C7543">
        <w:t>251 (46.8%) of participants did not have a serum urate level recorded in their medical records. We were therefore unable to calculate a PPV compared to the ACR-EULAR 2015 criteria</w:t>
      </w:r>
      <w:r w:rsidR="009C7543" w:rsidRPr="00130C0C">
        <w:t xml:space="preserve"> </w:t>
      </w:r>
      <w:r w:rsidR="0064174B" w:rsidRPr="00130C0C">
        <w:t>as serum urate is a mandatory component of the</w:t>
      </w:r>
      <w:r w:rsidR="005D03E4">
        <w:t>se</w:t>
      </w:r>
      <w:r w:rsidR="0064174B" w:rsidRPr="00130C0C">
        <w:t xml:space="preserve"> criteria</w:t>
      </w:r>
      <w:r w:rsidR="0031267E" w:rsidRPr="00130C0C">
        <w:t xml:space="preserve"> [</w:t>
      </w:r>
      <w:r w:rsidR="00130C0C" w:rsidRPr="00130C0C">
        <w:t>6</w:t>
      </w:r>
      <w:r w:rsidR="0031267E" w:rsidRPr="00130C0C">
        <w:t>]</w:t>
      </w:r>
      <w:r w:rsidR="00B5523E">
        <w:t xml:space="preserve">. </w:t>
      </w:r>
      <w:r w:rsidR="008C1B9B">
        <w:t xml:space="preserve">This </w:t>
      </w:r>
      <w:r w:rsidR="005D03E4">
        <w:t xml:space="preserve">suggests </w:t>
      </w:r>
      <w:r w:rsidR="00B5523E">
        <w:t>tha</w:t>
      </w:r>
      <w:r w:rsidR="007057B4">
        <w:t>t the ACR-EULAR</w:t>
      </w:r>
      <w:r w:rsidR="00B5523E">
        <w:t xml:space="preserve"> classification criteria </w:t>
      </w:r>
      <w:r w:rsidR="00A90AC4">
        <w:t>may</w:t>
      </w:r>
      <w:r w:rsidR="00B5523E">
        <w:t xml:space="preserve"> be </w:t>
      </w:r>
      <w:r w:rsidR="00B5523E" w:rsidRPr="00B5523E">
        <w:t>difficult to apply retrospectively using routinely-recorded data from primary care medical records</w:t>
      </w:r>
      <w:r w:rsidR="00B5523E">
        <w:t xml:space="preserve">. </w:t>
      </w:r>
      <w:r w:rsidR="00A90AC4">
        <w:t xml:space="preserve">Since missing serum urate levels were assumed to be normal when deriving scores for the Janssens diagnostic </w:t>
      </w:r>
      <w:r w:rsidR="00A90AC4" w:rsidRPr="00130C0C">
        <w:t>rule</w:t>
      </w:r>
      <w:r w:rsidR="00A90AC4">
        <w:t xml:space="preserve"> and 1977 ARA criteria, these estimates of PPV of a primary care diagnosis are likely to be conservative.</w:t>
      </w:r>
    </w:p>
    <w:p w14:paraId="2B91187C" w14:textId="77777777" w:rsidR="00335C00" w:rsidRDefault="00335C00" w:rsidP="009A3B4E">
      <w:pPr>
        <w:spacing w:after="0" w:line="480" w:lineRule="auto"/>
        <w:jc w:val="both"/>
      </w:pPr>
    </w:p>
    <w:p w14:paraId="762C3F16" w14:textId="267B5E01" w:rsidR="008B1BC8" w:rsidRPr="00FF5C3B" w:rsidRDefault="007057B4" w:rsidP="009A3B4E">
      <w:pPr>
        <w:spacing w:after="0" w:line="480" w:lineRule="auto"/>
        <w:jc w:val="both"/>
        <w:rPr>
          <w:color w:val="00B050"/>
        </w:rPr>
      </w:pPr>
      <w:r>
        <w:t>In this primary care cohort</w:t>
      </w:r>
      <w:r w:rsidR="004C2AF1">
        <w:t>,</w:t>
      </w:r>
      <w:r>
        <w:t xml:space="preserve"> the </w:t>
      </w:r>
      <w:r w:rsidR="004C2AF1">
        <w:t xml:space="preserve">PPV of a primary gout diagnosis was high with the </w:t>
      </w:r>
      <w:r>
        <w:t xml:space="preserve">majority of </w:t>
      </w:r>
      <w:r w:rsidR="004C2AF1">
        <w:t>participants</w:t>
      </w:r>
      <w:r>
        <w:t xml:space="preserve"> fulfill</w:t>
      </w:r>
      <w:r w:rsidR="004C2AF1">
        <w:t xml:space="preserve">ing </w:t>
      </w:r>
      <w:r>
        <w:t xml:space="preserve">the </w:t>
      </w:r>
      <w:r w:rsidR="004C2AF1">
        <w:t xml:space="preserve">Janssens primary care </w:t>
      </w:r>
      <w:r w:rsidR="008004CE">
        <w:t xml:space="preserve">diagnostic </w:t>
      </w:r>
      <w:r w:rsidR="004C2AF1">
        <w:t xml:space="preserve">rule or </w:t>
      </w:r>
      <w:r w:rsidR="008004CE">
        <w:t xml:space="preserve">1977 ARA criteria. These findings </w:t>
      </w:r>
      <w:r w:rsidR="00C62FA4">
        <w:t xml:space="preserve">provide </w:t>
      </w:r>
      <w:r w:rsidR="008004CE">
        <w:t>reassurance</w:t>
      </w:r>
      <w:r w:rsidR="00C62FA4">
        <w:t xml:space="preserve"> about identifying research participants based on a clinical diagnosis in primary care where synovial fluid analysis and imaging are rarely performed.</w:t>
      </w:r>
    </w:p>
    <w:p w14:paraId="7A881661" w14:textId="3F141EDD" w:rsidR="003B26A0" w:rsidRPr="00897F32" w:rsidRDefault="003B26A0" w:rsidP="003B26A0">
      <w:pPr>
        <w:rPr>
          <w:b/>
        </w:rPr>
      </w:pPr>
    </w:p>
    <w:p w14:paraId="2829812B" w14:textId="01F0EBFD" w:rsidR="00897F32" w:rsidRPr="00897F32" w:rsidRDefault="00897F32" w:rsidP="00897F32">
      <w:pPr>
        <w:rPr>
          <w:b/>
        </w:rPr>
      </w:pPr>
    </w:p>
    <w:p w14:paraId="1D0C04EC" w14:textId="77777777" w:rsidR="00C57FD7" w:rsidRDefault="00C57FD7" w:rsidP="00897F32"/>
    <w:p w14:paraId="207E9871" w14:textId="77777777" w:rsidR="00FA5E83" w:rsidRDefault="00FA5E83" w:rsidP="00FA5E83">
      <w:pPr>
        <w:spacing w:after="0" w:line="360" w:lineRule="auto"/>
      </w:pPr>
      <w:r>
        <w:t>Acknowledgements:</w:t>
      </w:r>
    </w:p>
    <w:p w14:paraId="0F73A4B0" w14:textId="47FF5FC1" w:rsidR="00FA5E83" w:rsidRDefault="00FA5E83" w:rsidP="00FA5E83">
      <w:pPr>
        <w:spacing w:after="0" w:line="360" w:lineRule="auto"/>
      </w:pPr>
      <w:r>
        <w:t>This work was supported by service support through the West Midlands North</w:t>
      </w:r>
      <w:r w:rsidR="009C3685">
        <w:t xml:space="preserve"> </w:t>
      </w:r>
      <w:r>
        <w:t>CLRN</w:t>
      </w:r>
      <w:r w:rsidR="00F80273">
        <w:t xml:space="preserve">. </w:t>
      </w:r>
      <w:r>
        <w:t xml:space="preserve"> The authors would like to thank the administrative and health informatics staff at</w:t>
      </w:r>
      <w:r w:rsidR="009C3685">
        <w:t xml:space="preserve"> </w:t>
      </w:r>
      <w:proofErr w:type="spellStart"/>
      <w:r>
        <w:t>Keele</w:t>
      </w:r>
      <w:proofErr w:type="spellEnd"/>
      <w:r>
        <w:t xml:space="preserve"> University’s Arthritis Research UK Primary Care Centre; staff and patients of</w:t>
      </w:r>
      <w:r w:rsidR="00B2597F">
        <w:t xml:space="preserve"> </w:t>
      </w:r>
      <w:r>
        <w:t>the participating practices.</w:t>
      </w:r>
    </w:p>
    <w:p w14:paraId="6281A5D7" w14:textId="77777777" w:rsidR="00FA5E83" w:rsidRDefault="00FA5E83" w:rsidP="00FA5E83">
      <w:pPr>
        <w:spacing w:after="0" w:line="360" w:lineRule="auto"/>
      </w:pPr>
    </w:p>
    <w:p w14:paraId="4DD9E610" w14:textId="77777777" w:rsidR="008B1BC8" w:rsidRPr="003543B2" w:rsidRDefault="008B1BC8" w:rsidP="003543B2">
      <w:pPr>
        <w:spacing w:after="0" w:line="240" w:lineRule="auto"/>
        <w:rPr>
          <w:b/>
          <w:color w:val="FF0000"/>
        </w:rPr>
      </w:pPr>
    </w:p>
    <w:p w14:paraId="7A038D11" w14:textId="3C974B7B" w:rsidR="009614C6" w:rsidRPr="0050538B" w:rsidRDefault="005E0304" w:rsidP="00BE6ECD">
      <w:pPr>
        <w:spacing w:after="0" w:line="480" w:lineRule="auto"/>
        <w:rPr>
          <w:b/>
        </w:rPr>
      </w:pPr>
      <w:r w:rsidRPr="0050538B">
        <w:rPr>
          <w:b/>
        </w:rPr>
        <w:t xml:space="preserve">References: </w:t>
      </w:r>
    </w:p>
    <w:p w14:paraId="5A35D0F9" w14:textId="42392F3B" w:rsidR="00FE0B39" w:rsidRDefault="00A66803" w:rsidP="007823F9">
      <w:pPr>
        <w:pStyle w:val="ListParagraph"/>
        <w:spacing w:after="0" w:line="240" w:lineRule="auto"/>
        <w:ind w:left="0"/>
        <w:rPr>
          <w:rFonts w:ascii="Helvetica" w:hAnsi="Helvetica" w:cs="Helvetica"/>
          <w:color w:val="2E2B2B"/>
          <w:sz w:val="20"/>
          <w:szCs w:val="20"/>
          <w:shd w:val="clear" w:color="auto" w:fill="FFFFFF"/>
        </w:rPr>
      </w:pPr>
      <w:r>
        <w:t>1.</w:t>
      </w:r>
      <w:r w:rsidR="001D7290" w:rsidRPr="001D7290">
        <w:t xml:space="preserve">Dehlin, </w:t>
      </w:r>
      <w:r w:rsidR="001D7290">
        <w:t xml:space="preserve">M, </w:t>
      </w:r>
      <w:r w:rsidR="001D7290" w:rsidRPr="001D7290">
        <w:t xml:space="preserve">Landgren, </w:t>
      </w:r>
      <w:r w:rsidR="001D7290">
        <w:t xml:space="preserve">AJ, </w:t>
      </w:r>
      <w:r w:rsidR="001D7290" w:rsidRPr="001D7290">
        <w:t>Bergsten</w:t>
      </w:r>
      <w:r w:rsidR="001D7290">
        <w:t>, U</w:t>
      </w:r>
      <w:r w:rsidR="001D7290" w:rsidRPr="001D7290">
        <w:t xml:space="preserve"> and </w:t>
      </w:r>
      <w:proofErr w:type="spellStart"/>
      <w:r w:rsidR="008D0693" w:rsidRPr="00325C74">
        <w:rPr>
          <w:rFonts w:eastAsia="Times New Roman" w:cs="Times New Roman"/>
          <w:lang w:eastAsia="en-GB"/>
        </w:rPr>
        <w:t>Jacobsson</w:t>
      </w:r>
      <w:proofErr w:type="spellEnd"/>
      <w:r w:rsidR="001D7290">
        <w:t xml:space="preserve">, LTH.  </w:t>
      </w:r>
      <w:r w:rsidR="00112B46" w:rsidRPr="00112B46">
        <w:t>The validity of gout diagnosis in primary care, results from a patient survey</w:t>
      </w:r>
      <w:r w:rsidR="00C440B6">
        <w:t>.</w:t>
      </w:r>
      <w:r w:rsidR="00A161C8">
        <w:t xml:space="preserve"> </w:t>
      </w:r>
      <w:r w:rsidR="005E0304">
        <w:t xml:space="preserve">J </w:t>
      </w:r>
      <w:proofErr w:type="spellStart"/>
      <w:r w:rsidR="005E0304">
        <w:t>Rheumatol</w:t>
      </w:r>
      <w:proofErr w:type="spellEnd"/>
      <w:r w:rsidR="00BA15D1">
        <w:t xml:space="preserve"> </w:t>
      </w:r>
      <w:r w:rsidR="00A161C8">
        <w:t xml:space="preserve">2019; </w:t>
      </w:r>
      <w:r w:rsidR="00380994">
        <w:t>46(</w:t>
      </w:r>
      <w:r w:rsidR="005E0304">
        <w:t>4</w:t>
      </w:r>
      <w:r w:rsidR="00380994">
        <w:t>)</w:t>
      </w:r>
      <w:r w:rsidR="007823F9">
        <w:t xml:space="preserve">   </w:t>
      </w:r>
      <w:proofErr w:type="spellStart"/>
      <w:r w:rsidR="00FE0B39">
        <w:rPr>
          <w:rFonts w:ascii="Helvetica" w:hAnsi="Helvetica" w:cs="Helvetica"/>
          <w:color w:val="2E2B2B"/>
          <w:sz w:val="20"/>
          <w:szCs w:val="20"/>
          <w:shd w:val="clear" w:color="auto" w:fill="FFFFFF"/>
        </w:rPr>
        <w:t>doi</w:t>
      </w:r>
      <w:proofErr w:type="spellEnd"/>
      <w:r w:rsidR="00FE0B39">
        <w:rPr>
          <w:rFonts w:ascii="Helvetica" w:hAnsi="Helvetica" w:cs="Helvetica"/>
          <w:color w:val="2E2B2B"/>
          <w:sz w:val="20"/>
          <w:szCs w:val="20"/>
          <w:shd w:val="clear" w:color="auto" w:fill="FFFFFF"/>
        </w:rPr>
        <w:t>: 10.3899/jrheum.180989</w:t>
      </w:r>
    </w:p>
    <w:p w14:paraId="14BC3F6F" w14:textId="77777777" w:rsidR="007823F9" w:rsidRPr="007823F9" w:rsidRDefault="007823F9" w:rsidP="007823F9">
      <w:pPr>
        <w:pStyle w:val="ListParagraph"/>
        <w:spacing w:after="0" w:line="240" w:lineRule="auto"/>
        <w:ind w:left="0"/>
      </w:pPr>
    </w:p>
    <w:p w14:paraId="6719C22E" w14:textId="3236DB06" w:rsidR="00325C74" w:rsidRPr="00626394" w:rsidRDefault="0031267E" w:rsidP="00325C74">
      <w:r>
        <w:t>2</w:t>
      </w:r>
      <w:r w:rsidR="00325C74" w:rsidRPr="00626394">
        <w:t xml:space="preserve">. </w:t>
      </w:r>
      <w:proofErr w:type="spellStart"/>
      <w:r w:rsidR="00325C74" w:rsidRPr="00626394">
        <w:t>Janssens</w:t>
      </w:r>
      <w:proofErr w:type="spellEnd"/>
      <w:r w:rsidR="00325C74" w:rsidRPr="00626394">
        <w:t xml:space="preserve"> HJ, </w:t>
      </w:r>
      <w:proofErr w:type="spellStart"/>
      <w:r w:rsidR="00325C74" w:rsidRPr="00626394">
        <w:t>Fransen</w:t>
      </w:r>
      <w:proofErr w:type="spellEnd"/>
      <w:r w:rsidR="00325C74" w:rsidRPr="00626394">
        <w:t xml:space="preserve"> J, Riel P Van, </w:t>
      </w:r>
      <w:proofErr w:type="spellStart"/>
      <w:r w:rsidR="00325C74" w:rsidRPr="00626394">
        <w:t>Weel</w:t>
      </w:r>
      <w:proofErr w:type="spellEnd"/>
      <w:r w:rsidR="00325C74" w:rsidRPr="00626394">
        <w:t xml:space="preserve"> C Van. A Diagnostic Rule for Acute Gouty Arthritis in Primary Care Without Joint Fluid Analysis. Arch Intern Med 2010; 170(13):1120–6. </w:t>
      </w:r>
      <w:proofErr w:type="spellStart"/>
      <w:r w:rsidR="00090868">
        <w:t>doi</w:t>
      </w:r>
      <w:proofErr w:type="spellEnd"/>
      <w:r w:rsidR="00090868">
        <w:t xml:space="preserve">: </w:t>
      </w:r>
      <w:r w:rsidR="00090868" w:rsidRPr="00090868">
        <w:t>10.1001/archinternmed.2010.196</w:t>
      </w:r>
    </w:p>
    <w:p w14:paraId="10A352AC" w14:textId="1F0ED435" w:rsidR="00325C74" w:rsidRDefault="0031267E" w:rsidP="00325C74">
      <w:r>
        <w:t>3</w:t>
      </w:r>
      <w:r w:rsidR="00325C74" w:rsidRPr="00626394">
        <w:t xml:space="preserve">. Wallace SL, Robinson H, </w:t>
      </w:r>
      <w:proofErr w:type="spellStart"/>
      <w:r w:rsidR="00325C74" w:rsidRPr="00626394">
        <w:t>Masi</w:t>
      </w:r>
      <w:proofErr w:type="spellEnd"/>
      <w:r w:rsidR="00325C74" w:rsidRPr="00626394">
        <w:t xml:space="preserve"> AT, Decker JL, </w:t>
      </w:r>
      <w:proofErr w:type="spellStart"/>
      <w:r w:rsidR="00325C74" w:rsidRPr="00626394">
        <w:t>Mccarty</w:t>
      </w:r>
      <w:proofErr w:type="spellEnd"/>
      <w:r w:rsidR="00325C74" w:rsidRPr="00626394">
        <w:t xml:space="preserve"> DJ, Sai-fan TY. Preliminary criteria for the classification of the acute arthritis of primary gout. Arthritis Rheum 1977; 20(3):895–900.</w:t>
      </w:r>
      <w:r w:rsidR="00EB7740">
        <w:t xml:space="preserve"> d</w:t>
      </w:r>
      <w:r w:rsidR="00EB7740" w:rsidRPr="00EB7740">
        <w:t>oi</w:t>
      </w:r>
      <w:r w:rsidR="00EB7740">
        <w:t>:</w:t>
      </w:r>
      <w:r w:rsidR="00EB7740" w:rsidRPr="00EB7740">
        <w:t>10.1002/art.1780200320</w:t>
      </w:r>
    </w:p>
    <w:p w14:paraId="01ADD1D4" w14:textId="5612B8D7" w:rsidR="00325C74" w:rsidRDefault="0031267E" w:rsidP="00325C74">
      <w:r>
        <w:t>4</w:t>
      </w:r>
      <w:r w:rsidR="00325C74" w:rsidRPr="00626394">
        <w:t xml:space="preserve">. </w:t>
      </w:r>
      <w:proofErr w:type="spellStart"/>
      <w:r w:rsidR="00BC05C5">
        <w:t>Chandratre</w:t>
      </w:r>
      <w:proofErr w:type="spellEnd"/>
      <w:r w:rsidR="00BC05C5">
        <w:t xml:space="preserve"> P, </w:t>
      </w:r>
      <w:proofErr w:type="spellStart"/>
      <w:r w:rsidR="00BC05C5">
        <w:t>Mallen</w:t>
      </w:r>
      <w:proofErr w:type="spellEnd"/>
      <w:r w:rsidR="00BC05C5">
        <w:t xml:space="preserve"> C, Richardson J, Rome K, Bailey J, Gill R, et al. Prospective observational cohort study of Health</w:t>
      </w:r>
      <w:r w:rsidR="000323AA">
        <w:t xml:space="preserve"> Related Quality of Life (HRQOL), chronic foot problems and their determinants in gout: a research protocol.  BMC Musculoskeletal Disorders 2012; 13(219);</w:t>
      </w:r>
      <w:r w:rsidR="000323AA" w:rsidRPr="000323AA">
        <w:t xml:space="preserve"> </w:t>
      </w:r>
      <w:r w:rsidR="007823F9">
        <w:t xml:space="preserve">1-7 </w:t>
      </w:r>
      <w:r w:rsidR="000323AA" w:rsidRPr="000323AA">
        <w:t>doi</w:t>
      </w:r>
      <w:r w:rsidR="000323AA">
        <w:t>:</w:t>
      </w:r>
      <w:r w:rsidR="000323AA" w:rsidRPr="000323AA">
        <w:t>10.1186/1471-2474-13-219</w:t>
      </w:r>
    </w:p>
    <w:p w14:paraId="0A649F1F" w14:textId="7D7D3DC8" w:rsidR="0031267E" w:rsidRPr="00626394" w:rsidRDefault="00130C0C" w:rsidP="0031267E">
      <w:r>
        <w:t>5</w:t>
      </w:r>
      <w:r w:rsidR="0031267E" w:rsidRPr="00626394">
        <w:t xml:space="preserve">. Janssens HJ, Janssen M, van de </w:t>
      </w:r>
      <w:proofErr w:type="spellStart"/>
      <w:r w:rsidR="0031267E" w:rsidRPr="00626394">
        <w:t>Lisdonk</w:t>
      </w:r>
      <w:proofErr w:type="spellEnd"/>
      <w:r w:rsidR="0031267E" w:rsidRPr="00626394">
        <w:t xml:space="preserve"> EH, </w:t>
      </w:r>
      <w:proofErr w:type="spellStart"/>
      <w:r w:rsidR="0031267E" w:rsidRPr="00626394">
        <w:t>Fransen</w:t>
      </w:r>
      <w:proofErr w:type="spellEnd"/>
      <w:r w:rsidR="0031267E" w:rsidRPr="00626394">
        <w:t xml:space="preserve"> J, van Riel PLCM, van </w:t>
      </w:r>
      <w:proofErr w:type="spellStart"/>
      <w:r w:rsidR="0031267E" w:rsidRPr="00626394">
        <w:t>Weel</w:t>
      </w:r>
      <w:proofErr w:type="spellEnd"/>
      <w:r w:rsidR="0031267E" w:rsidRPr="00626394">
        <w:t xml:space="preserve"> C. The limited validity of the criteria of the American College of Rheumatology for classifying gout patients in primary care</w:t>
      </w:r>
      <w:r w:rsidR="008F580F">
        <w:t>.</w:t>
      </w:r>
      <w:r w:rsidR="0031267E" w:rsidRPr="00626394">
        <w:t xml:space="preserve"> Ann </w:t>
      </w:r>
      <w:proofErr w:type="spellStart"/>
      <w:r w:rsidR="0031267E" w:rsidRPr="00626394">
        <w:t>Reum</w:t>
      </w:r>
      <w:proofErr w:type="spellEnd"/>
      <w:r w:rsidR="0031267E" w:rsidRPr="00626394">
        <w:t xml:space="preserve"> Dis 2010; 69; 1255-56</w:t>
      </w:r>
      <w:r w:rsidR="0031267E">
        <w:t xml:space="preserve"> </w:t>
      </w:r>
      <w:r w:rsidR="0031267E" w:rsidRPr="00626394">
        <w:t>doi</w:t>
      </w:r>
      <w:r w:rsidR="0031267E">
        <w:t>:</w:t>
      </w:r>
      <w:r w:rsidR="0031267E" w:rsidRPr="00626394">
        <w:t>10.1136/ard.2009.123687</w:t>
      </w:r>
    </w:p>
    <w:p w14:paraId="45216D3E" w14:textId="7032DD23" w:rsidR="003543B2" w:rsidRPr="007823F9" w:rsidRDefault="00130C0C" w:rsidP="007823F9">
      <w:r>
        <w:t>6</w:t>
      </w:r>
      <w:r w:rsidR="0031267E">
        <w:t xml:space="preserve">. </w:t>
      </w:r>
      <w:proofErr w:type="spellStart"/>
      <w:r w:rsidR="0031267E">
        <w:t>Neogi</w:t>
      </w:r>
      <w:proofErr w:type="spellEnd"/>
      <w:r w:rsidR="0031267E">
        <w:t xml:space="preserve"> T, Jansen TLTA, </w:t>
      </w:r>
      <w:proofErr w:type="spellStart"/>
      <w:r w:rsidR="0031267E">
        <w:t>Dalbeth</w:t>
      </w:r>
      <w:proofErr w:type="spellEnd"/>
      <w:r w:rsidR="0031267E">
        <w:t xml:space="preserve"> N, </w:t>
      </w:r>
      <w:proofErr w:type="spellStart"/>
      <w:r w:rsidR="0031267E">
        <w:t>Fransen</w:t>
      </w:r>
      <w:proofErr w:type="spellEnd"/>
      <w:r w:rsidR="0031267E">
        <w:t xml:space="preserve"> J, Schumacher HR, Berendsen D, et al. Gout Classification Criteria An American College of </w:t>
      </w:r>
      <w:r w:rsidR="0031267E" w:rsidRPr="00626394">
        <w:t xml:space="preserve">Rheumatology / European League Against Rheumatism Collaborative Initiative. Arthritis </w:t>
      </w:r>
      <w:proofErr w:type="spellStart"/>
      <w:r w:rsidR="0031267E" w:rsidRPr="00626394">
        <w:t>Rheumatol</w:t>
      </w:r>
      <w:proofErr w:type="spellEnd"/>
      <w:r w:rsidR="0031267E" w:rsidRPr="00626394">
        <w:t xml:space="preserve"> 2015; 67(10):2557–68. </w:t>
      </w:r>
      <w:r w:rsidR="0031267E">
        <w:t>d</w:t>
      </w:r>
      <w:r w:rsidR="0031267E" w:rsidRPr="00090868">
        <w:t>oi</w:t>
      </w:r>
      <w:r w:rsidR="0031267E">
        <w:t>:</w:t>
      </w:r>
      <w:r w:rsidR="0031267E" w:rsidRPr="00090868">
        <w:t>10.1002/art.39254</w:t>
      </w:r>
    </w:p>
    <w:sectPr w:rsidR="003543B2" w:rsidRPr="007823F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C747D" w14:textId="77777777" w:rsidR="004A22CA" w:rsidRDefault="004A22CA" w:rsidP="004A22CA">
      <w:pPr>
        <w:spacing w:after="0" w:line="240" w:lineRule="auto"/>
      </w:pPr>
      <w:r>
        <w:separator/>
      </w:r>
    </w:p>
  </w:endnote>
  <w:endnote w:type="continuationSeparator" w:id="0">
    <w:p w14:paraId="045A77C5" w14:textId="77777777" w:rsidR="004A22CA" w:rsidRDefault="004A22CA" w:rsidP="004A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BEEF4" w14:textId="77777777" w:rsidR="004A22CA" w:rsidRDefault="004A22CA" w:rsidP="004A22CA">
      <w:pPr>
        <w:spacing w:after="0" w:line="240" w:lineRule="auto"/>
      </w:pPr>
      <w:r>
        <w:separator/>
      </w:r>
    </w:p>
  </w:footnote>
  <w:footnote w:type="continuationSeparator" w:id="0">
    <w:p w14:paraId="2272BED5" w14:textId="77777777" w:rsidR="004A22CA" w:rsidRDefault="004A22CA" w:rsidP="004A2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5FFB7" w14:textId="4D0C6AE1" w:rsidR="004A22CA" w:rsidRDefault="00222723">
    <w:pPr>
      <w:pStyle w:val="Header"/>
    </w:pPr>
    <w:r>
      <w:t>Gout Diagnosis</w:t>
    </w:r>
    <w:r w:rsidR="004A22CA">
      <w:t xml:space="preserve"> Primary Care</w:t>
    </w:r>
    <w:r w:rsidR="004A22CA">
      <w:tab/>
    </w:r>
    <w:r w:rsidR="004A22CA">
      <w:tab/>
    </w:r>
    <w:r w:rsidR="00D0793D">
      <w:t>Watson, Muller,</w:t>
    </w:r>
    <w:r w:rsidR="004A22CA">
      <w:t xml:space="preserve"> Roddy</w:t>
    </w:r>
  </w:p>
  <w:p w14:paraId="3F7797DA" w14:textId="77777777" w:rsidR="004A22CA" w:rsidRDefault="004A22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74979"/>
    <w:multiLevelType w:val="hybridMultilevel"/>
    <w:tmpl w:val="14DED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E2D26"/>
    <w:multiLevelType w:val="hybridMultilevel"/>
    <w:tmpl w:val="759A0D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58"/>
    <w:rsid w:val="00010F45"/>
    <w:rsid w:val="00011B05"/>
    <w:rsid w:val="0001475C"/>
    <w:rsid w:val="0001499E"/>
    <w:rsid w:val="0002731A"/>
    <w:rsid w:val="00031C11"/>
    <w:rsid w:val="00031CA4"/>
    <w:rsid w:val="000323AA"/>
    <w:rsid w:val="00037DE9"/>
    <w:rsid w:val="000459E3"/>
    <w:rsid w:val="00062DC1"/>
    <w:rsid w:val="000716BE"/>
    <w:rsid w:val="0008204F"/>
    <w:rsid w:val="00084D9C"/>
    <w:rsid w:val="00090868"/>
    <w:rsid w:val="000A12E4"/>
    <w:rsid w:val="000B1EFD"/>
    <w:rsid w:val="000C1F7F"/>
    <w:rsid w:val="000C261D"/>
    <w:rsid w:val="000D1481"/>
    <w:rsid w:val="000D2360"/>
    <w:rsid w:val="000D78A3"/>
    <w:rsid w:val="000F0925"/>
    <w:rsid w:val="000F0E6B"/>
    <w:rsid w:val="000F4F73"/>
    <w:rsid w:val="00105019"/>
    <w:rsid w:val="0010538C"/>
    <w:rsid w:val="00112B46"/>
    <w:rsid w:val="00117E22"/>
    <w:rsid w:val="00122318"/>
    <w:rsid w:val="001234DC"/>
    <w:rsid w:val="00130076"/>
    <w:rsid w:val="00130C0C"/>
    <w:rsid w:val="001339E8"/>
    <w:rsid w:val="00135623"/>
    <w:rsid w:val="00146181"/>
    <w:rsid w:val="00152136"/>
    <w:rsid w:val="00174B7E"/>
    <w:rsid w:val="001761A4"/>
    <w:rsid w:val="001A1EAB"/>
    <w:rsid w:val="001B085C"/>
    <w:rsid w:val="001B3661"/>
    <w:rsid w:val="001C39D4"/>
    <w:rsid w:val="001C7B8B"/>
    <w:rsid w:val="001D3E07"/>
    <w:rsid w:val="001D7290"/>
    <w:rsid w:val="001E5B9B"/>
    <w:rsid w:val="002114E0"/>
    <w:rsid w:val="00222723"/>
    <w:rsid w:val="00222EBD"/>
    <w:rsid w:val="00255B57"/>
    <w:rsid w:val="00257686"/>
    <w:rsid w:val="0026770A"/>
    <w:rsid w:val="00267E4F"/>
    <w:rsid w:val="00270C2F"/>
    <w:rsid w:val="00287DA8"/>
    <w:rsid w:val="00290CAD"/>
    <w:rsid w:val="002A1DA8"/>
    <w:rsid w:val="002A7D19"/>
    <w:rsid w:val="002B2CE7"/>
    <w:rsid w:val="002C56CC"/>
    <w:rsid w:val="002D6E3C"/>
    <w:rsid w:val="002D74C3"/>
    <w:rsid w:val="002E1177"/>
    <w:rsid w:val="002F66D2"/>
    <w:rsid w:val="0031267E"/>
    <w:rsid w:val="0031345D"/>
    <w:rsid w:val="00315C05"/>
    <w:rsid w:val="003222A3"/>
    <w:rsid w:val="00325C74"/>
    <w:rsid w:val="00326A25"/>
    <w:rsid w:val="00333353"/>
    <w:rsid w:val="0033459E"/>
    <w:rsid w:val="00335C00"/>
    <w:rsid w:val="003509D3"/>
    <w:rsid w:val="003510CF"/>
    <w:rsid w:val="003543B2"/>
    <w:rsid w:val="0035457A"/>
    <w:rsid w:val="00363139"/>
    <w:rsid w:val="00370F7F"/>
    <w:rsid w:val="00380994"/>
    <w:rsid w:val="00384CDD"/>
    <w:rsid w:val="003854D5"/>
    <w:rsid w:val="00391C2D"/>
    <w:rsid w:val="0039266C"/>
    <w:rsid w:val="003A06BA"/>
    <w:rsid w:val="003B26A0"/>
    <w:rsid w:val="003B5DD6"/>
    <w:rsid w:val="003B5F9A"/>
    <w:rsid w:val="003C1E1A"/>
    <w:rsid w:val="003D24D2"/>
    <w:rsid w:val="003D540B"/>
    <w:rsid w:val="003D6B14"/>
    <w:rsid w:val="003D796E"/>
    <w:rsid w:val="003E0418"/>
    <w:rsid w:val="003F397B"/>
    <w:rsid w:val="00411E21"/>
    <w:rsid w:val="00412316"/>
    <w:rsid w:val="00413683"/>
    <w:rsid w:val="00415D20"/>
    <w:rsid w:val="004200AF"/>
    <w:rsid w:val="00435C66"/>
    <w:rsid w:val="00455181"/>
    <w:rsid w:val="00462A45"/>
    <w:rsid w:val="004716F0"/>
    <w:rsid w:val="00477AD7"/>
    <w:rsid w:val="00484A37"/>
    <w:rsid w:val="00494829"/>
    <w:rsid w:val="00496538"/>
    <w:rsid w:val="004A216A"/>
    <w:rsid w:val="004A22CA"/>
    <w:rsid w:val="004C2AF1"/>
    <w:rsid w:val="004C7992"/>
    <w:rsid w:val="004D1BEB"/>
    <w:rsid w:val="0050538B"/>
    <w:rsid w:val="005172A1"/>
    <w:rsid w:val="00544E9D"/>
    <w:rsid w:val="0054766A"/>
    <w:rsid w:val="005625A9"/>
    <w:rsid w:val="005640C2"/>
    <w:rsid w:val="0057219E"/>
    <w:rsid w:val="00581EE1"/>
    <w:rsid w:val="00582071"/>
    <w:rsid w:val="005868C4"/>
    <w:rsid w:val="00587051"/>
    <w:rsid w:val="00591D0C"/>
    <w:rsid w:val="005A1DB3"/>
    <w:rsid w:val="005A3CC9"/>
    <w:rsid w:val="005B49DA"/>
    <w:rsid w:val="005C6EE8"/>
    <w:rsid w:val="005D03E4"/>
    <w:rsid w:val="005D7084"/>
    <w:rsid w:val="005E0304"/>
    <w:rsid w:val="005E60CB"/>
    <w:rsid w:val="005F5853"/>
    <w:rsid w:val="00600110"/>
    <w:rsid w:val="00614B80"/>
    <w:rsid w:val="006251FB"/>
    <w:rsid w:val="00626394"/>
    <w:rsid w:val="00636140"/>
    <w:rsid w:val="0064174B"/>
    <w:rsid w:val="00643E32"/>
    <w:rsid w:val="00646FCA"/>
    <w:rsid w:val="00647BC3"/>
    <w:rsid w:val="006607FB"/>
    <w:rsid w:val="0066238A"/>
    <w:rsid w:val="00673501"/>
    <w:rsid w:val="00674929"/>
    <w:rsid w:val="00681107"/>
    <w:rsid w:val="006931F5"/>
    <w:rsid w:val="006938E9"/>
    <w:rsid w:val="006A612F"/>
    <w:rsid w:val="006B2881"/>
    <w:rsid w:val="006B2F0A"/>
    <w:rsid w:val="006B347D"/>
    <w:rsid w:val="006B7DC3"/>
    <w:rsid w:val="006C51BB"/>
    <w:rsid w:val="006C5E2F"/>
    <w:rsid w:val="006C60CC"/>
    <w:rsid w:val="006D4B69"/>
    <w:rsid w:val="006F0CDB"/>
    <w:rsid w:val="006F2E11"/>
    <w:rsid w:val="007057B4"/>
    <w:rsid w:val="0071561F"/>
    <w:rsid w:val="00724F7C"/>
    <w:rsid w:val="007275B7"/>
    <w:rsid w:val="007311D7"/>
    <w:rsid w:val="007410F7"/>
    <w:rsid w:val="00743397"/>
    <w:rsid w:val="00746009"/>
    <w:rsid w:val="00772EB2"/>
    <w:rsid w:val="007805C5"/>
    <w:rsid w:val="007808C1"/>
    <w:rsid w:val="007823F9"/>
    <w:rsid w:val="00792D14"/>
    <w:rsid w:val="00797EC7"/>
    <w:rsid w:val="007A4197"/>
    <w:rsid w:val="007A64BE"/>
    <w:rsid w:val="007B05AC"/>
    <w:rsid w:val="007B1CF2"/>
    <w:rsid w:val="007B2195"/>
    <w:rsid w:val="007B3910"/>
    <w:rsid w:val="007C732B"/>
    <w:rsid w:val="007D0BED"/>
    <w:rsid w:val="007D3EC9"/>
    <w:rsid w:val="007D54AB"/>
    <w:rsid w:val="007E27AE"/>
    <w:rsid w:val="008004CE"/>
    <w:rsid w:val="00800C58"/>
    <w:rsid w:val="008148C5"/>
    <w:rsid w:val="00822121"/>
    <w:rsid w:val="00822305"/>
    <w:rsid w:val="00824BDE"/>
    <w:rsid w:val="00825034"/>
    <w:rsid w:val="0082690D"/>
    <w:rsid w:val="00830BE1"/>
    <w:rsid w:val="00855F85"/>
    <w:rsid w:val="008570D5"/>
    <w:rsid w:val="00861BA6"/>
    <w:rsid w:val="00897F32"/>
    <w:rsid w:val="008B0908"/>
    <w:rsid w:val="008B1BC8"/>
    <w:rsid w:val="008C1507"/>
    <w:rsid w:val="008C1B9B"/>
    <w:rsid w:val="008C4B64"/>
    <w:rsid w:val="008C79C7"/>
    <w:rsid w:val="008D0693"/>
    <w:rsid w:val="008D2A1B"/>
    <w:rsid w:val="008E618C"/>
    <w:rsid w:val="008E765D"/>
    <w:rsid w:val="008F0042"/>
    <w:rsid w:val="008F0F44"/>
    <w:rsid w:val="008F580F"/>
    <w:rsid w:val="0090351C"/>
    <w:rsid w:val="00916282"/>
    <w:rsid w:val="009228F2"/>
    <w:rsid w:val="00924BD7"/>
    <w:rsid w:val="00932B4C"/>
    <w:rsid w:val="00937EAB"/>
    <w:rsid w:val="00947578"/>
    <w:rsid w:val="009476F7"/>
    <w:rsid w:val="009517FC"/>
    <w:rsid w:val="009614C6"/>
    <w:rsid w:val="0096174E"/>
    <w:rsid w:val="00963652"/>
    <w:rsid w:val="00972D76"/>
    <w:rsid w:val="00980621"/>
    <w:rsid w:val="00993D1B"/>
    <w:rsid w:val="009945D7"/>
    <w:rsid w:val="009947F6"/>
    <w:rsid w:val="009A3B4E"/>
    <w:rsid w:val="009A3BB6"/>
    <w:rsid w:val="009A6A6E"/>
    <w:rsid w:val="009B0B49"/>
    <w:rsid w:val="009B11BB"/>
    <w:rsid w:val="009B3A74"/>
    <w:rsid w:val="009C3685"/>
    <w:rsid w:val="009C5ADD"/>
    <w:rsid w:val="009C675B"/>
    <w:rsid w:val="009C7543"/>
    <w:rsid w:val="009C7D50"/>
    <w:rsid w:val="009D28B7"/>
    <w:rsid w:val="009D65D3"/>
    <w:rsid w:val="009F111D"/>
    <w:rsid w:val="009F6864"/>
    <w:rsid w:val="009F75D5"/>
    <w:rsid w:val="00A0473B"/>
    <w:rsid w:val="00A05359"/>
    <w:rsid w:val="00A078EC"/>
    <w:rsid w:val="00A07EEE"/>
    <w:rsid w:val="00A161C8"/>
    <w:rsid w:val="00A20A6E"/>
    <w:rsid w:val="00A3132A"/>
    <w:rsid w:val="00A42BE9"/>
    <w:rsid w:val="00A50297"/>
    <w:rsid w:val="00A52810"/>
    <w:rsid w:val="00A53E96"/>
    <w:rsid w:val="00A64D8B"/>
    <w:rsid w:val="00A66803"/>
    <w:rsid w:val="00A75C46"/>
    <w:rsid w:val="00A833FA"/>
    <w:rsid w:val="00A83CA7"/>
    <w:rsid w:val="00A90AC4"/>
    <w:rsid w:val="00A94A72"/>
    <w:rsid w:val="00AB30A6"/>
    <w:rsid w:val="00AC6273"/>
    <w:rsid w:val="00AD3A8B"/>
    <w:rsid w:val="00AD4A4F"/>
    <w:rsid w:val="00AE1E6A"/>
    <w:rsid w:val="00AE2509"/>
    <w:rsid w:val="00AF4845"/>
    <w:rsid w:val="00B05D85"/>
    <w:rsid w:val="00B17A43"/>
    <w:rsid w:val="00B21C07"/>
    <w:rsid w:val="00B24EA1"/>
    <w:rsid w:val="00B2597F"/>
    <w:rsid w:val="00B313F5"/>
    <w:rsid w:val="00B331AB"/>
    <w:rsid w:val="00B432E4"/>
    <w:rsid w:val="00B44670"/>
    <w:rsid w:val="00B5523E"/>
    <w:rsid w:val="00B5559B"/>
    <w:rsid w:val="00B575B6"/>
    <w:rsid w:val="00B72333"/>
    <w:rsid w:val="00B74CC7"/>
    <w:rsid w:val="00B82F31"/>
    <w:rsid w:val="00B845F0"/>
    <w:rsid w:val="00BA0E68"/>
    <w:rsid w:val="00BA15D1"/>
    <w:rsid w:val="00BC01AB"/>
    <w:rsid w:val="00BC05C5"/>
    <w:rsid w:val="00BC0E7D"/>
    <w:rsid w:val="00BC6926"/>
    <w:rsid w:val="00BE4A8A"/>
    <w:rsid w:val="00BE6ECD"/>
    <w:rsid w:val="00BF6FAE"/>
    <w:rsid w:val="00C01E76"/>
    <w:rsid w:val="00C160A8"/>
    <w:rsid w:val="00C3768B"/>
    <w:rsid w:val="00C435FC"/>
    <w:rsid w:val="00C440B6"/>
    <w:rsid w:val="00C50C5D"/>
    <w:rsid w:val="00C57949"/>
    <w:rsid w:val="00C57FD7"/>
    <w:rsid w:val="00C62FA4"/>
    <w:rsid w:val="00C64755"/>
    <w:rsid w:val="00C662AE"/>
    <w:rsid w:val="00C71ADA"/>
    <w:rsid w:val="00C80959"/>
    <w:rsid w:val="00C91F33"/>
    <w:rsid w:val="00CA71A2"/>
    <w:rsid w:val="00CB09CC"/>
    <w:rsid w:val="00CB0D6E"/>
    <w:rsid w:val="00CB4FE3"/>
    <w:rsid w:val="00CD4033"/>
    <w:rsid w:val="00CD5033"/>
    <w:rsid w:val="00CE0CEC"/>
    <w:rsid w:val="00CE5B8D"/>
    <w:rsid w:val="00D0793D"/>
    <w:rsid w:val="00D22006"/>
    <w:rsid w:val="00D22A02"/>
    <w:rsid w:val="00D26C46"/>
    <w:rsid w:val="00D428E2"/>
    <w:rsid w:val="00D52309"/>
    <w:rsid w:val="00D6551E"/>
    <w:rsid w:val="00D66806"/>
    <w:rsid w:val="00D90282"/>
    <w:rsid w:val="00D94FA3"/>
    <w:rsid w:val="00DA2800"/>
    <w:rsid w:val="00DA4FB1"/>
    <w:rsid w:val="00DA5AD4"/>
    <w:rsid w:val="00DC0D73"/>
    <w:rsid w:val="00DC2211"/>
    <w:rsid w:val="00DC3175"/>
    <w:rsid w:val="00DD66DA"/>
    <w:rsid w:val="00E0484E"/>
    <w:rsid w:val="00E07A66"/>
    <w:rsid w:val="00E50D49"/>
    <w:rsid w:val="00E63BA8"/>
    <w:rsid w:val="00E7315F"/>
    <w:rsid w:val="00E7686D"/>
    <w:rsid w:val="00EA2BA0"/>
    <w:rsid w:val="00EB16ED"/>
    <w:rsid w:val="00EB5EC0"/>
    <w:rsid w:val="00EB7740"/>
    <w:rsid w:val="00EC2FCA"/>
    <w:rsid w:val="00EC32B1"/>
    <w:rsid w:val="00ED0BB8"/>
    <w:rsid w:val="00ED0C83"/>
    <w:rsid w:val="00ED6280"/>
    <w:rsid w:val="00EF4089"/>
    <w:rsid w:val="00EF4BCC"/>
    <w:rsid w:val="00EF634F"/>
    <w:rsid w:val="00EF6D6B"/>
    <w:rsid w:val="00F04106"/>
    <w:rsid w:val="00F10764"/>
    <w:rsid w:val="00F13955"/>
    <w:rsid w:val="00F15303"/>
    <w:rsid w:val="00F22606"/>
    <w:rsid w:val="00F24A85"/>
    <w:rsid w:val="00F25111"/>
    <w:rsid w:val="00F44B58"/>
    <w:rsid w:val="00F52780"/>
    <w:rsid w:val="00F66495"/>
    <w:rsid w:val="00F71127"/>
    <w:rsid w:val="00F76089"/>
    <w:rsid w:val="00F775A9"/>
    <w:rsid w:val="00F80273"/>
    <w:rsid w:val="00F83718"/>
    <w:rsid w:val="00F900F6"/>
    <w:rsid w:val="00F918A4"/>
    <w:rsid w:val="00F95B17"/>
    <w:rsid w:val="00FA0815"/>
    <w:rsid w:val="00FA0E6F"/>
    <w:rsid w:val="00FA12F8"/>
    <w:rsid w:val="00FA1643"/>
    <w:rsid w:val="00FA5E83"/>
    <w:rsid w:val="00FA663E"/>
    <w:rsid w:val="00FA7AD8"/>
    <w:rsid w:val="00FB69F1"/>
    <w:rsid w:val="00FC1C0E"/>
    <w:rsid w:val="00FE0B39"/>
    <w:rsid w:val="00FE2B06"/>
    <w:rsid w:val="00FE61D0"/>
    <w:rsid w:val="00FF004C"/>
    <w:rsid w:val="00FF0F95"/>
    <w:rsid w:val="00FF2551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4DF09"/>
  <w15:chartTrackingRefBased/>
  <w15:docId w15:val="{C0833F07-8FB1-41B0-9D56-24E2613F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D65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5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5D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5D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5C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288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288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4A85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F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F9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A22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CA"/>
  </w:style>
  <w:style w:type="paragraph" w:styleId="Footer">
    <w:name w:val="footer"/>
    <w:basedOn w:val="Normal"/>
    <w:link w:val="FooterChar"/>
    <w:uiPriority w:val="99"/>
    <w:unhideWhenUsed/>
    <w:rsid w:val="004A22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39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0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6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C1CE49E8.dotm</Template>
  <TotalTime>0</TotalTime>
  <Pages>4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Primary Care Sciences</Company>
  <LinksUpToDate>false</LinksUpToDate>
  <CharactersWithSpaces>7450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Watson</dc:creator>
  <cp:keywords/>
  <dc:description/>
  <cp:lastModifiedBy>Lorraine Watson</cp:lastModifiedBy>
  <cp:revision>2</cp:revision>
  <dcterms:created xsi:type="dcterms:W3CDTF">2019-04-29T16:50:00Z</dcterms:created>
  <dcterms:modified xsi:type="dcterms:W3CDTF">2019-04-29T16:50:00Z</dcterms:modified>
</cp:coreProperties>
</file>