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5DF7" w14:textId="6A70D3DC" w:rsidR="005A0F3B" w:rsidRDefault="006E6AE8" w:rsidP="00A95CA4">
      <w:pPr>
        <w:ind w:left="-142"/>
        <w:jc w:val="center"/>
        <w:outlineLvl w:val="0"/>
        <w:rPr>
          <w:sz w:val="22"/>
          <w:szCs w:val="22"/>
        </w:rPr>
      </w:pPr>
      <w:r w:rsidRPr="00C062C4">
        <w:rPr>
          <w:sz w:val="22"/>
          <w:szCs w:val="22"/>
        </w:rPr>
        <w:t xml:space="preserve">Table 1. </w:t>
      </w:r>
      <w:r w:rsidR="005B2D40" w:rsidRPr="00C062C4">
        <w:rPr>
          <w:sz w:val="22"/>
          <w:szCs w:val="22"/>
        </w:rPr>
        <w:t xml:space="preserve">Patient characteristics </w:t>
      </w:r>
      <w:r w:rsidR="00145E23" w:rsidRPr="00C062C4">
        <w:rPr>
          <w:sz w:val="22"/>
          <w:szCs w:val="22"/>
        </w:rPr>
        <w:t>of study groups</w:t>
      </w:r>
    </w:p>
    <w:p w14:paraId="057C9457" w14:textId="77777777" w:rsidR="00A95CA4" w:rsidRPr="00C062C4" w:rsidRDefault="00A95CA4" w:rsidP="00A95CA4">
      <w:pPr>
        <w:ind w:left="-142"/>
        <w:jc w:val="center"/>
        <w:outlineLvl w:val="0"/>
        <w:rPr>
          <w:sz w:val="22"/>
          <w:szCs w:val="22"/>
        </w:rPr>
      </w:pPr>
    </w:p>
    <w:tbl>
      <w:tblPr>
        <w:tblStyle w:val="TableGridLight1"/>
        <w:tblW w:w="13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001"/>
        <w:gridCol w:w="2410"/>
        <w:gridCol w:w="2410"/>
        <w:gridCol w:w="2410"/>
      </w:tblGrid>
      <w:tr w:rsidR="006E6AE8" w:rsidRPr="00DB5B8A" w14:paraId="154EEEE2" w14:textId="77777777" w:rsidTr="00E50DB4">
        <w:trPr>
          <w:trHeight w:val="283"/>
          <w:tblHeader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AAC45" w14:textId="216D79FD" w:rsidR="005A0F3B" w:rsidRPr="00DB5B8A" w:rsidRDefault="002A5391" w:rsidP="006C712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Variable/Group (</w:t>
            </w:r>
            <w:r w:rsidR="00881C80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%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F76E2" w14:textId="27317D99" w:rsidR="003A39F2" w:rsidRPr="00DB5B8A" w:rsidRDefault="002620CF" w:rsidP="006C712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Offsite CS</w:t>
            </w:r>
          </w:p>
          <w:p w14:paraId="6E308F32" w14:textId="0129F00A" w:rsidR="00AF1E9D" w:rsidRPr="00DB5B8A" w:rsidRDefault="00122EF7" w:rsidP="006C712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C868C8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12.7</w:t>
            </w:r>
            <w:r w:rsidR="0024545F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25BDC" w14:textId="6E7D44E9" w:rsidR="003A39F2" w:rsidRPr="00DB5B8A" w:rsidRDefault="002620CF" w:rsidP="006C712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Onsite CS</w:t>
            </w:r>
          </w:p>
          <w:p w14:paraId="07BAF9F1" w14:textId="5D274801" w:rsidR="00AF1E9D" w:rsidRPr="00DB5B8A" w:rsidRDefault="006C7129" w:rsidP="00122EF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C868C8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87.3</w:t>
            </w:r>
            <w:r w:rsidR="0024545F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6F83F" w14:textId="01BAEE97" w:rsidR="002A5391" w:rsidRPr="00DB5B8A" w:rsidRDefault="001C6EA2" w:rsidP="002454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E3B8A" w14:textId="77777777" w:rsidR="003A39F2" w:rsidRPr="00DB5B8A" w:rsidRDefault="001C6EA2" w:rsidP="006C712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p-value</w:t>
            </w:r>
          </w:p>
        </w:tc>
      </w:tr>
      <w:tr w:rsidR="0024545F" w:rsidRPr="00DB5B8A" w14:paraId="6EF4415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35B0C80E" w14:textId="6EEAE9E1" w:rsidR="0024545F" w:rsidRPr="00DB5B8A" w:rsidRDefault="0024545F" w:rsidP="006C712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weighted discharges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14:paraId="59F795AE" w14:textId="3168CD54" w:rsidR="0024545F" w:rsidRPr="00DB5B8A" w:rsidRDefault="00F1202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29134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A3610D3" w14:textId="6DA0F738" w:rsidR="00C868C8" w:rsidRPr="00DB5B8A" w:rsidRDefault="00F1202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192472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730359C" w14:textId="493D7713" w:rsidR="0024545F" w:rsidRPr="00DB5B8A" w:rsidRDefault="00F1202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221606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857C08" w14:textId="3F53D34B" w:rsidR="0024545F" w:rsidRPr="00DB5B8A" w:rsidRDefault="0024545F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C7129" w:rsidRPr="00DB5B8A" w14:paraId="37CF65E2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02F0E19" w14:textId="77777777" w:rsidR="006C7129" w:rsidRPr="00DB5B8A" w:rsidRDefault="006C7129" w:rsidP="006C712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Age (years), median (IQR)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14:paraId="783C9F2F" w14:textId="7909635F" w:rsidR="006C7129" w:rsidRPr="00DB5B8A" w:rsidRDefault="00F1202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78</w:t>
            </w:r>
            <w:r w:rsidR="00C868C8" w:rsidRPr="00DB5B8A">
              <w:rPr>
                <w:rFonts w:asciiTheme="majorBidi" w:hAnsiTheme="majorBidi" w:cstheme="majorBidi"/>
                <w:sz w:val="22"/>
                <w:szCs w:val="22"/>
              </w:rPr>
              <w:t xml:space="preserve"> (67,84)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B3C090" w14:textId="09FC0CB9" w:rsidR="006C7129" w:rsidRPr="00DB5B8A" w:rsidRDefault="00C868C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72 (60,80)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2EF4322" w14:textId="1331266B" w:rsidR="006C7129" w:rsidRPr="00DB5B8A" w:rsidRDefault="00F1202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72 (61,81)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FEF3BA1" w14:textId="21A2FB1B" w:rsidR="006C7129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6504E" w:rsidRPr="00DB5B8A" w14:paraId="2F920A58" w14:textId="77777777" w:rsidTr="00E50DB4">
        <w:trPr>
          <w:trHeight w:val="283"/>
        </w:trPr>
        <w:tc>
          <w:tcPr>
            <w:tcW w:w="4219" w:type="dxa"/>
            <w:vAlign w:val="center"/>
          </w:tcPr>
          <w:p w14:paraId="2A845323" w14:textId="6896D916" w:rsidR="0026504E" w:rsidRPr="00DB5B8A" w:rsidRDefault="0026504E" w:rsidP="0026504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0" w:name="_Hlk512955716"/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Males, </w:t>
            </w:r>
            <w:r w:rsidR="00DF43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001" w:type="dxa"/>
            <w:vAlign w:val="center"/>
          </w:tcPr>
          <w:p w14:paraId="31763CDC" w14:textId="4D8D3684" w:rsidR="0026504E" w:rsidRPr="00DB5B8A" w:rsidRDefault="007D2FE2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51.1</w:t>
            </w:r>
          </w:p>
        </w:tc>
        <w:tc>
          <w:tcPr>
            <w:tcW w:w="2410" w:type="dxa"/>
            <w:vAlign w:val="center"/>
          </w:tcPr>
          <w:p w14:paraId="200980EA" w14:textId="3D714676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60.4</w:t>
            </w:r>
          </w:p>
        </w:tc>
        <w:tc>
          <w:tcPr>
            <w:tcW w:w="2410" w:type="dxa"/>
            <w:vAlign w:val="center"/>
          </w:tcPr>
          <w:p w14:paraId="27A3654E" w14:textId="3DA8F4E9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59.2</w:t>
            </w:r>
          </w:p>
        </w:tc>
        <w:tc>
          <w:tcPr>
            <w:tcW w:w="2410" w:type="dxa"/>
            <w:vAlign w:val="center"/>
          </w:tcPr>
          <w:p w14:paraId="42722213" w14:textId="44883B98" w:rsidR="0026504E" w:rsidRPr="00DB5B8A" w:rsidRDefault="00DF4365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bookmarkEnd w:id="0"/>
      <w:tr w:rsidR="00AE0F59" w:rsidRPr="00DB5B8A" w14:paraId="2A105B12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B8FE30" w14:textId="3B48242A" w:rsidR="00AE0F59" w:rsidRPr="00DB5B8A" w:rsidRDefault="00AE0F59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Ethnicity,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FFC4F54" w14:textId="77777777" w:rsidR="00AE0F59" w:rsidRPr="00DB5B8A" w:rsidRDefault="00AE0F59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D7C25D4" w14:textId="77777777" w:rsidR="00AE0F59" w:rsidRPr="00DB5B8A" w:rsidRDefault="00AE0F59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EC40777" w14:textId="77777777" w:rsidR="00AE0F59" w:rsidRPr="00DB5B8A" w:rsidRDefault="00AE0F59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15F24B7" w14:textId="5A8E67FB" w:rsidR="00AE0F59" w:rsidRPr="00DB5B8A" w:rsidRDefault="00AE0F59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383D78" w:rsidRPr="00DB5B8A" w14:paraId="10A24689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C563C02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48EBE7" w14:textId="52DEBE06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80.2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F8EA1DC" w14:textId="462CC2DF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78.0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E43D75" w14:textId="15C85288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78.3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8167563" w14:textId="5F391CC6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3A8865D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78BB14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Black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ADC8C7" w14:textId="3CB04F4B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FC6450" w14:textId="3E3CC4EC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A1522A" w14:textId="4112F49D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D9EDE5" w14:textId="2D11CE05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281EB2B0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B71E41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Hispanic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106BD9" w14:textId="00439B7A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061B35" w14:textId="3C5B5864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4E7CA6" w14:textId="0F3EF046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10AF37" w14:textId="1F19537C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143926F9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B9DE62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Asian/Pacific Islander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952447" w14:textId="6B7846DE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9D86FF" w14:textId="175AD92F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5097E3" w14:textId="7C945A9C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DFC299" w14:textId="29A48255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0011354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98EB8E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Native American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91A344" w14:textId="3DB53327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314B22" w14:textId="134AA649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1C329E" w14:textId="626500D1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CE9404" w14:textId="2728B8E4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05761F4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356D69" w14:textId="5B792072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B32AB7" w14:textId="51B23C03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A803B" w14:textId="31D9F990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96116F" w14:textId="57DD2C5D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277310" w14:textId="6049DDA4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6504E" w:rsidRPr="00DB5B8A" w14:paraId="5DB390F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1F9BC755" w14:textId="77777777" w:rsidR="0026504E" w:rsidRPr="00DB5B8A" w:rsidRDefault="0026504E" w:rsidP="0026504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Elective Admission</w:t>
            </w: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14:paraId="363AD31C" w14:textId="2AE5EC98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9C19ABD" w14:textId="297A41C3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39.3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359F5A9" w14:textId="67AB80B5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38.5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D324CA8" w14:textId="5D99B864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6504E" w:rsidRPr="00DB5B8A" w14:paraId="1E752500" w14:textId="77777777" w:rsidTr="00E50DB4">
        <w:trPr>
          <w:trHeight w:val="283"/>
        </w:trPr>
        <w:tc>
          <w:tcPr>
            <w:tcW w:w="4219" w:type="dxa"/>
            <w:vAlign w:val="center"/>
          </w:tcPr>
          <w:p w14:paraId="4CCD1598" w14:textId="77777777" w:rsidR="0026504E" w:rsidRPr="00DB5B8A" w:rsidRDefault="0026504E" w:rsidP="0026504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Weekend admission</w:t>
            </w:r>
          </w:p>
        </w:tc>
        <w:tc>
          <w:tcPr>
            <w:tcW w:w="2001" w:type="dxa"/>
            <w:vAlign w:val="center"/>
          </w:tcPr>
          <w:p w14:paraId="72C23518" w14:textId="042C19C9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2410" w:type="dxa"/>
            <w:vAlign w:val="center"/>
          </w:tcPr>
          <w:p w14:paraId="1F7BC17F" w14:textId="52399EBF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2410" w:type="dxa"/>
            <w:vAlign w:val="center"/>
          </w:tcPr>
          <w:p w14:paraId="69BAEEA4" w14:textId="39758F9F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2410" w:type="dxa"/>
            <w:vAlign w:val="center"/>
          </w:tcPr>
          <w:p w14:paraId="4361EAAF" w14:textId="6D43B3EF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6504E" w:rsidRPr="00DB5B8A" w14:paraId="5F965FB9" w14:textId="77777777" w:rsidTr="00E50DB4">
        <w:trPr>
          <w:trHeight w:val="283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0F193A48" w14:textId="49187934" w:rsidR="0026504E" w:rsidRPr="00DB5B8A" w:rsidRDefault="0026504E" w:rsidP="0026504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Primary expected payer, %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55DDA85B" w14:textId="77777777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390A0D9" w14:textId="77777777" w:rsidR="0026504E" w:rsidRPr="000D4B2C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776CFD" w14:textId="77777777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69CFCAD" w14:textId="595ACF55" w:rsidR="0026504E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383D78" w:rsidRPr="00DB5B8A" w14:paraId="5EC78A1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6E3251C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Medicare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3136209" w14:textId="57C30440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78.2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9A4DC52" w14:textId="6503A44D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70.2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4A502BD" w14:textId="6E13A7DE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71.3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966FB67" w14:textId="76524B34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7E980B7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096EDF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Medicaid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EF24AD" w14:textId="6F86E2C3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5EB526" w14:textId="4FBB71A5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584467" w14:textId="031BD914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44F5D6" w14:textId="4E1BEF0B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40F2212C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FC2C85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Private Insurance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44B9F7" w14:textId="24B6590A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9F15CB" w14:textId="47C0EFC7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13D726" w14:textId="6E2B7A11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31B4CE" w14:textId="20AE5B3B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55826E68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EF62C3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Self-pay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AC9B26" w14:textId="02829467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C8BF25" w14:textId="0BA6AB24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59CD13" w14:textId="14F6D6BD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1D3B8D" w14:textId="5BEE9EEE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38BFECC4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D271FD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 charge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6BA119" w14:textId="6683D6A2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F0FF9AC" w14:textId="47D9DAAB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EA212A" w14:textId="5C98CE2D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070E64" w14:textId="6C53E8A6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757109AD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5EAFE42" w14:textId="6EB56B76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2908C4" w14:textId="6ACDECED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41F210" w14:textId="464B0A60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4F025C2" w14:textId="6D2A730E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BE54411" w14:textId="6A11207D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4257B" w:rsidRPr="00DB5B8A" w14:paraId="6D6A30F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D3952" w14:textId="49693BE2" w:rsidR="00B4257B" w:rsidRPr="00DB5B8A" w:rsidRDefault="00B4257B" w:rsidP="00B4257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Median Household Income (</w:t>
            </w:r>
            <w:r w:rsidR="00A72B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ercentile),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CC1DA" w14:textId="77777777" w:rsidR="00B4257B" w:rsidRPr="000D4B2C" w:rsidRDefault="00B4257B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9179" w14:textId="77777777" w:rsidR="00B4257B" w:rsidRPr="000D4B2C" w:rsidRDefault="00B4257B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C187" w14:textId="77777777" w:rsidR="00B4257B" w:rsidRPr="00DB5B8A" w:rsidRDefault="00B4257B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011B" w14:textId="0BD0E54C" w:rsidR="00B4257B" w:rsidRPr="00DB5B8A" w:rsidRDefault="0026504E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383D78" w:rsidRPr="00DB5B8A" w14:paraId="128B4821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DE55600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0-25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2210D34" w14:textId="79073C67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9043724" w14:textId="33D67B75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28.1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1C44336" w14:textId="108CD0B5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1534503" w14:textId="65162412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43D0278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5ACAC5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26-50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A21A48F" w14:textId="3BCDA452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7B2D63E" w14:textId="41FA2126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D1EFA0" w14:textId="052F6389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E2A491" w14:textId="1D72A121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56DEE50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389C34F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51-75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7166FEF" w14:textId="25A52272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22.3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D1138B" w14:textId="2D196310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E78EBE" w14:textId="060A1F98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23.9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5BE14B" w14:textId="519C399E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83D78" w:rsidRPr="00DB5B8A" w14:paraId="13A7414E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004C470" w14:textId="77777777" w:rsidR="00383D78" w:rsidRPr="00DB5B8A" w:rsidRDefault="00383D78" w:rsidP="00383D7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76-100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1F0CB71" w14:textId="4B273FF6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28.2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DB95DDB" w14:textId="3B650263" w:rsidR="00383D78" w:rsidRPr="000D4B2C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B52700E" w14:textId="4D6AACC3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22.6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A1863B" w14:textId="715B38F0" w:rsidR="00383D78" w:rsidRPr="00DB5B8A" w:rsidRDefault="00383D78" w:rsidP="00CF5D4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3B22783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CF68" w14:textId="2B8F5A8B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ICD in situ,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78F11" w14:textId="6D911C4C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4130" w14:textId="341269B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A940" w14:textId="5E89FC29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EDBC8" w14:textId="04327B6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E3FEBC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C74B7" w14:textId="01A6D760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Cardiac Arrest,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65438" w14:textId="5B25C377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A39C" w14:textId="32888BB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68B83" w14:textId="1072849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2F362" w14:textId="6A9085A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6D1E10F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72C6" w14:textId="54A05416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entricular 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achycardia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F864" w14:textId="52C898BA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BB5D" w14:textId="233139F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6D0FB" w14:textId="14546C5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BD9C5" w14:textId="4564C9F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21CEF4A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3B6F8" w14:textId="652205E9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entricular 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ibrillation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326A" w14:textId="7497F20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030B" w14:textId="2C0DA9A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7A49F" w14:textId="05CD324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349B1" w14:textId="46A5B2B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A333A" w:rsidRPr="00DB5B8A" w14:paraId="161C3BB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953D7" w14:textId="40D5EF5A" w:rsidR="002A333A" w:rsidRPr="00DB5B8A" w:rsidRDefault="002A333A" w:rsidP="002A333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All-cause infection during admission, %*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4F93" w14:textId="2C945710" w:rsidR="002A333A" w:rsidRPr="000D4B2C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8688" w14:textId="51DCCF90" w:rsidR="002A333A" w:rsidRPr="000D4B2C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CD7DC" w14:textId="1F139D7B" w:rsidR="002A333A" w:rsidRPr="00DB5B8A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20591" w14:textId="4E8D4D2D" w:rsidR="002A333A" w:rsidRPr="00DB5B8A" w:rsidRDefault="002A333A" w:rsidP="002A33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A333A" w:rsidRPr="00DB5B8A" w14:paraId="499B4C6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D5BF4" w14:textId="1DD69ADB" w:rsidR="002A333A" w:rsidRPr="00DB5B8A" w:rsidRDefault="002A333A" w:rsidP="002A333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Shock,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D5225" w14:textId="4CFF7F6D" w:rsidR="002A333A" w:rsidRPr="000D4B2C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51940" w14:textId="00C85776" w:rsidR="002A333A" w:rsidRPr="000D4B2C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694DA" w14:textId="20CFFBB2" w:rsidR="002A333A" w:rsidRPr="00DB5B8A" w:rsidRDefault="002A333A" w:rsidP="002A333A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2.0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9388E" w14:textId="65F7AD7C" w:rsidR="002A333A" w:rsidRPr="00DB5B8A" w:rsidRDefault="002A333A" w:rsidP="002A333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42219A8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935E" w14:textId="266C94FE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Charlson Comorbidity Index (CCI) (Mean ± Standard Deviation)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229E" w14:textId="760A000F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1.24 (1.53)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EB3FC" w14:textId="38CBF115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1.43 (1.59)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B97F0" w14:textId="09EAE92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1.41 (1.58)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B522" w14:textId="744C075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B85F84D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105D6" w14:textId="3B52E909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Comorbidities,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99491" w14:textId="77777777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576DD" w14:textId="77777777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DBD40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2063B" w14:textId="5DC6257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6DBF69A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D9366E8" w14:textId="0CCDDCBC" w:rsidR="002C5861" w:rsidRPr="00DB5B8A" w:rsidRDefault="009C2CCC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Dyslipidemia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ADFB052" w14:textId="4551FE4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27BEBB1" w14:textId="5722994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39.0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70DBE18" w14:textId="6D72808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38.6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5425B8F" w14:textId="4C67EA76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EA777A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45B47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Smoking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291014" w14:textId="75950D8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5A7063" w14:textId="7234300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964461" w14:textId="5CB8C44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CA22D8" w14:textId="499A965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51C0F069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36FEB4" w14:textId="7FB940A6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Atrial Fibrillation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D5F976" w14:textId="63761D6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CFF4F0" w14:textId="655E85C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34.6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F4898F" w14:textId="5FE05EB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34.7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34DFBC8" w14:textId="33246F7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0.132</w:t>
            </w:r>
          </w:p>
        </w:tc>
      </w:tr>
      <w:tr w:rsidR="002C5861" w:rsidRPr="00DB5B8A" w14:paraId="6DBB8E54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075877" w14:textId="35651109" w:rsidR="002C5861" w:rsidRPr="00DB5B8A" w:rsidRDefault="009C2CCC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Thrombocytopenia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D9CCD5" w14:textId="4CAFD75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93EE1A" w14:textId="10E4216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225CD9" w14:textId="3D9DE54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50BEFC" w14:textId="08C4AB4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F404AF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A5606A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AMI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707ED2" w14:textId="46E14F66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BE46F6" w14:textId="1AE26A9A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B50AD5" w14:textId="54A52DF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6D6173" w14:textId="7BEB010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6546D812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891644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History of IHD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27E015" w14:textId="31A19FB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38.0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CC5401" w14:textId="7B2044EC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46.2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3BF8F8E" w14:textId="2D6346F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F30D01" w14:textId="0192712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C04E0D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DC1C5A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PCI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38A587" w14:textId="20786C5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32F70B" w14:textId="10491CD6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3C5A62" w14:textId="4E5EFED6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641EF8" w14:textId="6A0B033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502A7C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337725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CABG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6E9FC1" w14:textId="49B4A16D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F39CBB" w14:textId="003870B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D0A83E" w14:textId="57395AD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D34B76" w14:textId="4388057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27DCD720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EBB385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CVA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52C590" w14:textId="29B6179D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7213C3" w14:textId="41E819F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6CC947" w14:textId="6094FBA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726D6E" w14:textId="544778E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150B97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35A903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Family history of CAD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A1AF62" w14:textId="1B5868B8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D20D88" w14:textId="203F929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5DE675" w14:textId="1F5A26F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5EFE5C" w14:textId="54F636B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6D658AA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47818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AIDS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423ECB" w14:textId="20010DA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6F9E2D" w14:textId="7AFEE90D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141989" w14:textId="76DD357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2479E9" w14:textId="492FC74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0.781</w:t>
            </w:r>
          </w:p>
        </w:tc>
      </w:tr>
      <w:tr w:rsidR="002C5861" w:rsidRPr="00DB5B8A" w14:paraId="3B26EC64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850C8C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Alcohol abuse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3F35A4" w14:textId="705F840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F9CC3E" w14:textId="365BCE1C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1D1D13" w14:textId="04BA370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F11E5F" w14:textId="10BEFF7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0.006</w:t>
            </w:r>
          </w:p>
        </w:tc>
      </w:tr>
      <w:tr w:rsidR="002C5861" w:rsidRPr="00DB5B8A" w14:paraId="0A2EABE1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4795E9" w14:textId="4379666E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Deficiency </w:t>
            </w:r>
            <w:r w:rsidR="009C2CCC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anemias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4F06D3" w14:textId="632B7D8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C5BE2B" w14:textId="3D56648A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1D5894" w14:textId="7F69464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DC0167" w14:textId="049E13E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8D5304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8499F3" w14:textId="04D9C38F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Chronic Blood loss </w:t>
            </w:r>
            <w:r w:rsidR="009C2CCC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anemia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12D67E" w14:textId="636635D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BB8A1A" w14:textId="4CFDBD5D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ADB141" w14:textId="7902E71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75F218" w14:textId="6EC3504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0.236</w:t>
            </w:r>
          </w:p>
        </w:tc>
      </w:tr>
      <w:tr w:rsidR="002C5861" w:rsidRPr="00DB5B8A" w14:paraId="2050B09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A9D80D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RA/collagen vascular</w:t>
            </w:r>
          </w:p>
          <w:p w14:paraId="1FD256C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diseases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579A8E" w14:textId="167AE00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D1355E" w14:textId="50C9137F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F933B0" w14:textId="2AC5957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40A6ED" w14:textId="005AC62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0.053</w:t>
            </w:r>
          </w:p>
        </w:tc>
      </w:tr>
      <w:tr w:rsidR="002C5861" w:rsidRPr="00DB5B8A" w14:paraId="1EAA300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931FD7" w14:textId="3E101AB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Heart Failure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396188" w14:textId="783EAB4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31.7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5F83DC" w14:textId="1C1344D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45.2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85266AB" w14:textId="39E53F99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43.4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395622" w14:textId="34FCC50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4F560928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01D9BC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Chronic pulmonary disease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0ABC91" w14:textId="160276BF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F0D427" w14:textId="4ED43527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07C5F7" w14:textId="374EDBE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280DA" w14:textId="601F1A1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A731EB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2AA14D4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Coagulopathy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EDE5ED" w14:textId="779228D8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9A97ED" w14:textId="58EE739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C34F56" w14:textId="67569C9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C79A31" w14:textId="2438FD49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3A2D8958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6D64C8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Depression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8C04FDB" w14:textId="3D35CDCC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C4607F" w14:textId="0A1168CF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B6BD1A" w14:textId="00C1E96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9818DE6" w14:textId="4B9A0B4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0.441</w:t>
            </w:r>
          </w:p>
        </w:tc>
      </w:tr>
      <w:tr w:rsidR="002C5861" w:rsidRPr="00DB5B8A" w14:paraId="055A6A2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FAD82C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Diabetes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43FCB4" w14:textId="0E3A088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23.0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4274CF" w14:textId="5A0EEFC6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8806DD" w14:textId="2A23F62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C01B5" w14:textId="3959A8F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37B985E2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A71522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Diabetes with complications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E2B7AE" w14:textId="5424D12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AD71A4" w14:textId="3BE84E4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ED7BD6" w14:textId="40A5FE1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B4CA16" w14:textId="6D4E2F7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0.061</w:t>
            </w:r>
          </w:p>
        </w:tc>
      </w:tr>
      <w:tr w:rsidR="002C5861" w:rsidRPr="00DB5B8A" w14:paraId="28DEB7F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3520B69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Drug abuse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CB2F4" w14:textId="23793218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BA257C" w14:textId="4F9FAE2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3D06FF" w14:textId="3B10D2B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4255B4" w14:textId="029488D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28AA16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44C6A5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Hypertension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854CBC" w14:textId="064E8B1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62.0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DD82E5" w14:textId="38CA9AC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F35751" w14:textId="0F70944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60.3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6973C1" w14:textId="17532CC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19E852E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5E430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Hypothyroidism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F661B" w14:textId="7B838387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13.5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CC125" w14:textId="2C32ED6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CA9024" w14:textId="6CF5C49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12.7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089DE8" w14:textId="6CEA75E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75C6CE2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67FC8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Liver disease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4F46BE" w14:textId="7F59D6D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59CB59" w14:textId="37CE56E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DB1DEC" w14:textId="2B8453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17EC09" w14:textId="29C8C2DF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0.056</w:t>
            </w:r>
          </w:p>
        </w:tc>
      </w:tr>
      <w:tr w:rsidR="002C5861" w:rsidRPr="00DB5B8A" w14:paraId="59AA8CC1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DF0FB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Lymphomas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6BF61E" w14:textId="3492E4AC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CDADAC" w14:textId="0BA79A1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8C71FB" w14:textId="0E82B81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FD8380" w14:textId="1113DF7F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0.504</w:t>
            </w:r>
          </w:p>
        </w:tc>
      </w:tr>
      <w:tr w:rsidR="002C5861" w:rsidRPr="00DB5B8A" w14:paraId="609EDB87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E6BE59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Fluid and electrolyte disturbances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214E4C" w14:textId="02F0894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C59E17" w14:textId="066C814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4EA229" w14:textId="47DD75F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AFD583" w14:textId="7C520B7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69CED23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58BB2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Metastatic cancer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11DE8D" w14:textId="025B5EC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93B752" w14:textId="4555C4D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EC6E13" w14:textId="6244774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47ABF6" w14:textId="728E007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7385B2A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42195B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neurological disorders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BD37009" w14:textId="60CEB5B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7DB0AE" w14:textId="5D73FA4A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EFF1E1" w14:textId="77A0589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1F2972" w14:textId="4CB4860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5CA2B63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24CD39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Obesity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E1E20A" w14:textId="751D25C9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A98DD8" w14:textId="6CE66314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B38D2E" w14:textId="5D72D65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3C0544" w14:textId="4485DE2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6EF77BC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35B592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Paralysis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C838E76" w14:textId="7A3F82B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1856" w14:textId="545F73B2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19B826C" w14:textId="1994D63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E7215B" w14:textId="5EA87FC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3D314AC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541AF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Peripheral vascular disease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9C67CD" w14:textId="718743B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470208" w14:textId="6D64F031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25CF97" w14:textId="7DEBC2D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B998FE0" w14:textId="013B71B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2C6839E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0FB72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Psychoses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F1FF61" w14:textId="6D3E4A4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DEE628" w14:textId="400A7CDD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8307608" w14:textId="589DB1E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2CE129" w14:textId="6086C46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B3E182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B3EDD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Pulmonary circulation disorder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7EF61" w14:textId="09B37A0E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673568" w14:textId="0606702F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789019" w14:textId="34BECD0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3D0D90" w14:textId="533D6BA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0.04</w:t>
            </w:r>
          </w:p>
        </w:tc>
      </w:tr>
      <w:tr w:rsidR="002C5861" w:rsidRPr="00DB5B8A" w14:paraId="17C44C09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31EEB5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Renal failure (chronic)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9F5B5C" w14:textId="455E27DA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80CECE" w14:textId="64435450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28AB4BD" w14:textId="16CB49E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4492E6" w14:textId="2D28DF5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701D2571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A5BDE0" w14:textId="19D88E12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Solid </w:t>
            </w:r>
            <w:r w:rsidR="009C2CCC"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tumor</w:t>
            </w: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without metastases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721497" w14:textId="482BBBF3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8CB302" w14:textId="739989AB" w:rsidR="002C5861" w:rsidRPr="000D4B2C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0D4B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BC1883" w14:textId="0FDFC32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0529B0" w14:textId="0C611B59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0.009</w:t>
            </w:r>
          </w:p>
        </w:tc>
      </w:tr>
      <w:tr w:rsidR="002C5861" w:rsidRPr="00DB5B8A" w14:paraId="29E75ECC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325E75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Peptic ulcer disease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5E7278" w14:textId="50D6266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5A0F68" w14:textId="428B2D8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0DC9E6" w14:textId="164F19B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072A1D" w14:textId="23839CB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4936CA1C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2C8B6E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Valvular heart disease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EDD433" w14:textId="49C9B3F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F28F2F" w14:textId="5A090B4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6BABB5" w14:textId="42252D6D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A709FB" w14:textId="0B1F6C3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254B61D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F46B8A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Weight loss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CE5F08" w14:textId="7AE8A33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207DD7" w14:textId="28027DC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862F7" w14:textId="274C792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4990F8" w14:textId="4F86ACF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009F0752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7F67171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Dementia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46AD631" w14:textId="24C6D51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1A7DCFC" w14:textId="3B66652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D57875" w14:textId="3BD09CB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B7AC9DE" w14:textId="7CA5F0F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139528C8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34EFC" w14:textId="0EC4D339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Hospital bed size,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A16E8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D716A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4ACA7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4A09" w14:textId="051A3C4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570F020D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C4A32EF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Small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590D018" w14:textId="4964380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18.0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F8BF752" w14:textId="029F4296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79BCD04" w14:textId="4D19FB1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F15168E" w14:textId="5763612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30FCBD9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CE9CF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Medium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688D52" w14:textId="516FCEF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37.3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0023152" w14:textId="32CA366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2AE8E8" w14:textId="555C13F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360F7B" w14:textId="1A921D2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6956D69E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B0351BA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Large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634C05" w14:textId="7ACACEE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44.7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1685AF8" w14:textId="1296EDD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76.3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76BF60" w14:textId="4877CDB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989347" w14:textId="72747BA3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07149F30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464B5" w14:textId="3860D9B3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Hospital Region,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85083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5ACD8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D2F4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DB77A" w14:textId="5A863B4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6A04F57E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2B9C13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Northeast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D0F621D" w14:textId="79BDA0B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33.0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233CAE0" w14:textId="432DF27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7FAD321" w14:textId="371CBD0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21.9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C829E6F" w14:textId="07B698C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4931291A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4AD5A3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Midwest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F2B983" w14:textId="047E3B82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C3B4A0" w14:textId="54BCB2E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17.6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0F53665" w14:textId="648C889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34731D" w14:textId="030FE67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7454257D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02B72A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South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39B59A" w14:textId="705192E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37.0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F8ABCA" w14:textId="662712D0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41.8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FE32BDD" w14:textId="7E5FE00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41.1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16A210" w14:textId="1408DA0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0A79EC3D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B2F18FB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West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8DE36AB" w14:textId="41979C3C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19.2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FE3FDA9" w14:textId="0409B4C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87176F" w14:textId="3F22D6C5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19ACB66" w14:textId="555C186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20B11795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88E05" w14:textId="374357B5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Location/ Teaching status,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D0F97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BC90E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D0D92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E94D9" w14:textId="6A9D702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34A8142F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4E2854C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Rural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1208A1A" w14:textId="7E55EDFA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15.8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5EEAF4" w14:textId="0369938F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C684E83" w14:textId="3696163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98B017" w14:textId="5E299A2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61DAB6A6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1B20E6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Urban non-teaching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EC9D885" w14:textId="5787585E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57.5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842C4C" w14:textId="044E9731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32.2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A45279" w14:textId="36DEFCDF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35.5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FFCD741" w14:textId="7D0B4764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7DFABE38" w14:textId="77777777" w:rsidTr="006E2BB9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9DD693" w14:textId="77777777" w:rsidR="002C5861" w:rsidRPr="00DB5B8A" w:rsidRDefault="002C5861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Urban- teaching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3D77D5" w14:textId="1A9864A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26.7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92AE338" w14:textId="560AD5CB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64.8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D5BC810" w14:textId="2397B60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59.8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16FD28" w14:textId="493C1196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48FF9B7F" w14:textId="77777777" w:rsidTr="006E2BB9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448B5" w14:textId="204478C9" w:rsidR="002C5861" w:rsidRPr="00DB5B8A" w:rsidRDefault="002907D9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Annual </w:t>
            </w:r>
            <w:r w:rsidR="002C58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Hospital </w:t>
            </w:r>
            <w:r w:rsidR="0003492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Mean </w:t>
            </w:r>
            <w:r w:rsidR="002C58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Procedural Volume, %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31C7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79F5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37D9B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4F5E" w14:textId="6EF86A78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B5B8A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2C5861" w:rsidRPr="00DB5B8A" w14:paraId="54F9FF14" w14:textId="77777777" w:rsidTr="006E2BB9">
        <w:trPr>
          <w:trHeight w:val="283"/>
        </w:trPr>
        <w:tc>
          <w:tcPr>
            <w:tcW w:w="421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68D7382" w14:textId="195DDD46" w:rsidR="002C5861" w:rsidRPr="00DB5B8A" w:rsidRDefault="00034929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Low</w:t>
            </w:r>
            <w:r w:rsidR="002C58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(&lt;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</w:t>
            </w:r>
            <w:r w:rsidR="002C58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cases)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B9512D9" w14:textId="1E1BB9AC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70.5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00F9C1" w14:textId="1E4B07D9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D7A42BF" w14:textId="01CA0CDA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65F66DD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5861" w:rsidRPr="00DB5B8A" w14:paraId="5841FD5B" w14:textId="77777777" w:rsidTr="00E50DB4">
        <w:trPr>
          <w:trHeight w:val="283"/>
        </w:trPr>
        <w:tc>
          <w:tcPr>
            <w:tcW w:w="4219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E12CBB4" w14:textId="57616646" w:rsidR="002C5861" w:rsidRPr="00DB5B8A" w:rsidRDefault="00034929" w:rsidP="002C586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High (≥30 cases)</w:t>
            </w:r>
          </w:p>
        </w:tc>
        <w:tc>
          <w:tcPr>
            <w:tcW w:w="200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1D7B88" w14:textId="115632F2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29.5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018BA4B" w14:textId="1B04816A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82.8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AF9755" w14:textId="5EF7FE79" w:rsidR="002C5861" w:rsidRPr="00DB5B8A" w:rsidRDefault="00034929" w:rsidP="002C586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75.8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E4D5851" w14:textId="77777777" w:rsidR="002C5861" w:rsidRPr="00DB5B8A" w:rsidRDefault="002C5861" w:rsidP="002C586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2AD07BE" w14:textId="630EC908" w:rsidR="002C6FD6" w:rsidRPr="002C6FD6" w:rsidRDefault="002A333A" w:rsidP="002C6FD6">
      <w:pPr>
        <w:rPr>
          <w:rFonts w:asciiTheme="majorBidi" w:hAnsiTheme="majorBidi" w:cstheme="majorBidi"/>
          <w:sz w:val="20"/>
          <w:szCs w:val="20"/>
        </w:rPr>
      </w:pPr>
      <w:r w:rsidRPr="00620017">
        <w:rPr>
          <w:rFonts w:asciiTheme="majorBidi" w:hAnsiTheme="majorBidi" w:cstheme="majorBidi"/>
          <w:sz w:val="20"/>
          <w:szCs w:val="20"/>
        </w:rPr>
        <w:t>*</w:t>
      </w:r>
      <w:r w:rsidRPr="00620017">
        <w:rPr>
          <w:rFonts w:asciiTheme="majorBidi" w:hAnsiTheme="majorBidi" w:cstheme="majorBidi"/>
          <w:b/>
          <w:bCs/>
          <w:sz w:val="20"/>
          <w:szCs w:val="20"/>
        </w:rPr>
        <w:t>All-cause infection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620017">
        <w:rPr>
          <w:rFonts w:asciiTheme="majorBidi" w:hAnsiTheme="majorBidi" w:cstheme="majorBidi"/>
          <w:sz w:val="20"/>
          <w:szCs w:val="20"/>
        </w:rPr>
        <w:t xml:space="preserve">Composite </w:t>
      </w:r>
      <w:r w:rsidR="009C2CCC" w:rsidRPr="00620017">
        <w:rPr>
          <w:rFonts w:asciiTheme="majorBidi" w:hAnsiTheme="majorBidi" w:cstheme="majorBidi"/>
          <w:sz w:val="20"/>
          <w:szCs w:val="20"/>
        </w:rPr>
        <w:t>septicemia</w:t>
      </w:r>
      <w:r w:rsidRPr="00620017">
        <w:rPr>
          <w:rFonts w:asciiTheme="majorBidi" w:hAnsiTheme="majorBidi" w:cstheme="majorBidi"/>
          <w:sz w:val="20"/>
          <w:szCs w:val="20"/>
        </w:rPr>
        <w:t xml:space="preserve">, </w:t>
      </w:r>
      <w:r w:rsidR="009C2CCC" w:rsidRPr="00620017">
        <w:rPr>
          <w:rFonts w:asciiTheme="majorBidi" w:hAnsiTheme="majorBidi" w:cstheme="majorBidi"/>
          <w:sz w:val="20"/>
          <w:szCs w:val="20"/>
        </w:rPr>
        <w:t>viremia</w:t>
      </w:r>
      <w:r w:rsidRPr="00620017">
        <w:rPr>
          <w:rFonts w:asciiTheme="majorBidi" w:hAnsiTheme="majorBidi" w:cstheme="majorBidi"/>
          <w:sz w:val="20"/>
          <w:szCs w:val="20"/>
        </w:rPr>
        <w:t xml:space="preserve">, </w:t>
      </w:r>
      <w:r w:rsidR="009C2CCC" w:rsidRPr="00620017">
        <w:rPr>
          <w:rFonts w:asciiTheme="majorBidi" w:hAnsiTheme="majorBidi" w:cstheme="majorBidi"/>
          <w:sz w:val="20"/>
          <w:szCs w:val="20"/>
        </w:rPr>
        <w:t>bacteremia</w:t>
      </w:r>
      <w:r w:rsidRPr="00620017">
        <w:rPr>
          <w:rFonts w:asciiTheme="majorBidi" w:hAnsiTheme="majorBidi" w:cstheme="majorBidi"/>
          <w:sz w:val="20"/>
          <w:szCs w:val="20"/>
        </w:rPr>
        <w:t xml:space="preserve"> or device-related infection</w:t>
      </w:r>
      <w:r w:rsidR="002C6FD6">
        <w:rPr>
          <w:rFonts w:asciiTheme="majorBidi" w:hAnsiTheme="majorBidi" w:cstheme="majorBidi"/>
          <w:sz w:val="20"/>
          <w:szCs w:val="20"/>
        </w:rPr>
        <w:t>; CS: cardiac surgery</w:t>
      </w:r>
    </w:p>
    <w:p w14:paraId="69CD240E" w14:textId="77777777" w:rsidR="007F5617" w:rsidRPr="006A6296" w:rsidRDefault="007F5617">
      <w:pPr>
        <w:rPr>
          <w:sz w:val="22"/>
          <w:szCs w:val="22"/>
        </w:rPr>
      </w:pPr>
    </w:p>
    <w:p w14:paraId="7DED11F0" w14:textId="77777777" w:rsidR="00A66644" w:rsidRPr="006A6296" w:rsidRDefault="00A66644">
      <w:pPr>
        <w:rPr>
          <w:sz w:val="22"/>
          <w:szCs w:val="22"/>
        </w:rPr>
      </w:pPr>
    </w:p>
    <w:p w14:paraId="0AD610C3" w14:textId="77777777" w:rsidR="006C7129" w:rsidRPr="006A6296" w:rsidRDefault="006C7129">
      <w:pPr>
        <w:rPr>
          <w:sz w:val="22"/>
          <w:szCs w:val="22"/>
        </w:rPr>
      </w:pPr>
    </w:p>
    <w:p w14:paraId="514DC3F5" w14:textId="2827345D" w:rsidR="00C36CB8" w:rsidRPr="006A6296" w:rsidRDefault="00C36CB8">
      <w:pPr>
        <w:rPr>
          <w:sz w:val="22"/>
          <w:szCs w:val="22"/>
        </w:rPr>
      </w:pPr>
    </w:p>
    <w:p w14:paraId="031097C0" w14:textId="2E9A4A90" w:rsidR="00E32928" w:rsidRPr="006A6296" w:rsidRDefault="00E32928">
      <w:pPr>
        <w:rPr>
          <w:sz w:val="22"/>
          <w:szCs w:val="22"/>
        </w:rPr>
      </w:pPr>
    </w:p>
    <w:p w14:paraId="62A35304" w14:textId="77777777" w:rsidR="0080002B" w:rsidRPr="006A6296" w:rsidRDefault="0080002B">
      <w:pPr>
        <w:rPr>
          <w:sz w:val="22"/>
          <w:szCs w:val="22"/>
        </w:rPr>
      </w:pPr>
    </w:p>
    <w:p w14:paraId="3FDDBDC1" w14:textId="38C567E9" w:rsidR="00E32928" w:rsidRPr="006A6296" w:rsidRDefault="00E32928">
      <w:pPr>
        <w:rPr>
          <w:sz w:val="22"/>
          <w:szCs w:val="22"/>
        </w:rPr>
      </w:pPr>
    </w:p>
    <w:p w14:paraId="08302479" w14:textId="57BF487B" w:rsidR="00E32928" w:rsidRDefault="00E32928">
      <w:pPr>
        <w:rPr>
          <w:sz w:val="22"/>
          <w:szCs w:val="22"/>
        </w:rPr>
      </w:pPr>
    </w:p>
    <w:p w14:paraId="47A833D7" w14:textId="43E44B24" w:rsidR="00AC220D" w:rsidRPr="006A6296" w:rsidRDefault="00AC220D">
      <w:pPr>
        <w:rPr>
          <w:sz w:val="22"/>
          <w:szCs w:val="22"/>
        </w:rPr>
      </w:pPr>
    </w:p>
    <w:p w14:paraId="76A6361F" w14:textId="2EB8EACA" w:rsidR="00F77750" w:rsidRDefault="00AC220D" w:rsidP="00A95CA4">
      <w:pPr>
        <w:jc w:val="center"/>
        <w:rPr>
          <w:sz w:val="22"/>
          <w:szCs w:val="22"/>
        </w:rPr>
      </w:pPr>
      <w:r w:rsidRPr="00C062C4">
        <w:rPr>
          <w:sz w:val="22"/>
          <w:szCs w:val="22"/>
        </w:rPr>
        <w:t xml:space="preserve">Table </w:t>
      </w:r>
      <w:r w:rsidR="00D5613E" w:rsidRPr="00C062C4">
        <w:rPr>
          <w:sz w:val="22"/>
          <w:szCs w:val="22"/>
        </w:rPr>
        <w:t>2</w:t>
      </w:r>
      <w:r w:rsidRPr="00C062C4">
        <w:rPr>
          <w:sz w:val="22"/>
          <w:szCs w:val="22"/>
        </w:rPr>
        <w:t xml:space="preserve">. Clinical outcomes of </w:t>
      </w:r>
      <w:r w:rsidR="00996701" w:rsidRPr="00C062C4">
        <w:rPr>
          <w:sz w:val="22"/>
          <w:szCs w:val="22"/>
        </w:rPr>
        <w:t>full cohort and propensity-matched cohort according to admitting hospital cardiac surgery facilities</w:t>
      </w:r>
    </w:p>
    <w:p w14:paraId="776C8CBE" w14:textId="77777777" w:rsidR="00A95CA4" w:rsidRPr="00C062C4" w:rsidRDefault="00A95CA4" w:rsidP="00A95CA4">
      <w:pPr>
        <w:jc w:val="center"/>
        <w:rPr>
          <w:sz w:val="22"/>
          <w:szCs w:val="22"/>
        </w:rPr>
      </w:pPr>
    </w:p>
    <w:tbl>
      <w:tblPr>
        <w:tblStyle w:val="TableGridLight1"/>
        <w:tblpPr w:leftFromText="180" w:rightFromText="180" w:vertAnchor="text" w:horzAnchor="margin" w:tblpY="9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355"/>
        <w:gridCol w:w="1355"/>
        <w:gridCol w:w="1354"/>
        <w:gridCol w:w="1354"/>
        <w:gridCol w:w="1354"/>
        <w:gridCol w:w="1354"/>
        <w:gridCol w:w="1354"/>
        <w:gridCol w:w="1351"/>
      </w:tblGrid>
      <w:tr w:rsidR="00996701" w:rsidRPr="006A6296" w14:paraId="0FC82189" w14:textId="77777777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1439D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8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94B4" w14:textId="50E25653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Full Study Cohort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5E03C" w14:textId="7FDB304C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Propensity Matched Cohort</w:t>
            </w:r>
          </w:p>
        </w:tc>
      </w:tr>
      <w:tr w:rsidR="00996701" w:rsidRPr="006A6296" w14:paraId="1139D0DA" w14:textId="420EA248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C5AD9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Variable/Group (% of cohort)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E5E3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Offsite CS</w:t>
            </w:r>
          </w:p>
          <w:p w14:paraId="61411200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(12.7)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C705B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Onsite CS</w:t>
            </w:r>
          </w:p>
          <w:p w14:paraId="2D4F0B2E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(87.3)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BF6C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78AA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p-value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B6C96" w14:textId="77777777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Offsite CS</w:t>
            </w:r>
          </w:p>
          <w:p w14:paraId="64BFA4F9" w14:textId="68A192E0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(50.3)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C9A28" w14:textId="77777777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Onsite CS</w:t>
            </w:r>
          </w:p>
          <w:p w14:paraId="50677883" w14:textId="4202B0E5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(49.7)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5A436" w14:textId="7C491C2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48B55" w14:textId="1BC9F1A4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p-value</w:t>
            </w:r>
          </w:p>
        </w:tc>
      </w:tr>
      <w:tr w:rsidR="00996701" w:rsidRPr="006A6296" w14:paraId="0EA2F989" w14:textId="00121A4B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EC6C" w14:textId="12293E69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In-hospital MACE, %*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3E90B" w14:textId="74370BFE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4.7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FFD93" w14:textId="37EFBD9D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BB2F" w14:textId="6B66755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B831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960A3" w14:textId="2D47E29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F789" w14:textId="39CC95AB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C2159" w14:textId="7896A0A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75DA0" w14:textId="459E1736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996701" w:rsidRPr="006A6296" w14:paraId="53A141F2" w14:textId="511FADAC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BA60F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In-hospital mortality, 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E4425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93035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B4955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00D3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0DCDA" w14:textId="5CED45DC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0.8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B0A5F" w14:textId="159E018F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1.8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0E4C" w14:textId="69AE8F5B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1.3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69233" w14:textId="68BE900A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996701" w:rsidRPr="006A6296" w14:paraId="7C514925" w14:textId="5F338BE3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C096" w14:textId="5E0AB5F1" w:rsidR="00996701" w:rsidRPr="00C202F5" w:rsidRDefault="00DF6D40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D11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In-hospital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procedure-related</w:t>
            </w:r>
            <w:r w:rsidRPr="00CD116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bleeding, 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829AF" w14:textId="2E5ABC5B" w:rsidR="00996701" w:rsidRPr="00C202F5" w:rsidRDefault="005924C0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0DB2" w14:textId="52F253FB" w:rsidR="00996701" w:rsidRPr="00C202F5" w:rsidRDefault="005924C0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E2787" w14:textId="4A508552" w:rsidR="00996701" w:rsidRPr="00C202F5" w:rsidRDefault="00AB1097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32EA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5C82A" w14:textId="6301372E" w:rsidR="00996701" w:rsidRPr="00C202F5" w:rsidRDefault="00F93F7B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1.6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87CB" w14:textId="4A0B7596" w:rsidR="00996701" w:rsidRPr="00C202F5" w:rsidRDefault="00F93F7B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5.0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04B37" w14:textId="58BF5EBB" w:rsidR="00996701" w:rsidRPr="00C202F5" w:rsidRDefault="00193DD8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3.3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A69BE" w14:textId="5E21DC96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996701" w:rsidRPr="006A6296" w14:paraId="57066786" w14:textId="74077589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0004F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In-hospital thoracic complications, 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8B7E2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32321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79483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322B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CDB1" w14:textId="54184773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3.2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B320" w14:textId="4279E244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4.1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E9129" w14:textId="58EA1C39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3.6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50EF7" w14:textId="2849A886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996701" w:rsidRPr="006A6296" w14:paraId="0C1EC40B" w14:textId="578BFFDB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5998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In-hospital cardiac complications, %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F4DC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17132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1.3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03366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color w:val="010204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1.2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BEA6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3C117" w14:textId="2CD2F326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0.5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D85C" w14:textId="33C6C3CF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1.5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9AAEF" w14:textId="6B52AF38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color w:val="010204"/>
                <w:sz w:val="22"/>
                <w:szCs w:val="22"/>
              </w:rPr>
              <w:t>1.0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36481" w14:textId="5E18DB12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  <w:tr w:rsidR="00996701" w:rsidRPr="006A6296" w14:paraId="6A82DD6A" w14:textId="1E936A94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A36A5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Length of stay (days), median (IQR)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F372D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4 (2,7)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8E03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4(2,9)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309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4 (2,9)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32F" w14:textId="25458722" w:rsidR="00996701" w:rsidRPr="00C202F5" w:rsidRDefault="00732C06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</w:t>
            </w:r>
            <w:r w:rsidR="00A673E6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0E7D8" w14:textId="7A9938BF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4 (2,7)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3A4A2" w14:textId="6322F736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4 (2,8)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CA05F" w14:textId="4F72CE53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4 (2,8)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C6EB5" w14:textId="442CCD74" w:rsidR="00996701" w:rsidRPr="00C202F5" w:rsidRDefault="00733E93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0.05</w:t>
            </w:r>
          </w:p>
        </w:tc>
      </w:tr>
      <w:tr w:rsidR="00996701" w:rsidRPr="006A6296" w14:paraId="4FC23071" w14:textId="12DFDF69" w:rsidTr="00996701">
        <w:trPr>
          <w:trHeight w:val="283"/>
          <w:tblHeader/>
        </w:trPr>
        <w:tc>
          <w:tcPr>
            <w:tcW w:w="12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2651" w14:textId="77777777" w:rsidR="00996701" w:rsidRPr="00C202F5" w:rsidRDefault="00996701" w:rsidP="00996701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charge ($), median (IQR)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BC019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41513</w:t>
            </w:r>
          </w:p>
          <w:p w14:paraId="1B1574A6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(23071, 74129)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8B78F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62699</w:t>
            </w:r>
          </w:p>
          <w:p w14:paraId="3216A5B8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(31251, 129594)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0433C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58918</w:t>
            </w:r>
          </w:p>
          <w:p w14:paraId="1B8021E7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(29686, 120921)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AE0" w14:textId="77777777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2F5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E4C52" w14:textId="77777777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42210</w:t>
            </w:r>
          </w:p>
          <w:p w14:paraId="170926E6" w14:textId="77777777" w:rsid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(23240,</w:t>
            </w:r>
          </w:p>
          <w:p w14:paraId="5CE14BEB" w14:textId="16D8D251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74811)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8700" w14:textId="77777777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53145</w:t>
            </w:r>
          </w:p>
          <w:p w14:paraId="2EA40480" w14:textId="77777777" w:rsid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(26941,</w:t>
            </w:r>
          </w:p>
          <w:p w14:paraId="14C1DF57" w14:textId="5526053E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105527)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1078" w14:textId="77777777" w:rsidR="00996701" w:rsidRP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46960</w:t>
            </w:r>
          </w:p>
          <w:p w14:paraId="65A869CE" w14:textId="77777777" w:rsidR="00996701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(25041,</w:t>
            </w:r>
          </w:p>
          <w:p w14:paraId="1D33C829" w14:textId="654D6855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88359)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A87D4" w14:textId="71C8DC63" w:rsidR="00996701" w:rsidRPr="00C202F5" w:rsidRDefault="00996701" w:rsidP="0099670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6701">
              <w:rPr>
                <w:rFonts w:asciiTheme="majorBidi" w:hAnsiTheme="majorBidi" w:cstheme="majorBidi"/>
                <w:sz w:val="22"/>
                <w:szCs w:val="22"/>
              </w:rPr>
              <w:t>&lt;0.001</w:t>
            </w:r>
          </w:p>
        </w:tc>
      </w:tr>
    </w:tbl>
    <w:p w14:paraId="1FAEDEEE" w14:textId="23D297E4" w:rsidR="00CB1735" w:rsidRPr="00620017" w:rsidRDefault="00CB1735" w:rsidP="00CB1735">
      <w:pPr>
        <w:rPr>
          <w:rFonts w:asciiTheme="majorBidi" w:hAnsiTheme="majorBidi" w:cstheme="majorBidi"/>
          <w:sz w:val="20"/>
          <w:szCs w:val="20"/>
        </w:rPr>
      </w:pPr>
      <w:r w:rsidRPr="00620017">
        <w:rPr>
          <w:rFonts w:asciiTheme="majorBidi" w:hAnsiTheme="majorBidi" w:cstheme="majorBidi"/>
          <w:sz w:val="20"/>
          <w:szCs w:val="20"/>
        </w:rPr>
        <w:t>*</w:t>
      </w:r>
      <w:r w:rsidRPr="00620017">
        <w:rPr>
          <w:rFonts w:asciiTheme="majorBidi" w:hAnsiTheme="majorBidi" w:cstheme="majorBidi"/>
          <w:b/>
          <w:bCs/>
          <w:sz w:val="20"/>
          <w:szCs w:val="20"/>
        </w:rPr>
        <w:t>MACE:</w:t>
      </w:r>
      <w:r w:rsidRPr="00620017">
        <w:rPr>
          <w:rFonts w:asciiTheme="majorBidi" w:hAnsiTheme="majorBidi" w:cstheme="majorBidi"/>
          <w:sz w:val="20"/>
          <w:szCs w:val="20"/>
        </w:rPr>
        <w:t xml:space="preserve"> Composite of mortality, thoracic complications</w:t>
      </w:r>
      <w:r w:rsidR="002A333A">
        <w:rPr>
          <w:rFonts w:asciiTheme="majorBidi" w:hAnsiTheme="majorBidi" w:cstheme="majorBidi"/>
          <w:sz w:val="20"/>
          <w:szCs w:val="20"/>
        </w:rPr>
        <w:t xml:space="preserve"> and</w:t>
      </w:r>
      <w:r w:rsidRPr="00620017">
        <w:rPr>
          <w:rFonts w:asciiTheme="majorBidi" w:hAnsiTheme="majorBidi" w:cstheme="majorBidi"/>
          <w:sz w:val="20"/>
          <w:szCs w:val="20"/>
        </w:rPr>
        <w:t xml:space="preserve"> cardiac complications</w:t>
      </w:r>
      <w:r w:rsidR="002C6FD6">
        <w:rPr>
          <w:rFonts w:asciiTheme="majorBidi" w:hAnsiTheme="majorBidi" w:cstheme="majorBidi"/>
          <w:sz w:val="20"/>
          <w:szCs w:val="20"/>
        </w:rPr>
        <w:t xml:space="preserve">; </w:t>
      </w:r>
      <w:r w:rsidR="002C6FD6" w:rsidRPr="002C6FD6">
        <w:rPr>
          <w:rFonts w:asciiTheme="majorBidi" w:hAnsiTheme="majorBidi" w:cstheme="majorBidi"/>
          <w:b/>
          <w:bCs/>
          <w:sz w:val="20"/>
          <w:szCs w:val="20"/>
        </w:rPr>
        <w:t>CS:</w:t>
      </w:r>
      <w:r w:rsidR="002C6FD6">
        <w:rPr>
          <w:rFonts w:asciiTheme="majorBidi" w:hAnsiTheme="majorBidi" w:cstheme="majorBidi"/>
          <w:sz w:val="20"/>
          <w:szCs w:val="20"/>
        </w:rPr>
        <w:t xml:space="preserve"> cardiac surgery</w:t>
      </w:r>
    </w:p>
    <w:p w14:paraId="70C79024" w14:textId="77777777" w:rsidR="00CE624B" w:rsidRDefault="00CE624B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2D38CA94" w14:textId="1A603A08" w:rsidR="002F2404" w:rsidRDefault="002F240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789EF2AF" w14:textId="04D1231B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663C7C47" w14:textId="397895D9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62196871" w14:textId="03C8A340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432B8CD1" w14:textId="78C5FB19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E3EF1BB" w14:textId="2FCC7252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14A7008" w14:textId="2FB8BE3F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D673A78" w14:textId="5C3B07A7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FA16762" w14:textId="4E081303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6CE2FF6" w14:textId="4F12A9FD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1A101C8A" w14:textId="77239480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B04DF73" w14:textId="74FCF672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787720B" w14:textId="122EE8F0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CAB09F8" w14:textId="38AA2D36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73953A58" w14:textId="3EEC37FB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072C7553" w14:textId="4F9D9C29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6C7CB4C6" w14:textId="072FEEA5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4E2D3D5" w14:textId="1CE56C72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87E11A1" w14:textId="07771A85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7F41094C" w14:textId="7D0EB685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387D0DB8" w14:textId="308419FF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56E6106B" w14:textId="77777777" w:rsidR="00A95CA4" w:rsidRDefault="00A95CA4" w:rsidP="00C7607B">
      <w:pPr>
        <w:outlineLvl w:val="0"/>
        <w:rPr>
          <w:color w:val="1F3864" w:themeColor="accent5" w:themeShade="80"/>
          <w:sz w:val="18"/>
          <w:szCs w:val="18"/>
        </w:rPr>
      </w:pPr>
    </w:p>
    <w:p w14:paraId="2884A2B8" w14:textId="03634650" w:rsidR="00F57ABC" w:rsidRPr="00C062C4" w:rsidRDefault="00F57ABC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162780FF" w14:textId="726DA2A9" w:rsidR="00F57ABC" w:rsidRDefault="00F57ABC" w:rsidP="00A95CA4">
      <w:pPr>
        <w:jc w:val="center"/>
        <w:outlineLvl w:val="0"/>
        <w:rPr>
          <w:color w:val="0D0D0D" w:themeColor="text1" w:themeTint="F2"/>
          <w:sz w:val="22"/>
          <w:szCs w:val="22"/>
        </w:rPr>
      </w:pPr>
      <w:r w:rsidRPr="00C062C4">
        <w:rPr>
          <w:color w:val="0D0D0D" w:themeColor="text1" w:themeTint="F2"/>
          <w:sz w:val="22"/>
          <w:szCs w:val="22"/>
        </w:rPr>
        <w:lastRenderedPageBreak/>
        <w:t xml:space="preserve">Table </w:t>
      </w:r>
      <w:r w:rsidR="002D7A99" w:rsidRPr="00C062C4">
        <w:rPr>
          <w:color w:val="0D0D0D" w:themeColor="text1" w:themeTint="F2"/>
          <w:sz w:val="22"/>
          <w:szCs w:val="22"/>
        </w:rPr>
        <w:t>3</w:t>
      </w:r>
      <w:r w:rsidRPr="00C062C4">
        <w:rPr>
          <w:color w:val="0D0D0D" w:themeColor="text1" w:themeTint="F2"/>
          <w:sz w:val="22"/>
          <w:szCs w:val="22"/>
        </w:rPr>
        <w:t xml:space="preserve">. </w:t>
      </w:r>
      <w:r w:rsidR="00335068">
        <w:rPr>
          <w:color w:val="0D0D0D" w:themeColor="text1" w:themeTint="F2"/>
          <w:sz w:val="22"/>
          <w:szCs w:val="22"/>
        </w:rPr>
        <w:t>P</w:t>
      </w:r>
      <w:bookmarkStart w:id="1" w:name="_GoBack"/>
      <w:bookmarkEnd w:id="1"/>
      <w:r w:rsidR="00992723" w:rsidRPr="00C062C4">
        <w:rPr>
          <w:color w:val="0D0D0D" w:themeColor="text1" w:themeTint="F2"/>
          <w:sz w:val="22"/>
          <w:szCs w:val="22"/>
        </w:rPr>
        <w:t>redictors of admission to an on-site cardiac surgery facility</w:t>
      </w:r>
    </w:p>
    <w:p w14:paraId="5C78AE48" w14:textId="77777777" w:rsidR="000F3C60" w:rsidRPr="00C062C4" w:rsidRDefault="000F3C60" w:rsidP="00A95CA4">
      <w:pPr>
        <w:jc w:val="center"/>
        <w:outlineLvl w:val="0"/>
        <w:rPr>
          <w:color w:val="0D0D0D" w:themeColor="text1" w:themeTint="F2"/>
          <w:sz w:val="22"/>
          <w:szCs w:val="22"/>
        </w:rPr>
      </w:pPr>
    </w:p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276"/>
        <w:gridCol w:w="2835"/>
        <w:gridCol w:w="2126"/>
        <w:gridCol w:w="1134"/>
      </w:tblGrid>
      <w:tr w:rsidR="00992723" w:rsidRPr="009921E8" w14:paraId="19A90174" w14:textId="220B63BB" w:rsidTr="00992723">
        <w:trPr>
          <w:trHeight w:val="291"/>
        </w:trPr>
        <w:tc>
          <w:tcPr>
            <w:tcW w:w="2263" w:type="dxa"/>
            <w:vAlign w:val="center"/>
          </w:tcPr>
          <w:p w14:paraId="37097460" w14:textId="10BD6891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1843" w:type="dxa"/>
            <w:vAlign w:val="center"/>
          </w:tcPr>
          <w:p w14:paraId="00C260CB" w14:textId="77777777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276" w:type="dxa"/>
            <w:vAlign w:val="center"/>
          </w:tcPr>
          <w:p w14:paraId="3C07FE06" w14:textId="77777777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2835" w:type="dxa"/>
            <w:vAlign w:val="center"/>
          </w:tcPr>
          <w:p w14:paraId="43AD6FAF" w14:textId="6F14E037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2126" w:type="dxa"/>
            <w:vAlign w:val="center"/>
          </w:tcPr>
          <w:p w14:paraId="6FA2564D" w14:textId="059CF751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134" w:type="dxa"/>
            <w:vAlign w:val="center"/>
          </w:tcPr>
          <w:p w14:paraId="08FD28ED" w14:textId="7B7C2C62" w:rsidR="00992723" w:rsidRPr="00992723" w:rsidRDefault="00992723" w:rsidP="009927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9272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p-value</w:t>
            </w:r>
          </w:p>
        </w:tc>
      </w:tr>
      <w:tr w:rsidR="00992723" w:rsidRPr="009921E8" w14:paraId="3426D94C" w14:textId="7317C198" w:rsidTr="00992723">
        <w:trPr>
          <w:trHeight w:val="291"/>
        </w:trPr>
        <w:tc>
          <w:tcPr>
            <w:tcW w:w="2263" w:type="dxa"/>
            <w:vAlign w:val="center"/>
          </w:tcPr>
          <w:p w14:paraId="03A972D8" w14:textId="77777777" w:rsidR="00992723" w:rsidRPr="009921E8" w:rsidRDefault="00992723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921E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1843" w:type="dxa"/>
            <w:vAlign w:val="center"/>
          </w:tcPr>
          <w:p w14:paraId="16A788AF" w14:textId="77777777" w:rsidR="00992723" w:rsidRPr="00054B6B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54B6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054B6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[0.99, 0.99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]</w:t>
            </w:r>
          </w:p>
        </w:tc>
        <w:tc>
          <w:tcPr>
            <w:tcW w:w="1276" w:type="dxa"/>
            <w:vAlign w:val="center"/>
          </w:tcPr>
          <w:p w14:paraId="34336E9A" w14:textId="77777777" w:rsidR="00992723" w:rsidRPr="00054B6B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FE649AF" w14:textId="54335324" w:rsidR="00992723" w:rsidRPr="004D64A3" w:rsidRDefault="00992723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Coagulopathy</w:t>
            </w:r>
          </w:p>
        </w:tc>
        <w:tc>
          <w:tcPr>
            <w:tcW w:w="2126" w:type="dxa"/>
            <w:vAlign w:val="center"/>
          </w:tcPr>
          <w:p w14:paraId="00A58FF3" w14:textId="4E726985" w:rsidR="00992723" w:rsidRPr="004D64A3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1.28 [1.15, 1.43]</w:t>
            </w:r>
          </w:p>
        </w:tc>
        <w:tc>
          <w:tcPr>
            <w:tcW w:w="1134" w:type="dxa"/>
            <w:vAlign w:val="center"/>
          </w:tcPr>
          <w:p w14:paraId="2B03A96B" w14:textId="164704D6" w:rsidR="00992723" w:rsidRPr="004D64A3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992723" w:rsidRPr="009921E8" w14:paraId="6F645D22" w14:textId="468726E4" w:rsidTr="00992723">
        <w:trPr>
          <w:trHeight w:val="276"/>
        </w:trPr>
        <w:tc>
          <w:tcPr>
            <w:tcW w:w="2263" w:type="dxa"/>
            <w:vAlign w:val="center"/>
          </w:tcPr>
          <w:p w14:paraId="516AF9CC" w14:textId="0EEA841C" w:rsidR="00992723" w:rsidRPr="000E3611" w:rsidRDefault="00992723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843" w:type="dxa"/>
            <w:vAlign w:val="center"/>
          </w:tcPr>
          <w:p w14:paraId="0FFDE200" w14:textId="77777777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 [0.87, 0.92]</w:t>
            </w:r>
          </w:p>
        </w:tc>
        <w:tc>
          <w:tcPr>
            <w:tcW w:w="1276" w:type="dxa"/>
            <w:vAlign w:val="center"/>
          </w:tcPr>
          <w:p w14:paraId="19D3DA24" w14:textId="77777777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560BC75" w14:textId="3D914056" w:rsidR="00992723" w:rsidRPr="004D64A3" w:rsidRDefault="00992723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Depression</w:t>
            </w:r>
          </w:p>
        </w:tc>
        <w:tc>
          <w:tcPr>
            <w:tcW w:w="2126" w:type="dxa"/>
            <w:vAlign w:val="center"/>
          </w:tcPr>
          <w:p w14:paraId="5B2AAA38" w14:textId="085DFEBC" w:rsidR="00992723" w:rsidRPr="004D64A3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 [0.90, 1.00]</w:t>
            </w:r>
          </w:p>
        </w:tc>
        <w:tc>
          <w:tcPr>
            <w:tcW w:w="1134" w:type="dxa"/>
            <w:vAlign w:val="center"/>
          </w:tcPr>
          <w:p w14:paraId="784E0CA9" w14:textId="19021D75" w:rsidR="00992723" w:rsidRPr="004D64A3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D64A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0.051</w:t>
            </w:r>
          </w:p>
        </w:tc>
      </w:tr>
      <w:tr w:rsidR="00992723" w:rsidRPr="009921E8" w14:paraId="1C54A5CB" w14:textId="65489957" w:rsidTr="00992723">
        <w:trPr>
          <w:trHeight w:val="291"/>
        </w:trPr>
        <w:tc>
          <w:tcPr>
            <w:tcW w:w="2263" w:type="dxa"/>
            <w:vAlign w:val="center"/>
          </w:tcPr>
          <w:p w14:paraId="7855DB2F" w14:textId="55DAEFD3" w:rsidR="00992723" w:rsidRPr="000E3611" w:rsidRDefault="00992723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Race</w:t>
            </w:r>
          </w:p>
        </w:tc>
        <w:tc>
          <w:tcPr>
            <w:tcW w:w="1843" w:type="dxa"/>
            <w:vAlign w:val="center"/>
          </w:tcPr>
          <w:p w14:paraId="10C68167" w14:textId="77777777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 [0.98, 1.01]</w:t>
            </w:r>
          </w:p>
        </w:tc>
        <w:tc>
          <w:tcPr>
            <w:tcW w:w="1276" w:type="dxa"/>
            <w:vAlign w:val="center"/>
          </w:tcPr>
          <w:p w14:paraId="2A5F127A" w14:textId="77777777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2835" w:type="dxa"/>
            <w:vAlign w:val="center"/>
          </w:tcPr>
          <w:p w14:paraId="0795A7FC" w14:textId="0130DCF6" w:rsidR="00992723" w:rsidRPr="000E3611" w:rsidRDefault="00992723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Diabetes, uncomplicated</w:t>
            </w:r>
          </w:p>
        </w:tc>
        <w:tc>
          <w:tcPr>
            <w:tcW w:w="2126" w:type="dxa"/>
            <w:vAlign w:val="center"/>
          </w:tcPr>
          <w:p w14:paraId="135A282B" w14:textId="4A997979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 [0.78, 0.85]</w:t>
            </w:r>
          </w:p>
        </w:tc>
        <w:tc>
          <w:tcPr>
            <w:tcW w:w="1134" w:type="dxa"/>
            <w:vAlign w:val="center"/>
          </w:tcPr>
          <w:p w14:paraId="16064738" w14:textId="7CD5E1F5" w:rsidR="00992723" w:rsidRPr="000E3611" w:rsidRDefault="00992723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10F1D8CF" w14:textId="09E6F927" w:rsidTr="00992723">
        <w:trPr>
          <w:trHeight w:val="291"/>
        </w:trPr>
        <w:tc>
          <w:tcPr>
            <w:tcW w:w="2263" w:type="dxa"/>
            <w:vAlign w:val="center"/>
          </w:tcPr>
          <w:p w14:paraId="76691D8E" w14:textId="1056029F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Weekend admission</w:t>
            </w:r>
          </w:p>
        </w:tc>
        <w:tc>
          <w:tcPr>
            <w:tcW w:w="1843" w:type="dxa"/>
            <w:vAlign w:val="center"/>
          </w:tcPr>
          <w:p w14:paraId="399FD55C" w14:textId="354C887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0.86 [0.82, 0.89]</w:t>
            </w:r>
          </w:p>
        </w:tc>
        <w:tc>
          <w:tcPr>
            <w:tcW w:w="1276" w:type="dxa"/>
            <w:vAlign w:val="center"/>
          </w:tcPr>
          <w:p w14:paraId="43C8FF2A" w14:textId="73B13A03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65BF9C9E" w14:textId="344A78DA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Diabetes with chronic complications</w:t>
            </w:r>
          </w:p>
        </w:tc>
        <w:tc>
          <w:tcPr>
            <w:tcW w:w="2126" w:type="dxa"/>
            <w:vAlign w:val="center"/>
          </w:tcPr>
          <w:p w14:paraId="02E84659" w14:textId="280B1EF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 [0.50, 0.59]</w:t>
            </w:r>
          </w:p>
        </w:tc>
        <w:tc>
          <w:tcPr>
            <w:tcW w:w="1134" w:type="dxa"/>
            <w:vAlign w:val="center"/>
          </w:tcPr>
          <w:p w14:paraId="4436F12D" w14:textId="4DB0709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6AF65577" w14:textId="0ACF1634" w:rsidTr="00992723">
        <w:trPr>
          <w:trHeight w:val="291"/>
        </w:trPr>
        <w:tc>
          <w:tcPr>
            <w:tcW w:w="2263" w:type="dxa"/>
            <w:vAlign w:val="center"/>
          </w:tcPr>
          <w:p w14:paraId="29173BEA" w14:textId="5DEF0F11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Primary expected payer,</w:t>
            </w:r>
          </w:p>
        </w:tc>
        <w:tc>
          <w:tcPr>
            <w:tcW w:w="1843" w:type="dxa"/>
            <w:vAlign w:val="center"/>
          </w:tcPr>
          <w:p w14:paraId="7B625B1E" w14:textId="2A21AE05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1.04 [1.03, 1.06]</w:t>
            </w:r>
          </w:p>
        </w:tc>
        <w:tc>
          <w:tcPr>
            <w:tcW w:w="1276" w:type="dxa"/>
            <w:vAlign w:val="center"/>
          </w:tcPr>
          <w:p w14:paraId="074E894F" w14:textId="3769751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4F9F4AE4" w14:textId="04DBBF1A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Drug abuse</w:t>
            </w:r>
          </w:p>
        </w:tc>
        <w:tc>
          <w:tcPr>
            <w:tcW w:w="2126" w:type="dxa"/>
            <w:vAlign w:val="center"/>
          </w:tcPr>
          <w:p w14:paraId="2D08DE80" w14:textId="7D3EFA0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 [0.76, 1.00]</w:t>
            </w:r>
          </w:p>
        </w:tc>
        <w:tc>
          <w:tcPr>
            <w:tcW w:w="1134" w:type="dxa"/>
            <w:vAlign w:val="center"/>
          </w:tcPr>
          <w:p w14:paraId="48BA756E" w14:textId="740B81A3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0.048</w:t>
            </w:r>
          </w:p>
        </w:tc>
      </w:tr>
      <w:tr w:rsidR="000E3611" w:rsidRPr="009921E8" w14:paraId="4AB98C36" w14:textId="3437CCFC" w:rsidTr="00992723">
        <w:trPr>
          <w:trHeight w:val="276"/>
        </w:trPr>
        <w:tc>
          <w:tcPr>
            <w:tcW w:w="2263" w:type="dxa"/>
            <w:vAlign w:val="center"/>
          </w:tcPr>
          <w:p w14:paraId="0739B829" w14:textId="5FB5649C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Median Household Income</w:t>
            </w:r>
          </w:p>
        </w:tc>
        <w:tc>
          <w:tcPr>
            <w:tcW w:w="1843" w:type="dxa"/>
            <w:vAlign w:val="center"/>
          </w:tcPr>
          <w:p w14:paraId="4C5AAF2C" w14:textId="0441C7F9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 [0.88, 0.90]</w:t>
            </w:r>
          </w:p>
        </w:tc>
        <w:tc>
          <w:tcPr>
            <w:tcW w:w="1276" w:type="dxa"/>
            <w:vAlign w:val="center"/>
          </w:tcPr>
          <w:p w14:paraId="4DFF0041" w14:textId="48DF7E30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40B7D20E" w14:textId="78793DFA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2126" w:type="dxa"/>
            <w:vAlign w:val="center"/>
          </w:tcPr>
          <w:p w14:paraId="67022ED6" w14:textId="5E4B921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 [0.95, 1.01]</w:t>
            </w:r>
          </w:p>
        </w:tc>
        <w:tc>
          <w:tcPr>
            <w:tcW w:w="1134" w:type="dxa"/>
            <w:vAlign w:val="center"/>
          </w:tcPr>
          <w:p w14:paraId="652C5D27" w14:textId="14302FF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0.164</w:t>
            </w:r>
          </w:p>
        </w:tc>
      </w:tr>
      <w:tr w:rsidR="000E3611" w:rsidRPr="009921E8" w14:paraId="740A6F0C" w14:textId="71FE8B0A" w:rsidTr="00992723">
        <w:trPr>
          <w:trHeight w:val="291"/>
        </w:trPr>
        <w:tc>
          <w:tcPr>
            <w:tcW w:w="2263" w:type="dxa"/>
            <w:vAlign w:val="center"/>
          </w:tcPr>
          <w:p w14:paraId="4B44E236" w14:textId="22DDB559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Cardiac arrest</w:t>
            </w:r>
          </w:p>
        </w:tc>
        <w:tc>
          <w:tcPr>
            <w:tcW w:w="1843" w:type="dxa"/>
            <w:vAlign w:val="center"/>
          </w:tcPr>
          <w:p w14:paraId="2CA70F5B" w14:textId="6E880C6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 [0.64, 0.77</w:t>
            </w:r>
          </w:p>
        </w:tc>
        <w:tc>
          <w:tcPr>
            <w:tcW w:w="1276" w:type="dxa"/>
            <w:vAlign w:val="center"/>
          </w:tcPr>
          <w:p w14:paraId="2004D274" w14:textId="3855AF78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77AE9882" w14:textId="17AD8FCB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Hypothyroidism</w:t>
            </w:r>
          </w:p>
        </w:tc>
        <w:tc>
          <w:tcPr>
            <w:tcW w:w="2126" w:type="dxa"/>
            <w:vAlign w:val="center"/>
          </w:tcPr>
          <w:p w14:paraId="001DAE1D" w14:textId="78722FE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1.07 [1.03, 1.11]</w:t>
            </w:r>
          </w:p>
        </w:tc>
        <w:tc>
          <w:tcPr>
            <w:tcW w:w="1134" w:type="dxa"/>
            <w:vAlign w:val="center"/>
          </w:tcPr>
          <w:p w14:paraId="36CE200C" w14:textId="4FA4332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71723EB3" w14:textId="1CB03E09" w:rsidTr="00992723">
        <w:trPr>
          <w:trHeight w:val="291"/>
        </w:trPr>
        <w:tc>
          <w:tcPr>
            <w:tcW w:w="2263" w:type="dxa"/>
            <w:vAlign w:val="center"/>
          </w:tcPr>
          <w:p w14:paraId="4F53276E" w14:textId="18C6EC39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Ventricular Tachycardia,</w:t>
            </w:r>
          </w:p>
        </w:tc>
        <w:tc>
          <w:tcPr>
            <w:tcW w:w="1843" w:type="dxa"/>
            <w:vAlign w:val="center"/>
          </w:tcPr>
          <w:p w14:paraId="441C7B68" w14:textId="7CBE368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1.78 [1.68, 1.87]</w:t>
            </w:r>
          </w:p>
        </w:tc>
        <w:tc>
          <w:tcPr>
            <w:tcW w:w="1276" w:type="dxa"/>
            <w:vAlign w:val="center"/>
          </w:tcPr>
          <w:p w14:paraId="13B71376" w14:textId="68610A6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4A294601" w14:textId="694BBD7A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Liver disease</w:t>
            </w:r>
          </w:p>
        </w:tc>
        <w:tc>
          <w:tcPr>
            <w:tcW w:w="2126" w:type="dxa"/>
            <w:vAlign w:val="center"/>
          </w:tcPr>
          <w:p w14:paraId="2C6F7CB9" w14:textId="19B0EEC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0.69 [0.61, 0.77]</w:t>
            </w:r>
          </w:p>
        </w:tc>
        <w:tc>
          <w:tcPr>
            <w:tcW w:w="1134" w:type="dxa"/>
            <w:vAlign w:val="center"/>
          </w:tcPr>
          <w:p w14:paraId="6B213BD5" w14:textId="33C41823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23ED2125" w14:textId="75014C7E" w:rsidTr="00992723">
        <w:trPr>
          <w:trHeight w:val="291"/>
        </w:trPr>
        <w:tc>
          <w:tcPr>
            <w:tcW w:w="2263" w:type="dxa"/>
            <w:vAlign w:val="center"/>
          </w:tcPr>
          <w:p w14:paraId="46DC5901" w14:textId="5A1ED205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Ventricular Fibrillation,</w:t>
            </w:r>
          </w:p>
        </w:tc>
        <w:tc>
          <w:tcPr>
            <w:tcW w:w="1843" w:type="dxa"/>
            <w:vAlign w:val="center"/>
          </w:tcPr>
          <w:p w14:paraId="0E4F5E7F" w14:textId="2690641E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1.64 [1.44, 1.87]</w:t>
            </w:r>
          </w:p>
        </w:tc>
        <w:tc>
          <w:tcPr>
            <w:tcW w:w="1276" w:type="dxa"/>
            <w:vAlign w:val="center"/>
          </w:tcPr>
          <w:p w14:paraId="15E8ED87" w14:textId="7D2C4932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045D3FD" w14:textId="04DECF22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Lymphoma</w:t>
            </w:r>
          </w:p>
        </w:tc>
        <w:tc>
          <w:tcPr>
            <w:tcW w:w="2126" w:type="dxa"/>
            <w:vAlign w:val="center"/>
          </w:tcPr>
          <w:p w14:paraId="01E25061" w14:textId="72BD0BB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1.08 [0.9, 1.29]</w:t>
            </w:r>
          </w:p>
        </w:tc>
        <w:tc>
          <w:tcPr>
            <w:tcW w:w="1134" w:type="dxa"/>
            <w:vAlign w:val="center"/>
          </w:tcPr>
          <w:p w14:paraId="363CC95D" w14:textId="5977467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0.421</w:t>
            </w:r>
          </w:p>
        </w:tc>
      </w:tr>
      <w:tr w:rsidR="000E3611" w:rsidRPr="009921E8" w14:paraId="58DDAD7A" w14:textId="5505CC27" w:rsidTr="00992723">
        <w:trPr>
          <w:trHeight w:val="291"/>
        </w:trPr>
        <w:tc>
          <w:tcPr>
            <w:tcW w:w="2263" w:type="dxa"/>
            <w:vAlign w:val="center"/>
          </w:tcPr>
          <w:p w14:paraId="5B1D5EC2" w14:textId="62631D62" w:rsidR="000E3611" w:rsidRPr="000E3611" w:rsidRDefault="009C2CCC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Dyslipidemia</w:t>
            </w:r>
          </w:p>
        </w:tc>
        <w:tc>
          <w:tcPr>
            <w:tcW w:w="1843" w:type="dxa"/>
            <w:vAlign w:val="center"/>
          </w:tcPr>
          <w:p w14:paraId="10C91BE9" w14:textId="10717F70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 [1.11, 1.18]</w:t>
            </w:r>
          </w:p>
        </w:tc>
        <w:tc>
          <w:tcPr>
            <w:tcW w:w="1276" w:type="dxa"/>
            <w:vAlign w:val="center"/>
          </w:tcPr>
          <w:p w14:paraId="0E406E8C" w14:textId="48B50F9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DD8841D" w14:textId="4FD64AAC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Fluid and electrolyte disorders</w:t>
            </w:r>
          </w:p>
        </w:tc>
        <w:tc>
          <w:tcPr>
            <w:tcW w:w="2126" w:type="dxa"/>
            <w:vAlign w:val="center"/>
          </w:tcPr>
          <w:p w14:paraId="365120FB" w14:textId="6AFB785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 [0.91, 0.98]</w:t>
            </w:r>
          </w:p>
        </w:tc>
        <w:tc>
          <w:tcPr>
            <w:tcW w:w="1134" w:type="dxa"/>
            <w:vAlign w:val="center"/>
          </w:tcPr>
          <w:p w14:paraId="733C421B" w14:textId="4C452D0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0.005</w:t>
            </w:r>
          </w:p>
        </w:tc>
      </w:tr>
      <w:tr w:rsidR="000E3611" w:rsidRPr="009921E8" w14:paraId="48CCB5ED" w14:textId="69C0EE08" w:rsidTr="00992723">
        <w:trPr>
          <w:trHeight w:val="276"/>
        </w:trPr>
        <w:tc>
          <w:tcPr>
            <w:tcW w:w="2263" w:type="dxa"/>
            <w:vAlign w:val="center"/>
          </w:tcPr>
          <w:p w14:paraId="4B54F923" w14:textId="1D121EC2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Smoking</w:t>
            </w:r>
          </w:p>
        </w:tc>
        <w:tc>
          <w:tcPr>
            <w:tcW w:w="1843" w:type="dxa"/>
            <w:vAlign w:val="center"/>
          </w:tcPr>
          <w:p w14:paraId="15E68910" w14:textId="459ED769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1.20 [1.13, 1.28]</w:t>
            </w:r>
          </w:p>
        </w:tc>
        <w:tc>
          <w:tcPr>
            <w:tcW w:w="1276" w:type="dxa"/>
            <w:vAlign w:val="center"/>
          </w:tcPr>
          <w:p w14:paraId="4824DA04" w14:textId="0B32B91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62B2C61F" w14:textId="14DD23A9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Metastatic cancer</w:t>
            </w:r>
          </w:p>
        </w:tc>
        <w:tc>
          <w:tcPr>
            <w:tcW w:w="2126" w:type="dxa"/>
            <w:vAlign w:val="center"/>
          </w:tcPr>
          <w:p w14:paraId="7F676CDF" w14:textId="02ADD42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 [0.23, 0.39]</w:t>
            </w:r>
          </w:p>
        </w:tc>
        <w:tc>
          <w:tcPr>
            <w:tcW w:w="1134" w:type="dxa"/>
            <w:vAlign w:val="center"/>
          </w:tcPr>
          <w:p w14:paraId="130DFF17" w14:textId="61AF9F4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7C4611CA" w14:textId="1AFFDAAB" w:rsidTr="00992723">
        <w:trPr>
          <w:trHeight w:val="291"/>
        </w:trPr>
        <w:tc>
          <w:tcPr>
            <w:tcW w:w="2263" w:type="dxa"/>
            <w:vAlign w:val="center"/>
          </w:tcPr>
          <w:p w14:paraId="706C2334" w14:textId="76D10394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Atrial Fibrillation</w:t>
            </w:r>
          </w:p>
        </w:tc>
        <w:tc>
          <w:tcPr>
            <w:tcW w:w="1843" w:type="dxa"/>
            <w:vAlign w:val="center"/>
          </w:tcPr>
          <w:p w14:paraId="7F8F877C" w14:textId="05FF6F9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1.07 [1.04, 1.10]</w:t>
            </w:r>
          </w:p>
        </w:tc>
        <w:tc>
          <w:tcPr>
            <w:tcW w:w="1276" w:type="dxa"/>
            <w:vAlign w:val="center"/>
          </w:tcPr>
          <w:p w14:paraId="404D9B28" w14:textId="4AE65EB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57282AB1" w14:textId="297E1D7F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Other neurological disorders</w:t>
            </w:r>
          </w:p>
        </w:tc>
        <w:tc>
          <w:tcPr>
            <w:tcW w:w="2126" w:type="dxa"/>
            <w:vAlign w:val="center"/>
          </w:tcPr>
          <w:p w14:paraId="3AFA9C5F" w14:textId="663E4C2E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0.87 [0.82, 0.92]</w:t>
            </w:r>
          </w:p>
        </w:tc>
        <w:tc>
          <w:tcPr>
            <w:tcW w:w="1134" w:type="dxa"/>
            <w:vAlign w:val="center"/>
          </w:tcPr>
          <w:p w14:paraId="654FEF17" w14:textId="7EFD5FA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3A6C35C5" w14:textId="46942005" w:rsidTr="00992723">
        <w:trPr>
          <w:trHeight w:val="291"/>
        </w:trPr>
        <w:tc>
          <w:tcPr>
            <w:tcW w:w="2263" w:type="dxa"/>
            <w:vAlign w:val="center"/>
          </w:tcPr>
          <w:p w14:paraId="27255E6E" w14:textId="1C864BC8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Previous AMI</w:t>
            </w:r>
          </w:p>
        </w:tc>
        <w:tc>
          <w:tcPr>
            <w:tcW w:w="1843" w:type="dxa"/>
            <w:vAlign w:val="center"/>
          </w:tcPr>
          <w:p w14:paraId="5FA4791A" w14:textId="53318EC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 [0.91, 1.02]</w:t>
            </w:r>
          </w:p>
        </w:tc>
        <w:tc>
          <w:tcPr>
            <w:tcW w:w="1276" w:type="dxa"/>
            <w:vAlign w:val="center"/>
          </w:tcPr>
          <w:p w14:paraId="43C6BDCD" w14:textId="0557BCF5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2835" w:type="dxa"/>
            <w:vAlign w:val="center"/>
          </w:tcPr>
          <w:p w14:paraId="3000958F" w14:textId="594B1C19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Obesity</w:t>
            </w:r>
          </w:p>
        </w:tc>
        <w:tc>
          <w:tcPr>
            <w:tcW w:w="2126" w:type="dxa"/>
            <w:vAlign w:val="center"/>
          </w:tcPr>
          <w:p w14:paraId="217666B1" w14:textId="3181DF4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1.04 [0.99, 1.09]</w:t>
            </w:r>
          </w:p>
        </w:tc>
        <w:tc>
          <w:tcPr>
            <w:tcW w:w="1134" w:type="dxa"/>
            <w:vAlign w:val="center"/>
          </w:tcPr>
          <w:p w14:paraId="187D81EF" w14:textId="5E6035E2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0.137</w:t>
            </w:r>
          </w:p>
        </w:tc>
      </w:tr>
      <w:tr w:rsidR="000E3611" w:rsidRPr="009921E8" w14:paraId="060FA9B5" w14:textId="21EE59CF" w:rsidTr="00992723">
        <w:trPr>
          <w:trHeight w:val="291"/>
        </w:trPr>
        <w:tc>
          <w:tcPr>
            <w:tcW w:w="2263" w:type="dxa"/>
            <w:vAlign w:val="center"/>
          </w:tcPr>
          <w:p w14:paraId="6457874D" w14:textId="0B83751F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History of IHD</w:t>
            </w:r>
          </w:p>
        </w:tc>
        <w:tc>
          <w:tcPr>
            <w:tcW w:w="1843" w:type="dxa"/>
            <w:vAlign w:val="center"/>
          </w:tcPr>
          <w:p w14:paraId="0CEE92C8" w14:textId="6582C050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1.13 [1.09, 1.16]</w:t>
            </w:r>
          </w:p>
        </w:tc>
        <w:tc>
          <w:tcPr>
            <w:tcW w:w="1276" w:type="dxa"/>
            <w:vAlign w:val="center"/>
          </w:tcPr>
          <w:p w14:paraId="3781B529" w14:textId="22EB3958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182C608A" w14:textId="2BFFFFB0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Paralysis</w:t>
            </w:r>
          </w:p>
        </w:tc>
        <w:tc>
          <w:tcPr>
            <w:tcW w:w="2126" w:type="dxa"/>
            <w:vAlign w:val="center"/>
          </w:tcPr>
          <w:p w14:paraId="798051DD" w14:textId="1700BB9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 [0.51, 0.64]</w:t>
            </w:r>
          </w:p>
        </w:tc>
        <w:tc>
          <w:tcPr>
            <w:tcW w:w="1134" w:type="dxa"/>
            <w:vAlign w:val="center"/>
          </w:tcPr>
          <w:p w14:paraId="7DC66E43" w14:textId="12292942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421D24B3" w14:textId="4080F5D4" w:rsidTr="00992723">
        <w:trPr>
          <w:trHeight w:val="276"/>
        </w:trPr>
        <w:tc>
          <w:tcPr>
            <w:tcW w:w="2263" w:type="dxa"/>
            <w:vAlign w:val="center"/>
          </w:tcPr>
          <w:p w14:paraId="21EE46FE" w14:textId="69603807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Previous PCI</w:t>
            </w:r>
          </w:p>
        </w:tc>
        <w:tc>
          <w:tcPr>
            <w:tcW w:w="1843" w:type="dxa"/>
            <w:vAlign w:val="center"/>
          </w:tcPr>
          <w:p w14:paraId="4D2647A1" w14:textId="1054E31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1.41 [1.33, 1.49]</w:t>
            </w:r>
          </w:p>
        </w:tc>
        <w:tc>
          <w:tcPr>
            <w:tcW w:w="1276" w:type="dxa"/>
            <w:vAlign w:val="center"/>
          </w:tcPr>
          <w:p w14:paraId="5096BEA8" w14:textId="0DC2BC4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650BFEB5" w14:textId="5020928E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Peripheral vascular disorders</w:t>
            </w:r>
          </w:p>
        </w:tc>
        <w:tc>
          <w:tcPr>
            <w:tcW w:w="2126" w:type="dxa"/>
            <w:vAlign w:val="center"/>
          </w:tcPr>
          <w:p w14:paraId="18373F85" w14:textId="0CA339A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0.90 [0.85, 0.95]</w:t>
            </w:r>
          </w:p>
        </w:tc>
        <w:tc>
          <w:tcPr>
            <w:tcW w:w="1134" w:type="dxa"/>
            <w:vAlign w:val="center"/>
          </w:tcPr>
          <w:p w14:paraId="3DE472A5" w14:textId="6CE7EDB2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7967F0F7" w14:textId="000F0953" w:rsidTr="00992723">
        <w:trPr>
          <w:trHeight w:val="291"/>
        </w:trPr>
        <w:tc>
          <w:tcPr>
            <w:tcW w:w="2263" w:type="dxa"/>
            <w:vAlign w:val="center"/>
          </w:tcPr>
          <w:p w14:paraId="7315AF8E" w14:textId="56C4DB89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Previous CABG</w:t>
            </w:r>
          </w:p>
        </w:tc>
        <w:tc>
          <w:tcPr>
            <w:tcW w:w="1843" w:type="dxa"/>
            <w:vAlign w:val="center"/>
          </w:tcPr>
          <w:p w14:paraId="21FCD432" w14:textId="4514C2E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1.04 [0.99, 1.08]</w:t>
            </w:r>
          </w:p>
        </w:tc>
        <w:tc>
          <w:tcPr>
            <w:tcW w:w="1276" w:type="dxa"/>
            <w:vAlign w:val="center"/>
          </w:tcPr>
          <w:p w14:paraId="7B655482" w14:textId="6ADF9C13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2835" w:type="dxa"/>
            <w:vAlign w:val="center"/>
          </w:tcPr>
          <w:p w14:paraId="1F4A4954" w14:textId="1896B5AF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Psychoses</w:t>
            </w:r>
          </w:p>
        </w:tc>
        <w:tc>
          <w:tcPr>
            <w:tcW w:w="2126" w:type="dxa"/>
            <w:vAlign w:val="center"/>
          </w:tcPr>
          <w:p w14:paraId="7FEBE95D" w14:textId="68C4C35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 [0.71, 0.85]</w:t>
            </w:r>
          </w:p>
        </w:tc>
        <w:tc>
          <w:tcPr>
            <w:tcW w:w="1134" w:type="dxa"/>
            <w:vAlign w:val="center"/>
          </w:tcPr>
          <w:p w14:paraId="098A2A12" w14:textId="5F8655A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005DC596" w14:textId="147CBD5F" w:rsidTr="00992723">
        <w:trPr>
          <w:trHeight w:val="291"/>
        </w:trPr>
        <w:tc>
          <w:tcPr>
            <w:tcW w:w="2263" w:type="dxa"/>
            <w:vAlign w:val="center"/>
          </w:tcPr>
          <w:p w14:paraId="239429BF" w14:textId="2A7634A2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Previous CVA</w:t>
            </w:r>
          </w:p>
        </w:tc>
        <w:tc>
          <w:tcPr>
            <w:tcW w:w="1843" w:type="dxa"/>
            <w:vAlign w:val="center"/>
          </w:tcPr>
          <w:p w14:paraId="06123B2A" w14:textId="5FBC814F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 [0.89, 1.03]</w:t>
            </w:r>
          </w:p>
        </w:tc>
        <w:tc>
          <w:tcPr>
            <w:tcW w:w="1276" w:type="dxa"/>
            <w:vAlign w:val="center"/>
          </w:tcPr>
          <w:p w14:paraId="04746545" w14:textId="3690E99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2835" w:type="dxa"/>
            <w:vAlign w:val="center"/>
          </w:tcPr>
          <w:p w14:paraId="641F31F7" w14:textId="3F914708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Pulmonary circulation disorders</w:t>
            </w:r>
          </w:p>
        </w:tc>
        <w:tc>
          <w:tcPr>
            <w:tcW w:w="2126" w:type="dxa"/>
            <w:vAlign w:val="center"/>
          </w:tcPr>
          <w:p w14:paraId="1BCCBDAE" w14:textId="435EC37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 [0.64, 0.86]</w:t>
            </w:r>
          </w:p>
        </w:tc>
        <w:tc>
          <w:tcPr>
            <w:tcW w:w="1134" w:type="dxa"/>
            <w:vAlign w:val="center"/>
          </w:tcPr>
          <w:p w14:paraId="271F4EDB" w14:textId="257C8F1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5C87FACB" w14:textId="7720ED77" w:rsidTr="00992723">
        <w:trPr>
          <w:trHeight w:val="291"/>
        </w:trPr>
        <w:tc>
          <w:tcPr>
            <w:tcW w:w="2263" w:type="dxa"/>
            <w:vAlign w:val="center"/>
          </w:tcPr>
          <w:p w14:paraId="2871C3D7" w14:textId="75ED294D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Family history of CAD</w:t>
            </w:r>
          </w:p>
        </w:tc>
        <w:tc>
          <w:tcPr>
            <w:tcW w:w="1843" w:type="dxa"/>
            <w:vAlign w:val="center"/>
          </w:tcPr>
          <w:p w14:paraId="2F72D95D" w14:textId="5DB19A8F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1.40 [1.27, 1.55]</w:t>
            </w:r>
          </w:p>
        </w:tc>
        <w:tc>
          <w:tcPr>
            <w:tcW w:w="1276" w:type="dxa"/>
            <w:vAlign w:val="center"/>
          </w:tcPr>
          <w:p w14:paraId="640986DF" w14:textId="22C2A6C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885BDA0" w14:textId="368ADC78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Renal failure</w:t>
            </w:r>
          </w:p>
        </w:tc>
        <w:tc>
          <w:tcPr>
            <w:tcW w:w="2126" w:type="dxa"/>
            <w:vAlign w:val="center"/>
          </w:tcPr>
          <w:p w14:paraId="7DC88427" w14:textId="0838C362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0.84 [0.78, 0.91]</w:t>
            </w:r>
          </w:p>
        </w:tc>
        <w:tc>
          <w:tcPr>
            <w:tcW w:w="1134" w:type="dxa"/>
            <w:vAlign w:val="center"/>
          </w:tcPr>
          <w:p w14:paraId="30B6ED0B" w14:textId="04AC4DA3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54E075F0" w14:textId="74B09CA7" w:rsidTr="00992723">
        <w:trPr>
          <w:trHeight w:val="291"/>
        </w:trPr>
        <w:tc>
          <w:tcPr>
            <w:tcW w:w="2263" w:type="dxa"/>
            <w:vAlign w:val="center"/>
          </w:tcPr>
          <w:p w14:paraId="67AD1928" w14:textId="039A105D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AIDS</w:t>
            </w:r>
          </w:p>
        </w:tc>
        <w:tc>
          <w:tcPr>
            <w:tcW w:w="1843" w:type="dxa"/>
            <w:vAlign w:val="center"/>
          </w:tcPr>
          <w:p w14:paraId="76AB0472" w14:textId="6B2E026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 [0.16, 0.53]</w:t>
            </w:r>
          </w:p>
        </w:tc>
        <w:tc>
          <w:tcPr>
            <w:tcW w:w="1276" w:type="dxa"/>
            <w:vAlign w:val="center"/>
          </w:tcPr>
          <w:p w14:paraId="19D67F5B" w14:textId="367E860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0631BB77" w14:textId="1BC8D28B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Solid </w:t>
            </w:r>
            <w:r w:rsidR="009C2CCC"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tumor</w:t>
            </w: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without metastasis</w:t>
            </w:r>
          </w:p>
        </w:tc>
        <w:tc>
          <w:tcPr>
            <w:tcW w:w="2126" w:type="dxa"/>
            <w:vAlign w:val="center"/>
          </w:tcPr>
          <w:p w14:paraId="3CF177A2" w14:textId="4EA4E00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1.16 [1.03, 1.31]</w:t>
            </w:r>
          </w:p>
        </w:tc>
        <w:tc>
          <w:tcPr>
            <w:tcW w:w="1134" w:type="dxa"/>
            <w:vAlign w:val="center"/>
          </w:tcPr>
          <w:p w14:paraId="0303A366" w14:textId="2633C2E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0.016</w:t>
            </w:r>
          </w:p>
        </w:tc>
      </w:tr>
      <w:tr w:rsidR="000E3611" w:rsidRPr="009921E8" w14:paraId="4BF544D5" w14:textId="3DA041FE" w:rsidTr="00992723">
        <w:trPr>
          <w:trHeight w:val="276"/>
        </w:trPr>
        <w:tc>
          <w:tcPr>
            <w:tcW w:w="2263" w:type="dxa"/>
            <w:vAlign w:val="center"/>
          </w:tcPr>
          <w:p w14:paraId="421954A6" w14:textId="4C076F64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Alcohol abuse</w:t>
            </w:r>
          </w:p>
        </w:tc>
        <w:tc>
          <w:tcPr>
            <w:tcW w:w="1843" w:type="dxa"/>
            <w:vAlign w:val="center"/>
          </w:tcPr>
          <w:p w14:paraId="60D143B0" w14:textId="18386BB7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 [0.79, 1.00]</w:t>
            </w:r>
          </w:p>
        </w:tc>
        <w:tc>
          <w:tcPr>
            <w:tcW w:w="1276" w:type="dxa"/>
            <w:vAlign w:val="center"/>
          </w:tcPr>
          <w:p w14:paraId="571E998B" w14:textId="6F16DE40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2835" w:type="dxa"/>
            <w:vAlign w:val="center"/>
          </w:tcPr>
          <w:p w14:paraId="5F90C118" w14:textId="2AC95856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Valvular disease</w:t>
            </w:r>
          </w:p>
        </w:tc>
        <w:tc>
          <w:tcPr>
            <w:tcW w:w="2126" w:type="dxa"/>
            <w:vAlign w:val="center"/>
          </w:tcPr>
          <w:p w14:paraId="4F4CA9EF" w14:textId="094EA01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0.83 [0.75, 0.92]</w:t>
            </w:r>
          </w:p>
        </w:tc>
        <w:tc>
          <w:tcPr>
            <w:tcW w:w="1134" w:type="dxa"/>
            <w:vAlign w:val="center"/>
          </w:tcPr>
          <w:p w14:paraId="3C36568E" w14:textId="2860DC84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</w:t>
            </w:r>
          </w:p>
        </w:tc>
      </w:tr>
      <w:tr w:rsidR="000E3611" w:rsidRPr="009921E8" w14:paraId="7BF8B549" w14:textId="0BA36CB1" w:rsidTr="00992723">
        <w:trPr>
          <w:trHeight w:val="291"/>
        </w:trPr>
        <w:tc>
          <w:tcPr>
            <w:tcW w:w="2263" w:type="dxa"/>
            <w:vAlign w:val="center"/>
          </w:tcPr>
          <w:p w14:paraId="1B5E8954" w14:textId="318E75BA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 xml:space="preserve">Deficiency </w:t>
            </w:r>
            <w:r w:rsidR="009C2CCC" w:rsidRPr="000E3611">
              <w:rPr>
                <w:rFonts w:asciiTheme="majorBidi" w:hAnsiTheme="majorBidi" w:cstheme="majorBidi"/>
                <w:sz w:val="20"/>
                <w:szCs w:val="20"/>
              </w:rPr>
              <w:t>anemias</w:t>
            </w:r>
          </w:p>
        </w:tc>
        <w:tc>
          <w:tcPr>
            <w:tcW w:w="1843" w:type="dxa"/>
            <w:vAlign w:val="center"/>
          </w:tcPr>
          <w:p w14:paraId="14C72F37" w14:textId="1CAD1AF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1.01 [0.97, 1.05]</w:t>
            </w:r>
          </w:p>
        </w:tc>
        <w:tc>
          <w:tcPr>
            <w:tcW w:w="1276" w:type="dxa"/>
            <w:vAlign w:val="center"/>
          </w:tcPr>
          <w:p w14:paraId="386B0056" w14:textId="73217BB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2835" w:type="dxa"/>
            <w:vAlign w:val="center"/>
          </w:tcPr>
          <w:p w14:paraId="267070AB" w14:textId="26F869FA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Weight loss</w:t>
            </w:r>
          </w:p>
        </w:tc>
        <w:tc>
          <w:tcPr>
            <w:tcW w:w="2126" w:type="dxa"/>
            <w:vAlign w:val="center"/>
          </w:tcPr>
          <w:p w14:paraId="429F08C4" w14:textId="2306743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1.06 [0.97, 1.16]</w:t>
            </w:r>
          </w:p>
        </w:tc>
        <w:tc>
          <w:tcPr>
            <w:tcW w:w="1134" w:type="dxa"/>
            <w:vAlign w:val="center"/>
          </w:tcPr>
          <w:p w14:paraId="2890291B" w14:textId="49A6088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0.208</w:t>
            </w:r>
          </w:p>
        </w:tc>
      </w:tr>
      <w:tr w:rsidR="000E3611" w:rsidRPr="009921E8" w14:paraId="3ACF7566" w14:textId="3D85B49F" w:rsidTr="00992723">
        <w:trPr>
          <w:trHeight w:val="291"/>
        </w:trPr>
        <w:tc>
          <w:tcPr>
            <w:tcW w:w="2263" w:type="dxa"/>
            <w:vAlign w:val="center"/>
          </w:tcPr>
          <w:p w14:paraId="0F4FADC1" w14:textId="6187FA20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 xml:space="preserve">Chronic Blood loss </w:t>
            </w:r>
            <w:r w:rsidR="009C2CCC" w:rsidRPr="000E3611">
              <w:rPr>
                <w:rFonts w:asciiTheme="majorBidi" w:hAnsiTheme="majorBidi" w:cstheme="majorBidi"/>
                <w:sz w:val="20"/>
                <w:szCs w:val="20"/>
              </w:rPr>
              <w:t>anemia</w:t>
            </w:r>
          </w:p>
        </w:tc>
        <w:tc>
          <w:tcPr>
            <w:tcW w:w="1843" w:type="dxa"/>
            <w:vAlign w:val="center"/>
          </w:tcPr>
          <w:p w14:paraId="7EC97EE1" w14:textId="441676F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1.06 [0.90, 1.24]</w:t>
            </w:r>
          </w:p>
        </w:tc>
        <w:tc>
          <w:tcPr>
            <w:tcW w:w="1276" w:type="dxa"/>
            <w:vAlign w:val="center"/>
          </w:tcPr>
          <w:p w14:paraId="13157FAB" w14:textId="159E6A5B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2835" w:type="dxa"/>
            <w:vAlign w:val="center"/>
          </w:tcPr>
          <w:p w14:paraId="6F77DF75" w14:textId="01A1D7A6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2126" w:type="dxa"/>
            <w:vAlign w:val="center"/>
          </w:tcPr>
          <w:p w14:paraId="64C47394" w14:textId="38DA9C0D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 [0.52, 0.63]</w:t>
            </w:r>
          </w:p>
        </w:tc>
        <w:tc>
          <w:tcPr>
            <w:tcW w:w="1134" w:type="dxa"/>
            <w:vAlign w:val="center"/>
          </w:tcPr>
          <w:p w14:paraId="35799B5B" w14:textId="35A160A9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29FE3AB5" w14:textId="1549C53B" w:rsidTr="00992723">
        <w:trPr>
          <w:trHeight w:val="291"/>
        </w:trPr>
        <w:tc>
          <w:tcPr>
            <w:tcW w:w="2263" w:type="dxa"/>
            <w:vAlign w:val="center"/>
          </w:tcPr>
          <w:p w14:paraId="5EDABFCC" w14:textId="77777777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RA/collagen vascular</w:t>
            </w:r>
          </w:p>
          <w:p w14:paraId="43D79F53" w14:textId="08FCCBA8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diseases</w:t>
            </w:r>
          </w:p>
        </w:tc>
        <w:tc>
          <w:tcPr>
            <w:tcW w:w="1843" w:type="dxa"/>
            <w:vAlign w:val="center"/>
          </w:tcPr>
          <w:p w14:paraId="420801C1" w14:textId="3B4F3D7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 [0.90, 1.09]</w:t>
            </w:r>
          </w:p>
        </w:tc>
        <w:tc>
          <w:tcPr>
            <w:tcW w:w="1276" w:type="dxa"/>
            <w:vAlign w:val="center"/>
          </w:tcPr>
          <w:p w14:paraId="48381158" w14:textId="2A3803DA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2835" w:type="dxa"/>
            <w:vAlign w:val="center"/>
          </w:tcPr>
          <w:p w14:paraId="1FC78E11" w14:textId="0B0612B5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CCI score</w:t>
            </w:r>
          </w:p>
        </w:tc>
        <w:tc>
          <w:tcPr>
            <w:tcW w:w="2126" w:type="dxa"/>
            <w:vAlign w:val="center"/>
          </w:tcPr>
          <w:p w14:paraId="45A1E6BC" w14:textId="03085F08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1.14 [1.11, 1.18]</w:t>
            </w:r>
          </w:p>
        </w:tc>
        <w:tc>
          <w:tcPr>
            <w:tcW w:w="1134" w:type="dxa"/>
            <w:vAlign w:val="center"/>
          </w:tcPr>
          <w:p w14:paraId="506DA231" w14:textId="73326F00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32F815E2" w14:textId="18F4050C" w:rsidTr="00992723">
        <w:trPr>
          <w:trHeight w:val="276"/>
        </w:trPr>
        <w:tc>
          <w:tcPr>
            <w:tcW w:w="2263" w:type="dxa"/>
            <w:vAlign w:val="center"/>
          </w:tcPr>
          <w:p w14:paraId="191EEE26" w14:textId="7556A72D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sz w:val="20"/>
                <w:szCs w:val="20"/>
              </w:rPr>
              <w:t>Heart Failure</w:t>
            </w:r>
          </w:p>
        </w:tc>
        <w:tc>
          <w:tcPr>
            <w:tcW w:w="1843" w:type="dxa"/>
            <w:vAlign w:val="center"/>
          </w:tcPr>
          <w:p w14:paraId="52A2EAB7" w14:textId="13297426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1.36 [1.32, 1.41]</w:t>
            </w:r>
          </w:p>
        </w:tc>
        <w:tc>
          <w:tcPr>
            <w:tcW w:w="1276" w:type="dxa"/>
            <w:vAlign w:val="center"/>
          </w:tcPr>
          <w:p w14:paraId="4F135030" w14:textId="5D39893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5DF0E711" w14:textId="70D93C93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ICD in situ</w:t>
            </w:r>
          </w:p>
        </w:tc>
        <w:tc>
          <w:tcPr>
            <w:tcW w:w="2126" w:type="dxa"/>
            <w:vAlign w:val="center"/>
          </w:tcPr>
          <w:p w14:paraId="7DDD4E2A" w14:textId="58F5C19F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2.21[2.09, 2.33]</w:t>
            </w:r>
          </w:p>
        </w:tc>
        <w:tc>
          <w:tcPr>
            <w:tcW w:w="1134" w:type="dxa"/>
            <w:vAlign w:val="center"/>
          </w:tcPr>
          <w:p w14:paraId="15315E44" w14:textId="6711D217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</w:tr>
      <w:tr w:rsidR="000E3611" w:rsidRPr="009921E8" w14:paraId="63DAF25C" w14:textId="21FA03F6" w:rsidTr="00992723">
        <w:trPr>
          <w:trHeight w:val="291"/>
        </w:trPr>
        <w:tc>
          <w:tcPr>
            <w:tcW w:w="2263" w:type="dxa"/>
            <w:vAlign w:val="center"/>
          </w:tcPr>
          <w:p w14:paraId="3FF09A7E" w14:textId="1324CCD4" w:rsidR="000E3611" w:rsidRPr="000E3611" w:rsidRDefault="000E3611" w:rsidP="009927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Chronic pulmonary disease</w:t>
            </w:r>
          </w:p>
        </w:tc>
        <w:tc>
          <w:tcPr>
            <w:tcW w:w="1843" w:type="dxa"/>
            <w:vAlign w:val="center"/>
          </w:tcPr>
          <w:p w14:paraId="0C63AD77" w14:textId="7E0A06BE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 [0.69, 0.76]</w:t>
            </w:r>
          </w:p>
        </w:tc>
        <w:tc>
          <w:tcPr>
            <w:tcW w:w="1276" w:type="dxa"/>
            <w:vAlign w:val="center"/>
          </w:tcPr>
          <w:p w14:paraId="670271F7" w14:textId="761BBCD1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E361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2835" w:type="dxa"/>
            <w:vAlign w:val="center"/>
          </w:tcPr>
          <w:p w14:paraId="34F1652C" w14:textId="6EF848C0" w:rsidR="000E3611" w:rsidRPr="000E3611" w:rsidRDefault="000E3611" w:rsidP="0099272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BC308FA" w14:textId="460BF2BF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282C11" w14:textId="536C731C" w:rsidR="000E3611" w:rsidRPr="000E3611" w:rsidRDefault="000E3611" w:rsidP="0099272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</w:tbl>
    <w:p w14:paraId="1CFD279C" w14:textId="1344F672" w:rsidR="00F57ABC" w:rsidRDefault="00F57ABC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7A2D957E" w14:textId="41CCF364" w:rsidR="00074D3E" w:rsidRDefault="00074D3E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6EA21D77" w14:textId="5C514BC6" w:rsidR="00074D3E" w:rsidRDefault="00074D3E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35D4DA59" w14:textId="41C965FE" w:rsidR="00074D3E" w:rsidRDefault="00074D3E" w:rsidP="00D30F42">
      <w:pPr>
        <w:outlineLvl w:val="0"/>
        <w:rPr>
          <w:color w:val="1F3864" w:themeColor="accent5" w:themeShade="80"/>
          <w:sz w:val="18"/>
          <w:szCs w:val="18"/>
        </w:rPr>
      </w:pPr>
    </w:p>
    <w:p w14:paraId="296B208F" w14:textId="77777777" w:rsidR="00074D3E" w:rsidRDefault="00074D3E" w:rsidP="00D30F42">
      <w:pPr>
        <w:outlineLvl w:val="0"/>
        <w:rPr>
          <w:color w:val="1F3864" w:themeColor="accent5" w:themeShade="80"/>
          <w:sz w:val="18"/>
          <w:szCs w:val="18"/>
        </w:rPr>
      </w:pPr>
    </w:p>
    <w:sectPr w:rsidR="00074D3E" w:rsidSect="00AC220D">
      <w:pgSz w:w="16838" w:h="11906" w:orient="landscape"/>
      <w:pgMar w:top="612" w:right="1440" w:bottom="9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80D7" w14:textId="77777777" w:rsidR="007B6303" w:rsidRDefault="007B6303" w:rsidP="00D671EA">
      <w:r>
        <w:separator/>
      </w:r>
    </w:p>
  </w:endnote>
  <w:endnote w:type="continuationSeparator" w:id="0">
    <w:p w14:paraId="71AA198C" w14:textId="77777777" w:rsidR="007B6303" w:rsidRDefault="007B6303" w:rsidP="00D6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26ED5" w14:textId="77777777" w:rsidR="007B6303" w:rsidRDefault="007B6303" w:rsidP="00D671EA">
      <w:r>
        <w:separator/>
      </w:r>
    </w:p>
  </w:footnote>
  <w:footnote w:type="continuationSeparator" w:id="0">
    <w:p w14:paraId="4A29D10B" w14:textId="77777777" w:rsidR="007B6303" w:rsidRDefault="007B6303" w:rsidP="00D6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17"/>
    <w:rsid w:val="00013A49"/>
    <w:rsid w:val="0002052F"/>
    <w:rsid w:val="0002091F"/>
    <w:rsid w:val="00025851"/>
    <w:rsid w:val="00025FA9"/>
    <w:rsid w:val="00032661"/>
    <w:rsid w:val="0003388C"/>
    <w:rsid w:val="000340A9"/>
    <w:rsid w:val="00034349"/>
    <w:rsid w:val="00034929"/>
    <w:rsid w:val="000406B0"/>
    <w:rsid w:val="0004110A"/>
    <w:rsid w:val="000448BD"/>
    <w:rsid w:val="00051977"/>
    <w:rsid w:val="00054EFB"/>
    <w:rsid w:val="00057089"/>
    <w:rsid w:val="00062F57"/>
    <w:rsid w:val="000676C7"/>
    <w:rsid w:val="00074557"/>
    <w:rsid w:val="00074D3E"/>
    <w:rsid w:val="000774A0"/>
    <w:rsid w:val="00081486"/>
    <w:rsid w:val="0008175E"/>
    <w:rsid w:val="00082278"/>
    <w:rsid w:val="00084B46"/>
    <w:rsid w:val="00091F8C"/>
    <w:rsid w:val="00094CFB"/>
    <w:rsid w:val="00096F3C"/>
    <w:rsid w:val="000A072C"/>
    <w:rsid w:val="000A16B2"/>
    <w:rsid w:val="000A384F"/>
    <w:rsid w:val="000B02FD"/>
    <w:rsid w:val="000B4820"/>
    <w:rsid w:val="000B6CF4"/>
    <w:rsid w:val="000D06C5"/>
    <w:rsid w:val="000D4B2C"/>
    <w:rsid w:val="000E26A0"/>
    <w:rsid w:val="000E3547"/>
    <w:rsid w:val="000E3611"/>
    <w:rsid w:val="000F3C60"/>
    <w:rsid w:val="00122D48"/>
    <w:rsid w:val="00122EF7"/>
    <w:rsid w:val="001277D9"/>
    <w:rsid w:val="00137561"/>
    <w:rsid w:val="001405A5"/>
    <w:rsid w:val="0014184A"/>
    <w:rsid w:val="00145E23"/>
    <w:rsid w:val="00147AC3"/>
    <w:rsid w:val="001521F5"/>
    <w:rsid w:val="001649D2"/>
    <w:rsid w:val="00166DFD"/>
    <w:rsid w:val="00175432"/>
    <w:rsid w:val="00182F32"/>
    <w:rsid w:val="00185EA3"/>
    <w:rsid w:val="00193DD8"/>
    <w:rsid w:val="00196DAD"/>
    <w:rsid w:val="00196E91"/>
    <w:rsid w:val="001A42CE"/>
    <w:rsid w:val="001B23E1"/>
    <w:rsid w:val="001C6EA2"/>
    <w:rsid w:val="001D0D3C"/>
    <w:rsid w:val="001D3273"/>
    <w:rsid w:val="001D546B"/>
    <w:rsid w:val="001E177D"/>
    <w:rsid w:val="001E4D81"/>
    <w:rsid w:val="001E52F1"/>
    <w:rsid w:val="001F6826"/>
    <w:rsid w:val="001F7A13"/>
    <w:rsid w:val="002148F7"/>
    <w:rsid w:val="00216B8D"/>
    <w:rsid w:val="00224392"/>
    <w:rsid w:val="00230BF7"/>
    <w:rsid w:val="00233A4C"/>
    <w:rsid w:val="002375FC"/>
    <w:rsid w:val="002400B3"/>
    <w:rsid w:val="002434CB"/>
    <w:rsid w:val="0024545F"/>
    <w:rsid w:val="00247605"/>
    <w:rsid w:val="00252639"/>
    <w:rsid w:val="002536A4"/>
    <w:rsid w:val="0025577F"/>
    <w:rsid w:val="0025795E"/>
    <w:rsid w:val="002620CF"/>
    <w:rsid w:val="00262C95"/>
    <w:rsid w:val="0026375B"/>
    <w:rsid w:val="00264311"/>
    <w:rsid w:val="0026504E"/>
    <w:rsid w:val="00267A9E"/>
    <w:rsid w:val="00270A94"/>
    <w:rsid w:val="002759E6"/>
    <w:rsid w:val="00276D8D"/>
    <w:rsid w:val="002804F4"/>
    <w:rsid w:val="002818B4"/>
    <w:rsid w:val="002907D9"/>
    <w:rsid w:val="002955AB"/>
    <w:rsid w:val="002962EB"/>
    <w:rsid w:val="002A08B4"/>
    <w:rsid w:val="002A333A"/>
    <w:rsid w:val="002A5391"/>
    <w:rsid w:val="002B1185"/>
    <w:rsid w:val="002C4B69"/>
    <w:rsid w:val="002C5861"/>
    <w:rsid w:val="002C6FD6"/>
    <w:rsid w:val="002D313D"/>
    <w:rsid w:val="002D3803"/>
    <w:rsid w:val="002D4D81"/>
    <w:rsid w:val="002D5994"/>
    <w:rsid w:val="002D7A99"/>
    <w:rsid w:val="002E2594"/>
    <w:rsid w:val="002F0D9F"/>
    <w:rsid w:val="002F2404"/>
    <w:rsid w:val="002F3482"/>
    <w:rsid w:val="002F6252"/>
    <w:rsid w:val="002F6FFE"/>
    <w:rsid w:val="00303506"/>
    <w:rsid w:val="00304420"/>
    <w:rsid w:val="00306441"/>
    <w:rsid w:val="00320484"/>
    <w:rsid w:val="00320693"/>
    <w:rsid w:val="00321B54"/>
    <w:rsid w:val="00325BE3"/>
    <w:rsid w:val="00330DE1"/>
    <w:rsid w:val="003311D0"/>
    <w:rsid w:val="0033185F"/>
    <w:rsid w:val="00332511"/>
    <w:rsid w:val="00335068"/>
    <w:rsid w:val="00346106"/>
    <w:rsid w:val="003474E4"/>
    <w:rsid w:val="00356832"/>
    <w:rsid w:val="00357045"/>
    <w:rsid w:val="00374CEB"/>
    <w:rsid w:val="00375AB6"/>
    <w:rsid w:val="003778F6"/>
    <w:rsid w:val="00380BAE"/>
    <w:rsid w:val="00383D78"/>
    <w:rsid w:val="00386221"/>
    <w:rsid w:val="003903D7"/>
    <w:rsid w:val="00392929"/>
    <w:rsid w:val="003A18F1"/>
    <w:rsid w:val="003A2835"/>
    <w:rsid w:val="003A39F2"/>
    <w:rsid w:val="003A6CF6"/>
    <w:rsid w:val="003B72D9"/>
    <w:rsid w:val="003D0455"/>
    <w:rsid w:val="003D67A9"/>
    <w:rsid w:val="003D75AA"/>
    <w:rsid w:val="003E0523"/>
    <w:rsid w:val="003E1654"/>
    <w:rsid w:val="003E1BB4"/>
    <w:rsid w:val="003E4866"/>
    <w:rsid w:val="003E4A21"/>
    <w:rsid w:val="003E4B8F"/>
    <w:rsid w:val="003F4E2A"/>
    <w:rsid w:val="00403927"/>
    <w:rsid w:val="004045D2"/>
    <w:rsid w:val="00411E10"/>
    <w:rsid w:val="00415E63"/>
    <w:rsid w:val="00420437"/>
    <w:rsid w:val="004213B2"/>
    <w:rsid w:val="004225ED"/>
    <w:rsid w:val="004269C1"/>
    <w:rsid w:val="00434A4F"/>
    <w:rsid w:val="0043569C"/>
    <w:rsid w:val="004369EF"/>
    <w:rsid w:val="00440970"/>
    <w:rsid w:val="00443290"/>
    <w:rsid w:val="00454809"/>
    <w:rsid w:val="00455ACB"/>
    <w:rsid w:val="00455E44"/>
    <w:rsid w:val="00464422"/>
    <w:rsid w:val="00472F0A"/>
    <w:rsid w:val="00473DFC"/>
    <w:rsid w:val="00480A78"/>
    <w:rsid w:val="0048121C"/>
    <w:rsid w:val="00485563"/>
    <w:rsid w:val="004878BC"/>
    <w:rsid w:val="0049006F"/>
    <w:rsid w:val="00490367"/>
    <w:rsid w:val="00497D81"/>
    <w:rsid w:val="004A189D"/>
    <w:rsid w:val="004A5026"/>
    <w:rsid w:val="004B0A48"/>
    <w:rsid w:val="004B21C5"/>
    <w:rsid w:val="004D46C6"/>
    <w:rsid w:val="004D64A3"/>
    <w:rsid w:val="004E259A"/>
    <w:rsid w:val="004F1394"/>
    <w:rsid w:val="004F2CF3"/>
    <w:rsid w:val="005008D9"/>
    <w:rsid w:val="00520FEE"/>
    <w:rsid w:val="00552094"/>
    <w:rsid w:val="00553201"/>
    <w:rsid w:val="0055378C"/>
    <w:rsid w:val="00556511"/>
    <w:rsid w:val="00560888"/>
    <w:rsid w:val="005620DE"/>
    <w:rsid w:val="00566FC7"/>
    <w:rsid w:val="00573C92"/>
    <w:rsid w:val="00576C1F"/>
    <w:rsid w:val="00577117"/>
    <w:rsid w:val="00577D72"/>
    <w:rsid w:val="00581973"/>
    <w:rsid w:val="005924C0"/>
    <w:rsid w:val="00593A95"/>
    <w:rsid w:val="005968C3"/>
    <w:rsid w:val="00596C37"/>
    <w:rsid w:val="005A0444"/>
    <w:rsid w:val="005A0F3B"/>
    <w:rsid w:val="005A2301"/>
    <w:rsid w:val="005B2D40"/>
    <w:rsid w:val="005C456C"/>
    <w:rsid w:val="005C6F8D"/>
    <w:rsid w:val="005D11C3"/>
    <w:rsid w:val="005D1FFB"/>
    <w:rsid w:val="005D29C0"/>
    <w:rsid w:val="005D2DB3"/>
    <w:rsid w:val="005D392D"/>
    <w:rsid w:val="005E0D77"/>
    <w:rsid w:val="005E59E3"/>
    <w:rsid w:val="005E7C97"/>
    <w:rsid w:val="005F2DAC"/>
    <w:rsid w:val="005F55F1"/>
    <w:rsid w:val="005F65E2"/>
    <w:rsid w:val="0060036F"/>
    <w:rsid w:val="00602C54"/>
    <w:rsid w:val="006058C3"/>
    <w:rsid w:val="006073AA"/>
    <w:rsid w:val="006108EB"/>
    <w:rsid w:val="006152A5"/>
    <w:rsid w:val="00616FF9"/>
    <w:rsid w:val="00624AD3"/>
    <w:rsid w:val="00625C69"/>
    <w:rsid w:val="0062719F"/>
    <w:rsid w:val="00635737"/>
    <w:rsid w:val="00636BAD"/>
    <w:rsid w:val="00640A14"/>
    <w:rsid w:val="00662136"/>
    <w:rsid w:val="0066293B"/>
    <w:rsid w:val="00664903"/>
    <w:rsid w:val="006704C8"/>
    <w:rsid w:val="00671CFC"/>
    <w:rsid w:val="00677EA9"/>
    <w:rsid w:val="00684AA3"/>
    <w:rsid w:val="0068753D"/>
    <w:rsid w:val="00693412"/>
    <w:rsid w:val="006A0008"/>
    <w:rsid w:val="006A1791"/>
    <w:rsid w:val="006A2216"/>
    <w:rsid w:val="006A6296"/>
    <w:rsid w:val="006B339E"/>
    <w:rsid w:val="006B3790"/>
    <w:rsid w:val="006B4AC8"/>
    <w:rsid w:val="006C0EE9"/>
    <w:rsid w:val="006C48E8"/>
    <w:rsid w:val="006C6E36"/>
    <w:rsid w:val="006C7129"/>
    <w:rsid w:val="006D0E17"/>
    <w:rsid w:val="006E2BB9"/>
    <w:rsid w:val="006E5518"/>
    <w:rsid w:val="006E6AE8"/>
    <w:rsid w:val="006F00DC"/>
    <w:rsid w:val="006F2780"/>
    <w:rsid w:val="006F4F59"/>
    <w:rsid w:val="00705F34"/>
    <w:rsid w:val="007122E4"/>
    <w:rsid w:val="0073204A"/>
    <w:rsid w:val="00732C06"/>
    <w:rsid w:val="007336A2"/>
    <w:rsid w:val="00733E93"/>
    <w:rsid w:val="00737426"/>
    <w:rsid w:val="00752D0C"/>
    <w:rsid w:val="00756705"/>
    <w:rsid w:val="00766FB6"/>
    <w:rsid w:val="007707F9"/>
    <w:rsid w:val="00773086"/>
    <w:rsid w:val="00786412"/>
    <w:rsid w:val="00792B6E"/>
    <w:rsid w:val="0079331A"/>
    <w:rsid w:val="0079537F"/>
    <w:rsid w:val="007A0231"/>
    <w:rsid w:val="007A49F2"/>
    <w:rsid w:val="007B1D22"/>
    <w:rsid w:val="007B6303"/>
    <w:rsid w:val="007C6BF3"/>
    <w:rsid w:val="007D2FE2"/>
    <w:rsid w:val="007D31DC"/>
    <w:rsid w:val="007D4C07"/>
    <w:rsid w:val="007E13DE"/>
    <w:rsid w:val="007E471D"/>
    <w:rsid w:val="007F00A5"/>
    <w:rsid w:val="007F5617"/>
    <w:rsid w:val="0080002B"/>
    <w:rsid w:val="008161BB"/>
    <w:rsid w:val="00830801"/>
    <w:rsid w:val="0083462A"/>
    <w:rsid w:val="008354B7"/>
    <w:rsid w:val="0084250C"/>
    <w:rsid w:val="008461D1"/>
    <w:rsid w:val="008474B5"/>
    <w:rsid w:val="008535C1"/>
    <w:rsid w:val="00855D53"/>
    <w:rsid w:val="00856A72"/>
    <w:rsid w:val="008576CC"/>
    <w:rsid w:val="00862BE1"/>
    <w:rsid w:val="00881C80"/>
    <w:rsid w:val="0089065D"/>
    <w:rsid w:val="0089145A"/>
    <w:rsid w:val="0089196B"/>
    <w:rsid w:val="00894DC7"/>
    <w:rsid w:val="00895C6F"/>
    <w:rsid w:val="00896FD7"/>
    <w:rsid w:val="008A1AA3"/>
    <w:rsid w:val="008B38F0"/>
    <w:rsid w:val="008B619D"/>
    <w:rsid w:val="008B6FF7"/>
    <w:rsid w:val="008C1DD1"/>
    <w:rsid w:val="008C4D96"/>
    <w:rsid w:val="008C4FA0"/>
    <w:rsid w:val="008C700B"/>
    <w:rsid w:val="008E4EF3"/>
    <w:rsid w:val="008E7FF7"/>
    <w:rsid w:val="008F5CF4"/>
    <w:rsid w:val="008F78B7"/>
    <w:rsid w:val="008F7D9A"/>
    <w:rsid w:val="009117F0"/>
    <w:rsid w:val="00911D45"/>
    <w:rsid w:val="0091217D"/>
    <w:rsid w:val="00920DA3"/>
    <w:rsid w:val="009214EB"/>
    <w:rsid w:val="009334A7"/>
    <w:rsid w:val="009371C5"/>
    <w:rsid w:val="009412CC"/>
    <w:rsid w:val="00943D40"/>
    <w:rsid w:val="009523D5"/>
    <w:rsid w:val="00957AE3"/>
    <w:rsid w:val="00975BCA"/>
    <w:rsid w:val="0098471B"/>
    <w:rsid w:val="00990DDD"/>
    <w:rsid w:val="00992723"/>
    <w:rsid w:val="00994543"/>
    <w:rsid w:val="00994A0B"/>
    <w:rsid w:val="00996701"/>
    <w:rsid w:val="009A24AE"/>
    <w:rsid w:val="009A724E"/>
    <w:rsid w:val="009B4D69"/>
    <w:rsid w:val="009C014B"/>
    <w:rsid w:val="009C2CCC"/>
    <w:rsid w:val="009C3896"/>
    <w:rsid w:val="009D693C"/>
    <w:rsid w:val="009F19E4"/>
    <w:rsid w:val="009F3AEC"/>
    <w:rsid w:val="00A20515"/>
    <w:rsid w:val="00A210DD"/>
    <w:rsid w:val="00A23AF7"/>
    <w:rsid w:val="00A25CD3"/>
    <w:rsid w:val="00A3799A"/>
    <w:rsid w:val="00A55AB4"/>
    <w:rsid w:val="00A561E8"/>
    <w:rsid w:val="00A6342F"/>
    <w:rsid w:val="00A63680"/>
    <w:rsid w:val="00A65B4B"/>
    <w:rsid w:val="00A66644"/>
    <w:rsid w:val="00A673E6"/>
    <w:rsid w:val="00A71D54"/>
    <w:rsid w:val="00A72B5D"/>
    <w:rsid w:val="00A745EB"/>
    <w:rsid w:val="00A815D9"/>
    <w:rsid w:val="00A81797"/>
    <w:rsid w:val="00A91C67"/>
    <w:rsid w:val="00A94019"/>
    <w:rsid w:val="00A94F0C"/>
    <w:rsid w:val="00A95CA4"/>
    <w:rsid w:val="00A9686E"/>
    <w:rsid w:val="00A96BAE"/>
    <w:rsid w:val="00A97C61"/>
    <w:rsid w:val="00AB0BBC"/>
    <w:rsid w:val="00AB1097"/>
    <w:rsid w:val="00AB23E8"/>
    <w:rsid w:val="00AB6E58"/>
    <w:rsid w:val="00AC207B"/>
    <w:rsid w:val="00AC220D"/>
    <w:rsid w:val="00AC40D7"/>
    <w:rsid w:val="00AD5172"/>
    <w:rsid w:val="00AD6541"/>
    <w:rsid w:val="00AE0F59"/>
    <w:rsid w:val="00AE198C"/>
    <w:rsid w:val="00AE3F59"/>
    <w:rsid w:val="00AE49AF"/>
    <w:rsid w:val="00AE6623"/>
    <w:rsid w:val="00AE7DDC"/>
    <w:rsid w:val="00AF0433"/>
    <w:rsid w:val="00AF1E9D"/>
    <w:rsid w:val="00AF47D7"/>
    <w:rsid w:val="00B05A99"/>
    <w:rsid w:val="00B216C1"/>
    <w:rsid w:val="00B21AA8"/>
    <w:rsid w:val="00B221B5"/>
    <w:rsid w:val="00B26AEE"/>
    <w:rsid w:val="00B36B5F"/>
    <w:rsid w:val="00B37F0A"/>
    <w:rsid w:val="00B40E5F"/>
    <w:rsid w:val="00B4257B"/>
    <w:rsid w:val="00B6348D"/>
    <w:rsid w:val="00B746C9"/>
    <w:rsid w:val="00B81DC5"/>
    <w:rsid w:val="00B829D5"/>
    <w:rsid w:val="00B82A57"/>
    <w:rsid w:val="00B92AEE"/>
    <w:rsid w:val="00B93D0F"/>
    <w:rsid w:val="00BB46A4"/>
    <w:rsid w:val="00BC5DE5"/>
    <w:rsid w:val="00BD3099"/>
    <w:rsid w:val="00BD6AC5"/>
    <w:rsid w:val="00BF135F"/>
    <w:rsid w:val="00BF1DBB"/>
    <w:rsid w:val="00BF49B1"/>
    <w:rsid w:val="00BF65D9"/>
    <w:rsid w:val="00C012A5"/>
    <w:rsid w:val="00C062C4"/>
    <w:rsid w:val="00C10876"/>
    <w:rsid w:val="00C10AE8"/>
    <w:rsid w:val="00C17020"/>
    <w:rsid w:val="00C202F5"/>
    <w:rsid w:val="00C2122D"/>
    <w:rsid w:val="00C25B8F"/>
    <w:rsid w:val="00C25DD1"/>
    <w:rsid w:val="00C320CE"/>
    <w:rsid w:val="00C340BA"/>
    <w:rsid w:val="00C34FDA"/>
    <w:rsid w:val="00C36CB8"/>
    <w:rsid w:val="00C4630C"/>
    <w:rsid w:val="00C522D8"/>
    <w:rsid w:val="00C56FFB"/>
    <w:rsid w:val="00C74F03"/>
    <w:rsid w:val="00C7607B"/>
    <w:rsid w:val="00C77CC2"/>
    <w:rsid w:val="00C832E6"/>
    <w:rsid w:val="00C868C8"/>
    <w:rsid w:val="00C94202"/>
    <w:rsid w:val="00CB1735"/>
    <w:rsid w:val="00CB3E6C"/>
    <w:rsid w:val="00CB607F"/>
    <w:rsid w:val="00CB6E4A"/>
    <w:rsid w:val="00CC2996"/>
    <w:rsid w:val="00CD06B9"/>
    <w:rsid w:val="00CD1163"/>
    <w:rsid w:val="00CE3961"/>
    <w:rsid w:val="00CE624B"/>
    <w:rsid w:val="00CF11FE"/>
    <w:rsid w:val="00CF5D46"/>
    <w:rsid w:val="00D03B1E"/>
    <w:rsid w:val="00D048D0"/>
    <w:rsid w:val="00D06B0A"/>
    <w:rsid w:val="00D10831"/>
    <w:rsid w:val="00D15A88"/>
    <w:rsid w:val="00D16E67"/>
    <w:rsid w:val="00D179BF"/>
    <w:rsid w:val="00D20692"/>
    <w:rsid w:val="00D24891"/>
    <w:rsid w:val="00D25F7B"/>
    <w:rsid w:val="00D30F42"/>
    <w:rsid w:val="00D3147B"/>
    <w:rsid w:val="00D34680"/>
    <w:rsid w:val="00D378F3"/>
    <w:rsid w:val="00D42697"/>
    <w:rsid w:val="00D4417C"/>
    <w:rsid w:val="00D50E4E"/>
    <w:rsid w:val="00D5599B"/>
    <w:rsid w:val="00D5613E"/>
    <w:rsid w:val="00D60875"/>
    <w:rsid w:val="00D61070"/>
    <w:rsid w:val="00D62F51"/>
    <w:rsid w:val="00D64EBE"/>
    <w:rsid w:val="00D671EA"/>
    <w:rsid w:val="00D73F21"/>
    <w:rsid w:val="00D75C34"/>
    <w:rsid w:val="00D82326"/>
    <w:rsid w:val="00D83C6F"/>
    <w:rsid w:val="00D84BC0"/>
    <w:rsid w:val="00D8696C"/>
    <w:rsid w:val="00D90F51"/>
    <w:rsid w:val="00D94EA6"/>
    <w:rsid w:val="00D95A32"/>
    <w:rsid w:val="00D974FD"/>
    <w:rsid w:val="00DA2625"/>
    <w:rsid w:val="00DB5B8A"/>
    <w:rsid w:val="00DC3FB3"/>
    <w:rsid w:val="00DC6BAA"/>
    <w:rsid w:val="00DD05F3"/>
    <w:rsid w:val="00DD19F4"/>
    <w:rsid w:val="00DD31D3"/>
    <w:rsid w:val="00DD508E"/>
    <w:rsid w:val="00DD54C8"/>
    <w:rsid w:val="00DD6F33"/>
    <w:rsid w:val="00DD708C"/>
    <w:rsid w:val="00DE2452"/>
    <w:rsid w:val="00DE5141"/>
    <w:rsid w:val="00DE7347"/>
    <w:rsid w:val="00DF0443"/>
    <w:rsid w:val="00DF4365"/>
    <w:rsid w:val="00DF6B46"/>
    <w:rsid w:val="00DF6D40"/>
    <w:rsid w:val="00E0015A"/>
    <w:rsid w:val="00E23665"/>
    <w:rsid w:val="00E25414"/>
    <w:rsid w:val="00E32928"/>
    <w:rsid w:val="00E3606E"/>
    <w:rsid w:val="00E360CF"/>
    <w:rsid w:val="00E453DD"/>
    <w:rsid w:val="00E50DB4"/>
    <w:rsid w:val="00E54BFF"/>
    <w:rsid w:val="00E55439"/>
    <w:rsid w:val="00E60D38"/>
    <w:rsid w:val="00E730AE"/>
    <w:rsid w:val="00E75ABB"/>
    <w:rsid w:val="00E852AC"/>
    <w:rsid w:val="00E85F19"/>
    <w:rsid w:val="00E861E9"/>
    <w:rsid w:val="00E95CBB"/>
    <w:rsid w:val="00EA66E0"/>
    <w:rsid w:val="00EC08F5"/>
    <w:rsid w:val="00EC2615"/>
    <w:rsid w:val="00EC543E"/>
    <w:rsid w:val="00ED2266"/>
    <w:rsid w:val="00ED3032"/>
    <w:rsid w:val="00ED473C"/>
    <w:rsid w:val="00EF070A"/>
    <w:rsid w:val="00F01470"/>
    <w:rsid w:val="00F031B8"/>
    <w:rsid w:val="00F1202E"/>
    <w:rsid w:val="00F13C49"/>
    <w:rsid w:val="00F1423D"/>
    <w:rsid w:val="00F21AA7"/>
    <w:rsid w:val="00F33B52"/>
    <w:rsid w:val="00F341AC"/>
    <w:rsid w:val="00F3503E"/>
    <w:rsid w:val="00F4078C"/>
    <w:rsid w:val="00F41F6C"/>
    <w:rsid w:val="00F503C9"/>
    <w:rsid w:val="00F57ABC"/>
    <w:rsid w:val="00F61F2A"/>
    <w:rsid w:val="00F62EE3"/>
    <w:rsid w:val="00F63555"/>
    <w:rsid w:val="00F6399F"/>
    <w:rsid w:val="00F65160"/>
    <w:rsid w:val="00F77750"/>
    <w:rsid w:val="00F86910"/>
    <w:rsid w:val="00F87F08"/>
    <w:rsid w:val="00F93F7B"/>
    <w:rsid w:val="00FB107B"/>
    <w:rsid w:val="00FB771C"/>
    <w:rsid w:val="00FC021F"/>
    <w:rsid w:val="00FC0479"/>
    <w:rsid w:val="00FC324F"/>
    <w:rsid w:val="00FD2DFF"/>
    <w:rsid w:val="00FD54C9"/>
    <w:rsid w:val="00FE1272"/>
    <w:rsid w:val="00FF142B"/>
    <w:rsid w:val="00FF4213"/>
    <w:rsid w:val="00FF4B4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8089E"/>
  <w15:docId w15:val="{0FE5D19D-9AC9-B845-BD29-AEF7F53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624A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24A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24A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31">
    <w:name w:val="List Table 2 - Accent 31"/>
    <w:basedOn w:val="TableNormal"/>
    <w:uiPriority w:val="47"/>
    <w:rsid w:val="00624A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24A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rsid w:val="00624A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2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32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26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2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1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1E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521F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CAF3-B291-E441-BA7B-BAED0E15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Potts</dc:creator>
  <cp:lastModifiedBy>Mohamed Mohamed</cp:lastModifiedBy>
  <cp:revision>79</cp:revision>
  <cp:lastPrinted>2018-04-04T00:23:00Z</cp:lastPrinted>
  <dcterms:created xsi:type="dcterms:W3CDTF">2019-01-10T02:04:00Z</dcterms:created>
  <dcterms:modified xsi:type="dcterms:W3CDTF">2019-04-09T15:29:00Z</dcterms:modified>
</cp:coreProperties>
</file>