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0E229" w14:textId="4500D16D" w:rsidR="00F51176" w:rsidRDefault="00C729A1">
      <w:pPr>
        <w:rPr>
          <w:rFonts w:ascii="Bell MT" w:hAnsi="Bell MT" w:cs="Arial"/>
          <w:color w:val="000000"/>
          <w:sz w:val="24"/>
          <w:szCs w:val="24"/>
          <w:shd w:val="clear" w:color="auto" w:fill="FFFFFF"/>
        </w:rPr>
      </w:pPr>
      <w:r w:rsidRPr="00E1331F">
        <w:rPr>
          <w:rFonts w:ascii="Bell MT" w:hAnsi="Bell MT" w:cs="Arial"/>
          <w:b/>
          <w:color w:val="000000"/>
          <w:sz w:val="24"/>
          <w:szCs w:val="24"/>
          <w:shd w:val="clear" w:color="auto" w:fill="FFFFFF"/>
        </w:rPr>
        <w:t>Title</w:t>
      </w:r>
      <w:r w:rsidR="00F51176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:</w:t>
      </w:r>
      <w:r w:rsidR="00F0307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AD7AB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Trends in</w:t>
      </w:r>
      <w:r w:rsidR="00F0307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annual consultation</w:t>
      </w:r>
      <w:r w:rsidR="00C1299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incidence </w:t>
      </w:r>
      <w:r w:rsidR="00AD7AB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of clinical </w:t>
      </w:r>
      <w:r w:rsidR="00C1299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osteoarthritis </w:t>
      </w:r>
      <w:r w:rsidR="00AD7AB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between</w:t>
      </w:r>
      <w:r w:rsidR="0061241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1992-2013</w:t>
      </w:r>
      <w:r w:rsidR="006E47C4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in </w:t>
      </w:r>
      <w:r w:rsidR="0010635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UK </w:t>
      </w:r>
      <w:r w:rsidR="006E47C4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primary care: </w:t>
      </w:r>
      <w:r w:rsidR="00856E2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analysis of</w:t>
      </w:r>
      <w:r w:rsidR="006E47C4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the Clinical Practice Research Datalink</w:t>
      </w:r>
    </w:p>
    <w:p w14:paraId="7134D066" w14:textId="77777777" w:rsidR="00175C2E" w:rsidRPr="00175C2E" w:rsidRDefault="00175C2E">
      <w:pPr>
        <w:rPr>
          <w:rFonts w:ascii="Bell MT" w:hAnsi="Bell MT" w:cs="Arial"/>
          <w:color w:val="000000"/>
          <w:sz w:val="24"/>
          <w:szCs w:val="24"/>
          <w:shd w:val="clear" w:color="auto" w:fill="FFFFFF"/>
        </w:rPr>
      </w:pPr>
      <w:r w:rsidRPr="00175C2E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D. Yu, G. Peat, J. </w:t>
      </w:r>
      <w:proofErr w:type="spellStart"/>
      <w:r w:rsidRPr="00175C2E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Bedson</w:t>
      </w:r>
      <w:proofErr w:type="spellEnd"/>
      <w:r w:rsidRPr="00175C2E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, K. Jordan. </w:t>
      </w:r>
    </w:p>
    <w:p w14:paraId="49B440A7" w14:textId="122BBF09" w:rsidR="00175C2E" w:rsidRDefault="00175C2E">
      <w:pPr>
        <w:rPr>
          <w:rFonts w:ascii="Bell MT" w:hAnsi="Bell MT" w:cs="Arial"/>
          <w:color w:val="000000"/>
          <w:sz w:val="24"/>
          <w:szCs w:val="24"/>
          <w:shd w:val="clear" w:color="auto" w:fill="FFFFFF"/>
        </w:rPr>
      </w:pPr>
      <w:r w:rsidRPr="00175C2E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Research Institute for Primary Care &amp; Health Sciences, </w:t>
      </w:r>
      <w:proofErr w:type="spellStart"/>
      <w:r w:rsidRPr="00175C2E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Keele</w:t>
      </w:r>
      <w:proofErr w:type="spellEnd"/>
      <w:r w:rsidRPr="00175C2E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University, Newcastle </w:t>
      </w:r>
      <w:proofErr w:type="gramStart"/>
      <w:r w:rsidRPr="00175C2E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Under</w:t>
      </w:r>
      <w:proofErr w:type="gramEnd"/>
      <w:r w:rsidRPr="00175C2E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Lyme, United Kingdom</w:t>
      </w:r>
    </w:p>
    <w:p w14:paraId="6BE0ECE6" w14:textId="7A337028" w:rsidR="006E47C4" w:rsidRDefault="00C729A1">
      <w:pPr>
        <w:rPr>
          <w:rFonts w:ascii="Bell MT" w:hAnsi="Bell MT" w:cs="Arial"/>
          <w:color w:val="000000"/>
          <w:sz w:val="24"/>
          <w:szCs w:val="24"/>
          <w:shd w:val="clear" w:color="auto" w:fill="FFFFFF"/>
        </w:rPr>
      </w:pPr>
      <w:r w:rsidRPr="00E1331F">
        <w:rPr>
          <w:rFonts w:ascii="Bell MT" w:hAnsi="Bell MT" w:cs="Arial"/>
          <w:b/>
          <w:color w:val="000000"/>
          <w:sz w:val="24"/>
          <w:szCs w:val="24"/>
          <w:shd w:val="clear" w:color="auto" w:fill="FFFFFF"/>
        </w:rPr>
        <w:t>Background</w:t>
      </w:r>
      <w:r w:rsidR="00F51176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:</w:t>
      </w:r>
      <w:r w:rsidR="006E47C4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486D46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Recent trends and future projections in the population burden of osteoarthritis and primary joint arthroplasty rates across Europe </w:t>
      </w:r>
      <w:r w:rsidR="005C649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point to a growing challenge for population health and health </w:t>
      </w:r>
      <w:r w:rsidR="0048714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services. However there are few studies</w:t>
      </w:r>
      <w:r w:rsidR="005C649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on whether the rate of new cases presenting to primary care is also increasing</w:t>
      </w:r>
      <w:r w:rsidR="0048714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, and no published </w:t>
      </w:r>
      <w:r w:rsidR="00533BE5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national </w:t>
      </w:r>
      <w:r w:rsidR="0048714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studies in the UK.</w:t>
      </w:r>
    </w:p>
    <w:p w14:paraId="2EED21A0" w14:textId="516A1253" w:rsidR="006E47C4" w:rsidRDefault="00C729A1">
      <w:pPr>
        <w:rPr>
          <w:rFonts w:ascii="Bell MT" w:hAnsi="Bell MT" w:cs="Arial"/>
          <w:color w:val="000000"/>
          <w:sz w:val="24"/>
          <w:szCs w:val="24"/>
          <w:shd w:val="clear" w:color="auto" w:fill="FFFFFF"/>
        </w:rPr>
      </w:pPr>
      <w:r w:rsidRPr="00E1331F">
        <w:rPr>
          <w:rFonts w:ascii="Bell MT" w:hAnsi="Bell MT" w:cs="Arial"/>
          <w:b/>
          <w:color w:val="000000"/>
          <w:sz w:val="24"/>
          <w:szCs w:val="24"/>
          <w:shd w:val="clear" w:color="auto" w:fill="FFFFFF"/>
        </w:rPr>
        <w:t>Objectives</w:t>
      </w:r>
      <w:r w:rsidR="00F51176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:</w:t>
      </w:r>
      <w:r w:rsidR="00F54C1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To </w:t>
      </w:r>
      <w:r w:rsidR="0007335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determin</w:t>
      </w:r>
      <w:r w:rsidR="003D723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e</w:t>
      </w:r>
      <w:r w:rsidR="0007335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F54C1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the temporal trend </w:t>
      </w:r>
      <w:r w:rsidR="0015046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i</w:t>
      </w:r>
      <w:bookmarkStart w:id="0" w:name="_GoBack"/>
      <w:bookmarkEnd w:id="0"/>
      <w:r w:rsidR="0015046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n </w:t>
      </w:r>
      <w:r w:rsidR="00BA1C7E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annual consultation</w:t>
      </w:r>
      <w:r w:rsidR="00D45B8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BA1C7E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incidence</w:t>
      </w:r>
      <w:r w:rsidR="0015046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F54C1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of </w:t>
      </w:r>
      <w:r w:rsidR="0007335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clinical </w:t>
      </w:r>
      <w:r w:rsidR="00F54C1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OA </w:t>
      </w:r>
      <w:r w:rsidR="0015046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in UK </w:t>
      </w:r>
      <w:r w:rsidR="0007335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primary care between</w:t>
      </w:r>
      <w:r w:rsidR="0015046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1992-2013.</w:t>
      </w:r>
    </w:p>
    <w:p w14:paraId="5A2FCA85" w14:textId="5B2B5BA8" w:rsidR="00B560E9" w:rsidRPr="00060E51" w:rsidRDefault="00C729A1">
      <w:pPr>
        <w:rPr>
          <w:rFonts w:ascii="Bell MT" w:hAnsi="Bell MT" w:cs="Arial"/>
          <w:color w:val="000000"/>
          <w:sz w:val="24"/>
          <w:szCs w:val="24"/>
          <w:shd w:val="clear" w:color="auto" w:fill="FFFFFF"/>
        </w:rPr>
      </w:pPr>
      <w:r w:rsidRPr="00E1331F">
        <w:rPr>
          <w:rFonts w:ascii="Bell MT" w:hAnsi="Bell MT" w:cs="Arial"/>
          <w:b/>
          <w:color w:val="000000"/>
          <w:sz w:val="24"/>
          <w:szCs w:val="24"/>
          <w:shd w:val="clear" w:color="auto" w:fill="FFFFFF"/>
        </w:rPr>
        <w:t>Methods</w:t>
      </w:r>
      <w:r w:rsidR="00F51176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:</w:t>
      </w:r>
      <w:r w:rsidR="0045006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9D5BC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We used the Clinical Research Practice Datalink (CPRD), a nationally representative </w:t>
      </w:r>
      <w:r w:rsidR="007800A7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database of </w:t>
      </w:r>
      <w:r w:rsidR="009D5BC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primary care</w:t>
      </w:r>
      <w:r w:rsidR="007800A7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electronic health records (650 practices, 5 million population</w:t>
      </w:r>
      <w:r w:rsidR="001567C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) to estimate the annual consultation incidence of clinical OA. </w:t>
      </w:r>
      <w:r w:rsidR="0006423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To allow for known variation in codes used in primary care for coding osteoarthritis we u</w:t>
      </w:r>
      <w:r w:rsidR="001567C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sing established Read </w:t>
      </w:r>
      <w:proofErr w:type="spellStart"/>
      <w:r w:rsidR="001567C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codelist</w:t>
      </w:r>
      <w:r w:rsidR="0006423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s</w:t>
      </w:r>
      <w:proofErr w:type="spellEnd"/>
      <w:r w:rsidR="00887B8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06423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to </w:t>
      </w:r>
      <w:r w:rsidR="00EE713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define a</w:t>
      </w:r>
      <w:r w:rsidR="00887B8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new case of clinical OA</w:t>
      </w:r>
      <w:r w:rsidR="009B5FA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a</w:t>
      </w:r>
      <w:r w:rsidR="00EE713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s a</w:t>
      </w:r>
      <w:r w:rsidR="00943DB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recorded</w:t>
      </w:r>
      <w:r w:rsidR="00EE713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diagnosis of OA or, in adults</w:t>
      </w:r>
      <w:r w:rsidR="00943DB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aged over 45 years</w:t>
      </w:r>
      <w:r w:rsidR="00EE713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,</w:t>
      </w:r>
      <w:r w:rsidR="003D723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943DB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a </w:t>
      </w:r>
      <w:r w:rsidR="003D723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recorded</w:t>
      </w:r>
      <w:r w:rsidR="007D206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5165C4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non-specific</w:t>
      </w:r>
      <w:r w:rsidR="005165C4" w:rsidRPr="00757FE7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757FE7" w:rsidRPr="00757FE7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peripheral</w:t>
      </w:r>
      <w:r w:rsidR="005854E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757FE7" w:rsidRPr="00757FE7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joint pain</w:t>
      </w:r>
      <w:r w:rsidR="00757FE7" w:rsidRPr="00757FE7" w:rsidDel="00757FE7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9B5FA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code </w:t>
      </w:r>
      <w:r w:rsidR="00EE713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likely to reflect OA</w:t>
      </w:r>
      <w:r w:rsidR="009B5FA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.</w:t>
      </w:r>
      <w:r w:rsidR="007D206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Incident case</w:t>
      </w:r>
      <w:r w:rsidR="00757FE7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s</w:t>
      </w:r>
      <w:r w:rsidR="007D206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of OA </w:t>
      </w:r>
      <w:r w:rsidR="00647A88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in each calendar year </w:t>
      </w:r>
      <w:r w:rsidR="001C424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had</w:t>
      </w:r>
      <w:r w:rsidR="00647A88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2C35C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a </w:t>
      </w:r>
      <w:r w:rsidR="009F20E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coded </w:t>
      </w:r>
      <w:r w:rsidR="002C35C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record of clinical OA</w:t>
      </w:r>
      <w:r w:rsidR="00E10A7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during the year</w:t>
      </w:r>
      <w:r w:rsidR="003C60A4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, </w:t>
      </w:r>
      <w:r w:rsidR="001C424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and</w:t>
      </w:r>
      <w:r w:rsidR="00E10A7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no</w:t>
      </w:r>
      <w:r w:rsidR="003C60A4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such </w:t>
      </w:r>
      <w:r w:rsidR="002C35C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record </w:t>
      </w:r>
      <w:r w:rsidR="003C60A4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i</w:t>
      </w:r>
      <w:r w:rsidR="00FE6FE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n the previous </w:t>
      </w:r>
      <w:r w:rsidR="002F6E67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3</w:t>
      </w:r>
      <w:r w:rsidR="00FE6FE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years</w:t>
      </w:r>
      <w:r w:rsidR="001C424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.</w:t>
      </w:r>
      <w:r w:rsidR="00E10A7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1C424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Additionally we excluded cases with a</w:t>
      </w:r>
      <w:r w:rsidR="00E10A7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record of</w:t>
      </w:r>
      <w:r w:rsidR="00B5030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a</w:t>
      </w:r>
      <w:r w:rsidR="00981EE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EF242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systemic </w:t>
      </w:r>
      <w:r w:rsidR="00B5012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inflammatory disea</w:t>
      </w:r>
      <w:r w:rsidR="00EF242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se</w:t>
      </w:r>
      <w:r w:rsidR="00FE6FEA" w:rsidRPr="00FE6FE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E7E3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s</w:t>
      </w:r>
      <w:r w:rsidR="00FE6FEA" w:rsidRPr="00FE6FE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pondyloarthropath</w:t>
      </w:r>
      <w:r w:rsidR="00B5030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y</w:t>
      </w:r>
      <w:proofErr w:type="spellEnd"/>
      <w:r w:rsidR="00FE6FEA" w:rsidRPr="00FE6FE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, </w:t>
      </w:r>
      <w:r w:rsidR="00B5030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or</w:t>
      </w:r>
      <w:r w:rsidR="00B5030D" w:rsidRPr="00FE6FE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FE6FEA" w:rsidRPr="00FE6FE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crystal disease in the </w:t>
      </w:r>
      <w:r w:rsidR="009F20E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previous </w:t>
      </w:r>
      <w:r w:rsidR="00060E5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3 years</w:t>
      </w:r>
      <w:r w:rsidR="00FE6FEA" w:rsidRPr="00FE6FE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8E7E3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or </w:t>
      </w:r>
      <w:r w:rsidR="009F20E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following</w:t>
      </w:r>
      <w:r w:rsidR="009F20E2" w:rsidRPr="00FE6FE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060E5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1 year</w:t>
      </w:r>
      <w:r w:rsidR="00FE6FE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, </w:t>
      </w:r>
      <w:r w:rsidR="001C424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or</w:t>
      </w:r>
      <w:r w:rsidR="009F20E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1C424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a</w:t>
      </w:r>
      <w:r w:rsidR="009F20E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record of another</w:t>
      </w:r>
      <w:r w:rsidR="00C0609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755821" w:rsidRPr="00060E5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specific </w:t>
      </w:r>
      <w:r w:rsidR="00495F56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non-OA diagnosis</w:t>
      </w:r>
      <w:r w:rsidR="001D2E56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(soft-tissue disorders, other bone/cartilage diseases) at the same joint</w:t>
      </w:r>
      <w:r w:rsidR="008E7E32" w:rsidRPr="00060E5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060E51" w:rsidRPr="00060E5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9F20E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in the six months period before </w:t>
      </w:r>
      <w:r w:rsidR="00B5030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or after </w:t>
      </w:r>
      <w:r w:rsidR="009F20E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the </w:t>
      </w:r>
      <w:r w:rsidR="00B5030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recorded </w:t>
      </w:r>
      <w:r w:rsidR="009F20E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OA </w:t>
      </w:r>
      <w:r w:rsidR="00B5030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consultation</w:t>
      </w:r>
      <w:r w:rsidR="00060E51" w:rsidRPr="00060E5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.</w:t>
      </w:r>
      <w:r w:rsidR="004029C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Prevalent </w:t>
      </w:r>
      <w:r w:rsidR="00E87E4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OA </w:t>
      </w:r>
      <w:r w:rsidR="004029C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cases identified </w:t>
      </w:r>
      <w:r w:rsidR="00E87E4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in the previous 3 years</w:t>
      </w:r>
      <w:r w:rsidR="004029C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were excluded from the denominator</w:t>
      </w:r>
      <w:r w:rsidR="0058534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for each year</w:t>
      </w:r>
      <w:r w:rsidR="004029C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to establish the </w:t>
      </w:r>
      <w:r w:rsidR="00E87E4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at</w:t>
      </w:r>
      <w:r w:rsidR="001D2E56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-</w:t>
      </w:r>
      <w:r w:rsidR="004029C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risk population. </w:t>
      </w:r>
      <w:r w:rsidR="00E87E4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I</w:t>
      </w:r>
      <w:r w:rsidR="004029C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ncidence density based on exact person time was applied to estimate annual incidence. </w:t>
      </w:r>
      <w:r w:rsidR="00AD06C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Annual incidence </w:t>
      </w:r>
      <w:r w:rsidR="00417B3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was</w:t>
      </w:r>
      <w:r w:rsidR="00AD06C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estimated for </w:t>
      </w:r>
      <w:r w:rsidR="00C1299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each year </w:t>
      </w:r>
      <w:r w:rsidR="008E7E3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between </w:t>
      </w:r>
      <w:r w:rsidR="00C1299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1992-2013 for any OA </w:t>
      </w:r>
      <w:r w:rsidR="00417B3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and for</w:t>
      </w:r>
      <w:r w:rsidR="00C1299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joint-specific</w:t>
      </w:r>
      <w:r w:rsidR="002F6E67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(knee, hip and hand) OA</w:t>
      </w:r>
      <w:r w:rsidR="00FE7AA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,</w:t>
      </w:r>
      <w:r w:rsidR="002F6E67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CF085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overall </w:t>
      </w:r>
      <w:r w:rsidR="0093689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(all ages) </w:t>
      </w:r>
      <w:r w:rsidR="00CF085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and stratified by gender and age). </w:t>
      </w:r>
      <w:r w:rsidR="006B262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Overall and gender e</w:t>
      </w:r>
      <w:r w:rsidR="009962A5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stimates were age-standardised to the population of England in 2013.</w:t>
      </w:r>
      <w:r w:rsidR="00B560E9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CB3C4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Sensitivity </w:t>
      </w:r>
      <w:r w:rsidR="0006567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analys</w:t>
      </w:r>
      <w:r w:rsidR="00B7296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e</w:t>
      </w:r>
      <w:r w:rsidR="00CB3C4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s </w:t>
      </w:r>
      <w:r w:rsidR="007F3D7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included </w:t>
      </w:r>
      <w:r w:rsidR="00B7296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restrict</w:t>
      </w:r>
      <w:r w:rsidR="007F3D7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ing</w:t>
      </w:r>
      <w:r w:rsidR="00B7296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the analysis to</w:t>
      </w:r>
      <w:r w:rsidR="00B560E9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practices </w:t>
      </w:r>
      <w:r w:rsidR="00E1331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continuously registered with CPRD</w:t>
      </w:r>
      <w:r w:rsidR="00CB3C4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between 1992 and 2013</w:t>
      </w:r>
      <w:r w:rsidR="00915396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,</w:t>
      </w:r>
      <w:r w:rsidR="00EF3A8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and </w:t>
      </w:r>
      <w:r w:rsidR="007B081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to</w:t>
      </w:r>
      <w:r w:rsidR="00EF3A8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93689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diagnosed OA</w:t>
      </w:r>
      <w:r w:rsidR="00B7296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only</w:t>
      </w:r>
      <w:r w:rsidR="00E1331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.</w:t>
      </w:r>
    </w:p>
    <w:p w14:paraId="03ABE890" w14:textId="19765952" w:rsidR="00121B8B" w:rsidRDefault="00C729A1">
      <w:pPr>
        <w:rPr>
          <w:rFonts w:ascii="Bell MT" w:hAnsi="Bell MT" w:cs="Arial"/>
          <w:color w:val="000000"/>
          <w:sz w:val="24"/>
          <w:szCs w:val="24"/>
          <w:shd w:val="clear" w:color="auto" w:fill="FFFFFF"/>
        </w:rPr>
      </w:pPr>
      <w:r w:rsidRPr="00E1331F">
        <w:rPr>
          <w:rFonts w:ascii="Bell MT" w:hAnsi="Bell MT" w:cs="Arial"/>
          <w:b/>
          <w:color w:val="000000"/>
          <w:sz w:val="24"/>
          <w:szCs w:val="24"/>
          <w:shd w:val="clear" w:color="auto" w:fill="FFFFFF"/>
        </w:rPr>
        <w:t>Results</w:t>
      </w:r>
      <w:r w:rsidR="00F51176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:</w:t>
      </w:r>
      <w:r w:rsidR="00CC1589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8243B8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A</w:t>
      </w:r>
      <w:r w:rsidR="00CC1589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nnual consultation incidence</w:t>
      </w:r>
      <w:r w:rsidR="00CE451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of</w:t>
      </w:r>
      <w:r w:rsidR="008243B8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851636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clinical </w:t>
      </w:r>
      <w:r w:rsidR="00D3449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OA</w:t>
      </w:r>
      <w:r w:rsidR="000B36F9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D3449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decreased from </w:t>
      </w:r>
      <w:r w:rsidR="00E4786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30.7</w:t>
      </w:r>
      <w:r w:rsidR="00D3449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per 1000 person-years (95% CI</w:t>
      </w:r>
      <w:proofErr w:type="gramStart"/>
      <w:r w:rsidR="00D3449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:</w:t>
      </w:r>
      <w:r w:rsidR="00E4786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30.7</w:t>
      </w:r>
      <w:proofErr w:type="gramEnd"/>
      <w:r w:rsidR="00D3449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-</w:t>
      </w:r>
      <w:r w:rsidR="00E4786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30.8</w:t>
      </w:r>
      <w:r w:rsidR="00D3449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) in 1992 to </w:t>
      </w:r>
      <w:r w:rsidR="00E4786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28.4</w:t>
      </w:r>
      <w:r w:rsidR="00E96F0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D3449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(</w:t>
      </w:r>
      <w:r w:rsidR="00E4786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28.4</w:t>
      </w:r>
      <w:r w:rsidR="00D3449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-</w:t>
      </w:r>
      <w:r w:rsidR="00E4786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28.5</w:t>
      </w:r>
      <w:r w:rsidR="00D3449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) in 1999, then increased to </w:t>
      </w:r>
      <w:r w:rsidR="00E4786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41.2</w:t>
      </w:r>
      <w:r w:rsidR="00E96F0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D3449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(</w:t>
      </w:r>
      <w:r w:rsidR="00E4786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41.1</w:t>
      </w:r>
      <w:r w:rsidR="00D3449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-</w:t>
      </w:r>
      <w:r w:rsidR="00E4786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41.2</w:t>
      </w:r>
      <w:r w:rsidR="00D3449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) in 2009 before decreasing to </w:t>
      </w:r>
      <w:r w:rsidR="00DB35C6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32.8</w:t>
      </w:r>
      <w:r w:rsidR="00E96F0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D3449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(</w:t>
      </w:r>
      <w:r w:rsidR="00DB35C6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32.8</w:t>
      </w:r>
      <w:r w:rsidR="00D3449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-</w:t>
      </w:r>
      <w:r w:rsidR="00DB35C6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32.9</w:t>
      </w:r>
      <w:r w:rsidR="00D3449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) in 2013. </w:t>
      </w:r>
      <w:r w:rsidR="0059476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The corresponding </w:t>
      </w:r>
      <w:r w:rsidR="000041F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estimates</w:t>
      </w:r>
      <w:r w:rsidR="00D2526C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among </w:t>
      </w:r>
      <w:r w:rsidR="000041F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females were </w:t>
      </w:r>
      <w:r w:rsidR="00F22056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36.2</w:t>
      </w:r>
      <w:r w:rsidR="00E96F0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7B081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(</w:t>
      </w:r>
      <w:r w:rsidR="000041F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1992</w:t>
      </w:r>
      <w:r w:rsidR="007B081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)</w:t>
      </w:r>
      <w:r w:rsidR="000041F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, </w:t>
      </w:r>
      <w:r w:rsidR="00F22056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33.8</w:t>
      </w:r>
      <w:r w:rsidR="00E96F0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0041F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(1999</w:t>
      </w:r>
      <w:r w:rsidR="007B081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)</w:t>
      </w:r>
      <w:r w:rsidR="000041F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, </w:t>
      </w:r>
      <w:r w:rsidR="00F22056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48.7</w:t>
      </w:r>
      <w:r w:rsidR="00E96F0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C933C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(</w:t>
      </w:r>
      <w:r w:rsidR="000041F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2009</w:t>
      </w:r>
      <w:r w:rsidR="00C933C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)</w:t>
      </w:r>
      <w:r w:rsidR="000041F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and </w:t>
      </w:r>
      <w:r w:rsidR="00AC5B3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39.2</w:t>
      </w:r>
      <w:r w:rsidR="00E96F0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0041F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(</w:t>
      </w:r>
      <w:r w:rsidR="00C933C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2013)</w:t>
      </w:r>
      <w:r w:rsidR="000041F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; </w:t>
      </w:r>
      <w:r w:rsidR="00F73B26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for</w:t>
      </w:r>
      <w:r w:rsidR="00BF3139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males, </w:t>
      </w:r>
      <w:r w:rsidR="00AC5B3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25.3</w:t>
      </w:r>
      <w:r w:rsidR="00E96F0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C933C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(</w:t>
      </w:r>
      <w:r w:rsidR="00BF3139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1992</w:t>
      </w:r>
      <w:r w:rsidR="00C933C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)</w:t>
      </w:r>
      <w:r w:rsidR="00BF3139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, </w:t>
      </w:r>
      <w:r w:rsidR="00AC5B3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23.2</w:t>
      </w:r>
      <w:r w:rsidR="00CE451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BF3139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(1999</w:t>
      </w:r>
      <w:r w:rsidR="00C933C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)</w:t>
      </w:r>
      <w:r w:rsidR="003847C7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,</w:t>
      </w:r>
      <w:r w:rsidR="00C525D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AC5B3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34.1</w:t>
      </w:r>
      <w:r w:rsidR="00CE451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BF3139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(2009</w:t>
      </w:r>
      <w:r w:rsidR="00C933C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)</w:t>
      </w:r>
      <w:r w:rsidR="00BF3139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, and </w:t>
      </w:r>
      <w:r w:rsidR="00AC5B3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26.8</w:t>
      </w:r>
      <w:r w:rsidR="00BF3139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(2013</w:t>
      </w:r>
      <w:r w:rsidR="00C933CD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)</w:t>
      </w:r>
      <w:r w:rsidR="00BF3139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. </w:t>
      </w:r>
      <w:r w:rsidR="009337A3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Similar temporal trends in annual incidence were observed within each age-stratum and for knee and hip</w:t>
      </w:r>
      <w:r w:rsidR="001D636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, d</w:t>
      </w:r>
      <w:r w:rsidR="00595D7E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ifferent from the increasing trend</w:t>
      </w:r>
      <w:r w:rsidR="001D636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(from 1.9 in 1992 to 4.9 in 2013)</w:t>
      </w:r>
      <w:r w:rsidR="00595D7E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observed for hand OA</w:t>
      </w:r>
      <w:r w:rsidR="001D636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.</w:t>
      </w:r>
      <w:r w:rsidR="000E049B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A1430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Similar</w:t>
      </w:r>
      <w:r w:rsidR="00E016B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trend</w:t>
      </w:r>
      <w:r w:rsidR="00A1430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s</w:t>
      </w:r>
      <w:r w:rsidR="00E016B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were seen </w:t>
      </w:r>
      <w:r w:rsidR="00A1430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when </w:t>
      </w:r>
      <w:r w:rsidR="00E016B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restricting </w:t>
      </w:r>
      <w:r w:rsidR="00A1430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analysis</w:t>
      </w:r>
      <w:r w:rsidR="00E016B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to practices continuously registered with CPRD. </w:t>
      </w:r>
      <w:r w:rsidR="00E764D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Incidence of diagnosed OA decreased</w:t>
      </w:r>
      <w:r w:rsidR="008969D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steadily</w:t>
      </w:r>
      <w:r w:rsidR="00E764D0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from 2004. </w:t>
      </w:r>
    </w:p>
    <w:p w14:paraId="26FF8D1E" w14:textId="37A1F471" w:rsidR="00043677" w:rsidRPr="00F51176" w:rsidRDefault="00C729A1">
      <w:pPr>
        <w:rPr>
          <w:rFonts w:ascii="Bell MT" w:hAnsi="Bell MT" w:cs="Arial"/>
          <w:color w:val="000000"/>
          <w:sz w:val="24"/>
          <w:szCs w:val="24"/>
          <w:shd w:val="clear" w:color="auto" w:fill="FFFFFF"/>
        </w:rPr>
      </w:pPr>
      <w:r w:rsidRPr="00E1331F">
        <w:rPr>
          <w:rFonts w:ascii="Bell MT" w:hAnsi="Bell MT" w:cs="Arial"/>
          <w:b/>
          <w:color w:val="000000"/>
          <w:sz w:val="24"/>
          <w:szCs w:val="24"/>
          <w:shd w:val="clear" w:color="auto" w:fill="FFFFFF"/>
        </w:rPr>
        <w:t>Conclusions</w:t>
      </w:r>
      <w:r w:rsidR="00F51176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:</w:t>
      </w:r>
      <w:r w:rsidR="001850E7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9310B1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We found no </w:t>
      </w:r>
      <w:r w:rsidR="00AF435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evidence of a sustained increase in the </w:t>
      </w:r>
      <w:r w:rsidR="008A411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age-standardised </w:t>
      </w:r>
      <w:r w:rsidR="00AF435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consultation incidence of </w:t>
      </w:r>
      <w:r w:rsidR="00490107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clinical </w:t>
      </w:r>
      <w:r w:rsidR="00AF435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osteoarthritis in UK primary care</w:t>
      </w:r>
      <w:r w:rsidR="00C358C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over recent years</w:t>
      </w:r>
      <w:r w:rsidR="008A411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,</w:t>
      </w:r>
      <w:r w:rsidR="00533BE5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a finding that held</w:t>
      </w:r>
      <w:r w:rsidR="008A411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="00533BE5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across</w:t>
      </w:r>
      <w:r w:rsidR="008A411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a range of case definitions and </w:t>
      </w:r>
      <w:r w:rsidR="007F3D72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sensitivity analyses</w:t>
      </w:r>
      <w:r w:rsidR="008969DA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.</w:t>
      </w:r>
    </w:p>
    <w:sectPr w:rsidR="00043677" w:rsidRPr="00F51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0E11"/>
    <w:multiLevelType w:val="hybridMultilevel"/>
    <w:tmpl w:val="BE2C3A7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5C4"/>
    <w:multiLevelType w:val="hybridMultilevel"/>
    <w:tmpl w:val="E8546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A1"/>
    <w:rsid w:val="000041FD"/>
    <w:rsid w:val="000253AA"/>
    <w:rsid w:val="00030739"/>
    <w:rsid w:val="00034724"/>
    <w:rsid w:val="00035490"/>
    <w:rsid w:val="00043677"/>
    <w:rsid w:val="00060E51"/>
    <w:rsid w:val="00064232"/>
    <w:rsid w:val="0006567D"/>
    <w:rsid w:val="0007335B"/>
    <w:rsid w:val="00090C62"/>
    <w:rsid w:val="000A57ED"/>
    <w:rsid w:val="000B36F9"/>
    <w:rsid w:val="000E049B"/>
    <w:rsid w:val="000E5304"/>
    <w:rsid w:val="0010635D"/>
    <w:rsid w:val="001132C1"/>
    <w:rsid w:val="00121B8B"/>
    <w:rsid w:val="0015046A"/>
    <w:rsid w:val="001567C3"/>
    <w:rsid w:val="00175C2E"/>
    <w:rsid w:val="001850E7"/>
    <w:rsid w:val="001A1DD1"/>
    <w:rsid w:val="001A6B30"/>
    <w:rsid w:val="001C424F"/>
    <w:rsid w:val="001D2E56"/>
    <w:rsid w:val="001D636A"/>
    <w:rsid w:val="001E48C5"/>
    <w:rsid w:val="0021087A"/>
    <w:rsid w:val="0023238A"/>
    <w:rsid w:val="0023688E"/>
    <w:rsid w:val="00256AD1"/>
    <w:rsid w:val="002C35CC"/>
    <w:rsid w:val="002F6E67"/>
    <w:rsid w:val="00311592"/>
    <w:rsid w:val="00316A1D"/>
    <w:rsid w:val="00325ED4"/>
    <w:rsid w:val="003847C7"/>
    <w:rsid w:val="003A0E3F"/>
    <w:rsid w:val="003B2116"/>
    <w:rsid w:val="003C60A4"/>
    <w:rsid w:val="003C6111"/>
    <w:rsid w:val="003C7C99"/>
    <w:rsid w:val="003D7230"/>
    <w:rsid w:val="003F2BEE"/>
    <w:rsid w:val="00400A23"/>
    <w:rsid w:val="004029C2"/>
    <w:rsid w:val="004038B5"/>
    <w:rsid w:val="00417B3F"/>
    <w:rsid w:val="00434650"/>
    <w:rsid w:val="0045006C"/>
    <w:rsid w:val="00451763"/>
    <w:rsid w:val="004702F1"/>
    <w:rsid w:val="00486D46"/>
    <w:rsid w:val="0048714D"/>
    <w:rsid w:val="00490107"/>
    <w:rsid w:val="004957E4"/>
    <w:rsid w:val="004958A4"/>
    <w:rsid w:val="00495F56"/>
    <w:rsid w:val="004C3D22"/>
    <w:rsid w:val="004C78B2"/>
    <w:rsid w:val="005165C4"/>
    <w:rsid w:val="00533BE5"/>
    <w:rsid w:val="00570446"/>
    <w:rsid w:val="0058534C"/>
    <w:rsid w:val="005854ED"/>
    <w:rsid w:val="0059476F"/>
    <w:rsid w:val="00595D7E"/>
    <w:rsid w:val="005A0420"/>
    <w:rsid w:val="005C649C"/>
    <w:rsid w:val="005D5921"/>
    <w:rsid w:val="005F540D"/>
    <w:rsid w:val="00610A14"/>
    <w:rsid w:val="00612411"/>
    <w:rsid w:val="0061635A"/>
    <w:rsid w:val="006474DD"/>
    <w:rsid w:val="00647A88"/>
    <w:rsid w:val="00656CF7"/>
    <w:rsid w:val="00685D07"/>
    <w:rsid w:val="00697200"/>
    <w:rsid w:val="006B04A6"/>
    <w:rsid w:val="006B2623"/>
    <w:rsid w:val="006E47C4"/>
    <w:rsid w:val="00731A98"/>
    <w:rsid w:val="00733684"/>
    <w:rsid w:val="00755821"/>
    <w:rsid w:val="00757FE7"/>
    <w:rsid w:val="007720EE"/>
    <w:rsid w:val="00773094"/>
    <w:rsid w:val="007800A7"/>
    <w:rsid w:val="007B0813"/>
    <w:rsid w:val="007D2061"/>
    <w:rsid w:val="007F3D72"/>
    <w:rsid w:val="008211AB"/>
    <w:rsid w:val="008243B8"/>
    <w:rsid w:val="008305E1"/>
    <w:rsid w:val="00830AD5"/>
    <w:rsid w:val="00851636"/>
    <w:rsid w:val="00856E20"/>
    <w:rsid w:val="008770B7"/>
    <w:rsid w:val="00887B83"/>
    <w:rsid w:val="00894C5F"/>
    <w:rsid w:val="008969DA"/>
    <w:rsid w:val="008A4112"/>
    <w:rsid w:val="008B16F8"/>
    <w:rsid w:val="008C6405"/>
    <w:rsid w:val="008C66B3"/>
    <w:rsid w:val="008E7E32"/>
    <w:rsid w:val="00914F3D"/>
    <w:rsid w:val="00915396"/>
    <w:rsid w:val="009310B1"/>
    <w:rsid w:val="009337A3"/>
    <w:rsid w:val="00936892"/>
    <w:rsid w:val="00943DBB"/>
    <w:rsid w:val="00951FF5"/>
    <w:rsid w:val="0096039F"/>
    <w:rsid w:val="0096577B"/>
    <w:rsid w:val="00981EEC"/>
    <w:rsid w:val="009962A5"/>
    <w:rsid w:val="009A4357"/>
    <w:rsid w:val="009B5FAB"/>
    <w:rsid w:val="009C06CB"/>
    <w:rsid w:val="009D5BCD"/>
    <w:rsid w:val="009F20E2"/>
    <w:rsid w:val="009F61B8"/>
    <w:rsid w:val="00A051EA"/>
    <w:rsid w:val="00A14301"/>
    <w:rsid w:val="00A326B9"/>
    <w:rsid w:val="00A466BC"/>
    <w:rsid w:val="00AC5B30"/>
    <w:rsid w:val="00AD06CD"/>
    <w:rsid w:val="00AD7ABF"/>
    <w:rsid w:val="00AE26BA"/>
    <w:rsid w:val="00AF435A"/>
    <w:rsid w:val="00B14B77"/>
    <w:rsid w:val="00B337F6"/>
    <w:rsid w:val="00B42C14"/>
    <w:rsid w:val="00B50121"/>
    <w:rsid w:val="00B5030D"/>
    <w:rsid w:val="00B560E9"/>
    <w:rsid w:val="00B72962"/>
    <w:rsid w:val="00B82A6E"/>
    <w:rsid w:val="00B92480"/>
    <w:rsid w:val="00BA1C7E"/>
    <w:rsid w:val="00BB0505"/>
    <w:rsid w:val="00BF3139"/>
    <w:rsid w:val="00BF5828"/>
    <w:rsid w:val="00C0167C"/>
    <w:rsid w:val="00C0609C"/>
    <w:rsid w:val="00C0789F"/>
    <w:rsid w:val="00C107A0"/>
    <w:rsid w:val="00C10A00"/>
    <w:rsid w:val="00C1299F"/>
    <w:rsid w:val="00C279AC"/>
    <w:rsid w:val="00C324EC"/>
    <w:rsid w:val="00C358CA"/>
    <w:rsid w:val="00C525D3"/>
    <w:rsid w:val="00C53062"/>
    <w:rsid w:val="00C54A0F"/>
    <w:rsid w:val="00C729A1"/>
    <w:rsid w:val="00C904FC"/>
    <w:rsid w:val="00C933CD"/>
    <w:rsid w:val="00CB3C40"/>
    <w:rsid w:val="00CC1589"/>
    <w:rsid w:val="00CC1C5A"/>
    <w:rsid w:val="00CE13D6"/>
    <w:rsid w:val="00CE3CDA"/>
    <w:rsid w:val="00CE4513"/>
    <w:rsid w:val="00CF085C"/>
    <w:rsid w:val="00D2526C"/>
    <w:rsid w:val="00D3449B"/>
    <w:rsid w:val="00D45B83"/>
    <w:rsid w:val="00D675E8"/>
    <w:rsid w:val="00DB35C6"/>
    <w:rsid w:val="00E016BA"/>
    <w:rsid w:val="00E10A73"/>
    <w:rsid w:val="00E1331F"/>
    <w:rsid w:val="00E13D1F"/>
    <w:rsid w:val="00E24CB3"/>
    <w:rsid w:val="00E3743C"/>
    <w:rsid w:val="00E443B8"/>
    <w:rsid w:val="00E47860"/>
    <w:rsid w:val="00E764D0"/>
    <w:rsid w:val="00E7729D"/>
    <w:rsid w:val="00E87E41"/>
    <w:rsid w:val="00E96F0B"/>
    <w:rsid w:val="00EA288E"/>
    <w:rsid w:val="00EB5F55"/>
    <w:rsid w:val="00EE713C"/>
    <w:rsid w:val="00EF2422"/>
    <w:rsid w:val="00EF3A82"/>
    <w:rsid w:val="00F03070"/>
    <w:rsid w:val="00F22056"/>
    <w:rsid w:val="00F51176"/>
    <w:rsid w:val="00F54C1C"/>
    <w:rsid w:val="00F551A1"/>
    <w:rsid w:val="00F73B26"/>
    <w:rsid w:val="00F83281"/>
    <w:rsid w:val="00FA39C2"/>
    <w:rsid w:val="00FB2B0A"/>
    <w:rsid w:val="00FE6FEA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A80F"/>
  <w15:chartTrackingRefBased/>
  <w15:docId w15:val="{77EAF354-0B4D-4E36-A1CC-1BFA8FBC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4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0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3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0D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C0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Care Sciences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statacprd</dc:creator>
  <cp:keywords/>
  <dc:description/>
  <cp:lastModifiedBy>Dahai Yu</cp:lastModifiedBy>
  <cp:revision>2</cp:revision>
  <dcterms:created xsi:type="dcterms:W3CDTF">2019-08-09T09:06:00Z</dcterms:created>
  <dcterms:modified xsi:type="dcterms:W3CDTF">2019-08-09T09:06:00Z</dcterms:modified>
</cp:coreProperties>
</file>