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F0A8E" w14:textId="77777777" w:rsidR="004A1ADC" w:rsidRPr="00FA5C7B" w:rsidRDefault="004F6DAD" w:rsidP="00A65709">
      <w:pPr>
        <w:pStyle w:val="Title"/>
        <w:rPr>
          <w:shd w:val="clear" w:color="auto" w:fill="FFFFFF"/>
        </w:rPr>
      </w:pPr>
      <w:r w:rsidRPr="00FA5C7B">
        <w:rPr>
          <w:shd w:val="clear" w:color="auto" w:fill="FFFFFF"/>
        </w:rPr>
        <w:t>O</w:t>
      </w:r>
      <w:r w:rsidR="004A1ADC" w:rsidRPr="00FA5C7B">
        <w:rPr>
          <w:shd w:val="clear" w:color="auto" w:fill="FFFFFF"/>
        </w:rPr>
        <w:t xml:space="preserve">ral bisphosphonate </w:t>
      </w:r>
      <w:r w:rsidR="00D46C1E" w:rsidRPr="00FA5C7B">
        <w:rPr>
          <w:shd w:val="clear" w:color="auto" w:fill="FFFFFF"/>
        </w:rPr>
        <w:t>prescription</w:t>
      </w:r>
      <w:r w:rsidR="004A1ADC" w:rsidRPr="00FA5C7B">
        <w:rPr>
          <w:shd w:val="clear" w:color="auto" w:fill="FFFFFF"/>
        </w:rPr>
        <w:t xml:space="preserve"> </w:t>
      </w:r>
      <w:r w:rsidRPr="00FA5C7B">
        <w:rPr>
          <w:shd w:val="clear" w:color="auto" w:fill="FFFFFF"/>
        </w:rPr>
        <w:t>in primary care: a baseline audit of practice</w:t>
      </w:r>
    </w:p>
    <w:p w14:paraId="21A8AC3F" w14:textId="11907B96" w:rsidR="00FA5C7B" w:rsidRPr="00B84D55" w:rsidRDefault="004F6DAD" w:rsidP="00BB1A2B">
      <w:pPr>
        <w:rPr>
          <w:shd w:val="clear" w:color="auto" w:fill="FFFFFF"/>
        </w:rPr>
      </w:pPr>
      <w:bookmarkStart w:id="0" w:name="_GoBack"/>
      <w:r w:rsidRPr="009D7144">
        <w:rPr>
          <w:rStyle w:val="Heading1Char"/>
        </w:rPr>
        <w:t>Background</w:t>
      </w:r>
      <w:r w:rsidR="000660BA" w:rsidRPr="009D7144">
        <w:rPr>
          <w:rStyle w:val="Heading1Char"/>
        </w:rPr>
        <w:t>:</w:t>
      </w:r>
      <w:r w:rsidR="000660BA" w:rsidRPr="00B84D55">
        <w:rPr>
          <w:shd w:val="clear" w:color="auto" w:fill="FFFFFF"/>
        </w:rPr>
        <w:t xml:space="preserve"> </w:t>
      </w:r>
      <w:bookmarkEnd w:id="0"/>
      <w:r w:rsidR="00FA5C7B" w:rsidRPr="00B84D55">
        <w:rPr>
          <w:shd w:val="clear" w:color="auto" w:fill="FFFFFF"/>
        </w:rPr>
        <w:t xml:space="preserve">Confusion in the primary care initiation, maintenance and review of bisphosphonate treatment for people with </w:t>
      </w:r>
      <w:r w:rsidR="00C2237F" w:rsidRPr="00B84D55">
        <w:rPr>
          <w:shd w:val="clear" w:color="auto" w:fill="FFFFFF"/>
        </w:rPr>
        <w:t>high</w:t>
      </w:r>
      <w:r w:rsidR="00C2237F">
        <w:rPr>
          <w:shd w:val="clear" w:color="auto" w:fill="FFFFFF"/>
        </w:rPr>
        <w:t>-</w:t>
      </w:r>
      <w:r w:rsidR="00FA5C7B" w:rsidRPr="00B84D55">
        <w:rPr>
          <w:shd w:val="clear" w:color="auto" w:fill="FFFFFF"/>
        </w:rPr>
        <w:t>risk of fracture has been reported</w:t>
      </w:r>
      <w:r w:rsidR="000660BA" w:rsidRPr="00B84D55">
        <w:rPr>
          <w:shd w:val="clear" w:color="auto" w:fill="FFFFFF"/>
        </w:rPr>
        <w:t xml:space="preserve">, </w:t>
      </w:r>
      <w:r w:rsidR="00817D52" w:rsidRPr="00B84D55">
        <w:rPr>
          <w:shd w:val="clear" w:color="auto" w:fill="FFFFFF"/>
        </w:rPr>
        <w:t xml:space="preserve">resulting </w:t>
      </w:r>
      <w:r w:rsidR="00C44EB6">
        <w:rPr>
          <w:shd w:val="clear" w:color="auto" w:fill="FFFFFF"/>
        </w:rPr>
        <w:t>partly</w:t>
      </w:r>
      <w:r w:rsidR="000660BA" w:rsidRPr="00B84D55">
        <w:rPr>
          <w:shd w:val="clear" w:color="auto" w:fill="FFFFFF"/>
        </w:rPr>
        <w:t xml:space="preserve"> from a multiplicity of </w:t>
      </w:r>
      <w:r w:rsidR="00C91AB3">
        <w:rPr>
          <w:shd w:val="clear" w:color="auto" w:fill="FFFFFF"/>
        </w:rPr>
        <w:t xml:space="preserve">slightly </w:t>
      </w:r>
      <w:r w:rsidR="00C2237F">
        <w:rPr>
          <w:shd w:val="clear" w:color="auto" w:fill="FFFFFF"/>
        </w:rPr>
        <w:t xml:space="preserve">varying </w:t>
      </w:r>
      <w:r w:rsidR="000660BA" w:rsidRPr="00B84D55">
        <w:rPr>
          <w:shd w:val="clear" w:color="auto" w:fill="FFFFFF"/>
        </w:rPr>
        <w:t xml:space="preserve">guidance </w:t>
      </w:r>
      <w:r w:rsidR="00C2237F">
        <w:rPr>
          <w:shd w:val="clear" w:color="auto" w:fill="FFFFFF"/>
        </w:rPr>
        <w:t>and different patient groups requiring different actions</w:t>
      </w:r>
      <w:r w:rsidR="00FA5C7B" w:rsidRPr="00B84D55">
        <w:rPr>
          <w:shd w:val="clear" w:color="auto" w:fill="FFFFFF"/>
        </w:rPr>
        <w:t xml:space="preserve">. </w:t>
      </w:r>
      <w:r w:rsidR="00C2237F">
        <w:rPr>
          <w:shd w:val="clear" w:color="auto" w:fill="FFFFFF"/>
        </w:rPr>
        <w:t xml:space="preserve">Further difficulties for generalists in primary care prescribing bisphosphonates is the weak evidence-base supporting use beyond 10 years and widely publicised but low absolute risks (e.g. atypical fractures, osteonecrosis). </w:t>
      </w:r>
      <w:r w:rsidR="00825B10" w:rsidRPr="00B84D55">
        <w:rPr>
          <w:shd w:val="clear" w:color="auto" w:fill="FFFFFF"/>
        </w:rPr>
        <w:t xml:space="preserve">The National Osteoporosis Guideline Group </w:t>
      </w:r>
      <w:r w:rsidR="000F26DE" w:rsidRPr="00B84D55">
        <w:rPr>
          <w:shd w:val="clear" w:color="auto" w:fill="FFFFFF"/>
        </w:rPr>
        <w:t xml:space="preserve">(NOGG) 2017 guidelines, accredited by the National Institute for Health and Care Excellence, provide clear messages to primary care about treatment duration. </w:t>
      </w:r>
      <w:r w:rsidR="00C2237F">
        <w:rPr>
          <w:shd w:val="clear" w:color="auto" w:fill="FFFFFF"/>
        </w:rPr>
        <w:t>Our</w:t>
      </w:r>
      <w:r w:rsidR="001F103E" w:rsidRPr="00B84D55">
        <w:rPr>
          <w:shd w:val="clear" w:color="auto" w:fill="FFFFFF"/>
        </w:rPr>
        <w:t xml:space="preserve"> previously</w:t>
      </w:r>
      <w:r w:rsidR="00C44EB6">
        <w:rPr>
          <w:shd w:val="clear" w:color="auto" w:fill="FFFFFF"/>
        </w:rPr>
        <w:t>-</w:t>
      </w:r>
      <w:r w:rsidR="001F103E" w:rsidRPr="00B84D55">
        <w:rPr>
          <w:shd w:val="clear" w:color="auto" w:fill="FFFFFF"/>
        </w:rPr>
        <w:t>developed primary care bisphosphonate treatment review flowchart</w:t>
      </w:r>
      <w:r w:rsidR="00C2237F">
        <w:rPr>
          <w:shd w:val="clear" w:color="auto" w:fill="FFFFFF"/>
        </w:rPr>
        <w:t>,</w:t>
      </w:r>
      <w:r w:rsidR="000F26DE" w:rsidRPr="00B84D55">
        <w:rPr>
          <w:shd w:val="clear" w:color="auto" w:fill="FFFFFF"/>
        </w:rPr>
        <w:t xml:space="preserve"> informed by NOGG guidelines</w:t>
      </w:r>
      <w:r w:rsidR="00C2237F">
        <w:rPr>
          <w:shd w:val="clear" w:color="auto" w:fill="FFFFFF"/>
        </w:rPr>
        <w:t>,</w:t>
      </w:r>
      <w:r w:rsidR="00B84D55" w:rsidRPr="00B84D55">
        <w:rPr>
          <w:shd w:val="clear" w:color="auto" w:fill="FFFFFF"/>
        </w:rPr>
        <w:t xml:space="preserve"> (</w:t>
      </w:r>
      <w:hyperlink r:id="rId6" w:history="1">
        <w:r w:rsidR="00B84D55" w:rsidRPr="00B84D55">
          <w:rPr>
            <w:rStyle w:val="Hyperlink"/>
            <w:rFonts w:ascii="Times New Roman" w:hAnsi="Times New Roman" w:cs="Times New Roman"/>
            <w:sz w:val="20"/>
            <w:szCs w:val="20"/>
          </w:rPr>
          <w:t>https://goo.gl/N3CyzL</w:t>
        </w:r>
      </w:hyperlink>
      <w:r w:rsidR="00B84D55" w:rsidRPr="00B84D55">
        <w:rPr>
          <w:shd w:val="clear" w:color="auto" w:fill="FFFFFF"/>
        </w:rPr>
        <w:t>)</w:t>
      </w:r>
      <w:r w:rsidR="00C2237F">
        <w:rPr>
          <w:shd w:val="clear" w:color="auto" w:fill="FFFFFF"/>
        </w:rPr>
        <w:t xml:space="preserve"> provides clarity for non-specialist prescribers and a foundation for audit</w:t>
      </w:r>
      <w:r w:rsidR="001F103E" w:rsidRPr="00B84D55">
        <w:rPr>
          <w:shd w:val="clear" w:color="auto" w:fill="FFFFFF"/>
        </w:rPr>
        <w:t>.</w:t>
      </w:r>
    </w:p>
    <w:p w14:paraId="04BDB09F" w14:textId="6EF75203" w:rsidR="0070154D" w:rsidRPr="00FA5C7B" w:rsidRDefault="004F6DAD" w:rsidP="00BB1A2B">
      <w:pPr>
        <w:rPr>
          <w:shd w:val="clear" w:color="auto" w:fill="FFFFFF"/>
        </w:rPr>
      </w:pPr>
      <w:r w:rsidRPr="009D7144">
        <w:rPr>
          <w:rStyle w:val="Heading1Char"/>
        </w:rPr>
        <w:t>Objective</w:t>
      </w:r>
      <w:r w:rsidR="000660BA" w:rsidRPr="009D7144">
        <w:rPr>
          <w:rStyle w:val="Heading1Char"/>
        </w:rPr>
        <w:t>:</w:t>
      </w:r>
      <w:r w:rsidR="000660BA">
        <w:rPr>
          <w:shd w:val="clear" w:color="auto" w:fill="FFFFFF"/>
        </w:rPr>
        <w:t xml:space="preserve"> </w:t>
      </w:r>
      <w:r w:rsidR="004A1ADC" w:rsidRPr="00FA5C7B">
        <w:rPr>
          <w:shd w:val="clear" w:color="auto" w:fill="FFFFFF"/>
        </w:rPr>
        <w:t xml:space="preserve">The aim of this baseline audit was to assess practice concordance with </w:t>
      </w:r>
      <w:r w:rsidR="008120DA">
        <w:rPr>
          <w:shd w:val="clear" w:color="auto" w:fill="FFFFFF"/>
        </w:rPr>
        <w:t xml:space="preserve">recommended </w:t>
      </w:r>
      <w:r w:rsidR="00090C90">
        <w:rPr>
          <w:shd w:val="clear" w:color="auto" w:fill="FFFFFF"/>
        </w:rPr>
        <w:t xml:space="preserve">treatment </w:t>
      </w:r>
      <w:r w:rsidR="008120DA">
        <w:rPr>
          <w:shd w:val="clear" w:color="auto" w:fill="FFFFFF"/>
        </w:rPr>
        <w:t xml:space="preserve">periods and </w:t>
      </w:r>
      <w:r w:rsidR="00090C90">
        <w:rPr>
          <w:shd w:val="clear" w:color="auto" w:fill="FFFFFF"/>
        </w:rPr>
        <w:t>review</w:t>
      </w:r>
      <w:r w:rsidR="008120DA">
        <w:rPr>
          <w:shd w:val="clear" w:color="auto" w:fill="FFFFFF"/>
        </w:rPr>
        <w:t>s</w:t>
      </w:r>
      <w:r w:rsidR="004A1ADC" w:rsidRPr="00FA5C7B">
        <w:rPr>
          <w:shd w:val="clear" w:color="auto" w:fill="FFFFFF"/>
        </w:rPr>
        <w:t xml:space="preserve">. The objectives were to identify </w:t>
      </w:r>
      <w:r w:rsidR="00D46C1E" w:rsidRPr="00FA5C7B">
        <w:rPr>
          <w:shd w:val="clear" w:color="auto" w:fill="FFFFFF"/>
        </w:rPr>
        <w:t xml:space="preserve">whether patients </w:t>
      </w:r>
      <w:r w:rsidR="00FA5C7B">
        <w:rPr>
          <w:shd w:val="clear" w:color="auto" w:fill="FFFFFF"/>
        </w:rPr>
        <w:t xml:space="preserve">were recorded as receiving appropriate bisphosphonate drug ‘holidays’ depending on their risk status at 5 and 10 years after initiation. </w:t>
      </w:r>
    </w:p>
    <w:p w14:paraId="74D46CE5" w14:textId="24D1879E" w:rsidR="0070154D" w:rsidRDefault="0070154D" w:rsidP="00BB1A2B">
      <w:pPr>
        <w:rPr>
          <w:shd w:val="clear" w:color="auto" w:fill="FFFFFF"/>
        </w:rPr>
      </w:pPr>
      <w:r w:rsidRPr="009D7144">
        <w:rPr>
          <w:rStyle w:val="Heading1Char"/>
        </w:rPr>
        <w:t>Method</w:t>
      </w:r>
      <w:r w:rsidR="004F6DAD" w:rsidRPr="009D7144">
        <w:rPr>
          <w:rStyle w:val="Heading1Char"/>
        </w:rPr>
        <w:t>s</w:t>
      </w:r>
      <w:r w:rsidR="000660BA" w:rsidRPr="009D7144">
        <w:rPr>
          <w:rStyle w:val="Heading1Char"/>
        </w:rPr>
        <w:t>:</w:t>
      </w:r>
      <w:r w:rsidR="000660BA">
        <w:rPr>
          <w:shd w:val="clear" w:color="auto" w:fill="FFFFFF"/>
        </w:rPr>
        <w:t xml:space="preserve"> </w:t>
      </w:r>
      <w:r w:rsidRPr="00FA5C7B">
        <w:rPr>
          <w:shd w:val="clear" w:color="auto" w:fill="FFFFFF"/>
        </w:rPr>
        <w:t xml:space="preserve">A search was conducted in the EMIS Web clinical </w:t>
      </w:r>
      <w:r w:rsidR="006E192E">
        <w:rPr>
          <w:shd w:val="clear" w:color="auto" w:fill="FFFFFF"/>
        </w:rPr>
        <w:t xml:space="preserve">information </w:t>
      </w:r>
      <w:r w:rsidRPr="00FA5C7B">
        <w:rPr>
          <w:shd w:val="clear" w:color="auto" w:fill="FFFFFF"/>
        </w:rPr>
        <w:t xml:space="preserve">system to identify patients with repeat prescriptions for drugs affecting bone metabolism. </w:t>
      </w:r>
      <w:r w:rsidR="008F07DF">
        <w:rPr>
          <w:shd w:val="clear" w:color="auto" w:fill="FFFFFF"/>
        </w:rPr>
        <w:t>The start dates for oral bisphosphonate treatment</w:t>
      </w:r>
      <w:r w:rsidRPr="00FA5C7B">
        <w:rPr>
          <w:shd w:val="clear" w:color="auto" w:fill="FFFFFF"/>
        </w:rPr>
        <w:t>, high-risk factors</w:t>
      </w:r>
      <w:r w:rsidR="00762F46">
        <w:rPr>
          <w:shd w:val="clear" w:color="auto" w:fill="FFFFFF"/>
        </w:rPr>
        <w:t xml:space="preserve"> (age</w:t>
      </w:r>
      <w:r w:rsidR="00CC3AB5">
        <w:rPr>
          <w:shd w:val="clear" w:color="auto" w:fill="FFFFFF"/>
        </w:rPr>
        <w:t xml:space="preserve"> </w:t>
      </w:r>
      <w:r w:rsidR="00C44EB6">
        <w:rPr>
          <w:shd w:val="clear" w:color="auto" w:fill="FFFFFF"/>
        </w:rPr>
        <w:t>≥</w:t>
      </w:r>
      <w:r w:rsidR="00CC3AB5">
        <w:rPr>
          <w:shd w:val="clear" w:color="auto" w:fill="FFFFFF"/>
        </w:rPr>
        <w:t>75 years</w:t>
      </w:r>
      <w:r w:rsidR="00762F46">
        <w:rPr>
          <w:shd w:val="clear" w:color="auto" w:fill="FFFFFF"/>
        </w:rPr>
        <w:t>, previous hip and vertebral fractures, steroid use)</w:t>
      </w:r>
      <w:r w:rsidRPr="00FA5C7B">
        <w:rPr>
          <w:shd w:val="clear" w:color="auto" w:fill="FFFFFF"/>
        </w:rPr>
        <w:t>, and review data were obtained.</w:t>
      </w:r>
    </w:p>
    <w:p w14:paraId="1FD21BBD" w14:textId="521A079A" w:rsidR="00265B2E" w:rsidRPr="00FA5C7B" w:rsidRDefault="0070154D" w:rsidP="00C44EB6">
      <w:pPr>
        <w:jc w:val="both"/>
        <w:rPr>
          <w:rFonts w:ascii="Times New Roman" w:hAnsi="Times New Roman" w:cs="Times New Roman"/>
          <w:color w:val="8B8B8B"/>
          <w:sz w:val="20"/>
          <w:szCs w:val="20"/>
          <w:shd w:val="clear" w:color="auto" w:fill="FFFFFF"/>
        </w:rPr>
      </w:pPr>
      <w:r w:rsidRPr="009D7144">
        <w:rPr>
          <w:rStyle w:val="Heading1Char"/>
        </w:rPr>
        <w:lastRenderedPageBreak/>
        <w:t>Results</w:t>
      </w:r>
      <w:r w:rsidR="000660BA" w:rsidRPr="009D7144">
        <w:rPr>
          <w:rStyle w:val="Heading1Char"/>
        </w:rPr>
        <w:t>:</w:t>
      </w:r>
      <w:r w:rsidR="000660BA">
        <w:rPr>
          <w:rFonts w:ascii="Times New Roman" w:hAnsi="Times New Roman" w:cs="Times New Roman"/>
          <w:color w:val="8B8B8B"/>
          <w:sz w:val="20"/>
          <w:szCs w:val="20"/>
          <w:shd w:val="clear" w:color="auto" w:fill="FFFFFF"/>
        </w:rPr>
        <w:t xml:space="preserve"> </w:t>
      </w:r>
      <w:r w:rsidR="009E3693">
        <w:rPr>
          <w:noProof/>
          <w:lang w:eastAsia="en-GB"/>
        </w:rPr>
        <w:drawing>
          <wp:inline distT="0" distB="0" distL="0" distR="0" wp14:anchorId="4BA28C1E" wp14:editId="511A173D">
            <wp:extent cx="5798820" cy="49911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25E27DF" w14:textId="1B70A290" w:rsidR="00265B2E" w:rsidRPr="00FA5C7B" w:rsidRDefault="004A1ADC" w:rsidP="00BB1A2B">
      <w:pPr>
        <w:rPr>
          <w:shd w:val="clear" w:color="auto" w:fill="FFFFFF"/>
        </w:rPr>
      </w:pPr>
      <w:r w:rsidRPr="009D7144">
        <w:rPr>
          <w:rStyle w:val="Heading1Char"/>
        </w:rPr>
        <w:t>Discussion</w:t>
      </w:r>
      <w:r w:rsidR="000660BA" w:rsidRPr="009D7144">
        <w:rPr>
          <w:rStyle w:val="Heading1Char"/>
        </w:rPr>
        <w:t>:</w:t>
      </w:r>
      <w:r w:rsidR="000660BA" w:rsidRPr="000660BA">
        <w:rPr>
          <w:shd w:val="clear" w:color="auto" w:fill="FFFFFF"/>
        </w:rPr>
        <w:t xml:space="preserve"> </w:t>
      </w:r>
      <w:r w:rsidR="0013349E">
        <w:rPr>
          <w:shd w:val="clear" w:color="auto" w:fill="FFFFFF"/>
        </w:rPr>
        <w:t>T</w:t>
      </w:r>
      <w:r w:rsidR="00666C01" w:rsidRPr="00FA5C7B">
        <w:rPr>
          <w:shd w:val="clear" w:color="auto" w:fill="FFFFFF"/>
        </w:rPr>
        <w:t xml:space="preserve">his </w:t>
      </w:r>
      <w:r w:rsidR="002941B7">
        <w:rPr>
          <w:shd w:val="clear" w:color="auto" w:fill="FFFFFF"/>
        </w:rPr>
        <w:t>audit</w:t>
      </w:r>
      <w:r w:rsidR="00666C01" w:rsidRPr="00FA5C7B">
        <w:rPr>
          <w:shd w:val="clear" w:color="auto" w:fill="FFFFFF"/>
        </w:rPr>
        <w:t xml:space="preserve"> suggests an important gap in reviewing patients </w:t>
      </w:r>
      <w:r w:rsidR="00BE67CC">
        <w:rPr>
          <w:shd w:val="clear" w:color="auto" w:fill="FFFFFF"/>
        </w:rPr>
        <w:t>on bisphosphonates, resulting in potential over-use</w:t>
      </w:r>
      <w:r w:rsidR="00666C01" w:rsidRPr="00FA5C7B">
        <w:rPr>
          <w:shd w:val="clear" w:color="auto" w:fill="FFFFFF"/>
        </w:rPr>
        <w:t xml:space="preserve">. </w:t>
      </w:r>
      <w:r w:rsidR="00C44EB6">
        <w:rPr>
          <w:shd w:val="clear" w:color="auto" w:fill="FFFFFF"/>
        </w:rPr>
        <w:t>Clearly-</w:t>
      </w:r>
      <w:r w:rsidR="00D417E7">
        <w:rPr>
          <w:shd w:val="clear" w:color="auto" w:fill="FFFFFF"/>
        </w:rPr>
        <w:t>recorded</w:t>
      </w:r>
      <w:r w:rsidR="00AF4952">
        <w:rPr>
          <w:shd w:val="clear" w:color="auto" w:fill="FFFFFF"/>
        </w:rPr>
        <w:t xml:space="preserve"> bisphosp</w:t>
      </w:r>
      <w:r w:rsidR="00600622">
        <w:rPr>
          <w:shd w:val="clear" w:color="auto" w:fill="FFFFFF"/>
        </w:rPr>
        <w:t>h</w:t>
      </w:r>
      <w:r w:rsidR="00AF4952">
        <w:rPr>
          <w:shd w:val="clear" w:color="auto" w:fill="FFFFFF"/>
        </w:rPr>
        <w:t>onate</w:t>
      </w:r>
      <w:r w:rsidR="00D417E7">
        <w:rPr>
          <w:shd w:val="clear" w:color="auto" w:fill="FFFFFF"/>
        </w:rPr>
        <w:t xml:space="preserve"> initiation</w:t>
      </w:r>
      <w:r w:rsidR="00C91AB3">
        <w:rPr>
          <w:shd w:val="clear" w:color="auto" w:fill="FFFFFF"/>
        </w:rPr>
        <w:t xml:space="preserve"> and </w:t>
      </w:r>
      <w:r w:rsidR="00C44EB6">
        <w:rPr>
          <w:shd w:val="clear" w:color="auto" w:fill="FFFFFF"/>
        </w:rPr>
        <w:t>review</w:t>
      </w:r>
      <w:r w:rsidR="00D417E7">
        <w:rPr>
          <w:shd w:val="clear" w:color="auto" w:fill="FFFFFF"/>
        </w:rPr>
        <w:t xml:space="preserve"> dates and risk factors in primary care information systems would facilitate </w:t>
      </w:r>
      <w:r w:rsidR="00BE67CC">
        <w:rPr>
          <w:shd w:val="clear" w:color="auto" w:fill="FFFFFF"/>
        </w:rPr>
        <w:t xml:space="preserve">timely </w:t>
      </w:r>
      <w:r w:rsidR="00D417E7">
        <w:rPr>
          <w:shd w:val="clear" w:color="auto" w:fill="FFFFFF"/>
        </w:rPr>
        <w:t>treatment review</w:t>
      </w:r>
      <w:r w:rsidR="00BE67CC">
        <w:rPr>
          <w:shd w:val="clear" w:color="auto" w:fill="FFFFFF"/>
        </w:rPr>
        <w:t xml:space="preserve">s and </w:t>
      </w:r>
      <w:r w:rsidR="00D417E7">
        <w:rPr>
          <w:shd w:val="clear" w:color="auto" w:fill="FFFFFF"/>
        </w:rPr>
        <w:t>consideration of appropriate ‘drug holidays’</w:t>
      </w:r>
      <w:r w:rsidR="00DB32B9">
        <w:rPr>
          <w:shd w:val="clear" w:color="auto" w:fill="FFFFFF"/>
        </w:rPr>
        <w:t xml:space="preserve"> at the 5- and 10-year review points. </w:t>
      </w:r>
    </w:p>
    <w:p w14:paraId="23B44E60" w14:textId="61D9FC9C" w:rsidR="004F6DAD" w:rsidRDefault="004F6DAD" w:rsidP="00BB1A2B">
      <w:pPr>
        <w:rPr>
          <w:shd w:val="clear" w:color="auto" w:fill="FFFFFF"/>
        </w:rPr>
      </w:pPr>
      <w:r w:rsidRPr="009D7144">
        <w:rPr>
          <w:rStyle w:val="Heading1Char"/>
        </w:rPr>
        <w:t>Conclusion</w:t>
      </w:r>
      <w:r w:rsidR="000660BA" w:rsidRPr="009D7144">
        <w:rPr>
          <w:rStyle w:val="Heading1Char"/>
        </w:rPr>
        <w:t>:</w:t>
      </w:r>
      <w:r w:rsidR="000660BA" w:rsidRPr="000660BA">
        <w:rPr>
          <w:shd w:val="clear" w:color="auto" w:fill="FFFFFF"/>
        </w:rPr>
        <w:t xml:space="preserve"> </w:t>
      </w:r>
      <w:r w:rsidR="00B84D55">
        <w:rPr>
          <w:shd w:val="clear" w:color="auto" w:fill="FFFFFF"/>
        </w:rPr>
        <w:t xml:space="preserve">The NOGG guidelines </w:t>
      </w:r>
      <w:r w:rsidR="00A92477">
        <w:rPr>
          <w:shd w:val="clear" w:color="auto" w:fill="FFFFFF"/>
        </w:rPr>
        <w:t>and our review flowchart</w:t>
      </w:r>
      <w:r w:rsidR="00B84D55">
        <w:rPr>
          <w:shd w:val="clear" w:color="auto" w:fill="FFFFFF"/>
        </w:rPr>
        <w:t xml:space="preserve"> provide a good basis for primary care review </w:t>
      </w:r>
      <w:r w:rsidR="00C44EB6">
        <w:rPr>
          <w:shd w:val="clear" w:color="auto" w:fill="FFFFFF"/>
        </w:rPr>
        <w:t>and audit of oral bisphosphonates</w:t>
      </w:r>
      <w:r w:rsidR="00A92477">
        <w:rPr>
          <w:shd w:val="clear" w:color="auto" w:fill="FFFFFF"/>
        </w:rPr>
        <w:t xml:space="preserve">. Action to improve routine review of people prescribed oral bisphosphonates </w:t>
      </w:r>
      <w:r w:rsidR="002941B7">
        <w:rPr>
          <w:shd w:val="clear" w:color="auto" w:fill="FFFFFF"/>
        </w:rPr>
        <w:t>should be prioritised</w:t>
      </w:r>
      <w:r w:rsidR="00A92477">
        <w:rPr>
          <w:shd w:val="clear" w:color="auto" w:fill="FFFFFF"/>
        </w:rPr>
        <w:t xml:space="preserve">. </w:t>
      </w:r>
    </w:p>
    <w:p w14:paraId="4392C469" w14:textId="57D37805" w:rsidR="00E7329F" w:rsidRDefault="00E7329F" w:rsidP="009D7144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Funding and conflicts of interest</w:t>
      </w:r>
    </w:p>
    <w:p w14:paraId="7085CB41" w14:textId="1E54B06C" w:rsidR="00E7329F" w:rsidRDefault="007A6E40" w:rsidP="00BB1A2B">
      <w:r w:rsidRPr="007A6E40">
        <w:t>JJE and EC are National Institute for Health Research (NIHR) Clinical Lecturers in General Practice.</w:t>
      </w:r>
      <w:r>
        <w:t xml:space="preserve"> </w:t>
      </w:r>
      <w:r w:rsidRPr="007A6E40">
        <w:t>The views expressed in this paper are those of the author(s) and not necessarily those of the NHS, the NIHR, or the Department of Health and Social Care.</w:t>
      </w:r>
    </w:p>
    <w:p w14:paraId="5C822D1C" w14:textId="7AD98479" w:rsidR="00E7329F" w:rsidRDefault="00E7329F" w:rsidP="00BB1A2B">
      <w:pPr>
        <w:rPr>
          <w:shd w:val="clear" w:color="auto" w:fill="FFFFFF"/>
        </w:rPr>
      </w:pPr>
      <w:r w:rsidRPr="00E7329F">
        <w:rPr>
          <w:shd w:val="clear" w:color="auto" w:fill="FFFFFF"/>
        </w:rPr>
        <w:t xml:space="preserve">JJE and EC provide general medical services and benefit from quality payments under the Quality and Outcomes Framework, which includes an osteoporosis domain. JJE and ZP have presented a webinar, sponsored by the NOS, on </w:t>
      </w:r>
      <w:r>
        <w:rPr>
          <w:shd w:val="clear" w:color="auto" w:fill="FFFFFF"/>
        </w:rPr>
        <w:t>“</w:t>
      </w:r>
      <w:r>
        <w:t>- Bisphosphonates in primary care: starting, reviewing and stopping”</w:t>
      </w:r>
      <w:r w:rsidRPr="00E7329F">
        <w:rPr>
          <w:shd w:val="clear" w:color="auto" w:fill="FFFFFF"/>
        </w:rPr>
        <w:t>, though no personal financial gain was derived from the webinar.</w:t>
      </w:r>
    </w:p>
    <w:sectPr w:rsidR="00E73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B2BF1C" w16cid:durableId="1EBCF762"/>
  <w16cid:commentId w16cid:paraId="7A08EAFF" w16cid:durableId="1EBCF7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37E95" w14:textId="77777777" w:rsidR="00A44517" w:rsidRDefault="00A44517" w:rsidP="00BB1A2B">
      <w:pPr>
        <w:spacing w:after="0" w:line="240" w:lineRule="auto"/>
      </w:pPr>
      <w:r>
        <w:separator/>
      </w:r>
    </w:p>
  </w:endnote>
  <w:endnote w:type="continuationSeparator" w:id="0">
    <w:p w14:paraId="3DCDBCF6" w14:textId="77777777" w:rsidR="00A44517" w:rsidRDefault="00A44517" w:rsidP="00BB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E74BC" w14:textId="77777777" w:rsidR="00A44517" w:rsidRDefault="00A44517" w:rsidP="00BB1A2B">
      <w:pPr>
        <w:spacing w:after="0" w:line="240" w:lineRule="auto"/>
      </w:pPr>
      <w:r>
        <w:separator/>
      </w:r>
    </w:p>
  </w:footnote>
  <w:footnote w:type="continuationSeparator" w:id="0">
    <w:p w14:paraId="3B1D174D" w14:textId="77777777" w:rsidR="00A44517" w:rsidRDefault="00A44517" w:rsidP="00BB1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DC"/>
    <w:rsid w:val="000660BA"/>
    <w:rsid w:val="00082DD5"/>
    <w:rsid w:val="00090C90"/>
    <w:rsid w:val="000B1DC4"/>
    <w:rsid w:val="000F26DE"/>
    <w:rsid w:val="0010399C"/>
    <w:rsid w:val="0013349E"/>
    <w:rsid w:val="00143015"/>
    <w:rsid w:val="0017325F"/>
    <w:rsid w:val="00192DD1"/>
    <w:rsid w:val="001F103E"/>
    <w:rsid w:val="00265B2E"/>
    <w:rsid w:val="0027316F"/>
    <w:rsid w:val="002777EE"/>
    <w:rsid w:val="002843E7"/>
    <w:rsid w:val="002941B7"/>
    <w:rsid w:val="00317B0A"/>
    <w:rsid w:val="003C44AD"/>
    <w:rsid w:val="004211CF"/>
    <w:rsid w:val="004526DA"/>
    <w:rsid w:val="00460985"/>
    <w:rsid w:val="004A1ADC"/>
    <w:rsid w:val="004F6DAD"/>
    <w:rsid w:val="00571A93"/>
    <w:rsid w:val="005E33EF"/>
    <w:rsid w:val="00600622"/>
    <w:rsid w:val="00615EC4"/>
    <w:rsid w:val="00666C01"/>
    <w:rsid w:val="006B18A2"/>
    <w:rsid w:val="006C7C51"/>
    <w:rsid w:val="006E192E"/>
    <w:rsid w:val="006F40DE"/>
    <w:rsid w:val="0070154D"/>
    <w:rsid w:val="007160D5"/>
    <w:rsid w:val="00762F46"/>
    <w:rsid w:val="0076399A"/>
    <w:rsid w:val="007A6E40"/>
    <w:rsid w:val="007B0732"/>
    <w:rsid w:val="007B5350"/>
    <w:rsid w:val="008120DA"/>
    <w:rsid w:val="00817D52"/>
    <w:rsid w:val="00825B10"/>
    <w:rsid w:val="008318FA"/>
    <w:rsid w:val="0083422F"/>
    <w:rsid w:val="00874155"/>
    <w:rsid w:val="008F07DF"/>
    <w:rsid w:val="00954E27"/>
    <w:rsid w:val="009831D3"/>
    <w:rsid w:val="009D7144"/>
    <w:rsid w:val="009E0589"/>
    <w:rsid w:val="009E3693"/>
    <w:rsid w:val="00A074EB"/>
    <w:rsid w:val="00A44517"/>
    <w:rsid w:val="00A65709"/>
    <w:rsid w:val="00A92477"/>
    <w:rsid w:val="00AE5000"/>
    <w:rsid w:val="00AF1111"/>
    <w:rsid w:val="00AF4952"/>
    <w:rsid w:val="00B30001"/>
    <w:rsid w:val="00B84D55"/>
    <w:rsid w:val="00BB1A2B"/>
    <w:rsid w:val="00BC10C8"/>
    <w:rsid w:val="00BC4DDC"/>
    <w:rsid w:val="00BE67CC"/>
    <w:rsid w:val="00C2237F"/>
    <w:rsid w:val="00C44EB6"/>
    <w:rsid w:val="00C91AB3"/>
    <w:rsid w:val="00CC3AB5"/>
    <w:rsid w:val="00D417E7"/>
    <w:rsid w:val="00D46C1E"/>
    <w:rsid w:val="00D63286"/>
    <w:rsid w:val="00DB32B9"/>
    <w:rsid w:val="00DF5F09"/>
    <w:rsid w:val="00E7329F"/>
    <w:rsid w:val="00FA56E7"/>
    <w:rsid w:val="00FA5C7B"/>
    <w:rsid w:val="00F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9A6B"/>
  <w15:docId w15:val="{0FCBCDCF-766A-47DE-810A-FF9898AE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1B3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6C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6C1E"/>
    <w:rPr>
      <w:rFonts w:asciiTheme="majorHAnsi" w:eastAsiaTheme="majorEastAsia" w:hAnsiTheme="majorHAnsi" w:cstheme="majorBidi"/>
      <w:color w:val="1D1B3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E0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5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D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A2B"/>
  </w:style>
  <w:style w:type="paragraph" w:styleId="Footer">
    <w:name w:val="footer"/>
    <w:basedOn w:val="Normal"/>
    <w:link w:val="FooterChar"/>
    <w:uiPriority w:val="99"/>
    <w:unhideWhenUsed/>
    <w:rsid w:val="00BB1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0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9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3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76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77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3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N3CyzL" TargetMode="External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257427-817A-4DE1-B4EB-6EAD98A2EBF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9DBEAF4-D97F-485E-BD76-7E7C016C1CC9}">
      <dgm:prSet phldrT="[Text]" custT="1"/>
      <dgm:spPr/>
      <dgm:t>
        <a:bodyPr/>
        <a:lstStyle/>
        <a:p>
          <a:r>
            <a:rPr lang="en-GB" sz="1000" b="1"/>
            <a:t>Practice size 11,260</a:t>
          </a:r>
        </a:p>
      </dgm:t>
    </dgm:pt>
    <dgm:pt modelId="{AC45FFE1-71AF-4B13-BFF8-5EBA6BE6507A}" type="parTrans" cxnId="{2FF29E8A-F4CF-4AF9-85CD-BA53893D5741}">
      <dgm:prSet/>
      <dgm:spPr/>
      <dgm:t>
        <a:bodyPr/>
        <a:lstStyle/>
        <a:p>
          <a:endParaRPr lang="en-GB"/>
        </a:p>
      </dgm:t>
    </dgm:pt>
    <dgm:pt modelId="{A7D2405E-2122-48F9-BEF8-64A235142260}" type="sibTrans" cxnId="{2FF29E8A-F4CF-4AF9-85CD-BA53893D5741}">
      <dgm:prSet/>
      <dgm:spPr/>
      <dgm:t>
        <a:bodyPr/>
        <a:lstStyle/>
        <a:p>
          <a:endParaRPr lang="en-GB"/>
        </a:p>
      </dgm:t>
    </dgm:pt>
    <dgm:pt modelId="{4C9A00F1-5E54-4F10-8F99-461C0817D38C}">
      <dgm:prSet phldrT="[Text]" custT="1"/>
      <dgm:spPr/>
      <dgm:t>
        <a:bodyPr/>
        <a:lstStyle/>
        <a:p>
          <a:r>
            <a:rPr lang="en-GB" sz="1000" b="1"/>
            <a:t>158 patients receiving oral bisphosponates on repeat prescription </a:t>
          </a:r>
        </a:p>
      </dgm:t>
    </dgm:pt>
    <dgm:pt modelId="{38CF0AED-D8DC-4F85-94AE-3F917AE3CBF2}" type="parTrans" cxnId="{D3A0DA16-189B-40AC-AEBF-1FF103669EB9}">
      <dgm:prSet/>
      <dgm:spPr/>
      <dgm:t>
        <a:bodyPr/>
        <a:lstStyle/>
        <a:p>
          <a:endParaRPr lang="en-GB" sz="500"/>
        </a:p>
      </dgm:t>
    </dgm:pt>
    <dgm:pt modelId="{DA328C82-2BC0-4A74-8661-18006C1B14C2}" type="sibTrans" cxnId="{D3A0DA16-189B-40AC-AEBF-1FF103669EB9}">
      <dgm:prSet/>
      <dgm:spPr/>
      <dgm:t>
        <a:bodyPr/>
        <a:lstStyle/>
        <a:p>
          <a:endParaRPr lang="en-GB"/>
        </a:p>
      </dgm:t>
    </dgm:pt>
    <dgm:pt modelId="{33E3ABE8-64AB-44AD-9456-1450EABF3DB1}">
      <dgm:prSet custT="1"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1000" b="1"/>
            <a:t>98/157 (62%) prescribed </a:t>
          </a:r>
          <a:br>
            <a:rPr lang="en-GB" sz="1000" b="1"/>
          </a:br>
          <a:r>
            <a:rPr lang="en-GB" sz="1000" b="1"/>
            <a:t>for less than 5 years</a:t>
          </a:r>
        </a:p>
      </dgm:t>
    </dgm:pt>
    <dgm:pt modelId="{53BF0F2C-778B-4B88-BD35-6D011FBC116D}" type="parTrans" cxnId="{B8969032-45A6-46C4-8734-1FA09FC70A76}">
      <dgm:prSet/>
      <dgm:spPr/>
      <dgm:t>
        <a:bodyPr/>
        <a:lstStyle/>
        <a:p>
          <a:endParaRPr lang="en-GB" sz="500"/>
        </a:p>
      </dgm:t>
    </dgm:pt>
    <dgm:pt modelId="{FD50703C-B9ED-4CA5-8279-98F319717AF9}" type="sibTrans" cxnId="{B8969032-45A6-46C4-8734-1FA09FC70A76}">
      <dgm:prSet/>
      <dgm:spPr/>
      <dgm:t>
        <a:bodyPr/>
        <a:lstStyle/>
        <a:p>
          <a:endParaRPr lang="en-GB"/>
        </a:p>
      </dgm:t>
    </dgm:pt>
    <dgm:pt modelId="{4EB922C4-C44C-492E-84A6-47D61119075C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1000" b="1"/>
            <a:t>18/157 (12%) prescribed </a:t>
          </a:r>
          <a:br>
            <a:rPr lang="en-GB" sz="1000" b="1"/>
          </a:br>
          <a:r>
            <a:rPr lang="en-GB" sz="1000" b="1"/>
            <a:t>for more than 10 years</a:t>
          </a:r>
        </a:p>
      </dgm:t>
    </dgm:pt>
    <dgm:pt modelId="{FB29C5A3-13C5-4444-9C9D-A77255B52EF4}" type="parTrans" cxnId="{66B231C9-19F3-4602-A38F-13FE1766EF83}">
      <dgm:prSet/>
      <dgm:spPr/>
      <dgm:t>
        <a:bodyPr/>
        <a:lstStyle/>
        <a:p>
          <a:endParaRPr lang="en-GB" sz="500"/>
        </a:p>
      </dgm:t>
    </dgm:pt>
    <dgm:pt modelId="{477A999A-4D8C-411D-A485-A01F32B52E2D}" type="sibTrans" cxnId="{66B231C9-19F3-4602-A38F-13FE1766EF83}">
      <dgm:prSet/>
      <dgm:spPr/>
      <dgm:t>
        <a:bodyPr/>
        <a:lstStyle/>
        <a:p>
          <a:endParaRPr lang="en-GB"/>
        </a:p>
      </dgm:t>
    </dgm:pt>
    <dgm:pt modelId="{235FD46C-131F-4E19-99F0-1B701CEDA5EF}">
      <dgm:prSet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1000" b="1">
              <a:solidFill>
                <a:sysClr val="windowText" lastClr="000000"/>
              </a:solidFill>
            </a:rPr>
            <a:t>41/157 (26%) prescribed </a:t>
          </a:r>
          <a:br>
            <a:rPr lang="en-GB" sz="1000" b="1">
              <a:solidFill>
                <a:sysClr val="windowText" lastClr="000000"/>
              </a:solidFill>
            </a:rPr>
          </a:br>
          <a:r>
            <a:rPr lang="en-GB" sz="1000" b="1">
              <a:solidFill>
                <a:sysClr val="windowText" lastClr="000000"/>
              </a:solidFill>
            </a:rPr>
            <a:t>for 5-10 years</a:t>
          </a:r>
        </a:p>
      </dgm:t>
    </dgm:pt>
    <dgm:pt modelId="{FF23C741-2239-4BF7-947C-1D4D19ED675A}" type="parTrans" cxnId="{151CCCCD-A9EE-4C78-962E-8AAB18CBCDCB}">
      <dgm:prSet/>
      <dgm:spPr/>
      <dgm:t>
        <a:bodyPr/>
        <a:lstStyle/>
        <a:p>
          <a:endParaRPr lang="en-GB" sz="500"/>
        </a:p>
      </dgm:t>
    </dgm:pt>
    <dgm:pt modelId="{02A26CC2-37A0-42C4-B093-2FD79E0105E0}" type="sibTrans" cxnId="{151CCCCD-A9EE-4C78-962E-8AAB18CBCDCB}">
      <dgm:prSet/>
      <dgm:spPr/>
      <dgm:t>
        <a:bodyPr/>
        <a:lstStyle/>
        <a:p>
          <a:endParaRPr lang="en-GB"/>
        </a:p>
      </dgm:t>
    </dgm:pt>
    <dgm:pt modelId="{A7B8A9C4-D273-4B8F-9931-F0285BBBF222}">
      <dgm:prSet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en-GB" sz="1000" b="1"/>
            <a:t>24/41 (59%) defined as high risk on grounds of:</a:t>
          </a:r>
        </a:p>
        <a:p>
          <a:pPr>
            <a:lnSpc>
              <a:spcPct val="100000"/>
            </a:lnSpc>
            <a:spcAft>
              <a:spcPts val="300"/>
            </a:spcAft>
          </a:pPr>
          <a:r>
            <a:rPr lang="en-GB" sz="900" b="1"/>
            <a:t>Age alone (n=6)</a:t>
          </a:r>
        </a:p>
        <a:p>
          <a:pPr>
            <a:lnSpc>
              <a:spcPct val="100000"/>
            </a:lnSpc>
            <a:spcAft>
              <a:spcPts val="300"/>
            </a:spcAft>
          </a:pPr>
          <a:r>
            <a:rPr lang="en-GB" sz="900" b="1"/>
            <a:t>Age + previous wedge fracture (n=9)</a:t>
          </a:r>
        </a:p>
        <a:p>
          <a:pPr>
            <a:lnSpc>
              <a:spcPct val="100000"/>
            </a:lnSpc>
            <a:spcAft>
              <a:spcPts val="300"/>
            </a:spcAft>
          </a:pPr>
          <a:r>
            <a:rPr lang="en-GB" sz="900" b="1"/>
            <a:t>Age + previous hip fracture (n=4)</a:t>
          </a:r>
        </a:p>
        <a:p>
          <a:pPr>
            <a:lnSpc>
              <a:spcPct val="100000"/>
            </a:lnSpc>
            <a:spcAft>
              <a:spcPts val="300"/>
            </a:spcAft>
          </a:pPr>
          <a:r>
            <a:rPr lang="en-GB" sz="900" b="1"/>
            <a:t>Age + concomitent steroid use (n=4)</a:t>
          </a:r>
        </a:p>
        <a:p>
          <a:pPr>
            <a:lnSpc>
              <a:spcPct val="100000"/>
            </a:lnSpc>
            <a:spcAft>
              <a:spcPts val="300"/>
            </a:spcAft>
          </a:pPr>
          <a:r>
            <a:rPr lang="en-GB" sz="900" b="1"/>
            <a:t>Previous wedge fracture (n=1)</a:t>
          </a:r>
        </a:p>
      </dgm:t>
    </dgm:pt>
    <dgm:pt modelId="{376A8758-19A3-43B3-ACE9-88B571C67D42}" type="parTrans" cxnId="{D547AF68-E372-44DE-821E-1EB250E669AB}">
      <dgm:prSet/>
      <dgm:spPr/>
      <dgm:t>
        <a:bodyPr/>
        <a:lstStyle/>
        <a:p>
          <a:endParaRPr lang="en-GB" sz="500"/>
        </a:p>
      </dgm:t>
    </dgm:pt>
    <dgm:pt modelId="{B68C1206-0FB1-4725-B22E-188CDB00872A}" type="sibTrans" cxnId="{D547AF68-E372-44DE-821E-1EB250E669AB}">
      <dgm:prSet/>
      <dgm:spPr/>
      <dgm:t>
        <a:bodyPr/>
        <a:lstStyle/>
        <a:p>
          <a:endParaRPr lang="en-GB"/>
        </a:p>
      </dgm:t>
    </dgm:pt>
    <dgm:pt modelId="{F79845EE-D6F4-464A-BD19-6E419606F088}">
      <dgm:prSet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 b="1"/>
            <a:t>1/18 (6%) under </a:t>
          </a:r>
          <a:br>
            <a:rPr lang="en-GB" sz="1000" b="1"/>
          </a:br>
          <a:r>
            <a:rPr lang="en-GB" sz="1000" b="1"/>
            <a:t>rheumatology care</a:t>
          </a:r>
        </a:p>
      </dgm:t>
    </dgm:pt>
    <dgm:pt modelId="{5305DEBD-920A-4DB9-8503-6219CDC2C101}" type="parTrans" cxnId="{8FD8099A-BB10-4BF6-AB6B-C990F3C3883E}">
      <dgm:prSet/>
      <dgm:spPr/>
      <dgm:t>
        <a:bodyPr/>
        <a:lstStyle/>
        <a:p>
          <a:endParaRPr lang="en-GB" sz="500"/>
        </a:p>
      </dgm:t>
    </dgm:pt>
    <dgm:pt modelId="{54F69498-F2B4-4DE5-A951-F44E9F6D26DD}" type="sibTrans" cxnId="{8FD8099A-BB10-4BF6-AB6B-C990F3C3883E}">
      <dgm:prSet/>
      <dgm:spPr/>
      <dgm:t>
        <a:bodyPr/>
        <a:lstStyle/>
        <a:p>
          <a:endParaRPr lang="en-GB"/>
        </a:p>
      </dgm:t>
    </dgm:pt>
    <dgm:pt modelId="{034B9E3A-DB96-4120-B3B8-B0834EA3EAC4}">
      <dgm:prSet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 b="1"/>
            <a:t>3/41 (7%) had been reviewed with DXA scans and treatment continued</a:t>
          </a:r>
        </a:p>
      </dgm:t>
    </dgm:pt>
    <dgm:pt modelId="{C25CEA46-6689-4C4E-853B-63E85B52A5E1}" type="parTrans" cxnId="{5FDCE7E5-54FB-4F9C-86A2-8D902373DD7E}">
      <dgm:prSet/>
      <dgm:spPr/>
      <dgm:t>
        <a:bodyPr/>
        <a:lstStyle/>
        <a:p>
          <a:endParaRPr lang="en-GB" sz="500"/>
        </a:p>
      </dgm:t>
    </dgm:pt>
    <dgm:pt modelId="{3A17E5ED-4A2F-4605-848D-84136FF17156}" type="sibTrans" cxnId="{5FDCE7E5-54FB-4F9C-86A2-8D902373DD7E}">
      <dgm:prSet/>
      <dgm:spPr/>
      <dgm:t>
        <a:bodyPr/>
        <a:lstStyle/>
        <a:p>
          <a:endParaRPr lang="en-GB"/>
        </a:p>
      </dgm:t>
    </dgm:pt>
    <dgm:pt modelId="{47FAABDF-8B73-4E04-9716-63BDF195A8C8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 b="1"/>
            <a:t>14/41 (34%) had no evidence of an adequate review or clear reason </a:t>
          </a:r>
          <a:br>
            <a:rPr lang="en-GB" sz="1000" b="1"/>
          </a:br>
          <a:r>
            <a:rPr lang="en-GB" sz="1000" b="1"/>
            <a:t>to contine beyond 5 years</a:t>
          </a:r>
        </a:p>
      </dgm:t>
    </dgm:pt>
    <dgm:pt modelId="{0038456D-9F1D-4DCF-AAB4-8E46376E0DB6}" type="parTrans" cxnId="{CF25C016-EBC0-4F04-9DF7-CB5B2C6C8AC3}">
      <dgm:prSet/>
      <dgm:spPr/>
      <dgm:t>
        <a:bodyPr/>
        <a:lstStyle/>
        <a:p>
          <a:endParaRPr lang="en-GB" sz="500"/>
        </a:p>
      </dgm:t>
    </dgm:pt>
    <dgm:pt modelId="{2C378496-1519-467F-868D-91D500D8DC3E}" type="sibTrans" cxnId="{CF25C016-EBC0-4F04-9DF7-CB5B2C6C8AC3}">
      <dgm:prSet/>
      <dgm:spPr/>
      <dgm:t>
        <a:bodyPr/>
        <a:lstStyle/>
        <a:p>
          <a:endParaRPr lang="en-GB"/>
        </a:p>
      </dgm:t>
    </dgm:pt>
    <dgm:pt modelId="{162D20C0-6E9B-4CB9-850F-FBF0612B41C0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00" b="1"/>
            <a:t>17/18 (94%) with no evidence of an adequate review or discussion of a bisphosphonate 'drug holiday'</a:t>
          </a:r>
        </a:p>
      </dgm:t>
    </dgm:pt>
    <dgm:pt modelId="{68207707-6BD2-42A5-B5C1-093AF14AF1C6}" type="parTrans" cxnId="{E943F146-40F0-445C-8466-F7DB3A7F096C}">
      <dgm:prSet/>
      <dgm:spPr/>
      <dgm:t>
        <a:bodyPr/>
        <a:lstStyle/>
        <a:p>
          <a:endParaRPr lang="en-GB" sz="500"/>
        </a:p>
      </dgm:t>
    </dgm:pt>
    <dgm:pt modelId="{A0A011ED-2B3B-46A4-8AF0-09C4E6527AF1}" type="sibTrans" cxnId="{E943F146-40F0-445C-8466-F7DB3A7F096C}">
      <dgm:prSet/>
      <dgm:spPr/>
      <dgm:t>
        <a:bodyPr/>
        <a:lstStyle/>
        <a:p>
          <a:endParaRPr lang="en-GB"/>
        </a:p>
      </dgm:t>
    </dgm:pt>
    <dgm:pt modelId="{D2167BA8-D25D-4653-8762-914CCA009E22}" type="asst">
      <dgm:prSet custT="1"/>
      <dgm:spPr/>
      <dgm:t>
        <a:bodyPr/>
        <a:lstStyle/>
        <a:p>
          <a:r>
            <a:rPr lang="en-GB" sz="1000" b="1"/>
            <a:t>One excluded as prescribed for prostate cancer</a:t>
          </a:r>
        </a:p>
      </dgm:t>
    </dgm:pt>
    <dgm:pt modelId="{50E9B3BB-3D40-4221-8161-119FEA5476F4}" type="parTrans" cxnId="{B4B1AB17-110D-4FC3-AFE1-3C069F4DCB56}">
      <dgm:prSet/>
      <dgm:spPr/>
      <dgm:t>
        <a:bodyPr/>
        <a:lstStyle/>
        <a:p>
          <a:endParaRPr lang="en-GB"/>
        </a:p>
      </dgm:t>
    </dgm:pt>
    <dgm:pt modelId="{DD1F9276-D821-4568-8CFB-4090C41C1B18}" type="sibTrans" cxnId="{B4B1AB17-110D-4FC3-AFE1-3C069F4DCB56}">
      <dgm:prSet/>
      <dgm:spPr/>
      <dgm:t>
        <a:bodyPr/>
        <a:lstStyle/>
        <a:p>
          <a:endParaRPr lang="en-GB"/>
        </a:p>
      </dgm:t>
    </dgm:pt>
    <dgm:pt modelId="{49D4238E-B408-49FB-A073-FAC214E9AF3D}" type="pres">
      <dgm:prSet presAssocID="{63257427-817A-4DE1-B4EB-6EAD98A2EB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029F9004-E60B-44A3-88E6-6217B63A4D96}" type="pres">
      <dgm:prSet presAssocID="{F9DBEAF4-D97F-485E-BD76-7E7C016C1CC9}" presName="hierRoot1" presStyleCnt="0">
        <dgm:presLayoutVars>
          <dgm:hierBranch val="init"/>
        </dgm:presLayoutVars>
      </dgm:prSet>
      <dgm:spPr/>
    </dgm:pt>
    <dgm:pt modelId="{2DCABD3D-74BD-471B-ADED-8E93A76FEE74}" type="pres">
      <dgm:prSet presAssocID="{F9DBEAF4-D97F-485E-BD76-7E7C016C1CC9}" presName="rootComposite1" presStyleCnt="0"/>
      <dgm:spPr/>
    </dgm:pt>
    <dgm:pt modelId="{88BE09CC-2023-4258-9971-054A62685EB5}" type="pres">
      <dgm:prSet presAssocID="{F9DBEAF4-D97F-485E-BD76-7E7C016C1CC9}" presName="rootText1" presStyleLbl="node0" presStyleIdx="0" presStyleCnt="1" custScaleX="536351" custScaleY="59941" custLinFactNeighborY="-2013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2E0FCA9-F797-4386-A827-44F4377E9737}" type="pres">
      <dgm:prSet presAssocID="{F9DBEAF4-D97F-485E-BD76-7E7C016C1CC9}" presName="rootConnector1" presStyleLbl="node1" presStyleIdx="0" presStyleCnt="0"/>
      <dgm:spPr/>
      <dgm:t>
        <a:bodyPr/>
        <a:lstStyle/>
        <a:p>
          <a:endParaRPr lang="en-GB"/>
        </a:p>
      </dgm:t>
    </dgm:pt>
    <dgm:pt modelId="{61558967-FF0E-4884-B3D1-11FDD5F849F1}" type="pres">
      <dgm:prSet presAssocID="{F9DBEAF4-D97F-485E-BD76-7E7C016C1CC9}" presName="hierChild2" presStyleCnt="0"/>
      <dgm:spPr/>
    </dgm:pt>
    <dgm:pt modelId="{03C895B9-E837-436B-8296-DDFBD7BD7A70}" type="pres">
      <dgm:prSet presAssocID="{38CF0AED-D8DC-4F85-94AE-3F917AE3CBF2}" presName="Name37" presStyleLbl="parChTrans1D2" presStyleIdx="0" presStyleCnt="1"/>
      <dgm:spPr/>
      <dgm:t>
        <a:bodyPr/>
        <a:lstStyle/>
        <a:p>
          <a:endParaRPr lang="en-GB"/>
        </a:p>
      </dgm:t>
    </dgm:pt>
    <dgm:pt modelId="{4FDEE93D-199B-4978-BB81-C31E6884EB3E}" type="pres">
      <dgm:prSet presAssocID="{4C9A00F1-5E54-4F10-8F99-461C0817D38C}" presName="hierRoot2" presStyleCnt="0">
        <dgm:presLayoutVars>
          <dgm:hierBranch val="init"/>
        </dgm:presLayoutVars>
      </dgm:prSet>
      <dgm:spPr/>
    </dgm:pt>
    <dgm:pt modelId="{8DA56A28-4D04-4138-86CC-4F6C99B2FE3C}" type="pres">
      <dgm:prSet presAssocID="{4C9A00F1-5E54-4F10-8F99-461C0817D38C}" presName="rootComposite" presStyleCnt="0"/>
      <dgm:spPr/>
    </dgm:pt>
    <dgm:pt modelId="{B1632641-1ED1-41A4-BBDD-A818C14C66D8}" type="pres">
      <dgm:prSet presAssocID="{4C9A00F1-5E54-4F10-8F99-461C0817D38C}" presName="rootText" presStyleLbl="node2" presStyleIdx="0" presStyleCnt="1" custScaleX="536351" custScaleY="59941" custLinFactNeighborY="-3380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B30DFAF-1730-4786-8146-FF9A4AF23B6C}" type="pres">
      <dgm:prSet presAssocID="{4C9A00F1-5E54-4F10-8F99-461C0817D38C}" presName="rootConnector" presStyleLbl="node2" presStyleIdx="0" presStyleCnt="1"/>
      <dgm:spPr/>
      <dgm:t>
        <a:bodyPr/>
        <a:lstStyle/>
        <a:p>
          <a:endParaRPr lang="en-GB"/>
        </a:p>
      </dgm:t>
    </dgm:pt>
    <dgm:pt modelId="{54E2BD8B-66B7-4F62-8E46-036831D349E6}" type="pres">
      <dgm:prSet presAssocID="{4C9A00F1-5E54-4F10-8F99-461C0817D38C}" presName="hierChild4" presStyleCnt="0"/>
      <dgm:spPr/>
    </dgm:pt>
    <dgm:pt modelId="{AF058E8F-2CFC-48B3-9328-9A9752FE805F}" type="pres">
      <dgm:prSet presAssocID="{53BF0F2C-778B-4B88-BD35-6D011FBC116D}" presName="Name37" presStyleLbl="parChTrans1D3" presStyleIdx="0" presStyleCnt="4"/>
      <dgm:spPr/>
      <dgm:t>
        <a:bodyPr/>
        <a:lstStyle/>
        <a:p>
          <a:endParaRPr lang="en-GB"/>
        </a:p>
      </dgm:t>
    </dgm:pt>
    <dgm:pt modelId="{51163FA1-6EEF-47C1-98E9-055465D6073C}" type="pres">
      <dgm:prSet presAssocID="{33E3ABE8-64AB-44AD-9456-1450EABF3DB1}" presName="hierRoot2" presStyleCnt="0">
        <dgm:presLayoutVars>
          <dgm:hierBranch val="init"/>
        </dgm:presLayoutVars>
      </dgm:prSet>
      <dgm:spPr/>
    </dgm:pt>
    <dgm:pt modelId="{205492AA-E17B-4C75-97E7-3BDD44E34A67}" type="pres">
      <dgm:prSet presAssocID="{33E3ABE8-64AB-44AD-9456-1450EABF3DB1}" presName="rootComposite" presStyleCnt="0"/>
      <dgm:spPr/>
    </dgm:pt>
    <dgm:pt modelId="{B1A480C8-9C35-4D11-8E33-3F7359A2C9BD}" type="pres">
      <dgm:prSet presAssocID="{33E3ABE8-64AB-44AD-9456-1450EABF3DB1}" presName="rootText" presStyleLbl="node3" presStyleIdx="0" presStyleCnt="3" custScaleX="170100" custLinFactNeighborX="-80577" custLinFactNeighborY="-7573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BD234FB-2460-4743-A5CB-01A196CA3B66}" type="pres">
      <dgm:prSet presAssocID="{33E3ABE8-64AB-44AD-9456-1450EABF3DB1}" presName="rootConnector" presStyleLbl="node3" presStyleIdx="0" presStyleCnt="3"/>
      <dgm:spPr/>
      <dgm:t>
        <a:bodyPr/>
        <a:lstStyle/>
        <a:p>
          <a:endParaRPr lang="en-GB"/>
        </a:p>
      </dgm:t>
    </dgm:pt>
    <dgm:pt modelId="{2850CFDE-D3A3-42B4-85C1-F86C1BAB5A3E}" type="pres">
      <dgm:prSet presAssocID="{33E3ABE8-64AB-44AD-9456-1450EABF3DB1}" presName="hierChild4" presStyleCnt="0"/>
      <dgm:spPr/>
    </dgm:pt>
    <dgm:pt modelId="{A0763927-C520-4C6B-925A-18D6F78BF534}" type="pres">
      <dgm:prSet presAssocID="{33E3ABE8-64AB-44AD-9456-1450EABF3DB1}" presName="hierChild5" presStyleCnt="0"/>
      <dgm:spPr/>
    </dgm:pt>
    <dgm:pt modelId="{3E2D53CC-18DE-412A-BF37-67BE8A941BED}" type="pres">
      <dgm:prSet presAssocID="{FF23C741-2239-4BF7-947C-1D4D19ED675A}" presName="Name37" presStyleLbl="parChTrans1D3" presStyleIdx="1" presStyleCnt="4"/>
      <dgm:spPr/>
      <dgm:t>
        <a:bodyPr/>
        <a:lstStyle/>
        <a:p>
          <a:endParaRPr lang="en-GB"/>
        </a:p>
      </dgm:t>
    </dgm:pt>
    <dgm:pt modelId="{AEE58BB1-6E4E-471F-8B73-3060BCC78A2F}" type="pres">
      <dgm:prSet presAssocID="{235FD46C-131F-4E19-99F0-1B701CEDA5EF}" presName="hierRoot2" presStyleCnt="0">
        <dgm:presLayoutVars>
          <dgm:hierBranch val="init"/>
        </dgm:presLayoutVars>
      </dgm:prSet>
      <dgm:spPr/>
    </dgm:pt>
    <dgm:pt modelId="{87D4892B-5F49-4795-BEA9-A9CA45DEBC90}" type="pres">
      <dgm:prSet presAssocID="{235FD46C-131F-4E19-99F0-1B701CEDA5EF}" presName="rootComposite" presStyleCnt="0"/>
      <dgm:spPr/>
    </dgm:pt>
    <dgm:pt modelId="{7A864E96-07CB-49D9-A6DC-D4A4DC5CB5A2}" type="pres">
      <dgm:prSet presAssocID="{235FD46C-131F-4E19-99F0-1B701CEDA5EF}" presName="rootText" presStyleLbl="node3" presStyleIdx="1" presStyleCnt="3" custScaleX="170100" custLinFactNeighborX="14947" custLinFactNeighborY="-7573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BE6B0AD-52F2-4165-9E50-D87E01F7CEBA}" type="pres">
      <dgm:prSet presAssocID="{235FD46C-131F-4E19-99F0-1B701CEDA5EF}" presName="rootConnector" presStyleLbl="node3" presStyleIdx="1" presStyleCnt="3"/>
      <dgm:spPr/>
      <dgm:t>
        <a:bodyPr/>
        <a:lstStyle/>
        <a:p>
          <a:endParaRPr lang="en-GB"/>
        </a:p>
      </dgm:t>
    </dgm:pt>
    <dgm:pt modelId="{31CA4B1F-066E-4B11-9D6E-358543749103}" type="pres">
      <dgm:prSet presAssocID="{235FD46C-131F-4E19-99F0-1B701CEDA5EF}" presName="hierChild4" presStyleCnt="0"/>
      <dgm:spPr/>
    </dgm:pt>
    <dgm:pt modelId="{C16437BE-387F-4D9D-B6CD-A74B3F47A20F}" type="pres">
      <dgm:prSet presAssocID="{376A8758-19A3-43B3-ACE9-88B571C67D42}" presName="Name37" presStyleLbl="parChTrans1D4" presStyleIdx="0" presStyleCnt="5"/>
      <dgm:spPr/>
      <dgm:t>
        <a:bodyPr/>
        <a:lstStyle/>
        <a:p>
          <a:endParaRPr lang="en-GB"/>
        </a:p>
      </dgm:t>
    </dgm:pt>
    <dgm:pt modelId="{A5A8FB46-078C-4824-A7C0-66DDE52E73B5}" type="pres">
      <dgm:prSet presAssocID="{A7B8A9C4-D273-4B8F-9931-F0285BBBF222}" presName="hierRoot2" presStyleCnt="0">
        <dgm:presLayoutVars>
          <dgm:hierBranch/>
        </dgm:presLayoutVars>
      </dgm:prSet>
      <dgm:spPr/>
    </dgm:pt>
    <dgm:pt modelId="{223486B9-2903-43E1-A067-1E51465B1B1A}" type="pres">
      <dgm:prSet presAssocID="{A7B8A9C4-D273-4B8F-9931-F0285BBBF222}" presName="rootComposite" presStyleCnt="0"/>
      <dgm:spPr/>
    </dgm:pt>
    <dgm:pt modelId="{B8DEB77B-6964-4B61-8031-17F876E08A6C}" type="pres">
      <dgm:prSet presAssocID="{A7B8A9C4-D273-4B8F-9931-F0285BBBF222}" presName="rootText" presStyleLbl="node4" presStyleIdx="0" presStyleCnt="5" custScaleX="199315" custScaleY="270534" custLinFactNeighborX="-2176" custLinFactNeighborY="-6592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71D43FB-4638-4C08-830F-CD60DD8008C6}" type="pres">
      <dgm:prSet presAssocID="{A7B8A9C4-D273-4B8F-9931-F0285BBBF222}" presName="rootConnector" presStyleLbl="node4" presStyleIdx="0" presStyleCnt="5"/>
      <dgm:spPr/>
      <dgm:t>
        <a:bodyPr/>
        <a:lstStyle/>
        <a:p>
          <a:endParaRPr lang="en-GB"/>
        </a:p>
      </dgm:t>
    </dgm:pt>
    <dgm:pt modelId="{E4A385E1-AC42-4778-84CC-63EDD094EAA0}" type="pres">
      <dgm:prSet presAssocID="{A7B8A9C4-D273-4B8F-9931-F0285BBBF222}" presName="hierChild4" presStyleCnt="0"/>
      <dgm:spPr/>
    </dgm:pt>
    <dgm:pt modelId="{066EA414-5F49-48E7-8661-5ED070A29BD3}" type="pres">
      <dgm:prSet presAssocID="{A7B8A9C4-D273-4B8F-9931-F0285BBBF222}" presName="hierChild5" presStyleCnt="0"/>
      <dgm:spPr/>
    </dgm:pt>
    <dgm:pt modelId="{4F087A28-B8D9-432B-BE81-02674AF3F378}" type="pres">
      <dgm:prSet presAssocID="{C25CEA46-6689-4C4E-853B-63E85B52A5E1}" presName="Name37" presStyleLbl="parChTrans1D4" presStyleIdx="1" presStyleCnt="5"/>
      <dgm:spPr/>
      <dgm:t>
        <a:bodyPr/>
        <a:lstStyle/>
        <a:p>
          <a:endParaRPr lang="en-GB"/>
        </a:p>
      </dgm:t>
    </dgm:pt>
    <dgm:pt modelId="{C9DDE951-B037-4D7D-BCB6-6E9311530AAE}" type="pres">
      <dgm:prSet presAssocID="{034B9E3A-DB96-4120-B3B8-B0834EA3EAC4}" presName="hierRoot2" presStyleCnt="0">
        <dgm:presLayoutVars>
          <dgm:hierBranch val="init"/>
        </dgm:presLayoutVars>
      </dgm:prSet>
      <dgm:spPr/>
    </dgm:pt>
    <dgm:pt modelId="{3C988E08-837D-42D0-B38D-060F597D832D}" type="pres">
      <dgm:prSet presAssocID="{034B9E3A-DB96-4120-B3B8-B0834EA3EAC4}" presName="rootComposite" presStyleCnt="0"/>
      <dgm:spPr/>
    </dgm:pt>
    <dgm:pt modelId="{0BD75F62-0BA1-4965-8D99-D88E05A3E08E}" type="pres">
      <dgm:prSet presAssocID="{034B9E3A-DB96-4120-B3B8-B0834EA3EAC4}" presName="rootText" presStyleLbl="node4" presStyleIdx="1" presStyleCnt="5" custScaleX="200656" custScaleY="106535" custLinFactNeighborX="-3015" custLinFactNeighborY="-4596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E9F98EF-5907-46F8-8FF8-AC72C7105F69}" type="pres">
      <dgm:prSet presAssocID="{034B9E3A-DB96-4120-B3B8-B0834EA3EAC4}" presName="rootConnector" presStyleLbl="node4" presStyleIdx="1" presStyleCnt="5"/>
      <dgm:spPr/>
      <dgm:t>
        <a:bodyPr/>
        <a:lstStyle/>
        <a:p>
          <a:endParaRPr lang="en-GB"/>
        </a:p>
      </dgm:t>
    </dgm:pt>
    <dgm:pt modelId="{100D0A33-26AA-4B1A-948F-43BEF4CF5739}" type="pres">
      <dgm:prSet presAssocID="{034B9E3A-DB96-4120-B3B8-B0834EA3EAC4}" presName="hierChild4" presStyleCnt="0"/>
      <dgm:spPr/>
    </dgm:pt>
    <dgm:pt modelId="{5A88EA6E-F847-41EA-B46B-01F8B712F329}" type="pres">
      <dgm:prSet presAssocID="{034B9E3A-DB96-4120-B3B8-B0834EA3EAC4}" presName="hierChild5" presStyleCnt="0"/>
      <dgm:spPr/>
    </dgm:pt>
    <dgm:pt modelId="{104D1B4E-C714-498A-B62E-685BEAA53796}" type="pres">
      <dgm:prSet presAssocID="{0038456D-9F1D-4DCF-AAB4-8E46376E0DB6}" presName="Name37" presStyleLbl="parChTrans1D4" presStyleIdx="2" presStyleCnt="5"/>
      <dgm:spPr/>
      <dgm:t>
        <a:bodyPr/>
        <a:lstStyle/>
        <a:p>
          <a:endParaRPr lang="en-GB"/>
        </a:p>
      </dgm:t>
    </dgm:pt>
    <dgm:pt modelId="{4D92F791-D555-4637-8BC5-5E2B483FC3C3}" type="pres">
      <dgm:prSet presAssocID="{47FAABDF-8B73-4E04-9716-63BDF195A8C8}" presName="hierRoot2" presStyleCnt="0">
        <dgm:presLayoutVars>
          <dgm:hierBranch val="init"/>
        </dgm:presLayoutVars>
      </dgm:prSet>
      <dgm:spPr/>
    </dgm:pt>
    <dgm:pt modelId="{3C414509-2F5B-4E7E-A63B-01D00DACBFDD}" type="pres">
      <dgm:prSet presAssocID="{47FAABDF-8B73-4E04-9716-63BDF195A8C8}" presName="rootComposite" presStyleCnt="0"/>
      <dgm:spPr/>
    </dgm:pt>
    <dgm:pt modelId="{2E740558-5447-4912-9424-0DEC1F609043}" type="pres">
      <dgm:prSet presAssocID="{47FAABDF-8B73-4E04-9716-63BDF195A8C8}" presName="rootText" presStyleLbl="node4" presStyleIdx="2" presStyleCnt="5" custScaleX="200656" custScaleY="120748" custLinFactNeighborX="-3030" custLinFactNeighborY="-3513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DD7E2DD-C9B2-496E-8E94-C97CD3A61344}" type="pres">
      <dgm:prSet presAssocID="{47FAABDF-8B73-4E04-9716-63BDF195A8C8}" presName="rootConnector" presStyleLbl="node4" presStyleIdx="2" presStyleCnt="5"/>
      <dgm:spPr/>
      <dgm:t>
        <a:bodyPr/>
        <a:lstStyle/>
        <a:p>
          <a:endParaRPr lang="en-GB"/>
        </a:p>
      </dgm:t>
    </dgm:pt>
    <dgm:pt modelId="{FE7F9308-F77E-4D81-9E2C-B5488F2F3186}" type="pres">
      <dgm:prSet presAssocID="{47FAABDF-8B73-4E04-9716-63BDF195A8C8}" presName="hierChild4" presStyleCnt="0"/>
      <dgm:spPr/>
    </dgm:pt>
    <dgm:pt modelId="{0F306064-BBB5-48D6-99C2-7C6161B061DD}" type="pres">
      <dgm:prSet presAssocID="{47FAABDF-8B73-4E04-9716-63BDF195A8C8}" presName="hierChild5" presStyleCnt="0"/>
      <dgm:spPr/>
    </dgm:pt>
    <dgm:pt modelId="{245822FE-993A-48E5-8294-A7C167B9D71A}" type="pres">
      <dgm:prSet presAssocID="{235FD46C-131F-4E19-99F0-1B701CEDA5EF}" presName="hierChild5" presStyleCnt="0"/>
      <dgm:spPr/>
    </dgm:pt>
    <dgm:pt modelId="{7BAA9C66-8146-428A-A75A-47886873E57C}" type="pres">
      <dgm:prSet presAssocID="{FB29C5A3-13C5-4444-9C9D-A77255B52EF4}" presName="Name37" presStyleLbl="parChTrans1D3" presStyleIdx="2" presStyleCnt="4"/>
      <dgm:spPr/>
      <dgm:t>
        <a:bodyPr/>
        <a:lstStyle/>
        <a:p>
          <a:endParaRPr lang="en-GB"/>
        </a:p>
      </dgm:t>
    </dgm:pt>
    <dgm:pt modelId="{6EBB017E-E885-45AE-AD1B-4E3EABAFF697}" type="pres">
      <dgm:prSet presAssocID="{4EB922C4-C44C-492E-84A6-47D61119075C}" presName="hierRoot2" presStyleCnt="0">
        <dgm:presLayoutVars>
          <dgm:hierBranch val="init"/>
        </dgm:presLayoutVars>
      </dgm:prSet>
      <dgm:spPr/>
    </dgm:pt>
    <dgm:pt modelId="{C0351EF0-C414-4E3B-AB75-581D014E6B22}" type="pres">
      <dgm:prSet presAssocID="{4EB922C4-C44C-492E-84A6-47D61119075C}" presName="rootComposite" presStyleCnt="0"/>
      <dgm:spPr/>
    </dgm:pt>
    <dgm:pt modelId="{120C44BC-266A-45A5-A6DC-AA7C38D93CAC}" type="pres">
      <dgm:prSet presAssocID="{4EB922C4-C44C-492E-84A6-47D61119075C}" presName="rootText" presStyleLbl="node3" presStyleIdx="2" presStyleCnt="3" custScaleX="170100" custLinFactNeighborX="13037" custLinFactNeighborY="-7573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C91AD52-D5BB-4E36-B540-D8BEBBC7F316}" type="pres">
      <dgm:prSet presAssocID="{4EB922C4-C44C-492E-84A6-47D61119075C}" presName="rootConnector" presStyleLbl="node3" presStyleIdx="2" presStyleCnt="3"/>
      <dgm:spPr/>
      <dgm:t>
        <a:bodyPr/>
        <a:lstStyle/>
        <a:p>
          <a:endParaRPr lang="en-GB"/>
        </a:p>
      </dgm:t>
    </dgm:pt>
    <dgm:pt modelId="{3C80AE65-612E-4A24-AAFD-E7C2A57E13E9}" type="pres">
      <dgm:prSet presAssocID="{4EB922C4-C44C-492E-84A6-47D61119075C}" presName="hierChild4" presStyleCnt="0"/>
      <dgm:spPr/>
    </dgm:pt>
    <dgm:pt modelId="{2F1E40ED-3657-4974-BE14-F6134139E0C9}" type="pres">
      <dgm:prSet presAssocID="{5305DEBD-920A-4DB9-8503-6219CDC2C101}" presName="Name37" presStyleLbl="parChTrans1D4" presStyleIdx="3" presStyleCnt="5"/>
      <dgm:spPr/>
      <dgm:t>
        <a:bodyPr/>
        <a:lstStyle/>
        <a:p>
          <a:endParaRPr lang="en-GB"/>
        </a:p>
      </dgm:t>
    </dgm:pt>
    <dgm:pt modelId="{1348FCD6-3915-419F-98CE-9FD683CE3CEF}" type="pres">
      <dgm:prSet presAssocID="{F79845EE-D6F4-464A-BD19-6E419606F088}" presName="hierRoot2" presStyleCnt="0">
        <dgm:presLayoutVars>
          <dgm:hierBranch val="init"/>
        </dgm:presLayoutVars>
      </dgm:prSet>
      <dgm:spPr/>
    </dgm:pt>
    <dgm:pt modelId="{9F60EC06-8A02-4081-885F-FC37F3958630}" type="pres">
      <dgm:prSet presAssocID="{F79845EE-D6F4-464A-BD19-6E419606F088}" presName="rootComposite" presStyleCnt="0"/>
      <dgm:spPr/>
    </dgm:pt>
    <dgm:pt modelId="{04762D95-43DD-478E-B2EE-A1A8773728BD}" type="pres">
      <dgm:prSet presAssocID="{F79845EE-D6F4-464A-BD19-6E419606F088}" presName="rootText" presStyleLbl="node4" presStyleIdx="3" presStyleCnt="5" custScaleX="140912" custScaleY="105024" custLinFactNeighborX="-4058" custLinFactNeighborY="-6612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DEA579C-F07B-4CEA-91B4-B90ACA89FC4B}" type="pres">
      <dgm:prSet presAssocID="{F79845EE-D6F4-464A-BD19-6E419606F088}" presName="rootConnector" presStyleLbl="node4" presStyleIdx="3" presStyleCnt="5"/>
      <dgm:spPr/>
      <dgm:t>
        <a:bodyPr/>
        <a:lstStyle/>
        <a:p>
          <a:endParaRPr lang="en-GB"/>
        </a:p>
      </dgm:t>
    </dgm:pt>
    <dgm:pt modelId="{6D643E63-5FF6-46E6-B7E6-6A2141EE1624}" type="pres">
      <dgm:prSet presAssocID="{F79845EE-D6F4-464A-BD19-6E419606F088}" presName="hierChild4" presStyleCnt="0"/>
      <dgm:spPr/>
    </dgm:pt>
    <dgm:pt modelId="{244BD0FC-91E9-41F5-BCD5-6C184685E457}" type="pres">
      <dgm:prSet presAssocID="{F79845EE-D6F4-464A-BD19-6E419606F088}" presName="hierChild5" presStyleCnt="0"/>
      <dgm:spPr/>
    </dgm:pt>
    <dgm:pt modelId="{B89607B1-0097-453F-9052-753AC99FB14D}" type="pres">
      <dgm:prSet presAssocID="{68207707-6BD2-42A5-B5C1-093AF14AF1C6}" presName="Name37" presStyleLbl="parChTrans1D4" presStyleIdx="4" presStyleCnt="5"/>
      <dgm:spPr/>
      <dgm:t>
        <a:bodyPr/>
        <a:lstStyle/>
        <a:p>
          <a:endParaRPr lang="en-GB"/>
        </a:p>
      </dgm:t>
    </dgm:pt>
    <dgm:pt modelId="{3BEA776E-74B9-4875-97E2-AD12406CFCA5}" type="pres">
      <dgm:prSet presAssocID="{162D20C0-6E9B-4CB9-850F-FBF0612B41C0}" presName="hierRoot2" presStyleCnt="0">
        <dgm:presLayoutVars>
          <dgm:hierBranch val="init"/>
        </dgm:presLayoutVars>
      </dgm:prSet>
      <dgm:spPr/>
    </dgm:pt>
    <dgm:pt modelId="{CE4526BA-7554-47C9-8FDF-A7EF0FEB5877}" type="pres">
      <dgm:prSet presAssocID="{162D20C0-6E9B-4CB9-850F-FBF0612B41C0}" presName="rootComposite" presStyleCnt="0"/>
      <dgm:spPr/>
    </dgm:pt>
    <dgm:pt modelId="{FD6E9F8A-DE0D-472B-9A84-7659A208DE36}" type="pres">
      <dgm:prSet presAssocID="{162D20C0-6E9B-4CB9-850F-FBF0612B41C0}" presName="rootText" presStyleLbl="node4" presStyleIdx="4" presStyleCnt="5" custScaleX="138760" custScaleY="217557" custLinFactNeighborX="-2026" custLinFactNeighborY="-9169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CBB6C3D-F936-469F-B120-B56147F89EA1}" type="pres">
      <dgm:prSet presAssocID="{162D20C0-6E9B-4CB9-850F-FBF0612B41C0}" presName="rootConnector" presStyleLbl="node4" presStyleIdx="4" presStyleCnt="5"/>
      <dgm:spPr/>
      <dgm:t>
        <a:bodyPr/>
        <a:lstStyle/>
        <a:p>
          <a:endParaRPr lang="en-GB"/>
        </a:p>
      </dgm:t>
    </dgm:pt>
    <dgm:pt modelId="{E65CCEC4-69D4-4BC5-8A4B-CD6184DAAC97}" type="pres">
      <dgm:prSet presAssocID="{162D20C0-6E9B-4CB9-850F-FBF0612B41C0}" presName="hierChild4" presStyleCnt="0"/>
      <dgm:spPr/>
    </dgm:pt>
    <dgm:pt modelId="{4838C091-06B9-4966-A7D5-A0A7C10C220F}" type="pres">
      <dgm:prSet presAssocID="{162D20C0-6E9B-4CB9-850F-FBF0612B41C0}" presName="hierChild5" presStyleCnt="0"/>
      <dgm:spPr/>
    </dgm:pt>
    <dgm:pt modelId="{B4E070B6-3595-4C54-940A-0F7C0C7C81DE}" type="pres">
      <dgm:prSet presAssocID="{4EB922C4-C44C-492E-84A6-47D61119075C}" presName="hierChild5" presStyleCnt="0"/>
      <dgm:spPr/>
    </dgm:pt>
    <dgm:pt modelId="{39B824E6-5BF4-4868-9D75-879E5F5C1181}" type="pres">
      <dgm:prSet presAssocID="{4C9A00F1-5E54-4F10-8F99-461C0817D38C}" presName="hierChild5" presStyleCnt="0"/>
      <dgm:spPr/>
    </dgm:pt>
    <dgm:pt modelId="{7B13EB68-C19A-441D-BA54-EC90A048443B}" type="pres">
      <dgm:prSet presAssocID="{50E9B3BB-3D40-4221-8161-119FEA5476F4}" presName="Name111" presStyleLbl="parChTrans1D3" presStyleIdx="3" presStyleCnt="4"/>
      <dgm:spPr/>
      <dgm:t>
        <a:bodyPr/>
        <a:lstStyle/>
        <a:p>
          <a:endParaRPr lang="en-GB"/>
        </a:p>
      </dgm:t>
    </dgm:pt>
    <dgm:pt modelId="{7F24B9A9-D246-41C4-AED8-65AB449894B8}" type="pres">
      <dgm:prSet presAssocID="{D2167BA8-D25D-4653-8762-914CCA009E22}" presName="hierRoot3" presStyleCnt="0">
        <dgm:presLayoutVars>
          <dgm:hierBranch val="init"/>
        </dgm:presLayoutVars>
      </dgm:prSet>
      <dgm:spPr/>
    </dgm:pt>
    <dgm:pt modelId="{A6312BB1-2154-4C78-A969-582D5E5F2220}" type="pres">
      <dgm:prSet presAssocID="{D2167BA8-D25D-4653-8762-914CCA009E22}" presName="rootComposite3" presStyleCnt="0"/>
      <dgm:spPr/>
    </dgm:pt>
    <dgm:pt modelId="{702B5201-FF5A-4E63-ABE7-D95EF190F8E4}" type="pres">
      <dgm:prSet presAssocID="{D2167BA8-D25D-4653-8762-914CCA009E22}" presName="rootText3" presStyleLbl="asst2" presStyleIdx="0" presStyleCnt="1" custScaleX="236806" custScaleY="71402" custLinFactNeighborX="-984" custLinFactNeighborY="-6636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142958F-FAD3-479C-B147-7AADC9390348}" type="pres">
      <dgm:prSet presAssocID="{D2167BA8-D25D-4653-8762-914CCA009E22}" presName="rootConnector3" presStyleLbl="asst2" presStyleIdx="0" presStyleCnt="1"/>
      <dgm:spPr/>
      <dgm:t>
        <a:bodyPr/>
        <a:lstStyle/>
        <a:p>
          <a:endParaRPr lang="en-GB"/>
        </a:p>
      </dgm:t>
    </dgm:pt>
    <dgm:pt modelId="{B6E45F39-5A4B-433B-8CAE-AED50FF83C9D}" type="pres">
      <dgm:prSet presAssocID="{D2167BA8-D25D-4653-8762-914CCA009E22}" presName="hierChild6" presStyleCnt="0"/>
      <dgm:spPr/>
    </dgm:pt>
    <dgm:pt modelId="{4325374F-F60A-43E3-A363-3439F17B3EB1}" type="pres">
      <dgm:prSet presAssocID="{D2167BA8-D25D-4653-8762-914CCA009E22}" presName="hierChild7" presStyleCnt="0"/>
      <dgm:spPr/>
    </dgm:pt>
    <dgm:pt modelId="{DD4D823C-4797-4938-9702-F00DE0368C63}" type="pres">
      <dgm:prSet presAssocID="{F9DBEAF4-D97F-485E-BD76-7E7C016C1CC9}" presName="hierChild3" presStyleCnt="0"/>
      <dgm:spPr/>
    </dgm:pt>
  </dgm:ptLst>
  <dgm:cxnLst>
    <dgm:cxn modelId="{C90F01ED-26BD-4320-BB33-FA8FDF2E786B}" type="presOf" srcId="{4EB922C4-C44C-492E-84A6-47D61119075C}" destId="{120C44BC-266A-45A5-A6DC-AA7C38D93CAC}" srcOrd="0" destOrd="0" presId="urn:microsoft.com/office/officeart/2005/8/layout/orgChart1"/>
    <dgm:cxn modelId="{8FD8099A-BB10-4BF6-AB6B-C990F3C3883E}" srcId="{4EB922C4-C44C-492E-84A6-47D61119075C}" destId="{F79845EE-D6F4-464A-BD19-6E419606F088}" srcOrd="0" destOrd="0" parTransId="{5305DEBD-920A-4DB9-8503-6219CDC2C101}" sibTransId="{54F69498-F2B4-4DE5-A951-F44E9F6D26DD}"/>
    <dgm:cxn modelId="{60332479-8A0C-4E70-AE17-1E4E2B7E62B3}" type="presOf" srcId="{D2167BA8-D25D-4653-8762-914CCA009E22}" destId="{702B5201-FF5A-4E63-ABE7-D95EF190F8E4}" srcOrd="0" destOrd="0" presId="urn:microsoft.com/office/officeart/2005/8/layout/orgChart1"/>
    <dgm:cxn modelId="{CF25C016-EBC0-4F04-9DF7-CB5B2C6C8AC3}" srcId="{235FD46C-131F-4E19-99F0-1B701CEDA5EF}" destId="{47FAABDF-8B73-4E04-9716-63BDF195A8C8}" srcOrd="2" destOrd="0" parTransId="{0038456D-9F1D-4DCF-AAB4-8E46376E0DB6}" sibTransId="{2C378496-1519-467F-868D-91D500D8DC3E}"/>
    <dgm:cxn modelId="{896EA65E-01EE-458B-8E35-9778AC535AAB}" type="presOf" srcId="{F79845EE-D6F4-464A-BD19-6E419606F088}" destId="{FDEA579C-F07B-4CEA-91B4-B90ACA89FC4B}" srcOrd="1" destOrd="0" presId="urn:microsoft.com/office/officeart/2005/8/layout/orgChart1"/>
    <dgm:cxn modelId="{FADF79C5-526D-45B8-AF44-76B8DAE70C09}" type="presOf" srcId="{63257427-817A-4DE1-B4EB-6EAD98A2EBF9}" destId="{49D4238E-B408-49FB-A073-FAC214E9AF3D}" srcOrd="0" destOrd="0" presId="urn:microsoft.com/office/officeart/2005/8/layout/orgChart1"/>
    <dgm:cxn modelId="{351B91B4-669A-42D7-938C-2595AE372509}" type="presOf" srcId="{33E3ABE8-64AB-44AD-9456-1450EABF3DB1}" destId="{B1A480C8-9C35-4D11-8E33-3F7359A2C9BD}" srcOrd="0" destOrd="0" presId="urn:microsoft.com/office/officeart/2005/8/layout/orgChart1"/>
    <dgm:cxn modelId="{C18E836B-1748-403F-8C2D-9BDF0A811BCA}" type="presOf" srcId="{47FAABDF-8B73-4E04-9716-63BDF195A8C8}" destId="{2E740558-5447-4912-9424-0DEC1F609043}" srcOrd="0" destOrd="0" presId="urn:microsoft.com/office/officeart/2005/8/layout/orgChart1"/>
    <dgm:cxn modelId="{9F467A25-2FB5-4C14-8057-3C038FC643E8}" type="presOf" srcId="{034B9E3A-DB96-4120-B3B8-B0834EA3EAC4}" destId="{8E9F98EF-5907-46F8-8FF8-AC72C7105F69}" srcOrd="1" destOrd="0" presId="urn:microsoft.com/office/officeart/2005/8/layout/orgChart1"/>
    <dgm:cxn modelId="{724668CF-6E67-484D-9CF1-FB7132F99244}" type="presOf" srcId="{235FD46C-131F-4E19-99F0-1B701CEDA5EF}" destId="{7A864E96-07CB-49D9-A6DC-D4A4DC5CB5A2}" srcOrd="0" destOrd="0" presId="urn:microsoft.com/office/officeart/2005/8/layout/orgChart1"/>
    <dgm:cxn modelId="{5FDCE7E5-54FB-4F9C-86A2-8D902373DD7E}" srcId="{235FD46C-131F-4E19-99F0-1B701CEDA5EF}" destId="{034B9E3A-DB96-4120-B3B8-B0834EA3EAC4}" srcOrd="1" destOrd="0" parTransId="{C25CEA46-6689-4C4E-853B-63E85B52A5E1}" sibTransId="{3A17E5ED-4A2F-4605-848D-84136FF17156}"/>
    <dgm:cxn modelId="{336F2D4C-58A4-479E-A01B-7C4B30521C01}" type="presOf" srcId="{D2167BA8-D25D-4653-8762-914CCA009E22}" destId="{4142958F-FAD3-479C-B147-7AADC9390348}" srcOrd="1" destOrd="0" presId="urn:microsoft.com/office/officeart/2005/8/layout/orgChart1"/>
    <dgm:cxn modelId="{7B09B80B-49E3-4026-BF49-4E4661EBCC82}" type="presOf" srcId="{F9DBEAF4-D97F-485E-BD76-7E7C016C1CC9}" destId="{88BE09CC-2023-4258-9971-054A62685EB5}" srcOrd="0" destOrd="0" presId="urn:microsoft.com/office/officeart/2005/8/layout/orgChart1"/>
    <dgm:cxn modelId="{27179AF1-6780-4A30-AD91-684A237199E7}" type="presOf" srcId="{C25CEA46-6689-4C4E-853B-63E85B52A5E1}" destId="{4F087A28-B8D9-432B-BE81-02674AF3F378}" srcOrd="0" destOrd="0" presId="urn:microsoft.com/office/officeart/2005/8/layout/orgChart1"/>
    <dgm:cxn modelId="{13769AAE-4229-413D-A739-29DFD90E3394}" type="presOf" srcId="{376A8758-19A3-43B3-ACE9-88B571C67D42}" destId="{C16437BE-387F-4D9D-B6CD-A74B3F47A20F}" srcOrd="0" destOrd="0" presId="urn:microsoft.com/office/officeart/2005/8/layout/orgChart1"/>
    <dgm:cxn modelId="{D3A0DA16-189B-40AC-AEBF-1FF103669EB9}" srcId="{F9DBEAF4-D97F-485E-BD76-7E7C016C1CC9}" destId="{4C9A00F1-5E54-4F10-8F99-461C0817D38C}" srcOrd="0" destOrd="0" parTransId="{38CF0AED-D8DC-4F85-94AE-3F917AE3CBF2}" sibTransId="{DA328C82-2BC0-4A74-8661-18006C1B14C2}"/>
    <dgm:cxn modelId="{B8969032-45A6-46C4-8734-1FA09FC70A76}" srcId="{4C9A00F1-5E54-4F10-8F99-461C0817D38C}" destId="{33E3ABE8-64AB-44AD-9456-1450EABF3DB1}" srcOrd="0" destOrd="0" parTransId="{53BF0F2C-778B-4B88-BD35-6D011FBC116D}" sibTransId="{FD50703C-B9ED-4CA5-8279-98F319717AF9}"/>
    <dgm:cxn modelId="{2FF29E8A-F4CF-4AF9-85CD-BA53893D5741}" srcId="{63257427-817A-4DE1-B4EB-6EAD98A2EBF9}" destId="{F9DBEAF4-D97F-485E-BD76-7E7C016C1CC9}" srcOrd="0" destOrd="0" parTransId="{AC45FFE1-71AF-4B13-BFF8-5EBA6BE6507A}" sibTransId="{A7D2405E-2122-48F9-BEF8-64A235142260}"/>
    <dgm:cxn modelId="{6218DB48-B98C-4CAD-AC77-9C2F88E2513E}" type="presOf" srcId="{034B9E3A-DB96-4120-B3B8-B0834EA3EAC4}" destId="{0BD75F62-0BA1-4965-8D99-D88E05A3E08E}" srcOrd="0" destOrd="0" presId="urn:microsoft.com/office/officeart/2005/8/layout/orgChart1"/>
    <dgm:cxn modelId="{33631E2D-8D3B-4151-841C-DEF2F7E2D0E7}" type="presOf" srcId="{53BF0F2C-778B-4B88-BD35-6D011FBC116D}" destId="{AF058E8F-2CFC-48B3-9328-9A9752FE805F}" srcOrd="0" destOrd="0" presId="urn:microsoft.com/office/officeart/2005/8/layout/orgChart1"/>
    <dgm:cxn modelId="{C1A02DF4-F04C-4EA3-981E-247A7EA9A996}" type="presOf" srcId="{A7B8A9C4-D273-4B8F-9931-F0285BBBF222}" destId="{271D43FB-4638-4C08-830F-CD60DD8008C6}" srcOrd="1" destOrd="0" presId="urn:microsoft.com/office/officeart/2005/8/layout/orgChart1"/>
    <dgm:cxn modelId="{37811692-F279-4275-9376-A146212F365B}" type="presOf" srcId="{F9DBEAF4-D97F-485E-BD76-7E7C016C1CC9}" destId="{72E0FCA9-F797-4386-A827-44F4377E9737}" srcOrd="1" destOrd="0" presId="urn:microsoft.com/office/officeart/2005/8/layout/orgChart1"/>
    <dgm:cxn modelId="{816C6D7E-3969-43D5-9E7D-206014AD817A}" type="presOf" srcId="{68207707-6BD2-42A5-B5C1-093AF14AF1C6}" destId="{B89607B1-0097-453F-9052-753AC99FB14D}" srcOrd="0" destOrd="0" presId="urn:microsoft.com/office/officeart/2005/8/layout/orgChart1"/>
    <dgm:cxn modelId="{A4F13EA4-0ACB-4E5C-BE35-6C4FF95D1E43}" type="presOf" srcId="{F79845EE-D6F4-464A-BD19-6E419606F088}" destId="{04762D95-43DD-478E-B2EE-A1A8773728BD}" srcOrd="0" destOrd="0" presId="urn:microsoft.com/office/officeart/2005/8/layout/orgChart1"/>
    <dgm:cxn modelId="{83635912-C88E-4549-8995-964F44613D6B}" type="presOf" srcId="{FB29C5A3-13C5-4444-9C9D-A77255B52EF4}" destId="{7BAA9C66-8146-428A-A75A-47886873E57C}" srcOrd="0" destOrd="0" presId="urn:microsoft.com/office/officeart/2005/8/layout/orgChart1"/>
    <dgm:cxn modelId="{69BDABA5-BFE7-4841-B220-3B2475C5A6DA}" type="presOf" srcId="{A7B8A9C4-D273-4B8F-9931-F0285BBBF222}" destId="{B8DEB77B-6964-4B61-8031-17F876E08A6C}" srcOrd="0" destOrd="0" presId="urn:microsoft.com/office/officeart/2005/8/layout/orgChart1"/>
    <dgm:cxn modelId="{D547AF68-E372-44DE-821E-1EB250E669AB}" srcId="{235FD46C-131F-4E19-99F0-1B701CEDA5EF}" destId="{A7B8A9C4-D273-4B8F-9931-F0285BBBF222}" srcOrd="0" destOrd="0" parTransId="{376A8758-19A3-43B3-ACE9-88B571C67D42}" sibTransId="{B68C1206-0FB1-4725-B22E-188CDB00872A}"/>
    <dgm:cxn modelId="{25411DA1-495B-435F-A1A5-E907503F8BA7}" type="presOf" srcId="{50E9B3BB-3D40-4221-8161-119FEA5476F4}" destId="{7B13EB68-C19A-441D-BA54-EC90A048443B}" srcOrd="0" destOrd="0" presId="urn:microsoft.com/office/officeart/2005/8/layout/orgChart1"/>
    <dgm:cxn modelId="{93494811-1D54-412D-9832-30BFC7A7CE7C}" type="presOf" srcId="{47FAABDF-8B73-4E04-9716-63BDF195A8C8}" destId="{2DD7E2DD-C9B2-496E-8E94-C97CD3A61344}" srcOrd="1" destOrd="0" presId="urn:microsoft.com/office/officeart/2005/8/layout/orgChart1"/>
    <dgm:cxn modelId="{66B231C9-19F3-4602-A38F-13FE1766EF83}" srcId="{4C9A00F1-5E54-4F10-8F99-461C0817D38C}" destId="{4EB922C4-C44C-492E-84A6-47D61119075C}" srcOrd="2" destOrd="0" parTransId="{FB29C5A3-13C5-4444-9C9D-A77255B52EF4}" sibTransId="{477A999A-4D8C-411D-A485-A01F32B52E2D}"/>
    <dgm:cxn modelId="{61BE406B-754C-4702-9BFE-9BBE045A37B8}" type="presOf" srcId="{162D20C0-6E9B-4CB9-850F-FBF0612B41C0}" destId="{FD6E9F8A-DE0D-472B-9A84-7659A208DE36}" srcOrd="0" destOrd="0" presId="urn:microsoft.com/office/officeart/2005/8/layout/orgChart1"/>
    <dgm:cxn modelId="{FBF87DD3-B43D-473E-BCFB-834023F915CC}" type="presOf" srcId="{4C9A00F1-5E54-4F10-8F99-461C0817D38C}" destId="{B1632641-1ED1-41A4-BBDD-A818C14C66D8}" srcOrd="0" destOrd="0" presId="urn:microsoft.com/office/officeart/2005/8/layout/orgChart1"/>
    <dgm:cxn modelId="{B4B1AB17-110D-4FC3-AFE1-3C069F4DCB56}" srcId="{4C9A00F1-5E54-4F10-8F99-461C0817D38C}" destId="{D2167BA8-D25D-4653-8762-914CCA009E22}" srcOrd="3" destOrd="0" parTransId="{50E9B3BB-3D40-4221-8161-119FEA5476F4}" sibTransId="{DD1F9276-D821-4568-8CFB-4090C41C1B18}"/>
    <dgm:cxn modelId="{C99DA66C-7F42-4281-8623-EBEEBC097572}" type="presOf" srcId="{235FD46C-131F-4E19-99F0-1B701CEDA5EF}" destId="{8BE6B0AD-52F2-4165-9E50-D87E01F7CEBA}" srcOrd="1" destOrd="0" presId="urn:microsoft.com/office/officeart/2005/8/layout/orgChart1"/>
    <dgm:cxn modelId="{CD55D414-59DC-49AF-8CBE-5BAB726D299E}" type="presOf" srcId="{4EB922C4-C44C-492E-84A6-47D61119075C}" destId="{EC91AD52-D5BB-4E36-B540-D8BEBBC7F316}" srcOrd="1" destOrd="0" presId="urn:microsoft.com/office/officeart/2005/8/layout/orgChart1"/>
    <dgm:cxn modelId="{151CCCCD-A9EE-4C78-962E-8AAB18CBCDCB}" srcId="{4C9A00F1-5E54-4F10-8F99-461C0817D38C}" destId="{235FD46C-131F-4E19-99F0-1B701CEDA5EF}" srcOrd="1" destOrd="0" parTransId="{FF23C741-2239-4BF7-947C-1D4D19ED675A}" sibTransId="{02A26CC2-37A0-42C4-B093-2FD79E0105E0}"/>
    <dgm:cxn modelId="{6FCA980B-F553-4FF1-9F8A-42EA8ECFCFA1}" type="presOf" srcId="{5305DEBD-920A-4DB9-8503-6219CDC2C101}" destId="{2F1E40ED-3657-4974-BE14-F6134139E0C9}" srcOrd="0" destOrd="0" presId="urn:microsoft.com/office/officeart/2005/8/layout/orgChart1"/>
    <dgm:cxn modelId="{5A2A17AD-BF40-4859-AB9D-86A4D2838729}" type="presOf" srcId="{33E3ABE8-64AB-44AD-9456-1450EABF3DB1}" destId="{5BD234FB-2460-4743-A5CB-01A196CA3B66}" srcOrd="1" destOrd="0" presId="urn:microsoft.com/office/officeart/2005/8/layout/orgChart1"/>
    <dgm:cxn modelId="{A6489FE7-D2E4-4821-A52D-CC5BA4A3C67A}" type="presOf" srcId="{FF23C741-2239-4BF7-947C-1D4D19ED675A}" destId="{3E2D53CC-18DE-412A-BF37-67BE8A941BED}" srcOrd="0" destOrd="0" presId="urn:microsoft.com/office/officeart/2005/8/layout/orgChart1"/>
    <dgm:cxn modelId="{1A554013-27F1-4D07-8BBF-78D56BE2C89D}" type="presOf" srcId="{0038456D-9F1D-4DCF-AAB4-8E46376E0DB6}" destId="{104D1B4E-C714-498A-B62E-685BEAA53796}" srcOrd="0" destOrd="0" presId="urn:microsoft.com/office/officeart/2005/8/layout/orgChart1"/>
    <dgm:cxn modelId="{C1A39864-1B5D-466A-802C-AE0895C37043}" type="presOf" srcId="{38CF0AED-D8DC-4F85-94AE-3F917AE3CBF2}" destId="{03C895B9-E837-436B-8296-DDFBD7BD7A70}" srcOrd="0" destOrd="0" presId="urn:microsoft.com/office/officeart/2005/8/layout/orgChart1"/>
    <dgm:cxn modelId="{E943F146-40F0-445C-8466-F7DB3A7F096C}" srcId="{4EB922C4-C44C-492E-84A6-47D61119075C}" destId="{162D20C0-6E9B-4CB9-850F-FBF0612B41C0}" srcOrd="1" destOrd="0" parTransId="{68207707-6BD2-42A5-B5C1-093AF14AF1C6}" sibTransId="{A0A011ED-2B3B-46A4-8AF0-09C4E6527AF1}"/>
    <dgm:cxn modelId="{2F00DC61-71B7-497E-9224-170C808126E9}" type="presOf" srcId="{4C9A00F1-5E54-4F10-8F99-461C0817D38C}" destId="{3B30DFAF-1730-4786-8146-FF9A4AF23B6C}" srcOrd="1" destOrd="0" presId="urn:microsoft.com/office/officeart/2005/8/layout/orgChart1"/>
    <dgm:cxn modelId="{14AE3C16-A0CA-4058-8CD8-30A7830EC21D}" type="presOf" srcId="{162D20C0-6E9B-4CB9-850F-FBF0612B41C0}" destId="{0CBB6C3D-F936-469F-B120-B56147F89EA1}" srcOrd="1" destOrd="0" presId="urn:microsoft.com/office/officeart/2005/8/layout/orgChart1"/>
    <dgm:cxn modelId="{395E16BF-FE6E-4793-8709-249E73658899}" type="presParOf" srcId="{49D4238E-B408-49FB-A073-FAC214E9AF3D}" destId="{029F9004-E60B-44A3-88E6-6217B63A4D96}" srcOrd="0" destOrd="0" presId="urn:microsoft.com/office/officeart/2005/8/layout/orgChart1"/>
    <dgm:cxn modelId="{A6ACBB19-B634-4E76-B2BA-EFB26CD78647}" type="presParOf" srcId="{029F9004-E60B-44A3-88E6-6217B63A4D96}" destId="{2DCABD3D-74BD-471B-ADED-8E93A76FEE74}" srcOrd="0" destOrd="0" presId="urn:microsoft.com/office/officeart/2005/8/layout/orgChart1"/>
    <dgm:cxn modelId="{A37A61CF-369F-458D-9013-5C2C43022881}" type="presParOf" srcId="{2DCABD3D-74BD-471B-ADED-8E93A76FEE74}" destId="{88BE09CC-2023-4258-9971-054A62685EB5}" srcOrd="0" destOrd="0" presId="urn:microsoft.com/office/officeart/2005/8/layout/orgChart1"/>
    <dgm:cxn modelId="{FD466856-2E6C-4C30-AC21-1F2342E997D0}" type="presParOf" srcId="{2DCABD3D-74BD-471B-ADED-8E93A76FEE74}" destId="{72E0FCA9-F797-4386-A827-44F4377E9737}" srcOrd="1" destOrd="0" presId="urn:microsoft.com/office/officeart/2005/8/layout/orgChart1"/>
    <dgm:cxn modelId="{976E4637-EC35-46E6-BA91-BD6DC7596F3E}" type="presParOf" srcId="{029F9004-E60B-44A3-88E6-6217B63A4D96}" destId="{61558967-FF0E-4884-B3D1-11FDD5F849F1}" srcOrd="1" destOrd="0" presId="urn:microsoft.com/office/officeart/2005/8/layout/orgChart1"/>
    <dgm:cxn modelId="{0703E8A4-B4B2-4B37-9019-290731944246}" type="presParOf" srcId="{61558967-FF0E-4884-B3D1-11FDD5F849F1}" destId="{03C895B9-E837-436B-8296-DDFBD7BD7A70}" srcOrd="0" destOrd="0" presId="urn:microsoft.com/office/officeart/2005/8/layout/orgChart1"/>
    <dgm:cxn modelId="{080AA64B-2487-42C4-8FC3-AE8FF450ADE2}" type="presParOf" srcId="{61558967-FF0E-4884-B3D1-11FDD5F849F1}" destId="{4FDEE93D-199B-4978-BB81-C31E6884EB3E}" srcOrd="1" destOrd="0" presId="urn:microsoft.com/office/officeart/2005/8/layout/orgChart1"/>
    <dgm:cxn modelId="{4C76558D-01A3-478A-BF10-D61F18303AAB}" type="presParOf" srcId="{4FDEE93D-199B-4978-BB81-C31E6884EB3E}" destId="{8DA56A28-4D04-4138-86CC-4F6C99B2FE3C}" srcOrd="0" destOrd="0" presId="urn:microsoft.com/office/officeart/2005/8/layout/orgChart1"/>
    <dgm:cxn modelId="{8A3212AB-D4AC-4638-A29A-6A0FCA237689}" type="presParOf" srcId="{8DA56A28-4D04-4138-86CC-4F6C99B2FE3C}" destId="{B1632641-1ED1-41A4-BBDD-A818C14C66D8}" srcOrd="0" destOrd="0" presId="urn:microsoft.com/office/officeart/2005/8/layout/orgChart1"/>
    <dgm:cxn modelId="{1B0ED1B9-17DA-4A3A-93BF-92AD3443D31B}" type="presParOf" srcId="{8DA56A28-4D04-4138-86CC-4F6C99B2FE3C}" destId="{3B30DFAF-1730-4786-8146-FF9A4AF23B6C}" srcOrd="1" destOrd="0" presId="urn:microsoft.com/office/officeart/2005/8/layout/orgChart1"/>
    <dgm:cxn modelId="{7B285710-6D12-41CC-918F-7041627AF7DC}" type="presParOf" srcId="{4FDEE93D-199B-4978-BB81-C31E6884EB3E}" destId="{54E2BD8B-66B7-4F62-8E46-036831D349E6}" srcOrd="1" destOrd="0" presId="urn:microsoft.com/office/officeart/2005/8/layout/orgChart1"/>
    <dgm:cxn modelId="{4B508EA9-98EA-452B-9469-78FA1B53EBEB}" type="presParOf" srcId="{54E2BD8B-66B7-4F62-8E46-036831D349E6}" destId="{AF058E8F-2CFC-48B3-9328-9A9752FE805F}" srcOrd="0" destOrd="0" presId="urn:microsoft.com/office/officeart/2005/8/layout/orgChart1"/>
    <dgm:cxn modelId="{507642C8-9917-4E75-B839-9F0A77C6A0A3}" type="presParOf" srcId="{54E2BD8B-66B7-4F62-8E46-036831D349E6}" destId="{51163FA1-6EEF-47C1-98E9-055465D6073C}" srcOrd="1" destOrd="0" presId="urn:microsoft.com/office/officeart/2005/8/layout/orgChart1"/>
    <dgm:cxn modelId="{39E3D084-EF0E-4F0E-8C46-DE64812C8387}" type="presParOf" srcId="{51163FA1-6EEF-47C1-98E9-055465D6073C}" destId="{205492AA-E17B-4C75-97E7-3BDD44E34A67}" srcOrd="0" destOrd="0" presId="urn:microsoft.com/office/officeart/2005/8/layout/orgChart1"/>
    <dgm:cxn modelId="{CE944440-22FB-4CBC-8D54-B8BBA1BBA0E6}" type="presParOf" srcId="{205492AA-E17B-4C75-97E7-3BDD44E34A67}" destId="{B1A480C8-9C35-4D11-8E33-3F7359A2C9BD}" srcOrd="0" destOrd="0" presId="urn:microsoft.com/office/officeart/2005/8/layout/orgChart1"/>
    <dgm:cxn modelId="{FA5116ED-00D1-402A-BAB9-80421698274A}" type="presParOf" srcId="{205492AA-E17B-4C75-97E7-3BDD44E34A67}" destId="{5BD234FB-2460-4743-A5CB-01A196CA3B66}" srcOrd="1" destOrd="0" presId="urn:microsoft.com/office/officeart/2005/8/layout/orgChart1"/>
    <dgm:cxn modelId="{69A3A999-36A8-424C-96BA-A142EB013F1A}" type="presParOf" srcId="{51163FA1-6EEF-47C1-98E9-055465D6073C}" destId="{2850CFDE-D3A3-42B4-85C1-F86C1BAB5A3E}" srcOrd="1" destOrd="0" presId="urn:microsoft.com/office/officeart/2005/8/layout/orgChart1"/>
    <dgm:cxn modelId="{3E3BF966-0CF5-437D-8A11-244D24CD828A}" type="presParOf" srcId="{51163FA1-6EEF-47C1-98E9-055465D6073C}" destId="{A0763927-C520-4C6B-925A-18D6F78BF534}" srcOrd="2" destOrd="0" presId="urn:microsoft.com/office/officeart/2005/8/layout/orgChart1"/>
    <dgm:cxn modelId="{2BE822B0-34EE-4C77-BAB3-435C31FFE7BB}" type="presParOf" srcId="{54E2BD8B-66B7-4F62-8E46-036831D349E6}" destId="{3E2D53CC-18DE-412A-BF37-67BE8A941BED}" srcOrd="2" destOrd="0" presId="urn:microsoft.com/office/officeart/2005/8/layout/orgChart1"/>
    <dgm:cxn modelId="{09F3750A-957F-4A14-937C-97144DFA0CDD}" type="presParOf" srcId="{54E2BD8B-66B7-4F62-8E46-036831D349E6}" destId="{AEE58BB1-6E4E-471F-8B73-3060BCC78A2F}" srcOrd="3" destOrd="0" presId="urn:microsoft.com/office/officeart/2005/8/layout/orgChart1"/>
    <dgm:cxn modelId="{88D0A1EA-5ECE-43AD-AD9E-99B55BA51A0A}" type="presParOf" srcId="{AEE58BB1-6E4E-471F-8B73-3060BCC78A2F}" destId="{87D4892B-5F49-4795-BEA9-A9CA45DEBC90}" srcOrd="0" destOrd="0" presId="urn:microsoft.com/office/officeart/2005/8/layout/orgChart1"/>
    <dgm:cxn modelId="{D6150DDA-5DA2-47CC-B95B-545B012ECF09}" type="presParOf" srcId="{87D4892B-5F49-4795-BEA9-A9CA45DEBC90}" destId="{7A864E96-07CB-49D9-A6DC-D4A4DC5CB5A2}" srcOrd="0" destOrd="0" presId="urn:microsoft.com/office/officeart/2005/8/layout/orgChart1"/>
    <dgm:cxn modelId="{3525513C-0409-4EE3-9C89-F964CC3D7D4D}" type="presParOf" srcId="{87D4892B-5F49-4795-BEA9-A9CA45DEBC90}" destId="{8BE6B0AD-52F2-4165-9E50-D87E01F7CEBA}" srcOrd="1" destOrd="0" presId="urn:microsoft.com/office/officeart/2005/8/layout/orgChart1"/>
    <dgm:cxn modelId="{142054CB-1B54-4CD8-91F9-DC63F4AF84CA}" type="presParOf" srcId="{AEE58BB1-6E4E-471F-8B73-3060BCC78A2F}" destId="{31CA4B1F-066E-4B11-9D6E-358543749103}" srcOrd="1" destOrd="0" presId="urn:microsoft.com/office/officeart/2005/8/layout/orgChart1"/>
    <dgm:cxn modelId="{4DDE6C15-0B8A-49EA-B021-563A3158695E}" type="presParOf" srcId="{31CA4B1F-066E-4B11-9D6E-358543749103}" destId="{C16437BE-387F-4D9D-B6CD-A74B3F47A20F}" srcOrd="0" destOrd="0" presId="urn:microsoft.com/office/officeart/2005/8/layout/orgChart1"/>
    <dgm:cxn modelId="{CEDBA011-4D8B-4F0B-A202-7D8877A45D46}" type="presParOf" srcId="{31CA4B1F-066E-4B11-9D6E-358543749103}" destId="{A5A8FB46-078C-4824-A7C0-66DDE52E73B5}" srcOrd="1" destOrd="0" presId="urn:microsoft.com/office/officeart/2005/8/layout/orgChart1"/>
    <dgm:cxn modelId="{8B248AD6-A725-4CDF-871D-0E8BF4D433B2}" type="presParOf" srcId="{A5A8FB46-078C-4824-A7C0-66DDE52E73B5}" destId="{223486B9-2903-43E1-A067-1E51465B1B1A}" srcOrd="0" destOrd="0" presId="urn:microsoft.com/office/officeart/2005/8/layout/orgChart1"/>
    <dgm:cxn modelId="{CF5551B6-F55F-40E4-9DD3-B50E1FE2FDA0}" type="presParOf" srcId="{223486B9-2903-43E1-A067-1E51465B1B1A}" destId="{B8DEB77B-6964-4B61-8031-17F876E08A6C}" srcOrd="0" destOrd="0" presId="urn:microsoft.com/office/officeart/2005/8/layout/orgChart1"/>
    <dgm:cxn modelId="{82178FDE-EEAD-492B-AF30-42D77F054623}" type="presParOf" srcId="{223486B9-2903-43E1-A067-1E51465B1B1A}" destId="{271D43FB-4638-4C08-830F-CD60DD8008C6}" srcOrd="1" destOrd="0" presId="urn:microsoft.com/office/officeart/2005/8/layout/orgChart1"/>
    <dgm:cxn modelId="{D96EE8BC-4CC4-49FD-8F08-4E296CBD359C}" type="presParOf" srcId="{A5A8FB46-078C-4824-A7C0-66DDE52E73B5}" destId="{E4A385E1-AC42-4778-84CC-63EDD094EAA0}" srcOrd="1" destOrd="0" presId="urn:microsoft.com/office/officeart/2005/8/layout/orgChart1"/>
    <dgm:cxn modelId="{2F3BB832-0878-4AAA-9805-E92BBAB44323}" type="presParOf" srcId="{A5A8FB46-078C-4824-A7C0-66DDE52E73B5}" destId="{066EA414-5F49-48E7-8661-5ED070A29BD3}" srcOrd="2" destOrd="0" presId="urn:microsoft.com/office/officeart/2005/8/layout/orgChart1"/>
    <dgm:cxn modelId="{29489F92-3F5B-45F1-A752-C39A9660EBC7}" type="presParOf" srcId="{31CA4B1F-066E-4B11-9D6E-358543749103}" destId="{4F087A28-B8D9-432B-BE81-02674AF3F378}" srcOrd="2" destOrd="0" presId="urn:microsoft.com/office/officeart/2005/8/layout/orgChart1"/>
    <dgm:cxn modelId="{8D7CF34D-399B-471C-B9B6-7AF4E09E46BC}" type="presParOf" srcId="{31CA4B1F-066E-4B11-9D6E-358543749103}" destId="{C9DDE951-B037-4D7D-BCB6-6E9311530AAE}" srcOrd="3" destOrd="0" presId="urn:microsoft.com/office/officeart/2005/8/layout/orgChart1"/>
    <dgm:cxn modelId="{4C810140-F4CE-45ED-B639-C9FBC12BF523}" type="presParOf" srcId="{C9DDE951-B037-4D7D-BCB6-6E9311530AAE}" destId="{3C988E08-837D-42D0-B38D-060F597D832D}" srcOrd="0" destOrd="0" presId="urn:microsoft.com/office/officeart/2005/8/layout/orgChart1"/>
    <dgm:cxn modelId="{C3F4F41A-2B0A-4F35-B3EA-E91CF5414A86}" type="presParOf" srcId="{3C988E08-837D-42D0-B38D-060F597D832D}" destId="{0BD75F62-0BA1-4965-8D99-D88E05A3E08E}" srcOrd="0" destOrd="0" presId="urn:microsoft.com/office/officeart/2005/8/layout/orgChart1"/>
    <dgm:cxn modelId="{B99E829F-18B4-4B8B-8B87-BBFB51271647}" type="presParOf" srcId="{3C988E08-837D-42D0-B38D-060F597D832D}" destId="{8E9F98EF-5907-46F8-8FF8-AC72C7105F69}" srcOrd="1" destOrd="0" presId="urn:microsoft.com/office/officeart/2005/8/layout/orgChart1"/>
    <dgm:cxn modelId="{F93FEB00-27C5-4EFC-B47D-FB439D193920}" type="presParOf" srcId="{C9DDE951-B037-4D7D-BCB6-6E9311530AAE}" destId="{100D0A33-26AA-4B1A-948F-43BEF4CF5739}" srcOrd="1" destOrd="0" presId="urn:microsoft.com/office/officeart/2005/8/layout/orgChart1"/>
    <dgm:cxn modelId="{3D83A742-6097-4937-A230-8D403951CE13}" type="presParOf" srcId="{C9DDE951-B037-4D7D-BCB6-6E9311530AAE}" destId="{5A88EA6E-F847-41EA-B46B-01F8B712F329}" srcOrd="2" destOrd="0" presId="urn:microsoft.com/office/officeart/2005/8/layout/orgChart1"/>
    <dgm:cxn modelId="{8DE22304-AF10-4EE5-8E93-CB3B1D6F8698}" type="presParOf" srcId="{31CA4B1F-066E-4B11-9D6E-358543749103}" destId="{104D1B4E-C714-498A-B62E-685BEAA53796}" srcOrd="4" destOrd="0" presId="urn:microsoft.com/office/officeart/2005/8/layout/orgChart1"/>
    <dgm:cxn modelId="{586A09B0-4D77-4FA6-823D-B89FE4F29679}" type="presParOf" srcId="{31CA4B1F-066E-4B11-9D6E-358543749103}" destId="{4D92F791-D555-4637-8BC5-5E2B483FC3C3}" srcOrd="5" destOrd="0" presId="urn:microsoft.com/office/officeart/2005/8/layout/orgChart1"/>
    <dgm:cxn modelId="{67C58C8C-93D9-4B27-8052-6363B6ABC6C6}" type="presParOf" srcId="{4D92F791-D555-4637-8BC5-5E2B483FC3C3}" destId="{3C414509-2F5B-4E7E-A63B-01D00DACBFDD}" srcOrd="0" destOrd="0" presId="urn:microsoft.com/office/officeart/2005/8/layout/orgChart1"/>
    <dgm:cxn modelId="{38A720D7-C8CF-45B4-AFC8-12DA0B31E871}" type="presParOf" srcId="{3C414509-2F5B-4E7E-A63B-01D00DACBFDD}" destId="{2E740558-5447-4912-9424-0DEC1F609043}" srcOrd="0" destOrd="0" presId="urn:microsoft.com/office/officeart/2005/8/layout/orgChart1"/>
    <dgm:cxn modelId="{F4F31338-9464-4DCF-BA7B-58488A5DCE48}" type="presParOf" srcId="{3C414509-2F5B-4E7E-A63B-01D00DACBFDD}" destId="{2DD7E2DD-C9B2-496E-8E94-C97CD3A61344}" srcOrd="1" destOrd="0" presId="urn:microsoft.com/office/officeart/2005/8/layout/orgChart1"/>
    <dgm:cxn modelId="{D0C2082E-DB79-430E-B9F7-E384E908B42A}" type="presParOf" srcId="{4D92F791-D555-4637-8BC5-5E2B483FC3C3}" destId="{FE7F9308-F77E-4D81-9E2C-B5488F2F3186}" srcOrd="1" destOrd="0" presId="urn:microsoft.com/office/officeart/2005/8/layout/orgChart1"/>
    <dgm:cxn modelId="{AF8B0135-034E-4A0D-8EC6-FBF5B100EEE2}" type="presParOf" srcId="{4D92F791-D555-4637-8BC5-5E2B483FC3C3}" destId="{0F306064-BBB5-48D6-99C2-7C6161B061DD}" srcOrd="2" destOrd="0" presId="urn:microsoft.com/office/officeart/2005/8/layout/orgChart1"/>
    <dgm:cxn modelId="{B004F87C-430A-422B-B17D-8FACA079A311}" type="presParOf" srcId="{AEE58BB1-6E4E-471F-8B73-3060BCC78A2F}" destId="{245822FE-993A-48E5-8294-A7C167B9D71A}" srcOrd="2" destOrd="0" presId="urn:microsoft.com/office/officeart/2005/8/layout/orgChart1"/>
    <dgm:cxn modelId="{1563D4F8-7D16-40C9-9B35-0344E95A4BB9}" type="presParOf" srcId="{54E2BD8B-66B7-4F62-8E46-036831D349E6}" destId="{7BAA9C66-8146-428A-A75A-47886873E57C}" srcOrd="4" destOrd="0" presId="urn:microsoft.com/office/officeart/2005/8/layout/orgChart1"/>
    <dgm:cxn modelId="{BB78377B-4BB9-422B-A2A2-51B0F274B3B0}" type="presParOf" srcId="{54E2BD8B-66B7-4F62-8E46-036831D349E6}" destId="{6EBB017E-E885-45AE-AD1B-4E3EABAFF697}" srcOrd="5" destOrd="0" presId="urn:microsoft.com/office/officeart/2005/8/layout/orgChart1"/>
    <dgm:cxn modelId="{499A2934-A786-4C0B-8B2E-8DA1B922ABCF}" type="presParOf" srcId="{6EBB017E-E885-45AE-AD1B-4E3EABAFF697}" destId="{C0351EF0-C414-4E3B-AB75-581D014E6B22}" srcOrd="0" destOrd="0" presId="urn:microsoft.com/office/officeart/2005/8/layout/orgChart1"/>
    <dgm:cxn modelId="{0175C7C4-BC62-4048-A21A-CE4B641BB216}" type="presParOf" srcId="{C0351EF0-C414-4E3B-AB75-581D014E6B22}" destId="{120C44BC-266A-45A5-A6DC-AA7C38D93CAC}" srcOrd="0" destOrd="0" presId="urn:microsoft.com/office/officeart/2005/8/layout/orgChart1"/>
    <dgm:cxn modelId="{8DA962FA-9C2C-4969-81F3-64DE83B9AC3F}" type="presParOf" srcId="{C0351EF0-C414-4E3B-AB75-581D014E6B22}" destId="{EC91AD52-D5BB-4E36-B540-D8BEBBC7F316}" srcOrd="1" destOrd="0" presId="urn:microsoft.com/office/officeart/2005/8/layout/orgChart1"/>
    <dgm:cxn modelId="{1E5BD4B4-25CF-4150-9FD5-04C42FC161D6}" type="presParOf" srcId="{6EBB017E-E885-45AE-AD1B-4E3EABAFF697}" destId="{3C80AE65-612E-4A24-AAFD-E7C2A57E13E9}" srcOrd="1" destOrd="0" presId="urn:microsoft.com/office/officeart/2005/8/layout/orgChart1"/>
    <dgm:cxn modelId="{43665C0C-70FE-458A-9BDC-81C2F60AEC8A}" type="presParOf" srcId="{3C80AE65-612E-4A24-AAFD-E7C2A57E13E9}" destId="{2F1E40ED-3657-4974-BE14-F6134139E0C9}" srcOrd="0" destOrd="0" presId="urn:microsoft.com/office/officeart/2005/8/layout/orgChart1"/>
    <dgm:cxn modelId="{00FB9AE6-882F-4702-B8F4-884E14A4F034}" type="presParOf" srcId="{3C80AE65-612E-4A24-AAFD-E7C2A57E13E9}" destId="{1348FCD6-3915-419F-98CE-9FD683CE3CEF}" srcOrd="1" destOrd="0" presId="urn:microsoft.com/office/officeart/2005/8/layout/orgChart1"/>
    <dgm:cxn modelId="{A3A67BFC-330C-4325-B825-3777A3095B3E}" type="presParOf" srcId="{1348FCD6-3915-419F-98CE-9FD683CE3CEF}" destId="{9F60EC06-8A02-4081-885F-FC37F3958630}" srcOrd="0" destOrd="0" presId="urn:microsoft.com/office/officeart/2005/8/layout/orgChart1"/>
    <dgm:cxn modelId="{03782B9B-2977-4DC9-AE8D-B4797ED4EE8B}" type="presParOf" srcId="{9F60EC06-8A02-4081-885F-FC37F3958630}" destId="{04762D95-43DD-478E-B2EE-A1A8773728BD}" srcOrd="0" destOrd="0" presId="urn:microsoft.com/office/officeart/2005/8/layout/orgChart1"/>
    <dgm:cxn modelId="{122D5F2C-0178-42DB-8309-40AB6DA03096}" type="presParOf" srcId="{9F60EC06-8A02-4081-885F-FC37F3958630}" destId="{FDEA579C-F07B-4CEA-91B4-B90ACA89FC4B}" srcOrd="1" destOrd="0" presId="urn:microsoft.com/office/officeart/2005/8/layout/orgChart1"/>
    <dgm:cxn modelId="{2DCD78D8-C650-4828-87C0-C87001306117}" type="presParOf" srcId="{1348FCD6-3915-419F-98CE-9FD683CE3CEF}" destId="{6D643E63-5FF6-46E6-B7E6-6A2141EE1624}" srcOrd="1" destOrd="0" presId="urn:microsoft.com/office/officeart/2005/8/layout/orgChart1"/>
    <dgm:cxn modelId="{980F1D49-AECC-46DD-8094-9164DCCBB11F}" type="presParOf" srcId="{1348FCD6-3915-419F-98CE-9FD683CE3CEF}" destId="{244BD0FC-91E9-41F5-BCD5-6C184685E457}" srcOrd="2" destOrd="0" presId="urn:microsoft.com/office/officeart/2005/8/layout/orgChart1"/>
    <dgm:cxn modelId="{87E94BAF-4479-4B80-8A76-D014B3233E40}" type="presParOf" srcId="{3C80AE65-612E-4A24-AAFD-E7C2A57E13E9}" destId="{B89607B1-0097-453F-9052-753AC99FB14D}" srcOrd="2" destOrd="0" presId="urn:microsoft.com/office/officeart/2005/8/layout/orgChart1"/>
    <dgm:cxn modelId="{4C27626A-3D4C-4760-BB1A-75B209A605A5}" type="presParOf" srcId="{3C80AE65-612E-4A24-AAFD-E7C2A57E13E9}" destId="{3BEA776E-74B9-4875-97E2-AD12406CFCA5}" srcOrd="3" destOrd="0" presId="urn:microsoft.com/office/officeart/2005/8/layout/orgChart1"/>
    <dgm:cxn modelId="{7DEA02F9-00D0-4FB9-90BB-C6ABAA749E76}" type="presParOf" srcId="{3BEA776E-74B9-4875-97E2-AD12406CFCA5}" destId="{CE4526BA-7554-47C9-8FDF-A7EF0FEB5877}" srcOrd="0" destOrd="0" presId="urn:microsoft.com/office/officeart/2005/8/layout/orgChart1"/>
    <dgm:cxn modelId="{1B5E814F-AA5E-43D2-A9DB-1167DA6EB902}" type="presParOf" srcId="{CE4526BA-7554-47C9-8FDF-A7EF0FEB5877}" destId="{FD6E9F8A-DE0D-472B-9A84-7659A208DE36}" srcOrd="0" destOrd="0" presId="urn:microsoft.com/office/officeart/2005/8/layout/orgChart1"/>
    <dgm:cxn modelId="{EBC70A94-4DDE-4FCC-AE94-4A6C22D073D1}" type="presParOf" srcId="{CE4526BA-7554-47C9-8FDF-A7EF0FEB5877}" destId="{0CBB6C3D-F936-469F-B120-B56147F89EA1}" srcOrd="1" destOrd="0" presId="urn:microsoft.com/office/officeart/2005/8/layout/orgChart1"/>
    <dgm:cxn modelId="{D8B788C4-2CB7-45AF-9373-6C59C82D135B}" type="presParOf" srcId="{3BEA776E-74B9-4875-97E2-AD12406CFCA5}" destId="{E65CCEC4-69D4-4BC5-8A4B-CD6184DAAC97}" srcOrd="1" destOrd="0" presId="urn:microsoft.com/office/officeart/2005/8/layout/orgChart1"/>
    <dgm:cxn modelId="{725E561A-BB0A-4CDD-B143-7E71B46F2DEF}" type="presParOf" srcId="{3BEA776E-74B9-4875-97E2-AD12406CFCA5}" destId="{4838C091-06B9-4966-A7D5-A0A7C10C220F}" srcOrd="2" destOrd="0" presId="urn:microsoft.com/office/officeart/2005/8/layout/orgChart1"/>
    <dgm:cxn modelId="{A74D036D-6497-4ACC-A18B-DFF95DF18180}" type="presParOf" srcId="{6EBB017E-E885-45AE-AD1B-4E3EABAFF697}" destId="{B4E070B6-3595-4C54-940A-0F7C0C7C81DE}" srcOrd="2" destOrd="0" presId="urn:microsoft.com/office/officeart/2005/8/layout/orgChart1"/>
    <dgm:cxn modelId="{809653DD-AF30-4E5B-822D-996EE0A9D878}" type="presParOf" srcId="{4FDEE93D-199B-4978-BB81-C31E6884EB3E}" destId="{39B824E6-5BF4-4868-9D75-879E5F5C1181}" srcOrd="2" destOrd="0" presId="urn:microsoft.com/office/officeart/2005/8/layout/orgChart1"/>
    <dgm:cxn modelId="{49CABE36-48FB-42F7-A772-5422B4701344}" type="presParOf" srcId="{39B824E6-5BF4-4868-9D75-879E5F5C1181}" destId="{7B13EB68-C19A-441D-BA54-EC90A048443B}" srcOrd="0" destOrd="0" presId="urn:microsoft.com/office/officeart/2005/8/layout/orgChart1"/>
    <dgm:cxn modelId="{0C520666-BC88-48DB-A6F2-B1A30F9AB932}" type="presParOf" srcId="{39B824E6-5BF4-4868-9D75-879E5F5C1181}" destId="{7F24B9A9-D246-41C4-AED8-65AB449894B8}" srcOrd="1" destOrd="0" presId="urn:microsoft.com/office/officeart/2005/8/layout/orgChart1"/>
    <dgm:cxn modelId="{E9447CA1-A73B-4901-8881-A62B74EFE63B}" type="presParOf" srcId="{7F24B9A9-D246-41C4-AED8-65AB449894B8}" destId="{A6312BB1-2154-4C78-A969-582D5E5F2220}" srcOrd="0" destOrd="0" presId="urn:microsoft.com/office/officeart/2005/8/layout/orgChart1"/>
    <dgm:cxn modelId="{D02503C6-A04E-4704-9C21-E055DB71937E}" type="presParOf" srcId="{A6312BB1-2154-4C78-A969-582D5E5F2220}" destId="{702B5201-FF5A-4E63-ABE7-D95EF190F8E4}" srcOrd="0" destOrd="0" presId="urn:microsoft.com/office/officeart/2005/8/layout/orgChart1"/>
    <dgm:cxn modelId="{736B3F35-ADC8-4EAB-A9FE-C20485E9C7A3}" type="presParOf" srcId="{A6312BB1-2154-4C78-A969-582D5E5F2220}" destId="{4142958F-FAD3-479C-B147-7AADC9390348}" srcOrd="1" destOrd="0" presId="urn:microsoft.com/office/officeart/2005/8/layout/orgChart1"/>
    <dgm:cxn modelId="{09C45C66-993B-4168-A5CE-66F74921950E}" type="presParOf" srcId="{7F24B9A9-D246-41C4-AED8-65AB449894B8}" destId="{B6E45F39-5A4B-433B-8CAE-AED50FF83C9D}" srcOrd="1" destOrd="0" presId="urn:microsoft.com/office/officeart/2005/8/layout/orgChart1"/>
    <dgm:cxn modelId="{97787BC9-6524-4748-B378-0AD88F953516}" type="presParOf" srcId="{7F24B9A9-D246-41C4-AED8-65AB449894B8}" destId="{4325374F-F60A-43E3-A363-3439F17B3EB1}" srcOrd="2" destOrd="0" presId="urn:microsoft.com/office/officeart/2005/8/layout/orgChart1"/>
    <dgm:cxn modelId="{CF57BF91-30C8-4144-A2B6-0C0FC6CF84BB}" type="presParOf" srcId="{029F9004-E60B-44A3-88E6-6217B63A4D96}" destId="{DD4D823C-4797-4938-9702-F00DE0368C6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13EB68-C19A-441D-BA54-EC90A048443B}">
      <dsp:nvSpPr>
        <dsp:cNvPr id="0" name=""/>
        <dsp:cNvSpPr/>
      </dsp:nvSpPr>
      <dsp:spPr>
        <a:xfrm>
          <a:off x="2730117" y="598729"/>
          <a:ext cx="107100" cy="277171"/>
        </a:xfrm>
        <a:custGeom>
          <a:avLst/>
          <a:gdLst/>
          <a:ahLst/>
          <a:cxnLst/>
          <a:rect l="0" t="0" r="0" b="0"/>
          <a:pathLst>
            <a:path>
              <a:moveTo>
                <a:pt x="107100" y="0"/>
              </a:moveTo>
              <a:lnTo>
                <a:pt x="107100" y="277171"/>
              </a:lnTo>
              <a:lnTo>
                <a:pt x="0" y="2771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9607B1-0097-453F-9052-753AC99FB14D}">
      <dsp:nvSpPr>
        <dsp:cNvPr id="0" name=""/>
        <dsp:cNvSpPr/>
      </dsp:nvSpPr>
      <dsp:spPr>
        <a:xfrm>
          <a:off x="4248958" y="1727552"/>
          <a:ext cx="97476" cy="1314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4209"/>
              </a:lnTo>
              <a:lnTo>
                <a:pt x="97476" y="13142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1E40ED-3657-4974-BE14-F6134139E0C9}">
      <dsp:nvSpPr>
        <dsp:cNvPr id="0" name=""/>
        <dsp:cNvSpPr/>
      </dsp:nvSpPr>
      <dsp:spPr>
        <a:xfrm>
          <a:off x="4203238" y="1727552"/>
          <a:ext cx="91440" cy="485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5507"/>
              </a:lnTo>
              <a:lnTo>
                <a:pt x="124245" y="4855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AA9C66-8146-428A-A75A-47886873E57C}">
      <dsp:nvSpPr>
        <dsp:cNvPr id="0" name=""/>
        <dsp:cNvSpPr/>
      </dsp:nvSpPr>
      <dsp:spPr>
        <a:xfrm>
          <a:off x="2837218" y="598729"/>
          <a:ext cx="2046287" cy="662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593"/>
              </a:lnTo>
              <a:lnTo>
                <a:pt x="2046287" y="564593"/>
              </a:lnTo>
              <a:lnTo>
                <a:pt x="2046287" y="6625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4D1B4E-C714-498A-B62E-685BEAA53796}">
      <dsp:nvSpPr>
        <dsp:cNvPr id="0" name=""/>
        <dsp:cNvSpPr/>
      </dsp:nvSpPr>
      <dsp:spPr>
        <a:xfrm>
          <a:off x="2153863" y="1727552"/>
          <a:ext cx="91440" cy="28166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6651"/>
              </a:lnTo>
              <a:lnTo>
                <a:pt x="116020" y="28166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087A28-B8D9-432B-BE81-02674AF3F378}">
      <dsp:nvSpPr>
        <dsp:cNvPr id="0" name=""/>
        <dsp:cNvSpPr/>
      </dsp:nvSpPr>
      <dsp:spPr>
        <a:xfrm>
          <a:off x="2153863" y="1727552"/>
          <a:ext cx="91440" cy="2040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0386"/>
              </a:lnTo>
              <a:lnTo>
                <a:pt x="116160" y="20403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437BE-387F-4D9D-B6CD-A74B3F47A20F}">
      <dsp:nvSpPr>
        <dsp:cNvPr id="0" name=""/>
        <dsp:cNvSpPr/>
      </dsp:nvSpPr>
      <dsp:spPr>
        <a:xfrm>
          <a:off x="2153863" y="1727552"/>
          <a:ext cx="91440" cy="8723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2345"/>
              </a:lnTo>
              <a:lnTo>
                <a:pt x="123984" y="872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2D53CC-18DE-412A-BF37-67BE8A941BED}">
      <dsp:nvSpPr>
        <dsp:cNvPr id="0" name=""/>
        <dsp:cNvSpPr/>
      </dsp:nvSpPr>
      <dsp:spPr>
        <a:xfrm>
          <a:off x="2788411" y="598729"/>
          <a:ext cx="91440" cy="662517"/>
        </a:xfrm>
        <a:custGeom>
          <a:avLst/>
          <a:gdLst/>
          <a:ahLst/>
          <a:cxnLst/>
          <a:rect l="0" t="0" r="0" b="0"/>
          <a:pathLst>
            <a:path>
              <a:moveTo>
                <a:pt x="48806" y="0"/>
              </a:moveTo>
              <a:lnTo>
                <a:pt x="48806" y="564593"/>
              </a:lnTo>
              <a:lnTo>
                <a:pt x="45720" y="564593"/>
              </a:lnTo>
              <a:lnTo>
                <a:pt x="45720" y="6625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58E8F-2CFC-48B3-9328-9A9752FE805F}">
      <dsp:nvSpPr>
        <dsp:cNvPr id="0" name=""/>
        <dsp:cNvSpPr/>
      </dsp:nvSpPr>
      <dsp:spPr>
        <a:xfrm>
          <a:off x="793185" y="598729"/>
          <a:ext cx="2044033" cy="662517"/>
        </a:xfrm>
        <a:custGeom>
          <a:avLst/>
          <a:gdLst/>
          <a:ahLst/>
          <a:cxnLst/>
          <a:rect l="0" t="0" r="0" b="0"/>
          <a:pathLst>
            <a:path>
              <a:moveTo>
                <a:pt x="2044033" y="0"/>
              </a:moveTo>
              <a:lnTo>
                <a:pt x="2044033" y="564593"/>
              </a:lnTo>
              <a:lnTo>
                <a:pt x="0" y="564593"/>
              </a:lnTo>
              <a:lnTo>
                <a:pt x="0" y="6625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C895B9-E837-436B-8296-DDFBD7BD7A70}">
      <dsp:nvSpPr>
        <dsp:cNvPr id="0" name=""/>
        <dsp:cNvSpPr/>
      </dsp:nvSpPr>
      <dsp:spPr>
        <a:xfrm>
          <a:off x="2791498" y="23378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54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BE09CC-2023-4258-9971-054A62685EB5}">
      <dsp:nvSpPr>
        <dsp:cNvPr id="0" name=""/>
        <dsp:cNvSpPr/>
      </dsp:nvSpPr>
      <dsp:spPr>
        <a:xfrm>
          <a:off x="336185" y="0"/>
          <a:ext cx="5002065" cy="2795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Practice size 11,260</a:t>
          </a:r>
        </a:p>
      </dsp:txBody>
      <dsp:txXfrm>
        <a:off x="336185" y="0"/>
        <a:ext cx="5002065" cy="279508"/>
      </dsp:txXfrm>
    </dsp:sp>
    <dsp:sp modelId="{B1632641-1ED1-41A4-BBDD-A818C14C66D8}">
      <dsp:nvSpPr>
        <dsp:cNvPr id="0" name=""/>
        <dsp:cNvSpPr/>
      </dsp:nvSpPr>
      <dsp:spPr>
        <a:xfrm>
          <a:off x="336185" y="319221"/>
          <a:ext cx="5002065" cy="2795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158 patients receiving oral bisphosponates on repeat prescription </a:t>
          </a:r>
        </a:p>
      </dsp:txBody>
      <dsp:txXfrm>
        <a:off x="336185" y="319221"/>
        <a:ext cx="5002065" cy="279508"/>
      </dsp:txXfrm>
    </dsp:sp>
    <dsp:sp modelId="{B1A480C8-9C35-4D11-8E33-3F7359A2C9BD}">
      <dsp:nvSpPr>
        <dsp:cNvPr id="0" name=""/>
        <dsp:cNvSpPr/>
      </dsp:nvSpPr>
      <dsp:spPr>
        <a:xfrm>
          <a:off x="0" y="1261246"/>
          <a:ext cx="1586370" cy="466305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accent4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4">
            <a:shade val="50000"/>
          </a:schemeClr>
        </a:lnRef>
        <a:fillRef idx="1">
          <a:schemeClr val="accent4"/>
        </a:fillRef>
        <a:effectRef idx="0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98/157 (62%) prescribed </a:t>
          </a:r>
          <a:br>
            <a:rPr lang="en-GB" sz="1000" b="1" kern="1200"/>
          </a:br>
          <a:r>
            <a:rPr lang="en-GB" sz="1000" b="1" kern="1200"/>
            <a:t>for less than 5 years</a:t>
          </a:r>
        </a:p>
      </dsp:txBody>
      <dsp:txXfrm>
        <a:off x="0" y="1261246"/>
        <a:ext cx="1586370" cy="466305"/>
      </dsp:txXfrm>
    </dsp:sp>
    <dsp:sp modelId="{7A864E96-07CB-49D9-A6DC-D4A4DC5CB5A2}">
      <dsp:nvSpPr>
        <dsp:cNvPr id="0" name=""/>
        <dsp:cNvSpPr/>
      </dsp:nvSpPr>
      <dsp:spPr>
        <a:xfrm>
          <a:off x="2040946" y="1261246"/>
          <a:ext cx="1586370" cy="466305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accent3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41/157 (26%) prescribed </a:t>
          </a:r>
          <a:br>
            <a:rPr lang="en-GB" sz="1000" b="1" kern="1200">
              <a:solidFill>
                <a:sysClr val="windowText" lastClr="000000"/>
              </a:solidFill>
            </a:rPr>
          </a:br>
          <a:r>
            <a:rPr lang="en-GB" sz="1000" b="1" kern="1200">
              <a:solidFill>
                <a:sysClr val="windowText" lastClr="000000"/>
              </a:solidFill>
            </a:rPr>
            <a:t>for 5-10 years</a:t>
          </a:r>
        </a:p>
      </dsp:txBody>
      <dsp:txXfrm>
        <a:off x="2040946" y="1261246"/>
        <a:ext cx="1586370" cy="466305"/>
      </dsp:txXfrm>
    </dsp:sp>
    <dsp:sp modelId="{B8DEB77B-6964-4B61-8031-17F876E08A6C}">
      <dsp:nvSpPr>
        <dsp:cNvPr id="0" name=""/>
        <dsp:cNvSpPr/>
      </dsp:nvSpPr>
      <dsp:spPr>
        <a:xfrm>
          <a:off x="2277848" y="1969140"/>
          <a:ext cx="1858832" cy="126151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24/41 (59%) defined as high risk on grounds of: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300"/>
            </a:spcAft>
          </a:pPr>
          <a:r>
            <a:rPr lang="en-GB" sz="900" b="1" kern="1200"/>
            <a:t>Age alone (n=6)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300"/>
            </a:spcAft>
          </a:pPr>
          <a:r>
            <a:rPr lang="en-GB" sz="900" b="1" kern="1200"/>
            <a:t>Age + previous wedge fracture (n=9)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300"/>
            </a:spcAft>
          </a:pPr>
          <a:r>
            <a:rPr lang="en-GB" sz="900" b="1" kern="1200"/>
            <a:t>Age + previous hip fracture (n=4)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300"/>
            </a:spcAft>
          </a:pPr>
          <a:r>
            <a:rPr lang="en-GB" sz="900" b="1" kern="1200"/>
            <a:t>Age + concomitent steroid use (n=4)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300"/>
            </a:spcAft>
          </a:pPr>
          <a:r>
            <a:rPr lang="en-GB" sz="900" b="1" kern="1200"/>
            <a:t>Previous wedge fracture (n=1)</a:t>
          </a:r>
        </a:p>
      </dsp:txBody>
      <dsp:txXfrm>
        <a:off x="2277848" y="1969140"/>
        <a:ext cx="1858832" cy="1261514"/>
      </dsp:txXfrm>
    </dsp:sp>
    <dsp:sp modelId="{0BD75F62-0BA1-4965-8D99-D88E05A3E08E}">
      <dsp:nvSpPr>
        <dsp:cNvPr id="0" name=""/>
        <dsp:cNvSpPr/>
      </dsp:nvSpPr>
      <dsp:spPr>
        <a:xfrm>
          <a:off x="2270023" y="3519549"/>
          <a:ext cx="1871338" cy="4967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3/41 (7%) had been reviewed with DXA scans and treatment continued</a:t>
          </a:r>
        </a:p>
      </dsp:txBody>
      <dsp:txXfrm>
        <a:off x="2270023" y="3519549"/>
        <a:ext cx="1871338" cy="496778"/>
      </dsp:txXfrm>
    </dsp:sp>
    <dsp:sp modelId="{2E740558-5447-4912-9424-0DEC1F609043}">
      <dsp:nvSpPr>
        <dsp:cNvPr id="0" name=""/>
        <dsp:cNvSpPr/>
      </dsp:nvSpPr>
      <dsp:spPr>
        <a:xfrm>
          <a:off x="2269883" y="4262676"/>
          <a:ext cx="1871338" cy="563054"/>
        </a:xfrm>
        <a:prstGeom prst="rect">
          <a:avLst/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14/41 (34%) had no evidence of an adequate review or clear reason </a:t>
          </a:r>
          <a:br>
            <a:rPr lang="en-GB" sz="1000" b="1" kern="1200"/>
          </a:br>
          <a:r>
            <a:rPr lang="en-GB" sz="1000" b="1" kern="1200"/>
            <a:t>to contine beyond 5 years</a:t>
          </a:r>
        </a:p>
      </dsp:txBody>
      <dsp:txXfrm>
        <a:off x="2269883" y="4262676"/>
        <a:ext cx="1871338" cy="563054"/>
      </dsp:txXfrm>
    </dsp:sp>
    <dsp:sp modelId="{120C44BC-266A-45A5-A6DC-AA7C38D93CAC}">
      <dsp:nvSpPr>
        <dsp:cNvPr id="0" name=""/>
        <dsp:cNvSpPr/>
      </dsp:nvSpPr>
      <dsp:spPr>
        <a:xfrm>
          <a:off x="4090320" y="1261246"/>
          <a:ext cx="1586370" cy="466305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accent2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18/157 (12%) prescribed </a:t>
          </a:r>
          <a:br>
            <a:rPr lang="en-GB" sz="1000" b="1" kern="1200"/>
          </a:br>
          <a:r>
            <a:rPr lang="en-GB" sz="1000" b="1" kern="1200"/>
            <a:t>for more than 10 years</a:t>
          </a:r>
        </a:p>
      </dsp:txBody>
      <dsp:txXfrm>
        <a:off x="4090320" y="1261246"/>
        <a:ext cx="1586370" cy="466305"/>
      </dsp:txXfrm>
    </dsp:sp>
    <dsp:sp modelId="{04762D95-43DD-478E-B2EE-A1A8773728BD}">
      <dsp:nvSpPr>
        <dsp:cNvPr id="0" name=""/>
        <dsp:cNvSpPr/>
      </dsp:nvSpPr>
      <dsp:spPr>
        <a:xfrm>
          <a:off x="4327483" y="1968193"/>
          <a:ext cx="1314160" cy="48973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1/18 (6%) under </a:t>
          </a:r>
          <a:br>
            <a:rPr lang="en-GB" sz="1000" b="1" kern="1200"/>
          </a:br>
          <a:r>
            <a:rPr lang="en-GB" sz="1000" b="1" kern="1200"/>
            <a:t>rheumatology care</a:t>
          </a:r>
        </a:p>
      </dsp:txBody>
      <dsp:txXfrm>
        <a:off x="4327483" y="1968193"/>
        <a:ext cx="1314160" cy="489732"/>
      </dsp:txXfrm>
    </dsp:sp>
    <dsp:sp modelId="{FD6E9F8A-DE0D-472B-9A84-7659A208DE36}">
      <dsp:nvSpPr>
        <dsp:cNvPr id="0" name=""/>
        <dsp:cNvSpPr/>
      </dsp:nvSpPr>
      <dsp:spPr>
        <a:xfrm>
          <a:off x="4346434" y="2534521"/>
          <a:ext cx="1294090" cy="1014479"/>
        </a:xfrm>
        <a:prstGeom prst="rect">
          <a:avLst/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17/18 (94%) with no evidence of an adequate review or discussion of a bisphosphonate 'drug holiday'</a:t>
          </a:r>
        </a:p>
      </dsp:txBody>
      <dsp:txXfrm>
        <a:off x="4346434" y="2534521"/>
        <a:ext cx="1294090" cy="1014479"/>
      </dsp:txXfrm>
    </dsp:sp>
    <dsp:sp modelId="{702B5201-FF5A-4E63-ABE7-D95EF190F8E4}">
      <dsp:nvSpPr>
        <dsp:cNvPr id="0" name=""/>
        <dsp:cNvSpPr/>
      </dsp:nvSpPr>
      <dsp:spPr>
        <a:xfrm>
          <a:off x="521640" y="709425"/>
          <a:ext cx="2208477" cy="3329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One excluded as prescribed for prostate cancer</a:t>
          </a:r>
        </a:p>
      </dsp:txBody>
      <dsp:txXfrm>
        <a:off x="521640" y="709425"/>
        <a:ext cx="2208477" cy="332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Keele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272449"/>
      </a:accent1>
      <a:accent2>
        <a:srgbClr val="DD412C"/>
      </a:accent2>
      <a:accent3>
        <a:srgbClr val="E4C73D"/>
      </a:accent3>
      <a:accent4>
        <a:srgbClr val="2AB675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Edwards</dc:creator>
  <cp:lastModifiedBy>John Edwards</cp:lastModifiedBy>
  <cp:revision>5</cp:revision>
  <dcterms:created xsi:type="dcterms:W3CDTF">2018-08-29T09:23:00Z</dcterms:created>
  <dcterms:modified xsi:type="dcterms:W3CDTF">2019-08-21T15:03:00Z</dcterms:modified>
</cp:coreProperties>
</file>