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8A1D1" w14:textId="1EC0D9BB" w:rsidR="00760E6F" w:rsidRPr="002B45B0" w:rsidRDefault="00DF2FC2">
      <w:pPr>
        <w:rPr>
          <w:b/>
          <w:sz w:val="36"/>
        </w:rPr>
      </w:pPr>
      <w:r w:rsidRPr="002B45B0">
        <w:rPr>
          <w:b/>
          <w:sz w:val="36"/>
        </w:rPr>
        <w:t xml:space="preserve">Appropriate community pharmacy management and referral of patients with </w:t>
      </w:r>
      <w:r w:rsidR="00FF2630">
        <w:rPr>
          <w:b/>
          <w:sz w:val="36"/>
        </w:rPr>
        <w:t xml:space="preserve">chronic peripheral </w:t>
      </w:r>
      <w:r w:rsidRPr="002B45B0">
        <w:rPr>
          <w:b/>
          <w:sz w:val="36"/>
        </w:rPr>
        <w:t>joint pain</w:t>
      </w:r>
    </w:p>
    <w:p w14:paraId="4C24A997" w14:textId="77777777" w:rsidR="00DF2FC2" w:rsidRDefault="00DF2FC2">
      <w:r>
        <w:t>Learning Piece 2 – Commissioned Article for The Pharmaceutical Journal</w:t>
      </w:r>
    </w:p>
    <w:p w14:paraId="358AD774" w14:textId="7EE56926" w:rsidR="00DF2FC2" w:rsidRDefault="00DF2FC2">
      <w:r>
        <w:t>Cottrell E</w:t>
      </w:r>
      <w:r w:rsidR="00FF2630">
        <w:t>, Stanford C</w:t>
      </w:r>
      <w:r>
        <w:t>, Quicke J,</w:t>
      </w:r>
      <w:r w:rsidR="00FF2630">
        <w:t xml:space="preserve"> Dziedzic K,</w:t>
      </w:r>
      <w:r>
        <w:t xml:space="preserve"> Somerville S</w:t>
      </w:r>
      <w:r w:rsidR="00FE5B20">
        <w:t>, Ashworth J</w:t>
      </w:r>
    </w:p>
    <w:p w14:paraId="0127DC4B" w14:textId="6E9E824A" w:rsidR="009F3A3A" w:rsidRPr="002B45B0" w:rsidRDefault="006A19C0">
      <w:pPr>
        <w:rPr>
          <w:b/>
          <w:color w:val="538135" w:themeColor="accent6" w:themeShade="BF"/>
          <w:sz w:val="32"/>
        </w:rPr>
      </w:pPr>
      <w:r w:rsidRPr="006A19C0">
        <w:rPr>
          <w:b/>
          <w:sz w:val="32"/>
        </w:rPr>
        <w:t>Introduction</w:t>
      </w:r>
    </w:p>
    <w:p w14:paraId="11F481FA" w14:textId="629BA80F" w:rsidR="00FF2630" w:rsidRDefault="00FE5B20" w:rsidP="00203627">
      <w:r>
        <w:t>Alongside dispensing medications and supporting medication use, community pharmacists play</w:t>
      </w:r>
      <w:r w:rsidR="006A19C0">
        <w:t xml:space="preserve"> an important front-line health </w:t>
      </w:r>
      <w:r>
        <w:t xml:space="preserve">professional role in managing chronic diseases and supporting healthy living.  </w:t>
      </w:r>
      <w:r w:rsidR="00561E5A">
        <w:t xml:space="preserve">In addition to </w:t>
      </w:r>
      <w:r w:rsidR="003B7D4C">
        <w:t>providing</w:t>
      </w:r>
      <w:r w:rsidR="00FF2630" w:rsidRPr="00FF2630">
        <w:t xml:space="preserve"> information, advice and education, </w:t>
      </w:r>
      <w:r w:rsidR="00561E5A">
        <w:t xml:space="preserve">this expanded role may include supporting </w:t>
      </w:r>
      <w:r w:rsidR="00FF2630" w:rsidRPr="00FF2630">
        <w:t>behaviour</w:t>
      </w:r>
      <w:r w:rsidR="00561E5A">
        <w:t xml:space="preserve"> change</w:t>
      </w:r>
      <w:r w:rsidR="00FF2630" w:rsidRPr="00FF2630">
        <w:t xml:space="preserve"> </w:t>
      </w:r>
      <w:r w:rsidR="0009066F">
        <w:t xml:space="preserve">and </w:t>
      </w:r>
      <w:r w:rsidR="00FF2630" w:rsidRPr="00FF2630">
        <w:t xml:space="preserve">referral </w:t>
      </w:r>
      <w:r w:rsidR="002B2726">
        <w:t>or</w:t>
      </w:r>
      <w:r w:rsidR="002B2726" w:rsidRPr="00FF2630">
        <w:t xml:space="preserve"> </w:t>
      </w:r>
      <w:r w:rsidR="00FF2630" w:rsidRPr="00FF2630">
        <w:t>signposting to other</w:t>
      </w:r>
      <w:r w:rsidR="00057BCB">
        <w:t xml:space="preserve"> </w:t>
      </w:r>
      <w:r w:rsidR="00FF2630" w:rsidRPr="00FF2630">
        <w:t>services</w:t>
      </w:r>
      <w:r w:rsidR="008141E9" w:rsidRPr="008141E9">
        <w:rPr>
          <w:rFonts w:ascii="Calibri" w:hAnsi="Calibri" w:cs="Calibri"/>
        </w:rPr>
        <w:t>(1,2)</w:t>
      </w:r>
      <w:r w:rsidR="00FF2630" w:rsidRPr="00FF2630">
        <w:t xml:space="preserve">. </w:t>
      </w:r>
      <w:r w:rsidR="00561E5A">
        <w:t xml:space="preserve"> </w:t>
      </w:r>
    </w:p>
    <w:p w14:paraId="1A671029" w14:textId="1A08C25C" w:rsidR="00A302AF" w:rsidRDefault="00725656" w:rsidP="00946F9F">
      <w:r>
        <w:t>Chronic peripheral j</w:t>
      </w:r>
      <w:r w:rsidR="00FF2630">
        <w:t xml:space="preserve">oint </w:t>
      </w:r>
      <w:r w:rsidR="005F09BD">
        <w:t>pain, defined as mechanical (activity-related) pain of any joint (excluding the spine)</w:t>
      </w:r>
      <w:r w:rsidR="00E739A1">
        <w:t>,</w:t>
      </w:r>
      <w:r w:rsidR="005F09BD">
        <w:t xml:space="preserve"> </w:t>
      </w:r>
      <w:r w:rsidR="00E064FB">
        <w:t xml:space="preserve">lasting for at least three months, </w:t>
      </w:r>
      <w:r w:rsidR="005F09BD">
        <w:t>with or without loss of function</w:t>
      </w:r>
      <w:r w:rsidR="00854DFF">
        <w:t>,</w:t>
      </w:r>
      <w:r w:rsidR="005F09BD">
        <w:t xml:space="preserve"> </w:t>
      </w:r>
      <w:r w:rsidR="00FF2630">
        <w:t>is common within the community</w:t>
      </w:r>
      <w:r w:rsidR="005F09BD">
        <w:t xml:space="preserve">. </w:t>
      </w:r>
      <w:r w:rsidR="00057BCB">
        <w:t>I</w:t>
      </w:r>
      <w:r w:rsidR="00176C45">
        <w:t>n patients aged 45 years and over</w:t>
      </w:r>
      <w:r w:rsidR="00057BCB">
        <w:t xml:space="preserve">, such pain </w:t>
      </w:r>
      <w:r w:rsidR="00176C45">
        <w:t>is often caused by osteoarthritis</w:t>
      </w:r>
      <w:r w:rsidR="00FE5B20" w:rsidRPr="00FE5B20">
        <w:rPr>
          <w:rFonts w:ascii="Calibri" w:hAnsi="Calibri" w:cs="Calibri"/>
          <w:bCs/>
          <w:lang w:val="en-US"/>
        </w:rPr>
        <w:t>(3)</w:t>
      </w:r>
      <w:r w:rsidR="00CC7921">
        <w:t>,</w:t>
      </w:r>
      <w:r w:rsidR="00415524">
        <w:t xml:space="preserve"> </w:t>
      </w:r>
      <w:r w:rsidR="00F2559A">
        <w:t xml:space="preserve">and </w:t>
      </w:r>
      <w:r w:rsidR="000337B0">
        <w:t xml:space="preserve">is </w:t>
      </w:r>
      <w:r w:rsidR="00107216">
        <w:t>frequently</w:t>
      </w:r>
      <w:r w:rsidR="00913CD7">
        <w:t xml:space="preserve"> associated with</w:t>
      </w:r>
      <w:r w:rsidR="00FF2630">
        <w:t xml:space="preserve"> </w:t>
      </w:r>
      <w:r w:rsidR="00913CD7">
        <w:t xml:space="preserve">other </w:t>
      </w:r>
      <w:r w:rsidR="00FF2630">
        <w:t xml:space="preserve">co-existing </w:t>
      </w:r>
      <w:r w:rsidR="002B1AEF">
        <w:t xml:space="preserve">physical </w:t>
      </w:r>
      <w:r w:rsidR="009D3A0F">
        <w:t xml:space="preserve">and </w:t>
      </w:r>
      <w:r w:rsidR="002B1AEF">
        <w:t xml:space="preserve">mental </w:t>
      </w:r>
      <w:r w:rsidR="009D3A0F">
        <w:t>health problems</w:t>
      </w:r>
      <w:r w:rsidR="00FE5B20" w:rsidRPr="00FE5B20">
        <w:rPr>
          <w:rFonts w:ascii="Calibri" w:hAnsi="Calibri" w:cs="Calibri"/>
          <w:bCs/>
          <w:lang w:val="en-US"/>
        </w:rPr>
        <w:t>(4)</w:t>
      </w:r>
      <w:r w:rsidR="009D3A0F">
        <w:t xml:space="preserve"> </w:t>
      </w:r>
      <w:r w:rsidR="00FF2630">
        <w:t>and reduced quality of life</w:t>
      </w:r>
      <w:r w:rsidR="00FE5B20" w:rsidRPr="00FE5B20">
        <w:rPr>
          <w:rFonts w:cs="Arial"/>
        </w:rPr>
        <w:t>(5)</w:t>
      </w:r>
      <w:r w:rsidR="00FF2630">
        <w:t xml:space="preserve">. </w:t>
      </w:r>
      <w:r w:rsidR="002B749F">
        <w:t>T</w:t>
      </w:r>
      <w:r w:rsidR="00B67315">
        <w:t>he impact</w:t>
      </w:r>
      <w:r w:rsidR="00BA46CF">
        <w:t xml:space="preserve"> </w:t>
      </w:r>
      <w:r w:rsidR="002B749F">
        <w:t xml:space="preserve">of mechanical joint pain </w:t>
      </w:r>
      <w:r w:rsidR="00BA46CF">
        <w:t>on daily activities</w:t>
      </w:r>
      <w:r w:rsidR="00B67315">
        <w:t xml:space="preserve"> </w:t>
      </w:r>
      <w:r w:rsidR="00634A9A">
        <w:t>varies between individuals and</w:t>
      </w:r>
      <w:r w:rsidR="00BA46CF">
        <w:t xml:space="preserve"> </w:t>
      </w:r>
      <w:r w:rsidR="00634A9A">
        <w:t xml:space="preserve">also depends on </w:t>
      </w:r>
      <w:r w:rsidR="00BA46CF">
        <w:t>the joint affected</w:t>
      </w:r>
      <w:r w:rsidR="0033508D">
        <w:t>. For example</w:t>
      </w:r>
      <w:r w:rsidR="004F0A1B" w:rsidRPr="004F0A1B">
        <w:t xml:space="preserve"> </w:t>
      </w:r>
      <w:r w:rsidR="004F0A1B">
        <w:t>stairs may be problematic for those with knee or hip pain whilst thumb based pain can impact grip</w:t>
      </w:r>
      <w:r w:rsidR="0033508D">
        <w:t>.</w:t>
      </w:r>
      <w:r w:rsidR="00D65EB0">
        <w:t xml:space="preserve"> </w:t>
      </w:r>
      <w:r w:rsidR="0038575F">
        <w:t xml:space="preserve"> Furthermore, in addition to peripheral joint abnormality</w:t>
      </w:r>
      <w:r w:rsidR="00B954F0">
        <w:t xml:space="preserve">, </w:t>
      </w:r>
      <w:r w:rsidR="0038575F">
        <w:t>there are person-specific central factors (e.g. anxiety, depression, catastrophi</w:t>
      </w:r>
      <w:r w:rsidR="004F0A1B">
        <w:t>s</w:t>
      </w:r>
      <w:r w:rsidR="0038575F">
        <w:t>ing trait, non-restorative sleep) that can modify pain experience and degree of participation restriction</w:t>
      </w:r>
      <w:r w:rsidR="00B954F0">
        <w:t xml:space="preserve"> within an individual</w:t>
      </w:r>
      <w:r w:rsidR="0038575F">
        <w:t xml:space="preserve">.  </w:t>
      </w:r>
    </w:p>
    <w:p w14:paraId="372C1433" w14:textId="0C8C5679" w:rsidR="0005629D" w:rsidRPr="0005629D" w:rsidRDefault="000B6ED4" w:rsidP="00203627">
      <w:r>
        <w:t xml:space="preserve">Although osteoarthritis </w:t>
      </w:r>
      <w:r w:rsidR="007A36A0">
        <w:t xml:space="preserve">is </w:t>
      </w:r>
      <w:r>
        <w:t xml:space="preserve">the commonest musculoskeletal condition causing </w:t>
      </w:r>
      <w:r w:rsidR="00FE5B20">
        <w:t xml:space="preserve">chronic </w:t>
      </w:r>
      <w:r>
        <w:t>peripheral joint pain</w:t>
      </w:r>
      <w:r w:rsidR="00904720">
        <w:t xml:space="preserve">, other </w:t>
      </w:r>
      <w:r w:rsidR="00A948A4">
        <w:t>potentially</w:t>
      </w:r>
      <w:r w:rsidR="00587EA6">
        <w:t xml:space="preserve"> serious</w:t>
      </w:r>
      <w:r w:rsidR="00B61518">
        <w:t xml:space="preserve"> causes</w:t>
      </w:r>
      <w:r w:rsidR="00587EA6">
        <w:t xml:space="preserve"> </w:t>
      </w:r>
      <w:r w:rsidR="00417AFA">
        <w:t xml:space="preserve">of joint or bone pain </w:t>
      </w:r>
      <w:r w:rsidR="005446B5">
        <w:t>to consider</w:t>
      </w:r>
      <w:r w:rsidR="0069359D">
        <w:t xml:space="preserve"> </w:t>
      </w:r>
      <w:r w:rsidR="005446B5">
        <w:t>include</w:t>
      </w:r>
      <w:r w:rsidR="00A948A4">
        <w:t xml:space="preserve"> </w:t>
      </w:r>
      <w:r w:rsidR="0033508D">
        <w:t>gout</w:t>
      </w:r>
      <w:r w:rsidR="00A948A4">
        <w:t>,</w:t>
      </w:r>
      <w:r w:rsidR="0033508D">
        <w:t xml:space="preserve"> other inflammatory arthritides, </w:t>
      </w:r>
      <w:r w:rsidR="00B8099F">
        <w:t>infective causes</w:t>
      </w:r>
      <w:r w:rsidR="0033508D">
        <w:t>,</w:t>
      </w:r>
      <w:r w:rsidR="00B06DAC" w:rsidRPr="00B06DAC">
        <w:t xml:space="preserve"> </w:t>
      </w:r>
      <w:r w:rsidR="00B06DAC">
        <w:t xml:space="preserve">fractures, </w:t>
      </w:r>
      <w:r w:rsidR="0033508D">
        <w:t>malignancy</w:t>
      </w:r>
      <w:r w:rsidR="00A948A4">
        <w:t xml:space="preserve">, and </w:t>
      </w:r>
      <w:r w:rsidR="0033508D">
        <w:t>radicular or neuropathic pain</w:t>
      </w:r>
      <w:r w:rsidR="00FE5B20" w:rsidRPr="00FE5B20">
        <w:rPr>
          <w:rFonts w:ascii="Calibri" w:hAnsi="Calibri" w:cs="Calibri"/>
          <w:bCs/>
          <w:lang w:val="en-US"/>
        </w:rPr>
        <w:t>(3)</w:t>
      </w:r>
      <w:r w:rsidR="00207F83">
        <w:t xml:space="preserve">. </w:t>
      </w:r>
      <w:r w:rsidR="00DC5D67">
        <w:t>P</w:t>
      </w:r>
      <w:r w:rsidR="0033508D">
        <w:t>rolonged morning joint-related stiffness</w:t>
      </w:r>
      <w:r w:rsidR="00137F0C">
        <w:t xml:space="preserve"> (over 30min)</w:t>
      </w:r>
      <w:r w:rsidR="0033508D">
        <w:t>, hot swollen joint</w:t>
      </w:r>
      <w:r w:rsidR="004B3D5F">
        <w:t>s</w:t>
      </w:r>
      <w:r w:rsidR="0033508D">
        <w:t>, rapid worsening of symptoms</w:t>
      </w:r>
      <w:r w:rsidR="00725656">
        <w:t xml:space="preserve">, </w:t>
      </w:r>
      <w:r w:rsidR="0033508D">
        <w:t>systemic upset</w:t>
      </w:r>
      <w:r w:rsidR="00725656">
        <w:t xml:space="preserve"> </w:t>
      </w:r>
      <w:r w:rsidR="00B06DAC">
        <w:t>and</w:t>
      </w:r>
      <w:r w:rsidR="00B06DAC" w:rsidRPr="00B06DAC">
        <w:t xml:space="preserve"> </w:t>
      </w:r>
      <w:r w:rsidR="00B06DAC">
        <w:t xml:space="preserve">a history of trauma or cancer </w:t>
      </w:r>
      <w:r w:rsidR="004B3D5F">
        <w:t>are</w:t>
      </w:r>
      <w:r w:rsidR="00870CBA">
        <w:t xml:space="preserve"> ‘red-flags’</w:t>
      </w:r>
      <w:r w:rsidR="00125ED1">
        <w:t>, which raise suspicion of a more serious underlying cause</w:t>
      </w:r>
      <w:r w:rsidR="004B3D5F">
        <w:t xml:space="preserve"> </w:t>
      </w:r>
      <w:r w:rsidR="00870CBA">
        <w:t xml:space="preserve">and </w:t>
      </w:r>
      <w:r w:rsidR="00125ED1">
        <w:t xml:space="preserve">are </w:t>
      </w:r>
      <w:r w:rsidR="004B3D5F">
        <w:t>indications</w:t>
      </w:r>
      <w:r w:rsidR="00DC5D67">
        <w:t xml:space="preserve"> for a prompt medical review</w:t>
      </w:r>
      <w:r w:rsidR="0033508D">
        <w:t xml:space="preserve">. </w:t>
      </w:r>
    </w:p>
    <w:p w14:paraId="72D311C6" w14:textId="19590B48" w:rsidR="009F3A3A" w:rsidRPr="008F190C" w:rsidRDefault="009F3A3A">
      <w:pPr>
        <w:rPr>
          <w:sz w:val="32"/>
        </w:rPr>
      </w:pPr>
      <w:r w:rsidRPr="008F190C">
        <w:rPr>
          <w:b/>
          <w:sz w:val="32"/>
        </w:rPr>
        <w:t>Best practice recommendations</w:t>
      </w:r>
    </w:p>
    <w:p w14:paraId="09687975" w14:textId="7597F4C9" w:rsidR="00B53C2E" w:rsidRDefault="00503939" w:rsidP="00203627">
      <w:pPr>
        <w:rPr>
          <w:color w:val="000000" w:themeColor="text1"/>
        </w:rPr>
      </w:pPr>
      <w:r>
        <w:t>I</w:t>
      </w:r>
      <w:r w:rsidR="00123E30">
        <w:t>n those aged 45 years and older</w:t>
      </w:r>
      <w:r>
        <w:t xml:space="preserve"> presenting with </w:t>
      </w:r>
      <w:r w:rsidR="00B954F0">
        <w:t xml:space="preserve">activity-related </w:t>
      </w:r>
      <w:r>
        <w:t>joint pain</w:t>
      </w:r>
      <w:r w:rsidR="00BA5952">
        <w:t xml:space="preserve"> and no </w:t>
      </w:r>
      <w:r w:rsidR="00725656">
        <w:t xml:space="preserve">features </w:t>
      </w:r>
      <w:r w:rsidR="00BA5952">
        <w:t xml:space="preserve">suggesting </w:t>
      </w:r>
      <w:r w:rsidR="00725656">
        <w:t xml:space="preserve">an </w:t>
      </w:r>
      <w:r w:rsidR="00123E30">
        <w:t xml:space="preserve">alternative diagnosis, it is appropriate to apply </w:t>
      </w:r>
      <w:r w:rsidR="00725656">
        <w:t xml:space="preserve">the </w:t>
      </w:r>
      <w:r w:rsidR="00123E30">
        <w:t>National Institute for Health and Care Excellence (NICE</w:t>
      </w:r>
      <w:r>
        <w:t xml:space="preserve">) </w:t>
      </w:r>
      <w:r w:rsidR="00FE5B20">
        <w:t xml:space="preserve">osteoarthritis </w:t>
      </w:r>
      <w:r>
        <w:t>guideline</w:t>
      </w:r>
      <w:r w:rsidR="003C01AE">
        <w:t xml:space="preserve"> </w:t>
      </w:r>
      <w:r w:rsidR="002D69F0">
        <w:t xml:space="preserve">treatment </w:t>
      </w:r>
      <w:r w:rsidR="006F28CC">
        <w:t>recommendations</w:t>
      </w:r>
      <w:r w:rsidR="00184248">
        <w:t xml:space="preserve"> </w:t>
      </w:r>
      <w:r w:rsidR="00FE5B20" w:rsidRPr="00FE5B20">
        <w:rPr>
          <w:rFonts w:ascii="Calibri" w:hAnsi="Calibri" w:cs="Calibri"/>
          <w:bCs/>
          <w:lang w:val="en-US"/>
        </w:rPr>
        <w:t>(3)</w:t>
      </w:r>
      <w:r w:rsidR="00123E30">
        <w:t xml:space="preserve">. </w:t>
      </w:r>
    </w:p>
    <w:p w14:paraId="215F9743" w14:textId="5F3F07F1" w:rsidR="003C01AE" w:rsidRPr="00FE5B20" w:rsidRDefault="004A0D0A" w:rsidP="00203627">
      <w:pPr>
        <w:rPr>
          <w:b/>
          <w:color w:val="000000" w:themeColor="text1"/>
          <w:sz w:val="28"/>
          <w:szCs w:val="28"/>
        </w:rPr>
      </w:pPr>
      <w:r w:rsidRPr="00FE5B20">
        <w:rPr>
          <w:b/>
          <w:color w:val="000000" w:themeColor="text1"/>
          <w:sz w:val="28"/>
          <w:szCs w:val="28"/>
        </w:rPr>
        <w:t xml:space="preserve">NICE </w:t>
      </w:r>
      <w:r w:rsidR="006C18F2">
        <w:rPr>
          <w:b/>
          <w:color w:val="000000" w:themeColor="text1"/>
          <w:sz w:val="28"/>
          <w:szCs w:val="28"/>
        </w:rPr>
        <w:t>c</w:t>
      </w:r>
      <w:r w:rsidR="003C01AE" w:rsidRPr="00FE5B20">
        <w:rPr>
          <w:b/>
          <w:color w:val="000000" w:themeColor="text1"/>
          <w:sz w:val="28"/>
          <w:szCs w:val="28"/>
        </w:rPr>
        <w:t xml:space="preserve">ore </w:t>
      </w:r>
      <w:r w:rsidR="006C18F2">
        <w:rPr>
          <w:b/>
          <w:color w:val="000000" w:themeColor="text1"/>
          <w:sz w:val="28"/>
          <w:szCs w:val="28"/>
        </w:rPr>
        <w:t>t</w:t>
      </w:r>
      <w:r w:rsidR="003C01AE" w:rsidRPr="00FE5B20">
        <w:rPr>
          <w:b/>
          <w:color w:val="000000" w:themeColor="text1"/>
          <w:sz w:val="28"/>
          <w:szCs w:val="28"/>
        </w:rPr>
        <w:t>reatments</w:t>
      </w:r>
    </w:p>
    <w:p w14:paraId="6D815572" w14:textId="7EDE263C" w:rsidR="00533FAB" w:rsidRPr="00FE5B20" w:rsidRDefault="00802FFE" w:rsidP="0073384C">
      <w:pPr>
        <w:rPr>
          <w:sz w:val="28"/>
          <w:szCs w:val="28"/>
        </w:rPr>
      </w:pPr>
      <w:r>
        <w:t>C</w:t>
      </w:r>
      <w:r w:rsidR="00533FAB">
        <w:t>ore treatments</w:t>
      </w:r>
      <w:r w:rsidR="006A19C0">
        <w:t xml:space="preserve"> </w:t>
      </w:r>
      <w:r>
        <w:t xml:space="preserve">are non-pharmacological and </w:t>
      </w:r>
      <w:r w:rsidR="006A19C0">
        <w:t>are</w:t>
      </w:r>
      <w:r w:rsidR="00533FAB">
        <w:t xml:space="preserve"> recommended for all patients</w:t>
      </w:r>
      <w:r w:rsidR="00FE5B20">
        <w:t xml:space="preserve"> whatever their age, comorbidity, pain or disability</w:t>
      </w:r>
      <w:r w:rsidR="00FE5B20" w:rsidRPr="00FE5B20">
        <w:t>(3)</w:t>
      </w:r>
      <w:r w:rsidR="006A19C0">
        <w:t xml:space="preserve"> and </w:t>
      </w:r>
      <w:r w:rsidR="00533FAB">
        <w:rPr>
          <w:color w:val="000000" w:themeColor="text1"/>
        </w:rPr>
        <w:t>can all be provided in the pharmacy setting.</w:t>
      </w:r>
      <w:r w:rsidR="0073384C">
        <w:rPr>
          <w:color w:val="000000" w:themeColor="text1"/>
        </w:rPr>
        <w:t xml:space="preserve"> Resources to support delivery of these treatments are provided in the </w:t>
      </w:r>
      <w:r w:rsidR="0073384C" w:rsidRPr="00FE5B20">
        <w:rPr>
          <w:i/>
        </w:rPr>
        <w:t>Signposting</w:t>
      </w:r>
      <w:r w:rsidR="0073384C">
        <w:rPr>
          <w:i/>
        </w:rPr>
        <w:t xml:space="preserve">… </w:t>
      </w:r>
      <w:r w:rsidR="0073384C">
        <w:t>section below</w:t>
      </w:r>
      <w:r w:rsidR="0073384C">
        <w:rPr>
          <w:color w:val="000000" w:themeColor="text1"/>
        </w:rPr>
        <w:t>.</w:t>
      </w:r>
    </w:p>
    <w:p w14:paraId="3A3EA995" w14:textId="192C6A02" w:rsidR="007634B1" w:rsidRPr="00FE5B20" w:rsidRDefault="007634B1" w:rsidP="00203627">
      <w:pPr>
        <w:rPr>
          <w:b/>
          <w:sz w:val="32"/>
        </w:rPr>
      </w:pPr>
      <w:r w:rsidRPr="00725656">
        <w:rPr>
          <w:b/>
        </w:rPr>
        <w:t>Patient information</w:t>
      </w:r>
      <w:r w:rsidR="00725656" w:rsidRPr="00725656">
        <w:rPr>
          <w:b/>
        </w:rPr>
        <w:t xml:space="preserve">: </w:t>
      </w:r>
      <w:r w:rsidR="00484A91">
        <w:rPr>
          <w:color w:val="000000" w:themeColor="text1"/>
        </w:rPr>
        <w:t xml:space="preserve"> </w:t>
      </w:r>
      <w:r w:rsidR="00CC1A78">
        <w:rPr>
          <w:color w:val="000000" w:themeColor="text1"/>
        </w:rPr>
        <w:t>C</w:t>
      </w:r>
      <w:r w:rsidR="00080A58">
        <w:rPr>
          <w:color w:val="000000" w:themeColor="text1"/>
        </w:rPr>
        <w:t>lear and a</w:t>
      </w:r>
      <w:r w:rsidR="00AE566C">
        <w:rPr>
          <w:color w:val="000000" w:themeColor="text1"/>
        </w:rPr>
        <w:t>ccurate</w:t>
      </w:r>
      <w:r w:rsidR="00DE7B6F">
        <w:rPr>
          <w:color w:val="000000" w:themeColor="text1"/>
        </w:rPr>
        <w:t xml:space="preserve"> </w:t>
      </w:r>
      <w:r w:rsidR="00E01417">
        <w:rPr>
          <w:color w:val="000000" w:themeColor="text1"/>
        </w:rPr>
        <w:t xml:space="preserve">verbal and written </w:t>
      </w:r>
      <w:r w:rsidR="00123E30">
        <w:rPr>
          <w:color w:val="000000" w:themeColor="text1"/>
        </w:rPr>
        <w:t>i</w:t>
      </w:r>
      <w:r w:rsidR="00503939">
        <w:rPr>
          <w:color w:val="000000" w:themeColor="text1"/>
        </w:rPr>
        <w:t xml:space="preserve">nformation </w:t>
      </w:r>
      <w:r w:rsidR="00DE7B6F">
        <w:rPr>
          <w:color w:val="000000" w:themeColor="text1"/>
        </w:rPr>
        <w:t xml:space="preserve">to help people with osteoarthritis </w:t>
      </w:r>
      <w:r w:rsidR="006A19C0">
        <w:rPr>
          <w:color w:val="000000" w:themeColor="text1"/>
        </w:rPr>
        <w:t xml:space="preserve">to </w:t>
      </w:r>
      <w:r w:rsidR="00DE7B6F">
        <w:rPr>
          <w:color w:val="000000" w:themeColor="text1"/>
        </w:rPr>
        <w:t xml:space="preserve">understand </w:t>
      </w:r>
      <w:r w:rsidR="00503939">
        <w:rPr>
          <w:color w:val="000000" w:themeColor="text1"/>
        </w:rPr>
        <w:t>the</w:t>
      </w:r>
      <w:r w:rsidR="00E72A37">
        <w:rPr>
          <w:color w:val="000000" w:themeColor="text1"/>
        </w:rPr>
        <w:t xml:space="preserve"> </w:t>
      </w:r>
      <w:r w:rsidR="00B954F0">
        <w:rPr>
          <w:color w:val="000000" w:themeColor="text1"/>
        </w:rPr>
        <w:t>nature of the</w:t>
      </w:r>
      <w:r w:rsidR="004F0A1B">
        <w:rPr>
          <w:color w:val="000000" w:themeColor="text1"/>
        </w:rPr>
        <w:t>ir</w:t>
      </w:r>
      <w:r w:rsidR="00B954F0">
        <w:rPr>
          <w:color w:val="000000" w:themeColor="text1"/>
        </w:rPr>
        <w:t xml:space="preserve"> </w:t>
      </w:r>
      <w:r w:rsidR="00503939">
        <w:rPr>
          <w:color w:val="000000" w:themeColor="text1"/>
        </w:rPr>
        <w:t>condition</w:t>
      </w:r>
      <w:r w:rsidR="00B954F0">
        <w:rPr>
          <w:color w:val="000000" w:themeColor="text1"/>
        </w:rPr>
        <w:t>, its causes and possible consequences</w:t>
      </w:r>
      <w:r w:rsidR="004A1F3D">
        <w:rPr>
          <w:color w:val="000000" w:themeColor="text1"/>
        </w:rPr>
        <w:t xml:space="preserve"> and its treatment</w:t>
      </w:r>
      <w:r w:rsidR="00B954F0">
        <w:rPr>
          <w:color w:val="000000" w:themeColor="text1"/>
        </w:rPr>
        <w:t xml:space="preserve"> options</w:t>
      </w:r>
      <w:r w:rsidR="0073384C">
        <w:rPr>
          <w:color w:val="000000" w:themeColor="text1"/>
        </w:rPr>
        <w:t>.</w:t>
      </w:r>
      <w:r w:rsidR="00802FFE">
        <w:rPr>
          <w:color w:val="000000" w:themeColor="text1"/>
        </w:rPr>
        <w:t xml:space="preserve"> Individualisation of this information and discussion of illness perceptions is recommended.</w:t>
      </w:r>
    </w:p>
    <w:p w14:paraId="477E016B" w14:textId="28DBB4A5" w:rsidR="00C23635" w:rsidRDefault="007634B1" w:rsidP="00203627">
      <w:r w:rsidRPr="00503939">
        <w:rPr>
          <w:b/>
        </w:rPr>
        <w:t>Exercise</w:t>
      </w:r>
      <w:r w:rsidR="00503939">
        <w:rPr>
          <w:b/>
        </w:rPr>
        <w:t xml:space="preserve">: </w:t>
      </w:r>
      <w:r w:rsidRPr="00CB45F3">
        <w:t>A</w:t>
      </w:r>
      <w:r w:rsidR="00CC1A78">
        <w:t>dvic</w:t>
      </w:r>
      <w:r w:rsidR="00484A91">
        <w:t xml:space="preserve">e </w:t>
      </w:r>
      <w:r w:rsidR="00123E30" w:rsidRPr="00CB45F3">
        <w:t xml:space="preserve">to </w:t>
      </w:r>
      <w:r w:rsidR="00B954F0">
        <w:t xml:space="preserve">maintain, rather than avoid, movement through sensible “pacing” of activities, </w:t>
      </w:r>
      <w:r w:rsidR="009E4E5F">
        <w:t xml:space="preserve"> and </w:t>
      </w:r>
      <w:r w:rsidR="00802FFE">
        <w:t xml:space="preserve">to </w:t>
      </w:r>
      <w:r w:rsidR="00C51E3B">
        <w:t>carry out</w:t>
      </w:r>
      <w:r w:rsidR="00123E30" w:rsidRPr="00CB45F3">
        <w:t xml:space="preserve"> both aerobic exercise </w:t>
      </w:r>
      <w:r w:rsidR="00503939" w:rsidRPr="00CB45F3">
        <w:t>(</w:t>
      </w:r>
      <w:r w:rsidR="00802FFE">
        <w:t>exercise that increases pulse and breathing rates)</w:t>
      </w:r>
      <w:r w:rsidR="00503939" w:rsidRPr="00CB45F3">
        <w:t xml:space="preserve">) </w:t>
      </w:r>
      <w:r w:rsidR="00123E30" w:rsidRPr="00CB45F3">
        <w:t xml:space="preserve">and </w:t>
      </w:r>
      <w:r w:rsidR="00123E30" w:rsidRPr="00CB45F3">
        <w:lastRenderedPageBreak/>
        <w:t xml:space="preserve">strengthening exercises. </w:t>
      </w:r>
      <w:r w:rsidR="00802FFE">
        <w:t>Aerobic exercise can reduce pain</w:t>
      </w:r>
      <w:r w:rsidR="00816372">
        <w:t xml:space="preserve"> and</w:t>
      </w:r>
      <w:r w:rsidR="00802FFE">
        <w:t xml:space="preserve"> improve</w:t>
      </w:r>
      <w:r w:rsidR="00816372">
        <w:t xml:space="preserve"> function</w:t>
      </w:r>
      <w:r w:rsidR="00802FFE">
        <w:t xml:space="preserve">, well-being </w:t>
      </w:r>
      <w:r w:rsidR="00816372">
        <w:t xml:space="preserve">and </w:t>
      </w:r>
      <w:r w:rsidR="00802FFE">
        <w:t>sleep quality, and is also beneficial for comorbidities that commonly accompany OA.  Local strengthening</w:t>
      </w:r>
      <w:r w:rsidR="004F0A1B">
        <w:t xml:space="preserve"> </w:t>
      </w:r>
      <w:r w:rsidR="00802FFE">
        <w:t xml:space="preserve">exercise also improves pain and function and can </w:t>
      </w:r>
      <w:r w:rsidR="004F0A1B">
        <w:t xml:space="preserve">and can reverse some of the negative impacts of knee </w:t>
      </w:r>
      <w:r w:rsidR="000075D7">
        <w:t>joint pain</w:t>
      </w:r>
      <w:r w:rsidR="004F0A1B">
        <w:t xml:space="preserve"> such as reduced muscle strength, proprioception and balance and increased tendency to fall</w:t>
      </w:r>
      <w:r w:rsidR="00802FFE">
        <w:t xml:space="preserve">.     </w:t>
      </w:r>
    </w:p>
    <w:p w14:paraId="5C17B1E4" w14:textId="19DFB15A" w:rsidR="006A19C0" w:rsidRDefault="00A54293" w:rsidP="00203627">
      <w:r>
        <w:t>T</w:t>
      </w:r>
      <w:r w:rsidR="00123E30" w:rsidRPr="00CB45F3">
        <w:t>he effect of exercise</w:t>
      </w:r>
      <w:r w:rsidR="004C12BF" w:rsidRPr="004C12BF">
        <w:t xml:space="preserve"> </w:t>
      </w:r>
      <w:r w:rsidR="004C12BF" w:rsidRPr="00CB45F3">
        <w:t>on pain and function</w:t>
      </w:r>
      <w:r>
        <w:t xml:space="preserve">, </w:t>
      </w:r>
      <w:r w:rsidR="004C12BF">
        <w:t xml:space="preserve">if </w:t>
      </w:r>
      <w:r w:rsidR="00BA6B12">
        <w:t>undert</w:t>
      </w:r>
      <w:r w:rsidR="004C12BF">
        <w:t xml:space="preserve">aken regularly over </w:t>
      </w:r>
      <w:r w:rsidRPr="00CB45F3">
        <w:t xml:space="preserve">three months, </w:t>
      </w:r>
      <w:r w:rsidR="00123E30" w:rsidRPr="00CB45F3">
        <w:t xml:space="preserve">is </w:t>
      </w:r>
      <w:r w:rsidR="00802FFE">
        <w:t xml:space="preserve">very </w:t>
      </w:r>
      <w:r w:rsidR="00B954F0">
        <w:t>safe</w:t>
      </w:r>
      <w:r w:rsidR="007F59FD">
        <w:t>,</w:t>
      </w:r>
      <w:r w:rsidR="00B954F0">
        <w:t xml:space="preserve"> and </w:t>
      </w:r>
      <w:r w:rsidR="00816372">
        <w:t>m</w:t>
      </w:r>
      <w:r w:rsidR="00B954F0">
        <w:t>ay reduce requirement for</w:t>
      </w:r>
      <w:r w:rsidR="00123E30" w:rsidRPr="00CB45F3">
        <w:t xml:space="preserve"> analgesia</w:t>
      </w:r>
      <w:r w:rsidR="00CB45F3" w:rsidRPr="00CB45F3">
        <w:t>(6-8)</w:t>
      </w:r>
      <w:r w:rsidR="00123E30" w:rsidRPr="00CB45F3">
        <w:t>. There are very few absolute contraindications to exercise</w:t>
      </w:r>
      <w:r w:rsidR="00D32AC4">
        <w:t xml:space="preserve">, </w:t>
      </w:r>
      <w:r w:rsidR="00FE5B20">
        <w:t>for example</w:t>
      </w:r>
      <w:r w:rsidR="00D32AC4">
        <w:t>:</w:t>
      </w:r>
      <w:r w:rsidR="00FE5B20">
        <w:t xml:space="preserve"> </w:t>
      </w:r>
      <w:r w:rsidR="002D16E1">
        <w:t>acute fever or infection, certain cardiac conditions (e.g. obstructive cardiomyopathy or severe valve disease, myocarditis, arrhythmias (particularly if uncontrolled or exercise-induced)), and other unstable conditions (e.g. angina, diabetes, hypertension). If you suspect such problems</w:t>
      </w:r>
      <w:r w:rsidR="001E3900">
        <w:t>, or you are uncertain about the safety of, or approach to</w:t>
      </w:r>
      <w:r w:rsidR="00175B7B">
        <w:t>,</w:t>
      </w:r>
      <w:r w:rsidR="006A19C0">
        <w:t xml:space="preserve"> advising</w:t>
      </w:r>
      <w:r w:rsidR="001E3900">
        <w:t xml:space="preserve"> exercise in the presence of another problem,</w:t>
      </w:r>
      <w:r w:rsidR="002D16E1">
        <w:t xml:space="preserve"> </w:t>
      </w:r>
      <w:r w:rsidR="006A19C0">
        <w:t xml:space="preserve">signpost the patient to </w:t>
      </w:r>
      <w:r w:rsidR="002D16E1">
        <w:t>their GP</w:t>
      </w:r>
      <w:r w:rsidR="00D32AC4">
        <w:t xml:space="preserve"> or specialist</w:t>
      </w:r>
      <w:r w:rsidR="002D16E1">
        <w:t xml:space="preserve"> </w:t>
      </w:r>
      <w:r w:rsidR="006A19C0">
        <w:t>for advice</w:t>
      </w:r>
      <w:r w:rsidR="002D16E1">
        <w:t xml:space="preserve">. </w:t>
      </w:r>
    </w:p>
    <w:p w14:paraId="0E3FDBD2" w14:textId="5B255351" w:rsidR="007634B1" w:rsidRDefault="002D16E1" w:rsidP="00203627">
      <w:pPr>
        <w:rPr>
          <w:color w:val="000000" w:themeColor="text1"/>
        </w:rPr>
      </w:pPr>
      <w:r>
        <w:t>A</w:t>
      </w:r>
      <w:r w:rsidR="00503939" w:rsidRPr="00CB45F3">
        <w:t>ny exercise is better than none at all</w:t>
      </w:r>
      <w:r w:rsidR="00476D3E">
        <w:t>.</w:t>
      </w:r>
      <w:r w:rsidR="00503939" w:rsidRPr="00CB45F3">
        <w:t xml:space="preserve"> </w:t>
      </w:r>
      <w:r w:rsidR="00476D3E">
        <w:t>P</w:t>
      </w:r>
      <w:r w:rsidR="00503939" w:rsidRPr="00CB45F3">
        <w:t>atients can undertake adequate exercise without any special equipment</w:t>
      </w:r>
      <w:r w:rsidR="006A19C0">
        <w:t>. H</w:t>
      </w:r>
      <w:r w:rsidR="00503939" w:rsidRPr="00CB45F3">
        <w:t>elping patients to build exercise into their da</w:t>
      </w:r>
      <w:r w:rsidR="00D22DD9">
        <w:t>ily routine</w:t>
      </w:r>
      <w:r w:rsidR="00503939" w:rsidRPr="00CB45F3">
        <w:t xml:space="preserve"> can equip them to make changes straight away.</w:t>
      </w:r>
      <w:r w:rsidR="00FE5B20">
        <w:t xml:space="preserve"> For example, </w:t>
      </w:r>
      <w:r w:rsidR="001E3900">
        <w:t>w</w:t>
      </w:r>
      <w:r w:rsidR="00FE5B20">
        <w:t xml:space="preserve">alking </w:t>
      </w:r>
      <w:r w:rsidR="006A19C0">
        <w:t xml:space="preserve">when travelling short distances </w:t>
      </w:r>
      <w:r w:rsidR="00FE5B20">
        <w:t>rather than using transport.</w:t>
      </w:r>
      <w:r w:rsidR="00CF505C">
        <w:t xml:space="preserve"> </w:t>
      </w:r>
      <w:r w:rsidR="00A26DE6">
        <w:t xml:space="preserve">Linking exercise to a daily activity can also be helpful, for example, undertaking </w:t>
      </w:r>
      <w:r w:rsidR="000075D7">
        <w:t xml:space="preserve">ten </w:t>
      </w:r>
      <w:r w:rsidR="00A26DE6">
        <w:t>minutes aerobic activity before having their morning shower</w:t>
      </w:r>
      <w:r w:rsidR="00C93986">
        <w:t xml:space="preserve">, doing </w:t>
      </w:r>
      <w:r w:rsidR="00A26DE6">
        <w:t>strengthening exercises while waiting for the kettle to boil or the tea to brew</w:t>
      </w:r>
      <w:r w:rsidR="00C93986">
        <w:t xml:space="preserve"> or making the exercise part of daily activity such as planning to do </w:t>
      </w:r>
      <w:r w:rsidR="000075D7">
        <w:t xml:space="preserve">ten </w:t>
      </w:r>
      <w:r w:rsidR="00C93986">
        <w:t>minutes of gardening every day</w:t>
      </w:r>
      <w:r w:rsidR="00A26DE6">
        <w:t>.</w:t>
      </w:r>
    </w:p>
    <w:p w14:paraId="4B82BD66" w14:textId="6EDC86A1" w:rsidR="006409D3" w:rsidRDefault="007634B1" w:rsidP="00203627">
      <w:r w:rsidRPr="00503939">
        <w:rPr>
          <w:b/>
        </w:rPr>
        <w:t>Weight management</w:t>
      </w:r>
      <w:r w:rsidR="00503939">
        <w:rPr>
          <w:b/>
        </w:rPr>
        <w:t xml:space="preserve">: </w:t>
      </w:r>
      <w:r w:rsidR="006A19C0">
        <w:t>S</w:t>
      </w:r>
      <w:r w:rsidR="006409D3" w:rsidRPr="009736A4">
        <w:t>upport weight loss for</w:t>
      </w:r>
      <w:r w:rsidR="006409D3">
        <w:rPr>
          <w:b/>
        </w:rPr>
        <w:t xml:space="preserve"> </w:t>
      </w:r>
      <w:r w:rsidR="006409D3">
        <w:t>o</w:t>
      </w:r>
      <w:r w:rsidR="003D23F8" w:rsidRPr="00CB45F3">
        <w:t>verweight or obese</w:t>
      </w:r>
      <w:r w:rsidR="00503939" w:rsidRPr="00CB45F3">
        <w:t xml:space="preserve"> patients</w:t>
      </w:r>
      <w:r w:rsidR="00383B64">
        <w:t>.</w:t>
      </w:r>
      <w:r w:rsidR="00B250BD">
        <w:t xml:space="preserve"> Tips to give patients could include suggesting that they eat breakfast every day, to be mindful of intake of calories contained within drinks, eat slowly to enable the body to recognise when it is full and monitor your weight once a week.</w:t>
      </w:r>
      <w:r w:rsidR="00383B64">
        <w:t xml:space="preserve"> In addition to providing advice</w:t>
      </w:r>
      <w:r w:rsidR="00B250BD">
        <w:t xml:space="preserve"> verbally</w:t>
      </w:r>
      <w:r w:rsidR="00383B64">
        <w:t xml:space="preserve"> you </w:t>
      </w:r>
      <w:r w:rsidR="001E3900">
        <w:t>could signpost to online NHS advice</w:t>
      </w:r>
      <w:r w:rsidR="00B250BD">
        <w:t xml:space="preserve"> (www.nhs.uk)</w:t>
      </w:r>
      <w:r w:rsidR="001E3900">
        <w:t xml:space="preserve">, local weight loss services and, where appropriate, </w:t>
      </w:r>
      <w:r w:rsidR="006C18F2">
        <w:t xml:space="preserve">discuss </w:t>
      </w:r>
      <w:r w:rsidR="001E3900">
        <w:t>pharmacological (e.g. o</w:t>
      </w:r>
      <w:r w:rsidR="0073384C">
        <w:t>rlistat) or surgical approaches</w:t>
      </w:r>
      <w:r w:rsidR="00826D1F" w:rsidRPr="00826D1F">
        <w:rPr>
          <w:rFonts w:ascii="Calibri" w:hAnsi="Calibri" w:cs="Calibri"/>
          <w:bCs/>
          <w:lang w:val="en-US"/>
        </w:rPr>
        <w:t>(9)</w:t>
      </w:r>
      <w:r w:rsidR="001E3900">
        <w:t>.</w:t>
      </w:r>
    </w:p>
    <w:p w14:paraId="6993575E" w14:textId="7527E763" w:rsidR="00503939" w:rsidRPr="00CB45F3" w:rsidRDefault="006409D3" w:rsidP="00203627">
      <w:r>
        <w:t>W</w:t>
      </w:r>
      <w:r w:rsidR="00842B5C" w:rsidRPr="00CB45F3">
        <w:t xml:space="preserve">eight loss has beneficial effects on both pain and function associated with chronic joint pain </w:t>
      </w:r>
      <w:r w:rsidR="00826D1F" w:rsidRPr="00826D1F">
        <w:t>(10)</w:t>
      </w:r>
      <w:r w:rsidR="00842B5C" w:rsidRPr="00CB45F3">
        <w:t>.</w:t>
      </w:r>
      <w:r w:rsidR="004F0A1B" w:rsidRPr="004F0A1B">
        <w:t xml:space="preserve"> </w:t>
      </w:r>
      <w:r w:rsidR="004F0A1B">
        <w:t>People may be more likely to maintain weight loss if they combine diet with regular exercise.</w:t>
      </w:r>
    </w:p>
    <w:p w14:paraId="030C3BFB" w14:textId="5E86D5D1" w:rsidR="00123E30" w:rsidRDefault="006409D3" w:rsidP="00203627">
      <w:pPr>
        <w:rPr>
          <w:color w:val="000000" w:themeColor="text1"/>
        </w:rPr>
      </w:pPr>
      <w:r w:rsidRPr="0095735A">
        <w:rPr>
          <w:b/>
        </w:rPr>
        <w:t>Advi</w:t>
      </w:r>
      <w:r>
        <w:rPr>
          <w:b/>
        </w:rPr>
        <w:t>ce</w:t>
      </w:r>
      <w:r w:rsidRPr="0095735A">
        <w:rPr>
          <w:b/>
        </w:rPr>
        <w:t xml:space="preserve"> </w:t>
      </w:r>
      <w:r w:rsidR="003D23F8" w:rsidRPr="0095735A">
        <w:rPr>
          <w:b/>
        </w:rPr>
        <w:t>about appropriate footwear</w:t>
      </w:r>
      <w:r w:rsidR="0095735A" w:rsidRPr="0095735A">
        <w:rPr>
          <w:b/>
        </w:rPr>
        <w:t xml:space="preserve"> </w:t>
      </w:r>
      <w:r w:rsidR="0095735A" w:rsidRPr="0095735A">
        <w:rPr>
          <w:b/>
          <w:color w:val="000000" w:themeColor="text1"/>
        </w:rPr>
        <w:t xml:space="preserve">(if </w:t>
      </w:r>
      <w:r w:rsidR="00B954F0">
        <w:rPr>
          <w:b/>
          <w:color w:val="000000" w:themeColor="text1"/>
        </w:rPr>
        <w:t>hip, knee or foot</w:t>
      </w:r>
      <w:r w:rsidR="0095735A" w:rsidRPr="0095735A">
        <w:rPr>
          <w:b/>
          <w:color w:val="000000" w:themeColor="text1"/>
        </w:rPr>
        <w:t xml:space="preserve"> </w:t>
      </w:r>
      <w:r w:rsidR="0095735A" w:rsidRPr="0095735A">
        <w:rPr>
          <w:b/>
        </w:rPr>
        <w:t>joint pain)</w:t>
      </w:r>
      <w:r w:rsidR="0095735A">
        <w:t xml:space="preserve">: Patients’ footwear </w:t>
      </w:r>
      <w:r w:rsidR="003D23F8">
        <w:t xml:space="preserve">should have </w:t>
      </w:r>
      <w:r w:rsidR="00B954F0">
        <w:t>thick but soft soles, no raised heel, broad forefoot and deep soft uppers.</w:t>
      </w:r>
    </w:p>
    <w:p w14:paraId="7B5D316F" w14:textId="3BE8EF5F" w:rsidR="00476D3E" w:rsidRPr="006A19C0" w:rsidRDefault="004A0D0A" w:rsidP="00203627">
      <w:pPr>
        <w:rPr>
          <w:b/>
          <w:color w:val="000000" w:themeColor="text1"/>
          <w:sz w:val="28"/>
          <w:szCs w:val="28"/>
        </w:rPr>
      </w:pPr>
      <w:r w:rsidRPr="006A19C0">
        <w:rPr>
          <w:b/>
          <w:color w:val="000000" w:themeColor="text1"/>
          <w:sz w:val="28"/>
          <w:szCs w:val="28"/>
        </w:rPr>
        <w:t xml:space="preserve">NICE </w:t>
      </w:r>
      <w:r w:rsidR="006C18F2">
        <w:rPr>
          <w:b/>
          <w:color w:val="000000" w:themeColor="text1"/>
          <w:sz w:val="28"/>
          <w:szCs w:val="28"/>
        </w:rPr>
        <w:t>a</w:t>
      </w:r>
      <w:r w:rsidR="00476D3E" w:rsidRPr="006A19C0">
        <w:rPr>
          <w:b/>
          <w:color w:val="000000" w:themeColor="text1"/>
          <w:sz w:val="28"/>
          <w:szCs w:val="28"/>
        </w:rPr>
        <w:t>dditional treatments</w:t>
      </w:r>
    </w:p>
    <w:p w14:paraId="7D31D355" w14:textId="77777777" w:rsidR="001437E1" w:rsidRDefault="003D23F8" w:rsidP="00203627">
      <w:pPr>
        <w:rPr>
          <w:color w:val="000000" w:themeColor="text1"/>
        </w:rPr>
      </w:pPr>
      <w:r>
        <w:rPr>
          <w:color w:val="000000" w:themeColor="text1"/>
        </w:rPr>
        <w:t>Many of the additional treatments recommended by NICE</w:t>
      </w:r>
      <w:r w:rsidR="005720DC">
        <w:rPr>
          <w:color w:val="000000" w:themeColor="text1"/>
        </w:rPr>
        <w:t>, which have a positive impact on pain and/or function,</w:t>
      </w:r>
      <w:r>
        <w:rPr>
          <w:color w:val="000000" w:themeColor="text1"/>
        </w:rPr>
        <w:t xml:space="preserve"> are available over</w:t>
      </w:r>
      <w:r w:rsidR="0095735A">
        <w:rPr>
          <w:color w:val="000000" w:themeColor="text1"/>
        </w:rPr>
        <w:t>-</w:t>
      </w:r>
      <w:r>
        <w:rPr>
          <w:color w:val="000000" w:themeColor="text1"/>
        </w:rPr>
        <w:t>the</w:t>
      </w:r>
      <w:r w:rsidR="0095735A">
        <w:rPr>
          <w:color w:val="000000" w:themeColor="text1"/>
        </w:rPr>
        <w:t>-</w:t>
      </w:r>
      <w:r>
        <w:rPr>
          <w:color w:val="000000" w:themeColor="text1"/>
        </w:rPr>
        <w:t xml:space="preserve">counter within community pharmacies. </w:t>
      </w:r>
    </w:p>
    <w:p w14:paraId="7B40B800" w14:textId="3FAE0244" w:rsidR="00E6387E" w:rsidRDefault="00E6387E" w:rsidP="00203627">
      <w:pPr>
        <w:rPr>
          <w:color w:val="000000" w:themeColor="text1"/>
        </w:rPr>
      </w:pPr>
      <w:r>
        <w:rPr>
          <w:color w:val="000000" w:themeColor="text1"/>
        </w:rPr>
        <w:t>Non-pharmacological first line strategies include supports and braces and transcutaneous electrical nerve stimulation (TENS) machines</w:t>
      </w:r>
      <w:r w:rsidR="00FE5B20" w:rsidRPr="00FE5B20">
        <w:rPr>
          <w:rFonts w:ascii="Calibri" w:hAnsi="Calibri" w:cs="Calibri"/>
          <w:bCs/>
          <w:lang w:val="en-US"/>
        </w:rPr>
        <w:t>(3)</w:t>
      </w:r>
      <w:r>
        <w:rPr>
          <w:color w:val="000000" w:themeColor="text1"/>
        </w:rPr>
        <w:t>. Thermotherapy (use of heat or cold) can be valuable for patients</w:t>
      </w:r>
      <w:r w:rsidR="00FE5B20" w:rsidRPr="00FE5B20">
        <w:rPr>
          <w:rFonts w:ascii="Calibri" w:hAnsi="Calibri" w:cs="Calibri"/>
          <w:bCs/>
          <w:lang w:val="en-US"/>
        </w:rPr>
        <w:t>(3)</w:t>
      </w:r>
      <w:r>
        <w:rPr>
          <w:color w:val="000000" w:themeColor="text1"/>
        </w:rPr>
        <w:t xml:space="preserve">. </w:t>
      </w:r>
    </w:p>
    <w:p w14:paraId="4CA43594" w14:textId="66A24EBE" w:rsidR="00AE3DB4" w:rsidRDefault="007F59FD" w:rsidP="00203627">
      <w:pPr>
        <w:rPr>
          <w:color w:val="000000" w:themeColor="text1"/>
        </w:rPr>
      </w:pPr>
      <w:r>
        <w:rPr>
          <w:color w:val="000000" w:themeColor="text1"/>
        </w:rPr>
        <w:t xml:space="preserve">Pharmacological treatments are adjunctive and purely for pain relief. </w:t>
      </w:r>
      <w:r w:rsidR="003D23F8">
        <w:rPr>
          <w:color w:val="000000" w:themeColor="text1"/>
        </w:rPr>
        <w:t xml:space="preserve">First line pharmacological </w:t>
      </w:r>
      <w:r w:rsidR="00E6387E">
        <w:rPr>
          <w:color w:val="000000" w:themeColor="text1"/>
        </w:rPr>
        <w:t>treatment</w:t>
      </w:r>
      <w:r w:rsidR="002B0908">
        <w:rPr>
          <w:color w:val="000000" w:themeColor="text1"/>
        </w:rPr>
        <w:t xml:space="preserve"> </w:t>
      </w:r>
      <w:r>
        <w:rPr>
          <w:color w:val="000000" w:themeColor="text1"/>
        </w:rPr>
        <w:t xml:space="preserve">for most joints (but not deep joints such as shoulders or hips) </w:t>
      </w:r>
      <w:r w:rsidR="002B0908">
        <w:rPr>
          <w:color w:val="000000" w:themeColor="text1"/>
        </w:rPr>
        <w:t>i</w:t>
      </w:r>
      <w:r w:rsidR="00E6387E">
        <w:rPr>
          <w:color w:val="000000" w:themeColor="text1"/>
        </w:rPr>
        <w:t xml:space="preserve">s </w:t>
      </w:r>
      <w:r w:rsidR="003D23F8">
        <w:rPr>
          <w:color w:val="000000" w:themeColor="text1"/>
        </w:rPr>
        <w:t>topical non-steroidal anti-inflammatories (NSAID</w:t>
      </w:r>
      <w:r w:rsidR="00517C6F">
        <w:rPr>
          <w:color w:val="000000" w:themeColor="text1"/>
        </w:rPr>
        <w:t>s</w:t>
      </w:r>
      <w:r w:rsidR="00FE5B20" w:rsidRPr="00FE5B20">
        <w:rPr>
          <w:rFonts w:ascii="Calibri" w:hAnsi="Calibri" w:cs="Calibri"/>
          <w:bCs/>
          <w:lang w:val="en-US"/>
        </w:rPr>
        <w:t>(3)</w:t>
      </w:r>
      <w:r w:rsidR="003D23F8">
        <w:rPr>
          <w:color w:val="000000" w:themeColor="text1"/>
        </w:rPr>
        <w:t xml:space="preserve">). </w:t>
      </w:r>
      <w:r w:rsidR="00C40FE5">
        <w:rPr>
          <w:color w:val="000000" w:themeColor="text1"/>
        </w:rPr>
        <w:t xml:space="preserve">For </w:t>
      </w:r>
      <w:r w:rsidR="005720DC">
        <w:rPr>
          <w:color w:val="000000" w:themeColor="text1"/>
        </w:rPr>
        <w:t>patients with</w:t>
      </w:r>
      <w:r w:rsidR="003D23F8">
        <w:rPr>
          <w:color w:val="000000" w:themeColor="text1"/>
        </w:rPr>
        <w:t xml:space="preserve"> hand and knee pain, topical NSAID</w:t>
      </w:r>
      <w:r w:rsidR="00517C6F">
        <w:rPr>
          <w:color w:val="000000" w:themeColor="text1"/>
        </w:rPr>
        <w:t>s</w:t>
      </w:r>
      <w:r w:rsidR="003D23F8">
        <w:rPr>
          <w:color w:val="000000" w:themeColor="text1"/>
        </w:rPr>
        <w:t xml:space="preserve"> </w:t>
      </w:r>
      <w:r w:rsidR="005720DC">
        <w:rPr>
          <w:color w:val="000000" w:themeColor="text1"/>
        </w:rPr>
        <w:t>may be just as effective as oral NSAID</w:t>
      </w:r>
      <w:r w:rsidR="00517C6F">
        <w:rPr>
          <w:color w:val="000000" w:themeColor="text1"/>
        </w:rPr>
        <w:t>s</w:t>
      </w:r>
      <w:r w:rsidR="005720DC">
        <w:rPr>
          <w:color w:val="000000" w:themeColor="text1"/>
        </w:rPr>
        <w:t xml:space="preserve"> </w:t>
      </w:r>
      <w:r w:rsidR="00C93986">
        <w:rPr>
          <w:color w:val="000000" w:themeColor="text1"/>
        </w:rPr>
        <w:t xml:space="preserve">and, </w:t>
      </w:r>
      <w:r w:rsidR="00802FFE">
        <w:rPr>
          <w:color w:val="000000" w:themeColor="text1"/>
        </w:rPr>
        <w:t>apart from occasional local skin reactions, are extremely safe</w:t>
      </w:r>
      <w:r w:rsidR="00C40FE5" w:rsidRPr="00C40FE5">
        <w:t>(6)</w:t>
      </w:r>
      <w:r w:rsidR="003D23F8">
        <w:rPr>
          <w:color w:val="000000" w:themeColor="text1"/>
        </w:rPr>
        <w:t xml:space="preserve">. </w:t>
      </w:r>
      <w:r w:rsidR="00C93986">
        <w:rPr>
          <w:color w:val="000000" w:themeColor="text1"/>
        </w:rPr>
        <w:t xml:space="preserve">Similarly, topical capsaicin can be used as an alternative topical treatment for knee and hand pain (see </w:t>
      </w:r>
      <w:r w:rsidR="000075D7">
        <w:rPr>
          <w:color w:val="000000" w:themeColor="text1"/>
        </w:rPr>
        <w:t>B</w:t>
      </w:r>
      <w:r w:rsidR="00C93986">
        <w:rPr>
          <w:color w:val="000000" w:themeColor="text1"/>
        </w:rPr>
        <w:t xml:space="preserve">ox for instructions for topical drug administration). </w:t>
      </w:r>
      <w:r w:rsidR="00C56B68">
        <w:rPr>
          <w:color w:val="000000" w:themeColor="text1"/>
        </w:rPr>
        <w:t>Second line pharmacological treatments are o</w:t>
      </w:r>
      <w:r w:rsidR="006D6535">
        <w:rPr>
          <w:color w:val="000000" w:themeColor="text1"/>
        </w:rPr>
        <w:t xml:space="preserve">ral </w:t>
      </w:r>
      <w:r w:rsidR="002B0908">
        <w:rPr>
          <w:color w:val="000000" w:themeColor="text1"/>
        </w:rPr>
        <w:t xml:space="preserve">medications: </w:t>
      </w:r>
      <w:r w:rsidR="006D6535">
        <w:rPr>
          <w:color w:val="000000" w:themeColor="text1"/>
        </w:rPr>
        <w:t>NSAIDS</w:t>
      </w:r>
      <w:r w:rsidR="002B0908">
        <w:rPr>
          <w:color w:val="000000" w:themeColor="text1"/>
        </w:rPr>
        <w:t>, paracetamol</w:t>
      </w:r>
      <w:r w:rsidR="006D6535">
        <w:rPr>
          <w:color w:val="000000" w:themeColor="text1"/>
        </w:rPr>
        <w:t xml:space="preserve"> and the over-the-counter opioid</w:t>
      </w:r>
      <w:r w:rsidR="00E63B74">
        <w:rPr>
          <w:color w:val="000000" w:themeColor="text1"/>
        </w:rPr>
        <w:t>,</w:t>
      </w:r>
      <w:r w:rsidR="006D6535">
        <w:rPr>
          <w:color w:val="000000" w:themeColor="text1"/>
        </w:rPr>
        <w:t xml:space="preserve"> co-codamol </w:t>
      </w:r>
      <w:r w:rsidR="00E63B74">
        <w:rPr>
          <w:color w:val="000000" w:themeColor="text1"/>
        </w:rPr>
        <w:lastRenderedPageBreak/>
        <w:t>(</w:t>
      </w:r>
      <w:r w:rsidR="006D6535">
        <w:rPr>
          <w:color w:val="000000" w:themeColor="text1"/>
        </w:rPr>
        <w:t>8</w:t>
      </w:r>
      <w:r w:rsidR="000075D7">
        <w:rPr>
          <w:color w:val="000000" w:themeColor="text1"/>
        </w:rPr>
        <w:t>mg</w:t>
      </w:r>
      <w:r w:rsidR="006D6535">
        <w:rPr>
          <w:color w:val="000000" w:themeColor="text1"/>
        </w:rPr>
        <w:t>/500</w:t>
      </w:r>
      <w:r w:rsidR="000075D7">
        <w:rPr>
          <w:color w:val="000000" w:themeColor="text1"/>
        </w:rPr>
        <w:t>mg</w:t>
      </w:r>
      <w:r w:rsidR="006D6535">
        <w:rPr>
          <w:color w:val="000000" w:themeColor="text1"/>
        </w:rPr>
        <w:t>)</w:t>
      </w:r>
      <w:r w:rsidR="00FE5B20" w:rsidRPr="00FE5B20">
        <w:rPr>
          <w:rFonts w:ascii="Calibri" w:hAnsi="Calibri" w:cs="Calibri"/>
          <w:bCs/>
          <w:color w:val="000000" w:themeColor="text1"/>
          <w:lang w:val="en-US"/>
        </w:rPr>
        <w:t>(3)</w:t>
      </w:r>
      <w:r w:rsidR="006D6535">
        <w:rPr>
          <w:color w:val="000000" w:themeColor="text1"/>
        </w:rPr>
        <w:t xml:space="preserve">. </w:t>
      </w:r>
      <w:r w:rsidR="00E63B74">
        <w:rPr>
          <w:color w:val="000000" w:themeColor="text1"/>
        </w:rPr>
        <w:t>O</w:t>
      </w:r>
      <w:r w:rsidR="002B0908">
        <w:rPr>
          <w:color w:val="000000" w:themeColor="text1"/>
        </w:rPr>
        <w:t>nly</w:t>
      </w:r>
      <w:r w:rsidR="006D6535">
        <w:rPr>
          <w:color w:val="000000" w:themeColor="text1"/>
        </w:rPr>
        <w:t xml:space="preserve"> consider</w:t>
      </w:r>
      <w:r w:rsidR="00E63B74">
        <w:rPr>
          <w:color w:val="000000" w:themeColor="text1"/>
        </w:rPr>
        <w:t xml:space="preserve"> these </w:t>
      </w:r>
      <w:r w:rsidR="006D6535">
        <w:rPr>
          <w:color w:val="000000" w:themeColor="text1"/>
        </w:rPr>
        <w:t>if first line options are not appropriate or effective</w:t>
      </w:r>
      <w:r w:rsidR="005817B7">
        <w:rPr>
          <w:color w:val="000000" w:themeColor="text1"/>
        </w:rPr>
        <w:t>,</w:t>
      </w:r>
      <w:r w:rsidR="006D6535">
        <w:rPr>
          <w:color w:val="000000" w:themeColor="text1"/>
        </w:rPr>
        <w:t xml:space="preserve"> and if the</w:t>
      </w:r>
      <w:r w:rsidR="00FF58ED">
        <w:rPr>
          <w:color w:val="000000" w:themeColor="text1"/>
        </w:rPr>
        <w:t xml:space="preserve"> potential benefit</w:t>
      </w:r>
      <w:r w:rsidR="006D6535">
        <w:rPr>
          <w:color w:val="000000" w:themeColor="text1"/>
        </w:rPr>
        <w:t xml:space="preserve"> </w:t>
      </w:r>
      <w:r w:rsidR="00FF58ED">
        <w:rPr>
          <w:color w:val="000000" w:themeColor="text1"/>
        </w:rPr>
        <w:t xml:space="preserve">outweighs the </w:t>
      </w:r>
      <w:r w:rsidR="006D6535">
        <w:rPr>
          <w:color w:val="000000" w:themeColor="text1"/>
        </w:rPr>
        <w:t xml:space="preserve">risks </w:t>
      </w:r>
      <w:r w:rsidR="00FF58ED">
        <w:rPr>
          <w:color w:val="000000" w:themeColor="text1"/>
        </w:rPr>
        <w:t xml:space="preserve">for </w:t>
      </w:r>
      <w:r w:rsidR="00215BFB">
        <w:rPr>
          <w:color w:val="000000" w:themeColor="text1"/>
        </w:rPr>
        <w:t>the individual patient</w:t>
      </w:r>
      <w:r w:rsidR="006D6535">
        <w:rPr>
          <w:color w:val="000000" w:themeColor="text1"/>
        </w:rPr>
        <w:t>.</w:t>
      </w:r>
      <w:r w:rsidR="002B0908">
        <w:rPr>
          <w:color w:val="000000" w:themeColor="text1"/>
        </w:rPr>
        <w:t xml:space="preserve"> Recent evidence on risks and benefits of paracetamol </w:t>
      </w:r>
      <w:r>
        <w:rPr>
          <w:color w:val="000000" w:themeColor="text1"/>
        </w:rPr>
        <w:t>(</w:t>
      </w:r>
      <w:r w:rsidR="00C93986">
        <w:rPr>
          <w:color w:val="000000" w:themeColor="text1"/>
        </w:rPr>
        <w:t xml:space="preserve">suggesting </w:t>
      </w:r>
      <w:r>
        <w:rPr>
          <w:color w:val="000000" w:themeColor="text1"/>
        </w:rPr>
        <w:t xml:space="preserve">it is not as safe as previously thought and has a very low effect size for pain relief in OA) </w:t>
      </w:r>
      <w:r w:rsidR="002B0908">
        <w:rPr>
          <w:color w:val="000000" w:themeColor="text1"/>
        </w:rPr>
        <w:t xml:space="preserve">has placed this as second line rather than first line therapy (3). </w:t>
      </w:r>
      <w:r w:rsidR="005A558C">
        <w:rPr>
          <w:color w:val="000000" w:themeColor="text1"/>
        </w:rPr>
        <w:t xml:space="preserve">Naturally, </w:t>
      </w:r>
      <w:r w:rsidR="008C1BB7">
        <w:rPr>
          <w:color w:val="000000" w:themeColor="text1"/>
        </w:rPr>
        <w:t xml:space="preserve">before recommending </w:t>
      </w:r>
      <w:r w:rsidR="004F0A1B">
        <w:rPr>
          <w:color w:val="000000" w:themeColor="text1"/>
        </w:rPr>
        <w:t xml:space="preserve">any pharmacological </w:t>
      </w:r>
      <w:r w:rsidR="008C1BB7">
        <w:rPr>
          <w:color w:val="000000" w:themeColor="text1"/>
        </w:rPr>
        <w:t xml:space="preserve">treatments </w:t>
      </w:r>
      <w:r w:rsidR="00612DE2">
        <w:rPr>
          <w:color w:val="000000" w:themeColor="text1"/>
        </w:rPr>
        <w:t xml:space="preserve">it is important to be fully aware of </w:t>
      </w:r>
      <w:r w:rsidR="008C1BB7">
        <w:rPr>
          <w:color w:val="000000" w:themeColor="text1"/>
        </w:rPr>
        <w:t>the patient’s current medication use</w:t>
      </w:r>
      <w:r w:rsidR="00517C6F">
        <w:rPr>
          <w:color w:val="000000" w:themeColor="text1"/>
        </w:rPr>
        <w:t xml:space="preserve"> </w:t>
      </w:r>
      <w:r w:rsidR="008C1BB7">
        <w:rPr>
          <w:color w:val="000000" w:themeColor="text1"/>
        </w:rPr>
        <w:t>(</w:t>
      </w:r>
      <w:r w:rsidR="00517C6F">
        <w:rPr>
          <w:color w:val="000000" w:themeColor="text1"/>
        </w:rPr>
        <w:t>all prescribed and over the counter</w:t>
      </w:r>
      <w:r w:rsidR="008C1BB7">
        <w:rPr>
          <w:color w:val="000000" w:themeColor="text1"/>
        </w:rPr>
        <w:t xml:space="preserve"> medicines</w:t>
      </w:r>
      <w:r w:rsidR="00517C6F">
        <w:rPr>
          <w:color w:val="000000" w:themeColor="text1"/>
        </w:rPr>
        <w:t>)</w:t>
      </w:r>
      <w:r w:rsidR="005817B7">
        <w:rPr>
          <w:color w:val="000000" w:themeColor="text1"/>
        </w:rPr>
        <w:t>,</w:t>
      </w:r>
      <w:r w:rsidR="00612DE2">
        <w:rPr>
          <w:color w:val="000000" w:themeColor="text1"/>
        </w:rPr>
        <w:t xml:space="preserve"> other medical conditions </w:t>
      </w:r>
      <w:r w:rsidR="004F0A1B">
        <w:rPr>
          <w:color w:val="000000" w:themeColor="text1"/>
        </w:rPr>
        <w:t xml:space="preserve">(e.g. kidney disease or asthma if considering oral NSAIDs) </w:t>
      </w:r>
      <w:r w:rsidR="00517C6F">
        <w:rPr>
          <w:color w:val="000000" w:themeColor="text1"/>
        </w:rPr>
        <w:t xml:space="preserve">and important lifestyle factors </w:t>
      </w:r>
      <w:r w:rsidR="004F0A1B">
        <w:rPr>
          <w:color w:val="000000" w:themeColor="text1"/>
        </w:rPr>
        <w:t xml:space="preserve">(e.g. occupation and driving status if considering opioids) </w:t>
      </w:r>
      <w:r w:rsidR="00517C6F">
        <w:rPr>
          <w:color w:val="000000" w:themeColor="text1"/>
        </w:rPr>
        <w:t>that may affect the</w:t>
      </w:r>
      <w:r w:rsidR="00B1694C">
        <w:rPr>
          <w:color w:val="000000" w:themeColor="text1"/>
        </w:rPr>
        <w:t>ir</w:t>
      </w:r>
      <w:r w:rsidR="00517C6F">
        <w:rPr>
          <w:color w:val="000000" w:themeColor="text1"/>
        </w:rPr>
        <w:t xml:space="preserve"> </w:t>
      </w:r>
      <w:r w:rsidR="00B1694C">
        <w:rPr>
          <w:color w:val="000000" w:themeColor="text1"/>
        </w:rPr>
        <w:t xml:space="preserve">individual </w:t>
      </w:r>
      <w:r w:rsidR="00517C6F">
        <w:rPr>
          <w:color w:val="000000" w:themeColor="text1"/>
        </w:rPr>
        <w:t>risk profile.</w:t>
      </w:r>
      <w:r w:rsidR="00996052" w:rsidRPr="00996052">
        <w:rPr>
          <w:color w:val="000000" w:themeColor="text1"/>
        </w:rPr>
        <w:t xml:space="preserve"> </w:t>
      </w:r>
      <w:r w:rsidR="00517C6F">
        <w:rPr>
          <w:color w:val="000000" w:themeColor="text1"/>
        </w:rPr>
        <w:t xml:space="preserve">NICE osteoarthritis guidelines </w:t>
      </w:r>
      <w:r w:rsidR="00AE3DB4">
        <w:rPr>
          <w:color w:val="000000" w:themeColor="text1"/>
        </w:rPr>
        <w:t xml:space="preserve">also </w:t>
      </w:r>
      <w:r w:rsidR="00517C6F">
        <w:rPr>
          <w:color w:val="000000" w:themeColor="text1"/>
        </w:rPr>
        <w:t xml:space="preserve">recommend that all patients taking </w:t>
      </w:r>
      <w:r w:rsidR="006D6535">
        <w:rPr>
          <w:color w:val="000000" w:themeColor="text1"/>
        </w:rPr>
        <w:t xml:space="preserve">oral NSAIDS take a gastro-protective agent </w:t>
      </w:r>
      <w:r>
        <w:rPr>
          <w:color w:val="000000" w:themeColor="text1"/>
        </w:rPr>
        <w:t xml:space="preserve">(specifically a proton pump inhibitor) </w:t>
      </w:r>
      <w:r w:rsidR="006D6535">
        <w:rPr>
          <w:color w:val="000000" w:themeColor="text1"/>
        </w:rPr>
        <w:t xml:space="preserve">to reduce the risk of </w:t>
      </w:r>
      <w:r>
        <w:rPr>
          <w:color w:val="000000" w:themeColor="text1"/>
        </w:rPr>
        <w:t xml:space="preserve">upper </w:t>
      </w:r>
      <w:r w:rsidR="006D6535">
        <w:rPr>
          <w:color w:val="000000" w:themeColor="text1"/>
        </w:rPr>
        <w:t>gastrointestinal bleeding.</w:t>
      </w:r>
      <w:r w:rsidR="005720DC">
        <w:rPr>
          <w:color w:val="000000" w:themeColor="text1"/>
        </w:rPr>
        <w:t xml:space="preserve"> </w:t>
      </w:r>
    </w:p>
    <w:p w14:paraId="612B88E0" w14:textId="1570B9B4" w:rsidR="006D6535" w:rsidRPr="003D23F8" w:rsidRDefault="00AE3DB4" w:rsidP="00203627">
      <w:pPr>
        <w:rPr>
          <w:color w:val="000000" w:themeColor="text1"/>
        </w:rPr>
      </w:pPr>
      <w:r>
        <w:rPr>
          <w:color w:val="000000" w:themeColor="text1"/>
        </w:rPr>
        <w:t xml:space="preserve">Other </w:t>
      </w:r>
      <w:r w:rsidR="00653DEB">
        <w:rPr>
          <w:color w:val="000000" w:themeColor="text1"/>
        </w:rPr>
        <w:t xml:space="preserve">over-the-counter </w:t>
      </w:r>
      <w:r w:rsidR="006D6535">
        <w:rPr>
          <w:color w:val="000000" w:themeColor="text1"/>
        </w:rPr>
        <w:t>treatment</w:t>
      </w:r>
      <w:r w:rsidR="00653DEB">
        <w:rPr>
          <w:color w:val="000000" w:themeColor="text1"/>
        </w:rPr>
        <w:t>s</w:t>
      </w:r>
      <w:r w:rsidR="006D6535">
        <w:rPr>
          <w:color w:val="000000" w:themeColor="text1"/>
        </w:rPr>
        <w:t xml:space="preserve">, for example glucosamine and rubefacients, are </w:t>
      </w:r>
      <w:r w:rsidR="006D6535" w:rsidRPr="005720DC">
        <w:rPr>
          <w:b/>
          <w:color w:val="000000" w:themeColor="text1"/>
        </w:rPr>
        <w:t>not</w:t>
      </w:r>
      <w:r w:rsidR="006D6535">
        <w:rPr>
          <w:color w:val="000000" w:themeColor="text1"/>
        </w:rPr>
        <w:t xml:space="preserve"> recommended by NICE.</w:t>
      </w:r>
    </w:p>
    <w:p w14:paraId="0570D080" w14:textId="4E97132C" w:rsidR="009F3A3A" w:rsidRPr="008F190C" w:rsidRDefault="009F3A3A">
      <w:pPr>
        <w:rPr>
          <w:b/>
          <w:sz w:val="32"/>
        </w:rPr>
      </w:pPr>
      <w:r w:rsidRPr="008F190C">
        <w:rPr>
          <w:b/>
          <w:sz w:val="32"/>
        </w:rPr>
        <w:t>Implementing best practice recommendations in community pharmacy</w:t>
      </w:r>
    </w:p>
    <w:p w14:paraId="14C7656A" w14:textId="2C94905B" w:rsidR="0095735A" w:rsidRDefault="00180400" w:rsidP="00203627">
      <w:r>
        <w:t>P</w:t>
      </w:r>
      <w:r w:rsidR="0095735A">
        <w:t xml:space="preserve">atients </w:t>
      </w:r>
      <w:r w:rsidR="00202FFE">
        <w:t xml:space="preserve">with joint pain </w:t>
      </w:r>
      <w:r>
        <w:t xml:space="preserve">will be </w:t>
      </w:r>
      <w:r w:rsidR="00202FFE">
        <w:t>visit</w:t>
      </w:r>
      <w:r>
        <w:t>ing</w:t>
      </w:r>
      <w:r w:rsidR="0095735A">
        <w:t xml:space="preserve"> community pharmacies</w:t>
      </w:r>
      <w:r w:rsidR="00F550DF">
        <w:t>, but may not</w:t>
      </w:r>
      <w:r w:rsidR="0022780E">
        <w:t xml:space="preserve"> specifically</w:t>
      </w:r>
      <w:r w:rsidR="0095735A">
        <w:t xml:space="preserve"> seek help </w:t>
      </w:r>
      <w:r w:rsidR="004652FC">
        <w:t>for</w:t>
      </w:r>
      <w:r w:rsidR="00F550DF">
        <w:t xml:space="preserve"> </w:t>
      </w:r>
      <w:r w:rsidR="0095735A">
        <w:t xml:space="preserve">their joint pain. </w:t>
      </w:r>
      <w:r w:rsidR="006E47B3">
        <w:t>O</w:t>
      </w:r>
      <w:r w:rsidR="0095735A">
        <w:t xml:space="preserve">pportunities for </w:t>
      </w:r>
      <w:r w:rsidR="006E47B3">
        <w:t xml:space="preserve">pharmacists to proactively </w:t>
      </w:r>
      <w:r w:rsidR="0095735A">
        <w:t xml:space="preserve">support patients with chronic peripheral joint pain </w:t>
      </w:r>
      <w:r w:rsidR="006E47B3">
        <w:t xml:space="preserve">may arise </w:t>
      </w:r>
      <w:r w:rsidR="0095735A">
        <w:t xml:space="preserve">through existing activities, for example, </w:t>
      </w:r>
      <w:r w:rsidR="008B2DEC">
        <w:t>Medicines Use Reviews (MURs)</w:t>
      </w:r>
      <w:r w:rsidR="00D45D4E" w:rsidRPr="00D45D4E">
        <w:rPr>
          <w:rFonts w:ascii="Calibri" w:hAnsi="Calibri" w:cs="Calibri"/>
          <w:bCs/>
          <w:lang w:val="en-US"/>
        </w:rPr>
        <w:t>(11)</w:t>
      </w:r>
      <w:r w:rsidR="006E47B3">
        <w:t xml:space="preserve"> </w:t>
      </w:r>
      <w:r w:rsidR="004652FC">
        <w:t xml:space="preserve">with </w:t>
      </w:r>
      <w:r w:rsidR="0095735A">
        <w:t xml:space="preserve">patients </w:t>
      </w:r>
      <w:r w:rsidR="00487B2C">
        <w:t xml:space="preserve">prescribed </w:t>
      </w:r>
      <w:r w:rsidR="0095735A">
        <w:t>regular analgesia</w:t>
      </w:r>
      <w:r w:rsidR="006E47B3">
        <w:t>.</w:t>
      </w:r>
      <w:r w:rsidR="0095735A">
        <w:t xml:space="preserve"> </w:t>
      </w:r>
      <w:r w:rsidR="00907689">
        <w:t xml:space="preserve">MURs present </w:t>
      </w:r>
      <w:r w:rsidR="0095735A">
        <w:t xml:space="preserve">an opportunity to </w:t>
      </w:r>
      <w:r w:rsidR="00907689">
        <w:t xml:space="preserve">establish whether </w:t>
      </w:r>
      <w:r w:rsidR="0095735A">
        <w:t xml:space="preserve">patients have tried core treatments, are aware of the risks of their </w:t>
      </w:r>
      <w:r w:rsidR="00907689">
        <w:t xml:space="preserve">existing </w:t>
      </w:r>
      <w:r w:rsidR="003967C7">
        <w:t>medication</w:t>
      </w:r>
      <w:r w:rsidR="004B7EBB" w:rsidRPr="004B7EBB">
        <w:rPr>
          <w:rFonts w:ascii="Calibri" w:hAnsi="Calibri" w:cs="Calibri"/>
          <w:bCs/>
          <w:lang w:val="en-US"/>
        </w:rPr>
        <w:t>(6)</w:t>
      </w:r>
      <w:r w:rsidR="00487B2C">
        <w:t>,</w:t>
      </w:r>
      <w:r w:rsidR="00907689">
        <w:t xml:space="preserve"> </w:t>
      </w:r>
      <w:r w:rsidR="00715AFE">
        <w:t xml:space="preserve">whether the risks outweigh </w:t>
      </w:r>
      <w:r w:rsidR="0095735A">
        <w:t>the benefits</w:t>
      </w:r>
      <w:r w:rsidR="00715AFE">
        <w:t xml:space="preserve">, </w:t>
      </w:r>
      <w:r w:rsidR="0095735A">
        <w:t>and to suggest adjuncts or alternatives.</w:t>
      </w:r>
    </w:p>
    <w:p w14:paraId="3977BAD6" w14:textId="7BB3CDE0" w:rsidR="0013554A" w:rsidRDefault="00907689" w:rsidP="00203627">
      <w:r>
        <w:t xml:space="preserve">Affected patients may seek help directly about a previously diagnosed chronic joint pain or come to you as first line professionals. In either case, it is important </w:t>
      </w:r>
      <w:r w:rsidR="008D51E3">
        <w:t>to</w:t>
      </w:r>
      <w:r>
        <w:t xml:space="preserve"> exclude any </w:t>
      </w:r>
      <w:r w:rsidR="00D26495">
        <w:t>‘</w:t>
      </w:r>
      <w:r>
        <w:t>red flags</w:t>
      </w:r>
      <w:r w:rsidR="00D26495">
        <w:t>’</w:t>
      </w:r>
      <w:r>
        <w:t xml:space="preserve">, as described </w:t>
      </w:r>
      <w:r w:rsidR="00D26495">
        <w:t xml:space="preserve">in the </w:t>
      </w:r>
      <w:r w:rsidR="00D26495">
        <w:rPr>
          <w:i/>
        </w:rPr>
        <w:t>Introduction</w:t>
      </w:r>
      <w:r>
        <w:t xml:space="preserve">, and, </w:t>
      </w:r>
      <w:r w:rsidR="007B0F54">
        <w:t>not to assume that</w:t>
      </w:r>
      <w:r>
        <w:t xml:space="preserve"> they have already received evidence-based recommendations. We know that advice provided by primary care health professionals and physiotherapists </w:t>
      </w:r>
      <w:r w:rsidR="008867BB">
        <w:t xml:space="preserve">is often suboptimal and </w:t>
      </w:r>
      <w:r w:rsidR="00C328BA">
        <w:t>may</w:t>
      </w:r>
      <w:r>
        <w:t xml:space="preserve"> not entirely align with evidence</w:t>
      </w:r>
      <w:r w:rsidR="00AF6D8A">
        <w:t>-</w:t>
      </w:r>
      <w:r>
        <w:t>based recommendations</w:t>
      </w:r>
      <w:r w:rsidR="00D45D4E" w:rsidRPr="00D45D4E">
        <w:rPr>
          <w:rFonts w:ascii="Calibri" w:hAnsi="Calibri" w:cs="Calibri"/>
          <w:bCs/>
          <w:lang w:val="en-US"/>
        </w:rPr>
        <w:t>(12-17)</w:t>
      </w:r>
      <w:r>
        <w:t xml:space="preserve">. Further, even if they have received </w:t>
      </w:r>
      <w:r w:rsidR="00934B26">
        <w:t xml:space="preserve">evidence-based </w:t>
      </w:r>
      <w:r>
        <w:t xml:space="preserve">advice before, </w:t>
      </w:r>
      <w:r w:rsidR="00D26495">
        <w:t xml:space="preserve">our experience suggests that </w:t>
      </w:r>
      <w:r>
        <w:t xml:space="preserve">patients </w:t>
      </w:r>
      <w:r w:rsidR="00D26495">
        <w:t xml:space="preserve">seem to better </w:t>
      </w:r>
      <w:r>
        <w:t>trust advice if they hear it from d</w:t>
      </w:r>
      <w:r w:rsidR="00D26495">
        <w:t>ifferent sources</w:t>
      </w:r>
      <w:r>
        <w:t xml:space="preserve">. </w:t>
      </w:r>
      <w:r w:rsidR="002558BA">
        <w:t>Figure 1 provides a flowchart to assist community pharmacists to support patients according to their need</w:t>
      </w:r>
      <w:r w:rsidR="00854566">
        <w:t>s</w:t>
      </w:r>
      <w:r w:rsidR="002558BA">
        <w:t>.</w:t>
      </w:r>
    </w:p>
    <w:p w14:paraId="5E419A11" w14:textId="2F2B62C7" w:rsidR="002558BA" w:rsidRPr="002558BA" w:rsidRDefault="002558BA" w:rsidP="00907689">
      <w:pPr>
        <w:rPr>
          <w:b/>
        </w:rPr>
      </w:pPr>
      <w:r>
        <w:rPr>
          <w:b/>
        </w:rPr>
        <w:t>[Insert Figure 1 Here]</w:t>
      </w:r>
    </w:p>
    <w:p w14:paraId="15716C02" w14:textId="006D24B2" w:rsidR="00F85AE0" w:rsidRDefault="003C5A75" w:rsidP="00203627">
      <w:r>
        <w:t xml:space="preserve">When advising patients on both the core and adjunctive treatments for chronic peripheral joint pain, </w:t>
      </w:r>
      <w:r w:rsidR="00AF6D8A">
        <w:t xml:space="preserve">to help you to tailor your advice to the individual </w:t>
      </w:r>
      <w:r>
        <w:t>it is important to establish the patients’ priorities</w:t>
      </w:r>
      <w:r w:rsidR="00383B64">
        <w:t xml:space="preserve">, </w:t>
      </w:r>
      <w:r>
        <w:t xml:space="preserve">preferences for treatment </w:t>
      </w:r>
      <w:r w:rsidR="00AF6D8A">
        <w:t>and previous experience</w:t>
      </w:r>
      <w:r w:rsidRPr="00203627">
        <w:rPr>
          <w:rFonts w:ascii="Calibri" w:hAnsi="Calibri" w:cs="Calibri"/>
          <w:bCs/>
          <w:lang w:val="en-US"/>
        </w:rPr>
        <w:t>(2)</w:t>
      </w:r>
      <w:r>
        <w:t>.</w:t>
      </w:r>
      <w:r w:rsidR="004B21B3">
        <w:t xml:space="preserve"> </w:t>
      </w:r>
      <w:r w:rsidR="00110160">
        <w:t>Often</w:t>
      </w:r>
      <w:r w:rsidR="004B21B3">
        <w:t xml:space="preserve"> patient</w:t>
      </w:r>
      <w:r w:rsidR="00110160">
        <w:t>s with chronic peripheral joint pain</w:t>
      </w:r>
      <w:r w:rsidR="004B21B3">
        <w:t xml:space="preserve"> seek help or pursue action </w:t>
      </w:r>
      <w:r w:rsidR="002D330A">
        <w:t>due to</w:t>
      </w:r>
      <w:r w:rsidR="00110160">
        <w:t xml:space="preserve"> </w:t>
      </w:r>
      <w:r w:rsidR="004B21B3">
        <w:t>the</w:t>
      </w:r>
      <w:r w:rsidR="0013554A">
        <w:t xml:space="preserve"> </w:t>
      </w:r>
      <w:r w:rsidR="00110160">
        <w:t xml:space="preserve">associated </w:t>
      </w:r>
      <w:r w:rsidR="0013554A">
        <w:t xml:space="preserve">pain and functional limitations. For example, </w:t>
      </w:r>
      <w:r w:rsidR="004B21B3">
        <w:t xml:space="preserve">difficulties walking </w:t>
      </w:r>
      <w:r w:rsidR="0013554A">
        <w:t>the dog, play</w:t>
      </w:r>
      <w:r w:rsidR="004B21B3">
        <w:t>ing</w:t>
      </w:r>
      <w:r w:rsidR="0013554A">
        <w:t xml:space="preserve"> with their grandchildren or </w:t>
      </w:r>
      <w:r>
        <w:t>do</w:t>
      </w:r>
      <w:r w:rsidR="004B21B3">
        <w:t>ing</w:t>
      </w:r>
      <w:r w:rsidR="00110160">
        <w:t xml:space="preserve"> </w:t>
      </w:r>
      <w:r w:rsidR="004B21B3">
        <w:t xml:space="preserve">the </w:t>
      </w:r>
      <w:r w:rsidR="0013554A">
        <w:t xml:space="preserve">gardening. </w:t>
      </w:r>
      <w:r w:rsidR="00C308A9">
        <w:t xml:space="preserve">Seek to </w:t>
      </w:r>
      <w:r w:rsidR="002D330A">
        <w:t xml:space="preserve">employ the evidence-based recommendations as </w:t>
      </w:r>
      <w:r w:rsidR="00747734">
        <w:t xml:space="preserve">practical solutions to the patient’s specific problems, </w:t>
      </w:r>
      <w:r w:rsidR="00D038E0">
        <w:t xml:space="preserve">for example, </w:t>
      </w:r>
      <w:r w:rsidR="00D038E0">
        <w:rPr>
          <w:color w:val="000000" w:themeColor="text1"/>
        </w:rPr>
        <w:t>us</w:t>
      </w:r>
      <w:r w:rsidR="002D330A">
        <w:rPr>
          <w:color w:val="000000" w:themeColor="text1"/>
        </w:rPr>
        <w:t>ing</w:t>
      </w:r>
      <w:r w:rsidR="00D038E0">
        <w:rPr>
          <w:color w:val="000000" w:themeColor="text1"/>
        </w:rPr>
        <w:t xml:space="preserve"> heat (e.g. hot baths or heat packs) for muscle pain/aches and ice (e.g. frozen peas wrapped in damp tea towel or cold packs) after exercise or in the presence of swelling. Be clear that it is </w:t>
      </w:r>
      <w:r w:rsidR="002D330A">
        <w:rPr>
          <w:color w:val="000000" w:themeColor="text1"/>
        </w:rPr>
        <w:t xml:space="preserve">appropriate </w:t>
      </w:r>
      <w:r w:rsidR="00D038E0">
        <w:rPr>
          <w:color w:val="000000" w:themeColor="text1"/>
        </w:rPr>
        <w:t xml:space="preserve">to experiment to find out </w:t>
      </w:r>
      <w:r w:rsidR="002D330A">
        <w:rPr>
          <w:color w:val="000000" w:themeColor="text1"/>
        </w:rPr>
        <w:t>what works for them</w:t>
      </w:r>
      <w:r w:rsidR="00D45D4E" w:rsidRPr="00D45D4E">
        <w:rPr>
          <w:rFonts w:ascii="Calibri" w:hAnsi="Calibri" w:cs="Calibri"/>
          <w:bCs/>
          <w:lang w:val="en-US"/>
        </w:rPr>
        <w:t>(18)</w:t>
      </w:r>
      <w:r w:rsidR="00D038E0">
        <w:rPr>
          <w:color w:val="000000" w:themeColor="text1"/>
        </w:rPr>
        <w:t>.</w:t>
      </w:r>
    </w:p>
    <w:p w14:paraId="20E5EE44" w14:textId="6C022587" w:rsidR="00907689" w:rsidRPr="002B45B0" w:rsidRDefault="0013554A" w:rsidP="00203627">
      <w:r>
        <w:t>Whil</w:t>
      </w:r>
      <w:r w:rsidR="00CF2821">
        <w:t>st</w:t>
      </w:r>
      <w:r>
        <w:t xml:space="preserve"> NICE does not recommend </w:t>
      </w:r>
      <w:r w:rsidR="00CF2821">
        <w:t>treatments</w:t>
      </w:r>
      <w:r>
        <w:t xml:space="preserve"> such as acupuncture glucosamine</w:t>
      </w:r>
      <w:r w:rsidR="001556E2">
        <w:t xml:space="preserve"> or herbal treatments (such as rosehip and turmeric capsules)</w:t>
      </w:r>
      <w:r>
        <w:t xml:space="preserve">, some patients </w:t>
      </w:r>
      <w:r w:rsidR="00FF65C0">
        <w:t xml:space="preserve">perceive </w:t>
      </w:r>
      <w:r w:rsidR="00CF2821">
        <w:t>benefit</w:t>
      </w:r>
      <w:r>
        <w:t xml:space="preserve"> from these approaches. Negotiating the benefits, harms (including costs</w:t>
      </w:r>
      <w:r w:rsidR="003B7D4C">
        <w:t xml:space="preserve"> and potentially </w:t>
      </w:r>
      <w:r w:rsidR="00FF65C0">
        <w:t xml:space="preserve">unregulated strength </w:t>
      </w:r>
      <w:r w:rsidR="00FF65C0">
        <w:lastRenderedPageBreak/>
        <w:t>and purity</w:t>
      </w:r>
      <w:r w:rsidR="00FE5B20" w:rsidRPr="00FE5B20">
        <w:rPr>
          <w:rFonts w:ascii="Calibri" w:hAnsi="Calibri" w:cs="Calibri"/>
          <w:bCs/>
          <w:lang w:val="en-US"/>
        </w:rPr>
        <w:t>(3)</w:t>
      </w:r>
      <w:r>
        <w:t>) and alternatives</w:t>
      </w:r>
      <w:r w:rsidR="00876E58">
        <w:t xml:space="preserve"> are</w:t>
      </w:r>
      <w:r>
        <w:t xml:space="preserve"> </w:t>
      </w:r>
      <w:r w:rsidR="00FF65C0">
        <w:t xml:space="preserve">therefore </w:t>
      </w:r>
      <w:r>
        <w:t>important. For example, if a patient wants to take glucosamine and the potential harms are</w:t>
      </w:r>
      <w:r w:rsidR="003B7D4C">
        <w:t xml:space="preserve"> perceived as</w:t>
      </w:r>
      <w:r>
        <w:t xml:space="preserve"> low, focussing on encouraging </w:t>
      </w:r>
      <w:r w:rsidR="00FF65C0">
        <w:t xml:space="preserve">the </w:t>
      </w:r>
      <w:r>
        <w:t>add</w:t>
      </w:r>
      <w:r w:rsidR="00FF65C0">
        <w:t>ition of</w:t>
      </w:r>
      <w:r>
        <w:t xml:space="preserve"> exercise into their daily routine, rather than persuading them to stop something they have good faith in</w:t>
      </w:r>
      <w:r w:rsidR="00FF65C0">
        <w:t xml:space="preserve"> may be appropriate</w:t>
      </w:r>
      <w:r>
        <w:t xml:space="preserve">. However, </w:t>
      </w:r>
      <w:r w:rsidR="00FF65C0">
        <w:t>d</w:t>
      </w:r>
      <w:r>
        <w:t>iscussions must be balanced and evidence</w:t>
      </w:r>
      <w:r w:rsidR="00CF2821">
        <w:t>-</w:t>
      </w:r>
      <w:r w:rsidR="003B7D4C">
        <w:t>based</w:t>
      </w:r>
      <w:r w:rsidR="00B75F2A">
        <w:t>. T</w:t>
      </w:r>
      <w:r w:rsidR="003B7D4C">
        <w:t>he full NICE g</w:t>
      </w:r>
      <w:r w:rsidR="00FF65C0">
        <w:t>uidelines</w:t>
      </w:r>
      <w:r w:rsidR="00FE5B20" w:rsidRPr="00FE5B20">
        <w:rPr>
          <w:rFonts w:ascii="Calibri" w:hAnsi="Calibri" w:cs="Calibri"/>
          <w:bCs/>
          <w:lang w:val="en-US"/>
        </w:rPr>
        <w:t>(3)</w:t>
      </w:r>
      <w:r w:rsidR="003B7D4C">
        <w:t xml:space="preserve"> provide the research evidence to </w:t>
      </w:r>
      <w:r w:rsidR="00B75F2A">
        <w:t>inform</w:t>
      </w:r>
      <w:r w:rsidR="00F85AE0">
        <w:t xml:space="preserve"> </w:t>
      </w:r>
      <w:r w:rsidR="00B75F2A">
        <w:t>such discussions</w:t>
      </w:r>
      <w:r>
        <w:t>.</w:t>
      </w:r>
    </w:p>
    <w:p w14:paraId="4A907AC5" w14:textId="0F0C8A5F" w:rsidR="009F3A3A" w:rsidRPr="002558BA" w:rsidRDefault="009F3A3A">
      <w:pPr>
        <w:rPr>
          <w:b/>
          <w:sz w:val="32"/>
        </w:rPr>
      </w:pPr>
      <w:r w:rsidRPr="002558BA">
        <w:rPr>
          <w:b/>
          <w:sz w:val="32"/>
        </w:rPr>
        <w:t>The multidisciplinary team</w:t>
      </w:r>
    </w:p>
    <w:p w14:paraId="6F251FEC" w14:textId="389982C4" w:rsidR="009F3A3A" w:rsidRPr="002558BA" w:rsidRDefault="00577C5F" w:rsidP="00203627">
      <w:r w:rsidRPr="002558BA">
        <w:t xml:space="preserve">Pharmacists are part of the community multidisciplinary </w:t>
      </w:r>
      <w:r w:rsidR="00B75F2A">
        <w:t xml:space="preserve">healthcare </w:t>
      </w:r>
      <w:r w:rsidRPr="002558BA">
        <w:t xml:space="preserve">team. </w:t>
      </w:r>
      <w:r w:rsidR="00FF2630" w:rsidRPr="002558BA">
        <w:t xml:space="preserve"> </w:t>
      </w:r>
      <w:r w:rsidR="0002463E">
        <w:t>In addition to providing</w:t>
      </w:r>
      <w:r w:rsidRPr="002558BA">
        <w:t xml:space="preserve"> expert </w:t>
      </w:r>
      <w:r w:rsidR="00FF2630" w:rsidRPr="002558BA">
        <w:t xml:space="preserve">advice about </w:t>
      </w:r>
      <w:r w:rsidRPr="002558BA">
        <w:t xml:space="preserve">the </w:t>
      </w:r>
      <w:r w:rsidR="00FF2630" w:rsidRPr="002558BA">
        <w:t>safe use of medicines,</w:t>
      </w:r>
      <w:r w:rsidRPr="002558BA">
        <w:t xml:space="preserve"> </w:t>
      </w:r>
      <w:r w:rsidR="00A24FD3">
        <w:t xml:space="preserve">as </w:t>
      </w:r>
      <w:r w:rsidR="008F190C">
        <w:t>a</w:t>
      </w:r>
      <w:r w:rsidR="0002463E" w:rsidRPr="002558BA">
        <w:t xml:space="preserve"> first point of contact</w:t>
      </w:r>
      <w:r w:rsidR="0002463E">
        <w:t xml:space="preserve">, pharmacists can </w:t>
      </w:r>
      <w:r w:rsidRPr="002558BA">
        <w:t xml:space="preserve">opportunistically detect </w:t>
      </w:r>
      <w:r w:rsidR="00EC5FB4">
        <w:t xml:space="preserve">potentially </w:t>
      </w:r>
      <w:r w:rsidRPr="002558BA">
        <w:t xml:space="preserve">problematic joint pain and signpost </w:t>
      </w:r>
      <w:r w:rsidR="00FF2630" w:rsidRPr="002558BA">
        <w:t>for timely medical review</w:t>
      </w:r>
      <w:r w:rsidR="00EC5FB4">
        <w:t xml:space="preserve">, </w:t>
      </w:r>
      <w:r w:rsidR="00FF2630" w:rsidRPr="002558BA">
        <w:t>refer</w:t>
      </w:r>
      <w:r w:rsidR="00A24FD3">
        <w:t xml:space="preserve"> </w:t>
      </w:r>
      <w:r w:rsidR="00FF2630" w:rsidRPr="002558BA">
        <w:t xml:space="preserve">to appropriate exercise </w:t>
      </w:r>
      <w:r w:rsidR="002558BA" w:rsidRPr="002558BA">
        <w:t xml:space="preserve">(e.g. physiotherapist) </w:t>
      </w:r>
      <w:r w:rsidR="008F190C">
        <w:t>and</w:t>
      </w:r>
      <w:r w:rsidR="0075518F">
        <w:t>/</w:t>
      </w:r>
      <w:r w:rsidR="00FF2630" w:rsidRPr="002558BA">
        <w:t>or weight loss specialists</w:t>
      </w:r>
      <w:r w:rsidR="0075518F">
        <w:t xml:space="preserve">, </w:t>
      </w:r>
      <w:r w:rsidR="00A24FD3">
        <w:t xml:space="preserve">and, where appropriate, </w:t>
      </w:r>
      <w:r w:rsidR="0075518F">
        <w:t xml:space="preserve">signpost </w:t>
      </w:r>
      <w:r w:rsidRPr="002558BA">
        <w:t xml:space="preserve">to podiatrists for assistance with </w:t>
      </w:r>
      <w:r w:rsidR="0075518F" w:rsidRPr="002558BA">
        <w:t>lower limb joint pain problem</w:t>
      </w:r>
      <w:r w:rsidR="0075518F">
        <w:t xml:space="preserve">s. </w:t>
      </w:r>
    </w:p>
    <w:p w14:paraId="09C450BA" w14:textId="4C99E531" w:rsidR="009F3A3A" w:rsidRPr="002558BA" w:rsidRDefault="009F3A3A">
      <w:pPr>
        <w:rPr>
          <w:b/>
          <w:sz w:val="32"/>
        </w:rPr>
      </w:pPr>
      <w:r w:rsidRPr="002558BA">
        <w:rPr>
          <w:b/>
          <w:sz w:val="32"/>
        </w:rPr>
        <w:t>Signposting to local services and trusted online resources</w:t>
      </w:r>
    </w:p>
    <w:p w14:paraId="2F2FD6A5" w14:textId="446F52BB" w:rsidR="009F3A3A" w:rsidRPr="00577C5F" w:rsidRDefault="00B32B5F" w:rsidP="00A158AE">
      <w:pPr>
        <w:spacing w:before="240"/>
        <w:rPr>
          <w:color w:val="538135" w:themeColor="accent6" w:themeShade="BF"/>
        </w:rPr>
      </w:pPr>
      <w:r w:rsidRPr="00A158AE">
        <w:t>C</w:t>
      </w:r>
      <w:r w:rsidR="009F3A3A" w:rsidRPr="00A158AE">
        <w:t xml:space="preserve">ommunity pharmacies </w:t>
      </w:r>
      <w:r w:rsidR="00577C5F" w:rsidRPr="00A158AE">
        <w:t xml:space="preserve">are </w:t>
      </w:r>
      <w:r w:rsidRPr="00A158AE">
        <w:t>also ideally placed</w:t>
      </w:r>
      <w:r w:rsidR="00577C5F" w:rsidRPr="00A158AE">
        <w:t xml:space="preserve"> to </w:t>
      </w:r>
      <w:r w:rsidR="009F3A3A" w:rsidRPr="00A158AE">
        <w:t>signpost to local community/support groups</w:t>
      </w:r>
      <w:r w:rsidR="00577C5F" w:rsidRPr="00A158AE">
        <w:t xml:space="preserve"> relevant to</w:t>
      </w:r>
      <w:r w:rsidRPr="00A158AE">
        <w:t xml:space="preserve"> people with</w:t>
      </w:r>
      <w:r w:rsidR="00577C5F" w:rsidRPr="00A158AE">
        <w:t xml:space="preserve"> joint pain</w:t>
      </w:r>
      <w:r w:rsidR="00203627" w:rsidRPr="00A158AE">
        <w:rPr>
          <w:rFonts w:ascii="Calibri" w:hAnsi="Calibri" w:cs="Calibri"/>
          <w:bCs/>
          <w:lang w:val="en-US"/>
        </w:rPr>
        <w:t>(2)</w:t>
      </w:r>
      <w:r w:rsidRPr="00A158AE">
        <w:t xml:space="preserve">, for example, </w:t>
      </w:r>
      <w:r w:rsidR="00577C5F" w:rsidRPr="00A158AE">
        <w:t>walking and/or weight loss groups</w:t>
      </w:r>
      <w:r w:rsidR="009D6E43" w:rsidRPr="00A158AE">
        <w:t xml:space="preserve">. </w:t>
      </w:r>
      <w:r w:rsidR="007350EE" w:rsidRPr="00A158AE">
        <w:t xml:space="preserve"> </w:t>
      </w:r>
      <w:r w:rsidR="009D6E43" w:rsidRPr="00A158AE">
        <w:t>A</w:t>
      </w:r>
      <w:r w:rsidR="002558BA" w:rsidRPr="00A158AE">
        <w:t xml:space="preserve"> local directory or notice board of relevant services</w:t>
      </w:r>
      <w:r w:rsidR="009D6E43" w:rsidRPr="00A158AE">
        <w:t xml:space="preserve"> c</w:t>
      </w:r>
      <w:r w:rsidR="00A1049A" w:rsidRPr="00A158AE">
        <w:t>ould</w:t>
      </w:r>
      <w:r w:rsidR="009D6E43" w:rsidRPr="00A158AE">
        <w:t xml:space="preserve"> be developed</w:t>
      </w:r>
      <w:r w:rsidR="00A1049A" w:rsidRPr="00A158AE">
        <w:t>,</w:t>
      </w:r>
      <w:r w:rsidR="002558BA" w:rsidRPr="00A158AE">
        <w:t xml:space="preserve"> </w:t>
      </w:r>
      <w:r w:rsidR="00A1049A" w:rsidRPr="00A158AE">
        <w:t xml:space="preserve">in </w:t>
      </w:r>
      <w:r w:rsidR="009D6E43" w:rsidRPr="00A158AE">
        <w:t>collaboration</w:t>
      </w:r>
      <w:r w:rsidR="002558BA" w:rsidRPr="00A158AE">
        <w:t xml:space="preserve"> </w:t>
      </w:r>
      <w:r w:rsidR="009D6E43" w:rsidRPr="00A158AE">
        <w:t>with</w:t>
      </w:r>
      <w:r w:rsidR="002558BA" w:rsidRPr="00A158AE">
        <w:t xml:space="preserve"> customers and local organisations. </w:t>
      </w:r>
      <w:r w:rsidR="00A158AE" w:rsidRPr="00A158AE">
        <w:t>Creation of Health and Wellbeing boards</w:t>
      </w:r>
      <w:r w:rsidR="00D45D4E" w:rsidRPr="00D45D4E">
        <w:rPr>
          <w:rFonts w:ascii="Calibri" w:hAnsi="Calibri" w:cs="Calibri"/>
          <w:bCs/>
          <w:lang w:val="en-US"/>
        </w:rPr>
        <w:t>(19)</w:t>
      </w:r>
      <w:r w:rsidR="00A158AE" w:rsidRPr="00A158AE">
        <w:t xml:space="preserve"> have resulted in the development of community health initiatives (e.g. </w:t>
      </w:r>
      <w:r w:rsidR="00A158AE" w:rsidRPr="00A158AE">
        <w:rPr>
          <w:i/>
        </w:rPr>
        <w:t>Shropshire Together</w:t>
      </w:r>
      <w:r w:rsidR="00D45D4E" w:rsidRPr="00D45D4E">
        <w:rPr>
          <w:rFonts w:ascii="Calibri" w:hAnsi="Calibri" w:cs="Calibri"/>
          <w:bCs/>
          <w:i/>
          <w:lang w:val="en-US"/>
        </w:rPr>
        <w:t>(20)</w:t>
      </w:r>
      <w:r w:rsidR="00A158AE" w:rsidRPr="00A158AE">
        <w:t xml:space="preserve">) in which health, council and third-sector organisations come together to </w:t>
      </w:r>
      <w:r w:rsidR="00BF3924">
        <w:t>support the</w:t>
      </w:r>
      <w:r w:rsidR="00A158AE" w:rsidRPr="00A158AE">
        <w:t xml:space="preserve"> health and wellbeing of the community</w:t>
      </w:r>
      <w:r w:rsidR="00D45D4E">
        <w:t xml:space="preserve"> through, for example, weight loss initiatives and mental health support</w:t>
      </w:r>
      <w:r w:rsidR="00A158AE" w:rsidRPr="00A158AE">
        <w:t>.</w:t>
      </w:r>
      <w:r w:rsidR="00A158AE">
        <w:rPr>
          <w:color w:val="538135" w:themeColor="accent6" w:themeShade="BF"/>
        </w:rPr>
        <w:t xml:space="preserve"> </w:t>
      </w:r>
    </w:p>
    <w:p w14:paraId="2A431622" w14:textId="24EC0D23" w:rsidR="002558BA" w:rsidRPr="00203627" w:rsidRDefault="002558BA" w:rsidP="00203627">
      <w:r w:rsidRPr="00203627">
        <w:t>It is important to use clear, professionally presented and evidenced based resources</w:t>
      </w:r>
      <w:r w:rsidR="00203627" w:rsidRPr="00203627">
        <w:rPr>
          <w:rFonts w:ascii="Calibri" w:hAnsi="Calibri" w:cs="Calibri"/>
          <w:bCs/>
          <w:lang w:val="en-US"/>
        </w:rPr>
        <w:t>(2)</w:t>
      </w:r>
      <w:r w:rsidRPr="00203627">
        <w:t>. High quality resources that can be</w:t>
      </w:r>
      <w:r w:rsidR="00203627">
        <w:t xml:space="preserve"> easily and freely</w:t>
      </w:r>
      <w:r w:rsidRPr="00203627">
        <w:t xml:space="preserve"> accessed online include: </w:t>
      </w:r>
    </w:p>
    <w:p w14:paraId="08B90D5E" w14:textId="115A3E21" w:rsidR="002558BA" w:rsidRPr="00203627" w:rsidRDefault="00C93986" w:rsidP="00203627">
      <w:pPr>
        <w:pStyle w:val="ListParagraph"/>
        <w:numPr>
          <w:ilvl w:val="0"/>
          <w:numId w:val="13"/>
        </w:numPr>
      </w:pPr>
      <w:r>
        <w:t xml:space="preserve">Versus Arthritis (previously known as </w:t>
      </w:r>
      <w:r w:rsidR="002558BA" w:rsidRPr="00203627">
        <w:t>Arthritis Research UK</w:t>
      </w:r>
      <w:r>
        <w:t>)</w:t>
      </w:r>
      <w:r w:rsidR="002558BA" w:rsidRPr="00203627">
        <w:t xml:space="preserve"> </w:t>
      </w:r>
      <w:r w:rsidR="002558BA" w:rsidRPr="00203627">
        <w:rPr>
          <w:i/>
        </w:rPr>
        <w:t>Keep Moving</w:t>
      </w:r>
      <w:r w:rsidR="002558BA" w:rsidRPr="00203627">
        <w:t xml:space="preserve"> leaflet</w:t>
      </w:r>
      <w:r w:rsidR="00D45D4E" w:rsidRPr="00D45D4E">
        <w:rPr>
          <w:rFonts w:ascii="Calibri" w:hAnsi="Calibri" w:cs="Calibri"/>
          <w:bCs/>
          <w:lang w:val="en-US"/>
        </w:rPr>
        <w:t>(21)</w:t>
      </w:r>
      <w:r w:rsidR="002558BA" w:rsidRPr="00203627">
        <w:t>, which provides a wealth of information to support patients to exercise including a poster (in the hard copy) outlining joint strengthening and range of movement exercises</w:t>
      </w:r>
    </w:p>
    <w:p w14:paraId="0D7B71E0" w14:textId="3BEDF812" w:rsidR="002558BA" w:rsidRPr="00203627" w:rsidRDefault="00C93986" w:rsidP="00203627">
      <w:pPr>
        <w:pStyle w:val="ListParagraph"/>
        <w:numPr>
          <w:ilvl w:val="0"/>
          <w:numId w:val="13"/>
        </w:numPr>
      </w:pPr>
      <w:r>
        <w:t xml:space="preserve">Versus Arthritis (previously known as </w:t>
      </w:r>
      <w:r w:rsidRPr="00203627">
        <w:t>Arthritis Research UK</w:t>
      </w:r>
      <w:r>
        <w:t>)</w:t>
      </w:r>
      <w:r w:rsidRPr="00203627">
        <w:t xml:space="preserve"> </w:t>
      </w:r>
      <w:r w:rsidR="002558BA" w:rsidRPr="00203627">
        <w:rPr>
          <w:i/>
        </w:rPr>
        <w:t>Protecting your joints</w:t>
      </w:r>
      <w:r w:rsidR="002558BA" w:rsidRPr="00203627">
        <w:t xml:space="preserve"> leaflet</w:t>
      </w:r>
      <w:r w:rsidR="00D45D4E" w:rsidRPr="00D45D4E">
        <w:rPr>
          <w:rFonts w:ascii="Calibri" w:hAnsi="Calibri" w:cs="Calibri"/>
          <w:bCs/>
          <w:lang w:val="en-US"/>
        </w:rPr>
        <w:t>(22)</w:t>
      </w:r>
      <w:r w:rsidR="002558BA" w:rsidRPr="00203627">
        <w:t xml:space="preserve">, which provides advice about ways to </w:t>
      </w:r>
      <w:r w:rsidR="00203627" w:rsidRPr="00203627">
        <w:t xml:space="preserve">approach tasks and movements to protect </w:t>
      </w:r>
      <w:r w:rsidR="002558BA" w:rsidRPr="00203627">
        <w:t>joints</w:t>
      </w:r>
      <w:r w:rsidR="00203627" w:rsidRPr="00203627">
        <w:t>,</w:t>
      </w:r>
      <w:r w:rsidR="002558BA" w:rsidRPr="00203627">
        <w:t xml:space="preserve"> reduce pain and</w:t>
      </w:r>
      <w:r w:rsidR="00203627" w:rsidRPr="00203627">
        <w:t xml:space="preserve"> improve function</w:t>
      </w:r>
    </w:p>
    <w:p w14:paraId="7D4B942E" w14:textId="6FB555E1" w:rsidR="00203627" w:rsidRDefault="00203627" w:rsidP="00203627">
      <w:pPr>
        <w:pStyle w:val="ListParagraph"/>
        <w:numPr>
          <w:ilvl w:val="0"/>
          <w:numId w:val="13"/>
        </w:numPr>
      </w:pPr>
      <w:r w:rsidRPr="00203627">
        <w:t>Keele Univ</w:t>
      </w:r>
      <w:r w:rsidR="008B2DEC">
        <w:t>ersity Osteoarthritis Guidebook</w:t>
      </w:r>
      <w:r w:rsidR="00D45D4E" w:rsidRPr="00D45D4E">
        <w:rPr>
          <w:rFonts w:ascii="Calibri" w:hAnsi="Calibri" w:cs="Calibri"/>
          <w:bCs/>
          <w:lang w:val="en-US"/>
        </w:rPr>
        <w:t>(18)</w:t>
      </w:r>
      <w:r w:rsidRPr="00203627">
        <w:t>, an accessible guidebook written by patients for patients, which includes experiences of patients and solutions for pain and problems related to their joint pain</w:t>
      </w:r>
    </w:p>
    <w:p w14:paraId="1ED4E706" w14:textId="6AF86159" w:rsidR="00C93986" w:rsidRDefault="00C93986" w:rsidP="00203627">
      <w:pPr>
        <w:pStyle w:val="ListParagraph"/>
        <w:numPr>
          <w:ilvl w:val="0"/>
          <w:numId w:val="13"/>
        </w:numPr>
      </w:pPr>
      <w:r>
        <w:t xml:space="preserve">Versus Arthritis </w:t>
      </w:r>
      <w:r>
        <w:rPr>
          <w:i/>
        </w:rPr>
        <w:t xml:space="preserve">Osteoarthritis </w:t>
      </w:r>
      <w:r>
        <w:t>booklet</w:t>
      </w:r>
      <w:r w:rsidRPr="00C93986">
        <w:rPr>
          <w:rFonts w:ascii="Calibri" w:hAnsi="Calibri" w:cs="Calibri"/>
          <w:bCs/>
          <w:lang w:val="en-US"/>
        </w:rPr>
        <w:t>(23)</w:t>
      </w:r>
      <w:r>
        <w:t>, which provides an overview of the condition from what it is, how it presents and how it can be managed</w:t>
      </w:r>
    </w:p>
    <w:p w14:paraId="66D53C6D" w14:textId="3352A162" w:rsidR="00D45D4E" w:rsidRPr="00203627" w:rsidRDefault="00055EFA" w:rsidP="00203627">
      <w:pPr>
        <w:pStyle w:val="ListParagraph"/>
        <w:numPr>
          <w:ilvl w:val="0"/>
          <w:numId w:val="13"/>
        </w:numPr>
      </w:pPr>
      <w:r>
        <w:t xml:space="preserve">NHS </w:t>
      </w:r>
      <w:r w:rsidRPr="00055EFA">
        <w:rPr>
          <w:i/>
        </w:rPr>
        <w:t>Healthy Weight</w:t>
      </w:r>
      <w:r>
        <w:t xml:space="preserve"> </w:t>
      </w:r>
      <w:r w:rsidR="008B2DEC">
        <w:t>webpage</w:t>
      </w:r>
      <w:r w:rsidR="008141E9" w:rsidRPr="008141E9">
        <w:rPr>
          <w:rFonts w:ascii="Calibri" w:hAnsi="Calibri" w:cs="Calibri"/>
          <w:bCs/>
          <w:lang w:val="en-US"/>
        </w:rPr>
        <w:t>(24)</w:t>
      </w:r>
      <w:r>
        <w:t xml:space="preserve">, which provides interactive tools for assessing weight and links to healthy eating and living advice </w:t>
      </w:r>
    </w:p>
    <w:p w14:paraId="1DF9D697" w14:textId="0766D89B" w:rsidR="009F3A3A" w:rsidRDefault="00203627">
      <w:pPr>
        <w:rPr>
          <w:b/>
          <w:sz w:val="28"/>
          <w:szCs w:val="28"/>
        </w:rPr>
      </w:pPr>
      <w:r w:rsidRPr="00203627">
        <w:rPr>
          <w:b/>
          <w:sz w:val="28"/>
          <w:szCs w:val="28"/>
        </w:rPr>
        <w:t>Putting the s</w:t>
      </w:r>
      <w:r w:rsidR="009F3A3A" w:rsidRPr="00203627">
        <w:rPr>
          <w:b/>
          <w:sz w:val="28"/>
          <w:szCs w:val="28"/>
        </w:rPr>
        <w:t>tepwise management and referral pathway</w:t>
      </w:r>
      <w:r w:rsidRPr="00203627">
        <w:rPr>
          <w:b/>
          <w:sz w:val="28"/>
          <w:szCs w:val="28"/>
        </w:rPr>
        <w:t xml:space="preserve"> into action</w:t>
      </w:r>
    </w:p>
    <w:tbl>
      <w:tblPr>
        <w:tblStyle w:val="TableGrid"/>
        <w:tblW w:w="0" w:type="auto"/>
        <w:tblLook w:val="04A0" w:firstRow="1" w:lastRow="0" w:firstColumn="1" w:lastColumn="0" w:noHBand="0" w:noVBand="1"/>
      </w:tblPr>
      <w:tblGrid>
        <w:gridCol w:w="8971"/>
      </w:tblGrid>
      <w:tr w:rsidR="00203627" w14:paraId="3200DAD3" w14:textId="77777777" w:rsidTr="00C408AF">
        <w:trPr>
          <w:trHeight w:val="4981"/>
        </w:trPr>
        <w:tc>
          <w:tcPr>
            <w:tcW w:w="8971" w:type="dxa"/>
          </w:tcPr>
          <w:p w14:paraId="40CD1C82" w14:textId="77777777" w:rsidR="00203627" w:rsidRPr="00114CCA" w:rsidRDefault="00203627" w:rsidP="00203627">
            <w:pPr>
              <w:rPr>
                <w:b/>
              </w:rPr>
            </w:pPr>
            <w:r w:rsidRPr="00114CCA">
              <w:rPr>
                <w:b/>
              </w:rPr>
              <w:lastRenderedPageBreak/>
              <w:t>Case Study:</w:t>
            </w:r>
          </w:p>
          <w:p w14:paraId="7298E6B6" w14:textId="6B3CB162" w:rsidR="00203627" w:rsidRPr="00114CCA" w:rsidRDefault="00EB4A16" w:rsidP="00FF6D3D">
            <w:r w:rsidRPr="00114CCA">
              <w:t xml:space="preserve">As </w:t>
            </w:r>
            <w:r w:rsidR="00203627" w:rsidRPr="00114CCA">
              <w:t>Mrs Blake, a 64yr old women collect</w:t>
            </w:r>
            <w:r w:rsidRPr="00114CCA">
              <w:t>s</w:t>
            </w:r>
            <w:r w:rsidR="00203627" w:rsidRPr="00114CCA">
              <w:t xml:space="preserve"> her husband’s </w:t>
            </w:r>
            <w:r w:rsidRPr="00114CCA">
              <w:t xml:space="preserve">large bag of </w:t>
            </w:r>
            <w:r w:rsidR="00203627" w:rsidRPr="00114CCA">
              <w:t xml:space="preserve">medications, she sighs, ‘here we go again, </w:t>
            </w:r>
            <w:r w:rsidR="00C408AF">
              <w:t>after</w:t>
            </w:r>
            <w:r w:rsidR="00203627" w:rsidRPr="00114CCA">
              <w:t xml:space="preserve"> struggl</w:t>
            </w:r>
            <w:r w:rsidR="00C408AF">
              <w:t xml:space="preserve">ing home with this again </w:t>
            </w:r>
            <w:r w:rsidR="00203627" w:rsidRPr="00114CCA">
              <w:t xml:space="preserve">my hands will be good for nothing for the next couple of hours’. </w:t>
            </w:r>
            <w:r w:rsidR="00C408AF">
              <w:t>Y</w:t>
            </w:r>
            <w:r w:rsidR="00203627" w:rsidRPr="00114CCA">
              <w:t>ou ask what she means. ‘</w:t>
            </w:r>
            <w:r w:rsidR="00C408AF">
              <w:t>M</w:t>
            </w:r>
            <w:r w:rsidR="00203627" w:rsidRPr="00114CCA">
              <w:t xml:space="preserve">y hands have been getting </w:t>
            </w:r>
            <w:r w:rsidR="008867BB">
              <w:t xml:space="preserve">very uncomfortable </w:t>
            </w:r>
            <w:r w:rsidR="00203627" w:rsidRPr="00114CCA">
              <w:t xml:space="preserve"> over the last </w:t>
            </w:r>
            <w:r w:rsidR="008867BB">
              <w:t>months</w:t>
            </w:r>
            <w:r w:rsidR="00203627" w:rsidRPr="00114CCA">
              <w:t xml:space="preserve">, mainly this thumb and the ends of these fingers, carrying the shopping </w:t>
            </w:r>
            <w:r w:rsidR="00C408AF">
              <w:t xml:space="preserve">and this lot </w:t>
            </w:r>
            <w:r w:rsidR="00203627" w:rsidRPr="00114CCA">
              <w:t xml:space="preserve">is </w:t>
            </w:r>
            <w:r w:rsidR="00C408AF">
              <w:t xml:space="preserve">so </w:t>
            </w:r>
            <w:r w:rsidR="00203627" w:rsidRPr="00114CCA">
              <w:t xml:space="preserve">difficult’. You </w:t>
            </w:r>
            <w:r w:rsidR="00FF6D3D" w:rsidRPr="00114CCA">
              <w:t xml:space="preserve">ask about red flags and </w:t>
            </w:r>
            <w:r w:rsidR="00C408AF">
              <w:t xml:space="preserve">decide </w:t>
            </w:r>
            <w:r w:rsidR="00FF6D3D" w:rsidRPr="00114CCA">
              <w:t xml:space="preserve">Mrs Blake has got typical </w:t>
            </w:r>
            <w:r w:rsidR="00C408AF">
              <w:t xml:space="preserve">hand </w:t>
            </w:r>
            <w:r w:rsidR="00FF6D3D" w:rsidRPr="00114CCA">
              <w:t xml:space="preserve">osteoarthritis. After discussion, you agree that she will read the </w:t>
            </w:r>
            <w:r w:rsidR="00FF6D3D" w:rsidRPr="00114CCA">
              <w:rPr>
                <w:i/>
              </w:rPr>
              <w:t xml:space="preserve">Protecting your joints </w:t>
            </w:r>
            <w:r w:rsidR="00FF6D3D" w:rsidRPr="00114CCA">
              <w:t xml:space="preserve">leaflet, will try some exercises using the </w:t>
            </w:r>
            <w:r w:rsidR="00FF6D3D" w:rsidRPr="00114CCA">
              <w:rPr>
                <w:i/>
              </w:rPr>
              <w:t xml:space="preserve">Keep Moving </w:t>
            </w:r>
            <w:r w:rsidR="00FF6D3D" w:rsidRPr="00114CCA">
              <w:t xml:space="preserve">leaflet, and she bought some NSAID gel. </w:t>
            </w:r>
          </w:p>
          <w:p w14:paraId="6985F91F" w14:textId="77777777" w:rsidR="00FF6D3D" w:rsidRPr="00114CCA" w:rsidRDefault="00FF6D3D" w:rsidP="00FF6D3D"/>
          <w:p w14:paraId="42D2F4A9" w14:textId="15A47955" w:rsidR="00FF6D3D" w:rsidRPr="00FF6D3D" w:rsidRDefault="00C408AF" w:rsidP="00BF3924">
            <w:r>
              <w:t>T</w:t>
            </w:r>
            <w:r w:rsidR="00FF6D3D" w:rsidRPr="00114CCA">
              <w:t xml:space="preserve">he </w:t>
            </w:r>
            <w:r>
              <w:t xml:space="preserve">following </w:t>
            </w:r>
            <w:r w:rsidR="00FF6D3D" w:rsidRPr="00114CCA">
              <w:t xml:space="preserve">month, </w:t>
            </w:r>
            <w:r w:rsidR="00EB4A16" w:rsidRPr="00114CCA">
              <w:t xml:space="preserve">she thanks you for your help, </w:t>
            </w:r>
            <w:r w:rsidR="00FF6D3D" w:rsidRPr="00114CCA">
              <w:t xml:space="preserve">the gel </w:t>
            </w:r>
            <w:r w:rsidR="00EB4A16" w:rsidRPr="00114CCA">
              <w:t xml:space="preserve">has improved her pain, so she </w:t>
            </w:r>
            <w:r>
              <w:t xml:space="preserve">has started using it on </w:t>
            </w:r>
            <w:r w:rsidR="00FF6D3D" w:rsidRPr="00114CCA">
              <w:t>her knee as well.</w:t>
            </w:r>
            <w:r w:rsidR="00EB4A16" w:rsidRPr="00114CCA">
              <w:t xml:space="preserve"> Mrs Blake </w:t>
            </w:r>
            <w:r>
              <w:t xml:space="preserve">reported </w:t>
            </w:r>
            <w:r w:rsidR="00EB4A16" w:rsidRPr="00114CCA">
              <w:t>feeling low, with everything she ha</w:t>
            </w:r>
            <w:r w:rsidR="00BF3924">
              <w:t>s</w:t>
            </w:r>
            <w:r w:rsidR="00EB4A16" w:rsidRPr="00114CCA">
              <w:t xml:space="preserve"> to contend with, </w:t>
            </w:r>
            <w:r>
              <w:t xml:space="preserve">her </w:t>
            </w:r>
            <w:r w:rsidR="00EB4A16" w:rsidRPr="00114CCA">
              <w:t>pain</w:t>
            </w:r>
            <w:r>
              <w:t>s</w:t>
            </w:r>
            <w:r w:rsidR="00EB4A16" w:rsidRPr="00114CCA">
              <w:t xml:space="preserve"> </w:t>
            </w:r>
            <w:r w:rsidR="00BF3924">
              <w:t>a</w:t>
            </w:r>
            <w:r>
              <w:t xml:space="preserve">re just </w:t>
            </w:r>
            <w:r w:rsidR="00EB4A16" w:rsidRPr="00114CCA">
              <w:t xml:space="preserve">an extra problem. </w:t>
            </w:r>
            <w:r>
              <w:t>N</w:t>
            </w:r>
            <w:r w:rsidR="00114CCA" w:rsidRPr="00114CCA">
              <w:t>ot getting out as much and comfort eating</w:t>
            </w:r>
            <w:r>
              <w:t xml:space="preserve"> had caused her </w:t>
            </w:r>
            <w:r w:rsidR="00114CCA" w:rsidRPr="00114CCA">
              <w:t xml:space="preserve">weight </w:t>
            </w:r>
            <w:r>
              <w:t xml:space="preserve">to </w:t>
            </w:r>
            <w:r w:rsidR="00BF3924">
              <w:t xml:space="preserve">go </w:t>
            </w:r>
            <w:r w:rsidR="00114CCA" w:rsidRPr="00114CCA">
              <w:t>up</w:t>
            </w:r>
            <w:r w:rsidR="00BF3924">
              <w:t xml:space="preserve"> </w:t>
            </w:r>
            <w:r w:rsidR="002A75ED">
              <w:t xml:space="preserve">- </w:t>
            </w:r>
            <w:r w:rsidR="00BF3924">
              <w:t>‘I feel dreadful’</w:t>
            </w:r>
            <w:r w:rsidR="00114CCA" w:rsidRPr="00114CCA">
              <w:t xml:space="preserve">. </w:t>
            </w:r>
            <w:r w:rsidR="00EB4A16" w:rsidRPr="00114CCA">
              <w:t>After discussion, y</w:t>
            </w:r>
            <w:r w:rsidR="00FF6D3D" w:rsidRPr="00114CCA">
              <w:t xml:space="preserve">ou </w:t>
            </w:r>
            <w:r>
              <w:t xml:space="preserve">agree she will see </w:t>
            </w:r>
            <w:r w:rsidR="002A75ED">
              <w:t xml:space="preserve">her </w:t>
            </w:r>
            <w:r w:rsidR="00EB4A16" w:rsidRPr="00114CCA">
              <w:t xml:space="preserve">GP to discuss her mood </w:t>
            </w:r>
            <w:r>
              <w:t>and will start</w:t>
            </w:r>
            <w:r w:rsidR="00EB4A16" w:rsidRPr="00114CCA">
              <w:t xml:space="preserve"> doing the knee exercises in the </w:t>
            </w:r>
            <w:r w:rsidR="00FF6D3D" w:rsidRPr="00114CCA">
              <w:rPr>
                <w:i/>
              </w:rPr>
              <w:t xml:space="preserve">Keep Moving </w:t>
            </w:r>
            <w:r w:rsidR="00114CCA" w:rsidRPr="00114CCA">
              <w:t>leaflet she already has</w:t>
            </w:r>
            <w:r>
              <w:t>. You suggest she takes paracetamol half</w:t>
            </w:r>
            <w:r w:rsidR="00BF3924">
              <w:t>-</w:t>
            </w:r>
            <w:r>
              <w:t>an</w:t>
            </w:r>
            <w:r w:rsidR="00BF3924">
              <w:t>-</w:t>
            </w:r>
            <w:r>
              <w:t>hour before e</w:t>
            </w:r>
            <w:r w:rsidR="00BF3924">
              <w:t>xercising</w:t>
            </w:r>
            <w:r>
              <w:t xml:space="preserve"> and use </w:t>
            </w:r>
            <w:r w:rsidR="00BF3924">
              <w:t xml:space="preserve">ice </w:t>
            </w:r>
            <w:r>
              <w:t xml:space="preserve">after if the pain flares. You </w:t>
            </w:r>
            <w:r w:rsidR="00114CCA" w:rsidRPr="00114CCA">
              <w:t>show her a poster about a local walking group, which may provide support and companionship for Mrs Blake as well as he</w:t>
            </w:r>
            <w:r w:rsidR="00DF13A8">
              <w:t>lping her to do exercise and lo</w:t>
            </w:r>
            <w:r w:rsidR="00114CCA" w:rsidRPr="00114CCA">
              <w:t>se some weight.</w:t>
            </w:r>
            <w:r>
              <w:t xml:space="preserve"> You ask Mrs Blake to update you on her progress next month.</w:t>
            </w:r>
          </w:p>
        </w:tc>
      </w:tr>
    </w:tbl>
    <w:p w14:paraId="0F90577A" w14:textId="77777777" w:rsidR="00203627" w:rsidRPr="00203627" w:rsidRDefault="00203627" w:rsidP="00203627"/>
    <w:p w14:paraId="0C32611F" w14:textId="225122E1" w:rsidR="004E6CE3" w:rsidRPr="00C408AF" w:rsidRDefault="007A4263" w:rsidP="00C97B96">
      <w:pPr>
        <w:rPr>
          <w:rFonts w:cstheme="minorHAnsi"/>
          <w:b/>
          <w:i/>
        </w:rPr>
      </w:pPr>
      <w:r w:rsidRPr="00C408AF">
        <w:rPr>
          <w:rFonts w:cstheme="minorHAnsi"/>
          <w:b/>
          <w:i/>
        </w:rPr>
        <w:t>E</w:t>
      </w:r>
      <w:r w:rsidR="004E6CE3" w:rsidRPr="00C408AF">
        <w:rPr>
          <w:rFonts w:cstheme="minorHAnsi"/>
          <w:b/>
          <w:i/>
        </w:rPr>
        <w:t>xamples</w:t>
      </w:r>
      <w:r w:rsidRPr="00C408AF">
        <w:rPr>
          <w:rFonts w:cstheme="minorHAnsi"/>
          <w:b/>
          <w:i/>
        </w:rPr>
        <w:t xml:space="preserve"> of pharmacy support taken from research and implementation projects:</w:t>
      </w:r>
    </w:p>
    <w:p w14:paraId="12B9E100" w14:textId="126DE222" w:rsidR="00447B90" w:rsidRPr="00C97B96" w:rsidRDefault="00447B90" w:rsidP="00C97B96">
      <w:pPr>
        <w:rPr>
          <w:rFonts w:cstheme="minorHAnsi"/>
        </w:rPr>
      </w:pPr>
      <w:r w:rsidRPr="00C97B96">
        <w:rPr>
          <w:rFonts w:cstheme="minorHAnsi"/>
          <w:b/>
        </w:rPr>
        <w:t xml:space="preserve">Enhanced pharmacy review: </w:t>
      </w:r>
      <w:r w:rsidR="008B2DEC">
        <w:rPr>
          <w:rFonts w:cstheme="minorHAnsi"/>
        </w:rPr>
        <w:t>within the TOPIK trial</w:t>
      </w:r>
      <w:r w:rsidR="008141E9" w:rsidRPr="008141E9">
        <w:rPr>
          <w:rFonts w:cstheme="minorHAnsi"/>
          <w:bCs/>
          <w:lang w:val="en-US"/>
        </w:rPr>
        <w:t>(25,26)</w:t>
      </w:r>
      <w:r w:rsidRPr="00C97B96">
        <w:rPr>
          <w:rFonts w:cstheme="minorHAnsi"/>
        </w:rPr>
        <w:t>, a community pharmacist was supported to optimise patients’ pain control using predefined questions, an analgesic algorithm and a patient information leaflet. Patients’ medications were stepped</w:t>
      </w:r>
      <w:r w:rsidR="00B72EA7">
        <w:rPr>
          <w:rFonts w:cstheme="minorHAnsi"/>
        </w:rPr>
        <w:t>-</w:t>
      </w:r>
      <w:r w:rsidRPr="00C97B96">
        <w:rPr>
          <w:rFonts w:cstheme="minorHAnsi"/>
        </w:rPr>
        <w:t xml:space="preserve">up according to the patients’ response/symptoms </w:t>
      </w:r>
      <w:r w:rsidR="00B72EA7">
        <w:rPr>
          <w:rFonts w:cstheme="minorHAnsi"/>
        </w:rPr>
        <w:t>using</w:t>
      </w:r>
      <w:r w:rsidRPr="00C97B96">
        <w:rPr>
          <w:rFonts w:cstheme="minorHAnsi"/>
        </w:rPr>
        <w:t xml:space="preserve"> three to six </w:t>
      </w:r>
      <w:r w:rsidR="00B72EA7">
        <w:rPr>
          <w:rFonts w:cstheme="minorHAnsi"/>
        </w:rPr>
        <w:t>reviews</w:t>
      </w:r>
      <w:r w:rsidRPr="00C97B96">
        <w:rPr>
          <w:rFonts w:cstheme="minorHAnsi"/>
        </w:rPr>
        <w:t xml:space="preserve"> over ten weeks. </w:t>
      </w:r>
      <w:r w:rsidR="00C97B96" w:rsidRPr="00C97B96">
        <w:rPr>
          <w:rFonts w:cstheme="minorHAnsi"/>
        </w:rPr>
        <w:t xml:space="preserve">On average, one hour </w:t>
      </w:r>
      <w:r w:rsidR="00B72EA7">
        <w:rPr>
          <w:rFonts w:cstheme="minorHAnsi"/>
        </w:rPr>
        <w:t xml:space="preserve">was spent </w:t>
      </w:r>
      <w:r w:rsidR="00C97B96" w:rsidRPr="00C97B96">
        <w:rPr>
          <w:rFonts w:cstheme="minorHAnsi"/>
        </w:rPr>
        <w:t>with patients over three sessions. A</w:t>
      </w:r>
      <w:r w:rsidR="00B72EA7">
        <w:rPr>
          <w:rFonts w:cstheme="minorHAnsi"/>
        </w:rPr>
        <w:t>t three months,</w:t>
      </w:r>
      <w:r w:rsidR="00C97B96" w:rsidRPr="00C97B96">
        <w:rPr>
          <w:rFonts w:cstheme="minorHAnsi"/>
        </w:rPr>
        <w:t xml:space="preserve"> significant</w:t>
      </w:r>
      <w:r w:rsidRPr="00C97B96">
        <w:rPr>
          <w:rFonts w:cstheme="minorHAnsi"/>
        </w:rPr>
        <w:t xml:space="preserve"> improve</w:t>
      </w:r>
      <w:r w:rsidR="00C97B96" w:rsidRPr="00C97B96">
        <w:rPr>
          <w:rFonts w:cstheme="minorHAnsi"/>
        </w:rPr>
        <w:t>ment in</w:t>
      </w:r>
      <w:r w:rsidRPr="00C97B96">
        <w:rPr>
          <w:rFonts w:cstheme="minorHAnsi"/>
        </w:rPr>
        <w:t xml:space="preserve"> patients’ pain scores </w:t>
      </w:r>
      <w:r w:rsidR="00B72EA7">
        <w:rPr>
          <w:rFonts w:cstheme="minorHAnsi"/>
        </w:rPr>
        <w:t xml:space="preserve">were noted and at six months, </w:t>
      </w:r>
      <w:r w:rsidRPr="00C97B96">
        <w:rPr>
          <w:rFonts w:cstheme="minorHAnsi"/>
        </w:rPr>
        <w:t xml:space="preserve">NSAID use </w:t>
      </w:r>
      <w:r w:rsidR="00B72EA7">
        <w:rPr>
          <w:rFonts w:cstheme="minorHAnsi"/>
        </w:rPr>
        <w:t>had reduced</w:t>
      </w:r>
      <w:r w:rsidRPr="00C97B96">
        <w:rPr>
          <w:rFonts w:cstheme="minorHAnsi"/>
        </w:rPr>
        <w:t xml:space="preserve">. </w:t>
      </w:r>
    </w:p>
    <w:p w14:paraId="648CD6C1" w14:textId="4B9DBF69" w:rsidR="00447B90" w:rsidRPr="00C97B96" w:rsidRDefault="00C97B96" w:rsidP="00C97B96">
      <w:pPr>
        <w:rPr>
          <w:rFonts w:cstheme="minorHAnsi"/>
          <w:b/>
        </w:rPr>
      </w:pPr>
      <w:r w:rsidRPr="00C97B96">
        <w:rPr>
          <w:rFonts w:cstheme="minorHAnsi"/>
          <w:b/>
        </w:rPr>
        <w:t xml:space="preserve">Supporting self-management: </w:t>
      </w:r>
      <w:r w:rsidRPr="00C97B96">
        <w:rPr>
          <w:rFonts w:cstheme="minorHAnsi"/>
        </w:rPr>
        <w:t>an international i</w:t>
      </w:r>
      <w:r w:rsidR="008B2DEC">
        <w:rPr>
          <w:rFonts w:cstheme="minorHAnsi"/>
        </w:rPr>
        <w:t>mplementation project (JIGSAW-E</w:t>
      </w:r>
      <w:r w:rsidR="008141E9" w:rsidRPr="008141E9">
        <w:rPr>
          <w:rFonts w:eastAsia="Times New Roman" w:cstheme="minorHAnsi"/>
          <w:lang w:eastAsia="en-GB"/>
        </w:rPr>
        <w:t>(27)</w:t>
      </w:r>
      <w:r w:rsidRPr="00C97B96">
        <w:rPr>
          <w:rFonts w:cstheme="minorHAnsi"/>
        </w:rPr>
        <w:t>) used four key</w:t>
      </w:r>
      <w:r w:rsidR="00D07C86">
        <w:rPr>
          <w:rFonts w:cstheme="minorHAnsi"/>
        </w:rPr>
        <w:t xml:space="preserve"> healthcare service</w:t>
      </w:r>
      <w:r w:rsidRPr="00C97B96">
        <w:rPr>
          <w:rFonts w:cstheme="minorHAnsi"/>
        </w:rPr>
        <w:t xml:space="preserve"> interventions previously tested in a research s</w:t>
      </w:r>
      <w:r w:rsidR="009947CF">
        <w:rPr>
          <w:rFonts w:cstheme="minorHAnsi"/>
        </w:rPr>
        <w:t>tudy</w:t>
      </w:r>
      <w:r w:rsidR="008B2DEC">
        <w:rPr>
          <w:rFonts w:cstheme="minorHAnsi"/>
        </w:rPr>
        <w:t xml:space="preserve"> (MOSAICS</w:t>
      </w:r>
      <w:r w:rsidR="008141E9" w:rsidRPr="008141E9">
        <w:rPr>
          <w:rFonts w:eastAsia="Times New Roman" w:cstheme="minorHAnsi"/>
          <w:lang w:eastAsia="en-GB"/>
        </w:rPr>
        <w:t>(28-31)</w:t>
      </w:r>
      <w:r w:rsidRPr="00C97B96">
        <w:rPr>
          <w:rFonts w:cstheme="minorHAnsi"/>
        </w:rPr>
        <w:t xml:space="preserve">) to support the self-management of patients with osteoarthritis. </w:t>
      </w:r>
      <w:r w:rsidR="00FE5C04">
        <w:rPr>
          <w:rFonts w:cstheme="minorHAnsi"/>
        </w:rPr>
        <w:t xml:space="preserve">The original research was </w:t>
      </w:r>
      <w:r w:rsidR="00577C5F">
        <w:rPr>
          <w:rFonts w:cstheme="minorHAnsi"/>
        </w:rPr>
        <w:t>developed for use in the general practice setting, with GPs making the original diagnosis and practice nurses undertaking follow-up appointments</w:t>
      </w:r>
      <w:r w:rsidR="009947CF">
        <w:rPr>
          <w:rFonts w:cstheme="minorHAnsi"/>
        </w:rPr>
        <w:t>.  The</w:t>
      </w:r>
      <w:r w:rsidR="00577C5F">
        <w:rPr>
          <w:rFonts w:cstheme="minorHAnsi"/>
        </w:rPr>
        <w:t xml:space="preserve"> i</w:t>
      </w:r>
      <w:r>
        <w:rPr>
          <w:rFonts w:cstheme="minorHAnsi"/>
        </w:rPr>
        <w:t xml:space="preserve">nterventions were i) </w:t>
      </w:r>
      <w:r w:rsidR="00203627">
        <w:rPr>
          <w:rFonts w:cstheme="minorHAnsi"/>
        </w:rPr>
        <w:t xml:space="preserve">the Keele University </w:t>
      </w:r>
      <w:r w:rsidR="00203627" w:rsidRPr="00203627">
        <w:rPr>
          <w:rFonts w:cstheme="minorHAnsi"/>
          <w:i/>
        </w:rPr>
        <w:t>O</w:t>
      </w:r>
      <w:r w:rsidRPr="00203627">
        <w:rPr>
          <w:rFonts w:cstheme="minorHAnsi"/>
          <w:i/>
        </w:rPr>
        <w:t xml:space="preserve">steoarthritis </w:t>
      </w:r>
      <w:r w:rsidR="00203627" w:rsidRPr="00203627">
        <w:rPr>
          <w:rFonts w:cstheme="minorHAnsi"/>
          <w:i/>
        </w:rPr>
        <w:t>G</w:t>
      </w:r>
      <w:r w:rsidRPr="00203627">
        <w:rPr>
          <w:rFonts w:cstheme="minorHAnsi"/>
          <w:i/>
        </w:rPr>
        <w:t>uidebook</w:t>
      </w:r>
      <w:r w:rsidR="00203627">
        <w:rPr>
          <w:rFonts w:cstheme="minorHAnsi"/>
          <w:i/>
        </w:rPr>
        <w:t xml:space="preserve">, </w:t>
      </w:r>
      <w:r>
        <w:rPr>
          <w:rFonts w:cstheme="minorHAnsi"/>
        </w:rPr>
        <w:t>ii) an electronic template to prompt and support recording of high quality management, iii) a model consultation and iv) professional’s training.</w:t>
      </w:r>
      <w:r w:rsidR="00577C5F">
        <w:rPr>
          <w:rFonts w:cstheme="minorHAnsi"/>
        </w:rPr>
        <w:t xml:space="preserve"> These approaches were successfully adapted for use in community pharmacies, who were equipped with hard copies of the </w:t>
      </w:r>
      <w:r w:rsidR="00326CE2">
        <w:rPr>
          <w:rFonts w:cstheme="minorHAnsi"/>
        </w:rPr>
        <w:t xml:space="preserve">OA </w:t>
      </w:r>
      <w:r w:rsidR="00577C5F">
        <w:rPr>
          <w:rFonts w:cstheme="minorHAnsi"/>
        </w:rPr>
        <w:t xml:space="preserve">guidebook and Arthritis Research UK </w:t>
      </w:r>
      <w:r w:rsidR="00326CE2">
        <w:rPr>
          <w:rFonts w:cstheme="minorHAnsi"/>
        </w:rPr>
        <w:t xml:space="preserve">exercise </w:t>
      </w:r>
      <w:r w:rsidR="008B2DEC">
        <w:rPr>
          <w:rFonts w:cstheme="minorHAnsi"/>
        </w:rPr>
        <w:t>leaflets</w:t>
      </w:r>
      <w:r w:rsidR="00D45D4E" w:rsidRPr="00D45D4E">
        <w:rPr>
          <w:rFonts w:ascii="Calibri" w:hAnsi="Calibri" w:cs="Calibri"/>
          <w:bCs/>
          <w:lang w:val="en-US"/>
        </w:rPr>
        <w:t>(21)</w:t>
      </w:r>
      <w:r w:rsidR="00326CE2">
        <w:rPr>
          <w:rFonts w:cstheme="minorHAnsi"/>
        </w:rPr>
        <w:t xml:space="preserve">, supported by the </w:t>
      </w:r>
      <w:r w:rsidR="00577C5F">
        <w:rPr>
          <w:rFonts w:cstheme="minorHAnsi"/>
        </w:rPr>
        <w:t>flow-chart in Figure 1.</w:t>
      </w:r>
    </w:p>
    <w:tbl>
      <w:tblPr>
        <w:tblStyle w:val="TableGrid"/>
        <w:tblW w:w="9043" w:type="dxa"/>
        <w:tblLook w:val="04A0" w:firstRow="1" w:lastRow="0" w:firstColumn="1" w:lastColumn="0" w:noHBand="0" w:noVBand="1"/>
      </w:tblPr>
      <w:tblGrid>
        <w:gridCol w:w="9043"/>
      </w:tblGrid>
      <w:tr w:rsidR="001E6E3A" w14:paraId="167C83F9" w14:textId="77777777" w:rsidTr="007B278B">
        <w:trPr>
          <w:trHeight w:val="3134"/>
        </w:trPr>
        <w:tc>
          <w:tcPr>
            <w:tcW w:w="9043" w:type="dxa"/>
          </w:tcPr>
          <w:p w14:paraId="208FCB6C" w14:textId="7DC4FD53" w:rsidR="001E6E3A" w:rsidRPr="001E6E3A" w:rsidRDefault="001E6E3A" w:rsidP="001E6E3A">
            <w:pPr>
              <w:rPr>
                <w:b/>
                <w:sz w:val="28"/>
              </w:rPr>
            </w:pPr>
            <w:r w:rsidRPr="001E6E3A">
              <w:rPr>
                <w:b/>
                <w:sz w:val="28"/>
              </w:rPr>
              <w:t xml:space="preserve">How to apply topical joint pain </w:t>
            </w:r>
            <w:r w:rsidR="00DE0A05">
              <w:rPr>
                <w:b/>
                <w:sz w:val="28"/>
              </w:rPr>
              <w:t>creams and gel</w:t>
            </w:r>
            <w:r w:rsidR="00DE0A05" w:rsidRPr="001E6E3A">
              <w:rPr>
                <w:b/>
                <w:sz w:val="28"/>
              </w:rPr>
              <w:t>s</w:t>
            </w:r>
          </w:p>
          <w:p w14:paraId="477BBA23" w14:textId="354FC3AE" w:rsidR="001E6E3A" w:rsidRPr="001E6E3A" w:rsidRDefault="001E6E3A" w:rsidP="001E6E3A">
            <w:r w:rsidRPr="001E6E3A">
              <w:t xml:space="preserve">It is important to explain to patients that topical joint pain treatments do not take full effect on first application and that for both agents recommended within the NICE guidelines (NSAIDs and </w:t>
            </w:r>
            <w:r w:rsidR="0086238C" w:rsidRPr="001E6E3A">
              <w:t>capsaicin</w:t>
            </w:r>
            <w:r w:rsidRPr="001E6E3A">
              <w:t>), they can take up to two weeks to give maximum effect.</w:t>
            </w:r>
          </w:p>
          <w:p w14:paraId="70A0AAA0" w14:textId="3708D3D8" w:rsidR="001E6E3A" w:rsidRDefault="001E6E3A" w:rsidP="001E6E3A">
            <w:pPr>
              <w:pStyle w:val="ListParagraph"/>
              <w:numPr>
                <w:ilvl w:val="0"/>
                <w:numId w:val="6"/>
              </w:numPr>
            </w:pPr>
            <w:r>
              <w:t>Gently massage the cream in using the amount specified on the information leaflet</w:t>
            </w:r>
            <w:r w:rsidR="00DF13A8">
              <w:t>, the action of massaging it can have some therapeutic benefit</w:t>
            </w:r>
          </w:p>
          <w:p w14:paraId="34254EB1" w14:textId="7F286B0E" w:rsidR="001E6E3A" w:rsidRDefault="001E6E3A" w:rsidP="001E6E3A">
            <w:pPr>
              <w:pStyle w:val="ListParagraph"/>
              <w:numPr>
                <w:ilvl w:val="0"/>
                <w:numId w:val="6"/>
              </w:numPr>
            </w:pPr>
            <w:r>
              <w:t>Apply the cream regularly</w:t>
            </w:r>
            <w:bookmarkStart w:id="0" w:name="_GoBack"/>
            <w:bookmarkEnd w:id="0"/>
            <w:r w:rsidR="00DE0A05">
              <w:t xml:space="preserve"> as directed on the packaging</w:t>
            </w:r>
          </w:p>
          <w:p w14:paraId="4AC6CD95" w14:textId="2D461465" w:rsidR="001E6E3A" w:rsidRDefault="001E6E3A" w:rsidP="001551AD">
            <w:pPr>
              <w:pStyle w:val="ListParagraph"/>
              <w:numPr>
                <w:ilvl w:val="0"/>
                <w:numId w:val="6"/>
              </w:numPr>
            </w:pPr>
            <w:r>
              <w:t xml:space="preserve">It is quite normal for capsaicin creams to </w:t>
            </w:r>
            <w:r w:rsidR="002A75ED">
              <w:t xml:space="preserve">produce a </w:t>
            </w:r>
            <w:r>
              <w:t>burn</w:t>
            </w:r>
            <w:r w:rsidR="002A75ED">
              <w:t>ing/warming feeling</w:t>
            </w:r>
            <w:r>
              <w:t xml:space="preserve"> on first application but with regular application </w:t>
            </w:r>
            <w:r w:rsidR="002A75ED">
              <w:t xml:space="preserve">this stops after a few days and </w:t>
            </w:r>
            <w:r>
              <w:t xml:space="preserve">the analgesic action </w:t>
            </w:r>
            <w:r w:rsidR="002A75ED">
              <w:t xml:space="preserve">starts to </w:t>
            </w:r>
            <w:r>
              <w:t>take effect</w:t>
            </w:r>
          </w:p>
          <w:p w14:paraId="41051024" w14:textId="77777777" w:rsidR="001E6E3A" w:rsidRDefault="00DF13A8" w:rsidP="007B278B">
            <w:pPr>
              <w:pStyle w:val="ListParagraph"/>
              <w:numPr>
                <w:ilvl w:val="0"/>
                <w:numId w:val="6"/>
              </w:numPr>
            </w:pPr>
            <w:r>
              <w:t>Do not touch sensitive areas such as eyes and genitals after applying capsaicin</w:t>
            </w:r>
          </w:p>
          <w:p w14:paraId="1FA5D003" w14:textId="6B86F075" w:rsidR="007B278B" w:rsidRDefault="00326CE2" w:rsidP="007B278B">
            <w:pPr>
              <w:pStyle w:val="ListParagraph"/>
              <w:numPr>
                <w:ilvl w:val="0"/>
                <w:numId w:val="6"/>
              </w:numPr>
            </w:pPr>
            <w:r>
              <w:lastRenderedPageBreak/>
              <w:t xml:space="preserve">Try alternatives </w:t>
            </w:r>
            <w:r w:rsidR="007B278B">
              <w:t xml:space="preserve">if you do not like </w:t>
            </w:r>
            <w:r>
              <w:t xml:space="preserve">a </w:t>
            </w:r>
            <w:r w:rsidR="007B278B">
              <w:t xml:space="preserve">particular </w:t>
            </w:r>
            <w:r>
              <w:t>agent, each are different in terms of stickiness and odour</w:t>
            </w:r>
          </w:p>
          <w:p w14:paraId="15FC98BF" w14:textId="7051C117" w:rsidR="007B278B" w:rsidRPr="007B278B" w:rsidRDefault="007B278B" w:rsidP="00326CE2">
            <w:pPr>
              <w:pStyle w:val="ListParagraph"/>
              <w:numPr>
                <w:ilvl w:val="0"/>
                <w:numId w:val="6"/>
              </w:numPr>
            </w:pPr>
            <w:r>
              <w:t xml:space="preserve">Stop using immediately if you get any side effects (e.g. rash) and seek advice </w:t>
            </w:r>
          </w:p>
        </w:tc>
      </w:tr>
    </w:tbl>
    <w:p w14:paraId="72B4BE51" w14:textId="77777777" w:rsidR="0086238C" w:rsidRDefault="0086238C" w:rsidP="0086238C">
      <w:pPr>
        <w:rPr>
          <w:b/>
        </w:rPr>
      </w:pPr>
    </w:p>
    <w:p w14:paraId="15381634" w14:textId="32228E2A" w:rsidR="0086238C" w:rsidRPr="007B278B" w:rsidRDefault="0086238C" w:rsidP="0086238C">
      <w:pPr>
        <w:rPr>
          <w:b/>
        </w:rPr>
      </w:pPr>
      <w:r>
        <w:rPr>
          <w:b/>
        </w:rPr>
        <w:t>Acknowledgements</w:t>
      </w:r>
    </w:p>
    <w:p w14:paraId="672DE169" w14:textId="695138FE" w:rsidR="000B220E" w:rsidRDefault="000B220E" w:rsidP="000B220E">
      <w:r>
        <w:t xml:space="preserve">This paper describes </w:t>
      </w:r>
      <w:r w:rsidRPr="000B220E">
        <w:t xml:space="preserve">independent research </w:t>
      </w:r>
      <w:r>
        <w:t xml:space="preserve">(MOSAICS) </w:t>
      </w:r>
      <w:r w:rsidRPr="000B220E">
        <w:t xml:space="preserve">funded by the National Institute for Health Research (NIHR) under its Programme Grants for Applied Research Programme (Grant Reference Number: RP-PG-0407-10386.) </w:t>
      </w:r>
      <w:r>
        <w:t xml:space="preserve">and an implementation project (JIGSAW-E) funded by EiT Health. </w:t>
      </w:r>
      <w:r w:rsidRPr="000B220E">
        <w:t>Elizabeth Cottrell is a National Institute for Health Research (NIHR) Clinical Lecturer in Primary Care</w:t>
      </w:r>
      <w:r w:rsidR="000075D7">
        <w:t xml:space="preserve"> and Senior Lecturer in General Practice</w:t>
      </w:r>
      <w:r w:rsidRPr="000B220E">
        <w:t>.</w:t>
      </w:r>
      <w:r w:rsidR="004159C0">
        <w:t xml:space="preserve"> JQ is an NIHR Academic Clinical Lecturer in Physiotherapy. </w:t>
      </w:r>
      <w:r w:rsidRPr="000B220E">
        <w:rPr>
          <w:lang w:val="en-US"/>
        </w:rPr>
        <w:t xml:space="preserve">KD is part funded by the </w:t>
      </w:r>
      <w:r w:rsidR="004159C0">
        <w:rPr>
          <w:lang w:val="en-US"/>
        </w:rPr>
        <w:t>NIHR</w:t>
      </w:r>
      <w:r w:rsidRPr="000B220E">
        <w:rPr>
          <w:lang w:val="en-US"/>
        </w:rPr>
        <w:t xml:space="preserve"> Collaborations for Leadership in Applied Research and Care West Midlands and by </w:t>
      </w:r>
      <w:r w:rsidRPr="000B220E">
        <w:t>a Knowledge Mobilisation Research Fellowship (KMRF-2014-03-002) from the NIHR.</w:t>
      </w:r>
      <w:r>
        <w:t xml:space="preserve"> </w:t>
      </w:r>
      <w:r w:rsidRPr="007041ED">
        <w:t>The views expressed in this paper are those of the author(s) and not necessarily those of the NHS, the NIHR, or the Department of Health and Social Care.</w:t>
      </w:r>
    </w:p>
    <w:p w14:paraId="4D7F9BBC" w14:textId="23A9AC1A" w:rsidR="008141E9" w:rsidRDefault="008141E9" w:rsidP="000B220E"/>
    <w:p w14:paraId="00A7C024" w14:textId="7ACC3F7D" w:rsidR="008141E9" w:rsidRPr="007B278B" w:rsidRDefault="008141E9" w:rsidP="008141E9">
      <w:pPr>
        <w:rPr>
          <w:b/>
        </w:rPr>
      </w:pPr>
      <w:r>
        <w:rPr>
          <w:b/>
        </w:rPr>
        <w:t>Conflicts of interest</w:t>
      </w:r>
    </w:p>
    <w:p w14:paraId="3F3C2016" w14:textId="0102A838" w:rsidR="008141E9" w:rsidRDefault="008141E9" w:rsidP="000B220E">
      <w:r>
        <w:t>EC</w:t>
      </w:r>
      <w:r w:rsidR="003549F7">
        <w:t>, CS</w:t>
      </w:r>
      <w:r w:rsidR="00B00CFB">
        <w:t>,</w:t>
      </w:r>
      <w:r w:rsidR="000075D7">
        <w:t xml:space="preserve"> JQ, KD,</w:t>
      </w:r>
      <w:r w:rsidR="00B00CFB">
        <w:t xml:space="preserve"> SS</w:t>
      </w:r>
      <w:r>
        <w:t xml:space="preserve"> </w:t>
      </w:r>
      <w:r w:rsidR="000075D7">
        <w:t xml:space="preserve">and JA </w:t>
      </w:r>
      <w:r>
        <w:t>ha</w:t>
      </w:r>
      <w:r w:rsidR="00026AD5">
        <w:t>ve</w:t>
      </w:r>
      <w:r>
        <w:t xml:space="preserve"> no conflicts of interest.</w:t>
      </w:r>
    </w:p>
    <w:p w14:paraId="41DF0403" w14:textId="77777777" w:rsidR="008141E9" w:rsidRPr="000B220E" w:rsidRDefault="008141E9" w:rsidP="000B220E"/>
    <w:p w14:paraId="5D90A166" w14:textId="42044E56" w:rsidR="009F3A3A" w:rsidRPr="007B278B" w:rsidRDefault="00495F6B">
      <w:pPr>
        <w:rPr>
          <w:b/>
        </w:rPr>
      </w:pPr>
      <w:r w:rsidRPr="007B278B">
        <w:rPr>
          <w:b/>
        </w:rPr>
        <w:t>References</w:t>
      </w:r>
    </w:p>
    <w:p w14:paraId="6FFB2B7C" w14:textId="0FA94BD7" w:rsidR="008141E9" w:rsidRPr="008141E9" w:rsidRDefault="008141E9" w:rsidP="008141E9">
      <w:pPr>
        <w:pStyle w:val="NormalWeb"/>
        <w:rPr>
          <w:rFonts w:ascii="Calibri" w:hAnsi="Calibri" w:cs="Calibri"/>
          <w:sz w:val="22"/>
        </w:rPr>
      </w:pPr>
      <w:r w:rsidRPr="008141E9">
        <w:rPr>
          <w:rFonts w:ascii="Calibri" w:hAnsi="Calibri" w:cs="Calibri"/>
          <w:sz w:val="22"/>
        </w:rPr>
        <w:t>(1) Department of Health. Pharmacy in England. Building on strengths - delivering the future. The Stationary Office 2008;Cm 7341.</w:t>
      </w:r>
    </w:p>
    <w:p w14:paraId="11C0348D" w14:textId="281495F0" w:rsidR="008141E9" w:rsidRPr="008141E9" w:rsidRDefault="008141E9" w:rsidP="008141E9">
      <w:pPr>
        <w:pStyle w:val="NormalWeb"/>
        <w:rPr>
          <w:rFonts w:ascii="Calibri" w:hAnsi="Calibri" w:cs="Calibri"/>
          <w:sz w:val="22"/>
        </w:rPr>
      </w:pPr>
      <w:r w:rsidRPr="008141E9">
        <w:rPr>
          <w:rFonts w:ascii="Calibri" w:hAnsi="Calibri" w:cs="Calibri"/>
          <w:sz w:val="22"/>
        </w:rPr>
        <w:t>(2) National Institute for Health and Care Excellence. Community pharmacies: promoting health and wellbeing. NICE guideline [NG102]. 2018; Available at: https://www.nice.org.uk/guidance/ng102. Accessed August/29, 2018.</w:t>
      </w:r>
    </w:p>
    <w:p w14:paraId="15ACCC7B" w14:textId="77777777" w:rsidR="008141E9" w:rsidRPr="008141E9" w:rsidRDefault="008141E9" w:rsidP="008141E9">
      <w:pPr>
        <w:pStyle w:val="NormalWeb"/>
        <w:rPr>
          <w:rFonts w:ascii="Calibri" w:hAnsi="Calibri" w:cs="Calibri"/>
          <w:sz w:val="22"/>
        </w:rPr>
      </w:pPr>
      <w:r w:rsidRPr="008141E9">
        <w:rPr>
          <w:rFonts w:ascii="Calibri" w:hAnsi="Calibri" w:cs="Calibri"/>
          <w:sz w:val="22"/>
        </w:rPr>
        <w:t>(3) National Clinical Guideline Centre. Osteoarthritis: care and management in adults. London: National Clinical Guideline Centre; 2014.</w:t>
      </w:r>
    </w:p>
    <w:p w14:paraId="212D5A8F" w14:textId="2CDB1B4C" w:rsidR="008141E9" w:rsidRPr="008141E9" w:rsidRDefault="008141E9" w:rsidP="008141E9">
      <w:pPr>
        <w:pStyle w:val="NormalWeb"/>
        <w:rPr>
          <w:rFonts w:ascii="Calibri" w:hAnsi="Calibri" w:cs="Calibri"/>
          <w:sz w:val="22"/>
        </w:rPr>
      </w:pPr>
      <w:r w:rsidRPr="008141E9">
        <w:rPr>
          <w:rFonts w:ascii="Calibri" w:hAnsi="Calibri" w:cs="Calibri"/>
          <w:sz w:val="22"/>
        </w:rPr>
        <w:t>(4) Arthritis Research UK. Musculoskeletal conditions and multimorbidity. Available at: https://www.arthritisresearchuk.org/policy-and-public-affairs/policy-reports/multimorbidity.aspx. Accessed 04/12, 2018.</w:t>
      </w:r>
    </w:p>
    <w:p w14:paraId="63F7EB8D" w14:textId="16DD70C2" w:rsidR="008141E9" w:rsidRPr="008141E9" w:rsidRDefault="008141E9" w:rsidP="008141E9">
      <w:pPr>
        <w:pStyle w:val="NormalWeb"/>
        <w:rPr>
          <w:rFonts w:ascii="Calibri" w:hAnsi="Calibri" w:cs="Calibri"/>
          <w:sz w:val="22"/>
        </w:rPr>
      </w:pPr>
      <w:r w:rsidRPr="008141E9">
        <w:rPr>
          <w:rFonts w:ascii="Calibri" w:hAnsi="Calibri" w:cs="Calibri"/>
          <w:sz w:val="22"/>
        </w:rPr>
        <w:t>(5) Arthritis Research UK. State of musculoskeletal health 2018: arthritis and other musculoskeletal conditions in numbers. 2018; Available at: https://www.arthritisresearchuk.org/arthritis-information/data-and-statistics/state-of-musculoskeletal-health.aspx. Accessed August/29, 2018.</w:t>
      </w:r>
    </w:p>
    <w:p w14:paraId="391464A1" w14:textId="77777777" w:rsidR="008141E9" w:rsidRPr="008141E9" w:rsidRDefault="008141E9" w:rsidP="008141E9">
      <w:pPr>
        <w:pStyle w:val="NormalWeb"/>
        <w:rPr>
          <w:rFonts w:ascii="Calibri" w:hAnsi="Calibri" w:cs="Calibri"/>
          <w:sz w:val="22"/>
        </w:rPr>
      </w:pPr>
      <w:r w:rsidRPr="008141E9">
        <w:rPr>
          <w:rFonts w:ascii="Calibri" w:hAnsi="Calibri" w:cs="Calibri"/>
          <w:sz w:val="22"/>
        </w:rPr>
        <w:lastRenderedPageBreak/>
        <w:t>(6) Zhang W, Nuki G, Moskowitz RW, Abramson S, Altman RD, Arden NK, et al. OARSI recommendations for the management of hip and knee osteoarthritis: part III: Changes in evidence following systematic cumulative update of research published through January 2009. Osteoarthritis Cartilage 2010;18(4):476-99.</w:t>
      </w:r>
    </w:p>
    <w:p w14:paraId="5E65373F" w14:textId="77777777" w:rsidR="008141E9" w:rsidRPr="008141E9" w:rsidRDefault="008141E9" w:rsidP="008141E9">
      <w:pPr>
        <w:pStyle w:val="NormalWeb"/>
        <w:rPr>
          <w:rFonts w:ascii="Calibri" w:hAnsi="Calibri" w:cs="Calibri"/>
          <w:sz w:val="22"/>
        </w:rPr>
      </w:pPr>
      <w:r w:rsidRPr="008141E9">
        <w:rPr>
          <w:rFonts w:ascii="Calibri" w:hAnsi="Calibri" w:cs="Calibri"/>
          <w:sz w:val="22"/>
        </w:rPr>
        <w:t>(7) McAlindon TE, Bannuru RR, Sullivan MC, Arden NK, Berenbaum F, Bierma-Zeinstra SM, et al. OARSI guidelines for the non-surgical management of knee osteoarthritis. Osteoarthritis and Cartilage 2014;22(3):363-388.</w:t>
      </w:r>
    </w:p>
    <w:p w14:paraId="6C056604" w14:textId="77777777" w:rsidR="008141E9" w:rsidRPr="008141E9" w:rsidRDefault="008141E9" w:rsidP="008141E9">
      <w:pPr>
        <w:pStyle w:val="NormalWeb"/>
        <w:rPr>
          <w:rFonts w:ascii="Calibri" w:hAnsi="Calibri" w:cs="Calibri"/>
          <w:sz w:val="22"/>
        </w:rPr>
      </w:pPr>
      <w:r w:rsidRPr="008141E9">
        <w:rPr>
          <w:rFonts w:ascii="Calibri" w:hAnsi="Calibri" w:cs="Calibri"/>
          <w:sz w:val="22"/>
        </w:rPr>
        <w:t>(8) Quicke JG, Foster NE, Thomas MJ, Holden MA. Is long term physical activity safe for older adults with knee pain?: A systematic review. Osteoarthritis Cartilage 2015;23(9):1445-56.</w:t>
      </w:r>
    </w:p>
    <w:p w14:paraId="2627AA81" w14:textId="27840A93" w:rsidR="008141E9" w:rsidRPr="008141E9" w:rsidRDefault="008141E9" w:rsidP="008141E9">
      <w:pPr>
        <w:pStyle w:val="NormalWeb"/>
        <w:rPr>
          <w:rFonts w:ascii="Calibri" w:hAnsi="Calibri" w:cs="Calibri"/>
          <w:sz w:val="22"/>
        </w:rPr>
      </w:pPr>
      <w:r w:rsidRPr="008141E9">
        <w:rPr>
          <w:rFonts w:ascii="Calibri" w:hAnsi="Calibri" w:cs="Calibri"/>
          <w:sz w:val="22"/>
        </w:rPr>
        <w:t>(9) National Institute for Health and Care Excellence. Obesity: identification, assessment and management. 2014; Available at: https://www.nice.org.uk/guidance/cg189/chapter/1-recommendations. Accessed April/08, 2016.</w:t>
      </w:r>
    </w:p>
    <w:p w14:paraId="5AC4E4DD" w14:textId="77777777" w:rsidR="008141E9" w:rsidRPr="008141E9" w:rsidRDefault="008141E9" w:rsidP="008141E9">
      <w:pPr>
        <w:pStyle w:val="NormalWeb"/>
        <w:rPr>
          <w:rFonts w:ascii="Calibri" w:hAnsi="Calibri" w:cs="Calibri"/>
          <w:sz w:val="22"/>
        </w:rPr>
      </w:pPr>
      <w:r w:rsidRPr="008141E9">
        <w:rPr>
          <w:rFonts w:ascii="Calibri" w:hAnsi="Calibri" w:cs="Calibri"/>
          <w:sz w:val="22"/>
        </w:rPr>
        <w:t>(10) Christensen R, Bartels EM, Astrup A, Bliddal H. Effect of weight reduction in obese patients diagnosed with knee osteoarthritis: a systematic review and meta-analysis. Ann Rheum Dis 2007;66(4):433-9.</w:t>
      </w:r>
    </w:p>
    <w:p w14:paraId="4E8CCF7F" w14:textId="0765F16D" w:rsidR="008141E9" w:rsidRPr="008141E9" w:rsidRDefault="008141E9" w:rsidP="008141E9">
      <w:pPr>
        <w:pStyle w:val="NormalWeb"/>
        <w:rPr>
          <w:rFonts w:ascii="Calibri" w:hAnsi="Calibri" w:cs="Calibri"/>
          <w:sz w:val="22"/>
        </w:rPr>
      </w:pPr>
      <w:r w:rsidRPr="008141E9">
        <w:rPr>
          <w:rFonts w:ascii="Calibri" w:hAnsi="Calibri" w:cs="Calibri"/>
          <w:sz w:val="22"/>
        </w:rPr>
        <w:t>(11) Pharmaceutical Services Negotiating Committee. MURs: the basics. 2018; Available at: https://psnc.org.uk/services-commissioning/advanced-services/murs/murs-the-basics/. Accessed August/29, 2018.</w:t>
      </w:r>
    </w:p>
    <w:p w14:paraId="0B01137B" w14:textId="77777777" w:rsidR="008141E9" w:rsidRPr="008141E9" w:rsidRDefault="008141E9" w:rsidP="008141E9">
      <w:pPr>
        <w:pStyle w:val="NormalWeb"/>
        <w:rPr>
          <w:rFonts w:ascii="Calibri" w:hAnsi="Calibri" w:cs="Calibri"/>
          <w:sz w:val="22"/>
        </w:rPr>
      </w:pPr>
      <w:r w:rsidRPr="008141E9">
        <w:rPr>
          <w:rFonts w:ascii="Calibri" w:hAnsi="Calibri" w:cs="Calibri"/>
          <w:sz w:val="22"/>
        </w:rPr>
        <w:t>(12) Porcheret M, Jordan K, Jinks C, Croft P. Primary care treatment of knee pain - a survey in older adults. Rheumatology (Oxford) 2007;46(11):1694-700.</w:t>
      </w:r>
    </w:p>
    <w:p w14:paraId="43550F14" w14:textId="77777777" w:rsidR="008141E9" w:rsidRPr="008141E9" w:rsidRDefault="008141E9" w:rsidP="008141E9">
      <w:pPr>
        <w:pStyle w:val="NormalWeb"/>
        <w:rPr>
          <w:rFonts w:ascii="Calibri" w:hAnsi="Calibri" w:cs="Calibri"/>
          <w:sz w:val="22"/>
        </w:rPr>
      </w:pPr>
      <w:r w:rsidRPr="008141E9">
        <w:rPr>
          <w:rFonts w:ascii="Calibri" w:hAnsi="Calibri" w:cs="Calibri"/>
          <w:sz w:val="22"/>
        </w:rPr>
        <w:t>(13) Holden MA, Nicholls EE, Hay EM, Foster NE. Physical therapists' use of therapeutic exercise for patients with clinical knee osteoarthritis in the United Kingdom: in line with current recommendations? Phys Ther 2008;88(10):1109-21.</w:t>
      </w:r>
    </w:p>
    <w:p w14:paraId="3130515A" w14:textId="77777777" w:rsidR="008141E9" w:rsidRPr="008141E9" w:rsidRDefault="008141E9" w:rsidP="008141E9">
      <w:pPr>
        <w:pStyle w:val="NormalWeb"/>
        <w:rPr>
          <w:rFonts w:ascii="Calibri" w:hAnsi="Calibri" w:cs="Calibri"/>
          <w:sz w:val="22"/>
        </w:rPr>
      </w:pPr>
      <w:r w:rsidRPr="008141E9">
        <w:rPr>
          <w:rFonts w:ascii="Calibri" w:hAnsi="Calibri" w:cs="Calibri"/>
          <w:sz w:val="22"/>
        </w:rPr>
        <w:t>(14) Cottrell E, Roddy E, Foster NE. The attitudes, beliefs and behaviours of GPs regarding exercise for chronic knee pain: a systematic review. BMC Fam Pract 2010;11(4).</w:t>
      </w:r>
    </w:p>
    <w:p w14:paraId="25ADB06E" w14:textId="77777777" w:rsidR="008141E9" w:rsidRPr="008141E9" w:rsidRDefault="008141E9" w:rsidP="008141E9">
      <w:pPr>
        <w:pStyle w:val="NormalWeb"/>
        <w:rPr>
          <w:rFonts w:ascii="Calibri" w:hAnsi="Calibri" w:cs="Calibri"/>
          <w:sz w:val="22"/>
        </w:rPr>
      </w:pPr>
      <w:r w:rsidRPr="008141E9">
        <w:rPr>
          <w:rFonts w:ascii="Calibri" w:hAnsi="Calibri" w:cs="Calibri"/>
          <w:sz w:val="22"/>
        </w:rPr>
        <w:t>(15) Cottrell E, Foster NE, Porcheret M, Rathod T, Roddy E. GPs' attitudes, beliefs and behaviours regarding exercise for chronic knee pain: a questionnaire survey. BMJ Open 2017 British Medical Journal Publishing Group;7(6).</w:t>
      </w:r>
    </w:p>
    <w:p w14:paraId="1356316C" w14:textId="77777777" w:rsidR="008141E9" w:rsidRPr="008141E9" w:rsidRDefault="008141E9" w:rsidP="008141E9">
      <w:pPr>
        <w:pStyle w:val="NormalWeb"/>
        <w:rPr>
          <w:rFonts w:ascii="Calibri" w:hAnsi="Calibri" w:cs="Calibri"/>
          <w:sz w:val="22"/>
        </w:rPr>
      </w:pPr>
      <w:r w:rsidRPr="008141E9">
        <w:rPr>
          <w:rFonts w:ascii="Calibri" w:hAnsi="Calibri" w:cs="Calibri"/>
          <w:sz w:val="22"/>
        </w:rPr>
        <w:t>(16) Holden MA, Whittle R, Waterfield J, Chesterton L, Cottrell E, Mallen CD. How do physiotherapists approach analgesic use in patients with hip osteoarthritis? Findings from a mixed methods study. Rheumatology (Oxford) 2017;56((suppl_2)):O20.</w:t>
      </w:r>
    </w:p>
    <w:p w14:paraId="6CB2BE52" w14:textId="77777777" w:rsidR="008141E9" w:rsidRPr="008141E9" w:rsidRDefault="008141E9" w:rsidP="008141E9">
      <w:pPr>
        <w:pStyle w:val="NormalWeb"/>
        <w:rPr>
          <w:rFonts w:ascii="Calibri" w:hAnsi="Calibri" w:cs="Calibri"/>
          <w:sz w:val="22"/>
        </w:rPr>
      </w:pPr>
      <w:r w:rsidRPr="008141E9">
        <w:rPr>
          <w:rFonts w:ascii="Calibri" w:hAnsi="Calibri" w:cs="Calibri"/>
          <w:sz w:val="22"/>
        </w:rPr>
        <w:t>(17) Egerton T, Diamond LE, Buchbinder R, Bennell KL, Slade SC. A systematic review and evidence synthesis of qualitative studies to identify primary care clinicians' barriers and enablers to the management of osteoarthritis. Osteoarthritis Cartilage 2017 May;25(5):625-638.</w:t>
      </w:r>
    </w:p>
    <w:p w14:paraId="203C3193" w14:textId="5F206FE9" w:rsidR="008141E9" w:rsidRPr="008141E9" w:rsidRDefault="008141E9" w:rsidP="008141E9">
      <w:pPr>
        <w:pStyle w:val="NormalWeb"/>
        <w:rPr>
          <w:rFonts w:ascii="Calibri" w:hAnsi="Calibri" w:cs="Calibri"/>
          <w:sz w:val="22"/>
        </w:rPr>
      </w:pPr>
      <w:r w:rsidRPr="008141E9">
        <w:rPr>
          <w:rFonts w:ascii="Calibri" w:hAnsi="Calibri" w:cs="Calibri"/>
          <w:sz w:val="22"/>
        </w:rPr>
        <w:t>(18) Keele University, Arthritis Research UK, National Institute for Health Research. A guide for people who have osteoarthritis. 2014; Available at: http://www.keele.ac.uk/media/keeleuniversity/ri/primarycare/pdfs/OA_Guidebook.pdf. Accessed July/03, 2015.</w:t>
      </w:r>
    </w:p>
    <w:p w14:paraId="40468987" w14:textId="71CD63A3" w:rsidR="008141E9" w:rsidRPr="008141E9" w:rsidRDefault="008141E9" w:rsidP="008141E9">
      <w:pPr>
        <w:pStyle w:val="NormalWeb"/>
        <w:rPr>
          <w:rFonts w:ascii="Calibri" w:hAnsi="Calibri" w:cs="Calibri"/>
          <w:sz w:val="22"/>
        </w:rPr>
      </w:pPr>
      <w:r w:rsidRPr="008141E9">
        <w:rPr>
          <w:rFonts w:ascii="Calibri" w:hAnsi="Calibri" w:cs="Calibri"/>
          <w:sz w:val="22"/>
        </w:rPr>
        <w:lastRenderedPageBreak/>
        <w:t>(19) The Kings Fund. Health and wellbeing boards directory. 2018; Available at: https://www.kingsfund.org.uk/projects/health-wellbeing-boards-directory-map. Accessed 09/09, 2018.</w:t>
      </w:r>
    </w:p>
    <w:p w14:paraId="6D16D190" w14:textId="1AE5529D" w:rsidR="008141E9" w:rsidRPr="008141E9" w:rsidRDefault="008141E9" w:rsidP="008141E9">
      <w:pPr>
        <w:pStyle w:val="NormalWeb"/>
        <w:rPr>
          <w:rFonts w:ascii="Calibri" w:hAnsi="Calibri" w:cs="Calibri"/>
          <w:sz w:val="22"/>
        </w:rPr>
      </w:pPr>
      <w:r w:rsidRPr="008141E9">
        <w:rPr>
          <w:rFonts w:ascii="Calibri" w:hAnsi="Calibri" w:cs="Calibri"/>
          <w:sz w:val="22"/>
        </w:rPr>
        <w:t>(20) Health &amp; wellbeing in Shropshire. Shropshire Together. Available at: http://www.shropshiretogether.org.uk/our-priorities/. Accessed 09/09, 2018.</w:t>
      </w:r>
    </w:p>
    <w:p w14:paraId="1F727322" w14:textId="2B1557EB" w:rsidR="008141E9" w:rsidRPr="008141E9" w:rsidRDefault="008141E9" w:rsidP="008141E9">
      <w:pPr>
        <w:pStyle w:val="NormalWeb"/>
        <w:rPr>
          <w:rFonts w:ascii="Calibri" w:hAnsi="Calibri" w:cs="Calibri"/>
          <w:sz w:val="22"/>
        </w:rPr>
      </w:pPr>
      <w:r w:rsidRPr="008141E9">
        <w:rPr>
          <w:rFonts w:ascii="Calibri" w:hAnsi="Calibri" w:cs="Calibri"/>
          <w:sz w:val="22"/>
        </w:rPr>
        <w:t>(21) Arthritis Research UK. Keep moving. 2014; Available at: https://www.arthritisresearchuk.org/shop/products/publications/patient-information/living-with-arthritis/keep-moving.aspx. Accessed August/29, 2018.</w:t>
      </w:r>
    </w:p>
    <w:p w14:paraId="04B78F89" w14:textId="2724D838" w:rsidR="008141E9" w:rsidRPr="008141E9" w:rsidRDefault="008141E9" w:rsidP="008141E9">
      <w:pPr>
        <w:pStyle w:val="NormalWeb"/>
        <w:rPr>
          <w:rFonts w:ascii="Calibri" w:hAnsi="Calibri" w:cs="Calibri"/>
          <w:sz w:val="22"/>
        </w:rPr>
      </w:pPr>
      <w:r w:rsidRPr="008141E9">
        <w:rPr>
          <w:rFonts w:ascii="Calibri" w:hAnsi="Calibri" w:cs="Calibri"/>
          <w:sz w:val="22"/>
        </w:rPr>
        <w:t>(22) Arthritis Research UK. Protecting your joints. 2013; Available at: https://www.arthritisresearchuk.org/arthritis-information/daily-life/looking-after-your-joints/protecting-your-joints.aspx. Accessed August/29, 2018.</w:t>
      </w:r>
    </w:p>
    <w:p w14:paraId="110A2662" w14:textId="37AF03B9" w:rsidR="008141E9" w:rsidRPr="008141E9" w:rsidRDefault="008141E9" w:rsidP="008141E9">
      <w:pPr>
        <w:pStyle w:val="NormalWeb"/>
        <w:rPr>
          <w:rFonts w:ascii="Calibri" w:hAnsi="Calibri" w:cs="Calibri"/>
          <w:sz w:val="22"/>
        </w:rPr>
      </w:pPr>
      <w:r w:rsidRPr="008141E9">
        <w:rPr>
          <w:rFonts w:ascii="Calibri" w:hAnsi="Calibri" w:cs="Calibri"/>
          <w:sz w:val="22"/>
        </w:rPr>
        <w:t>(23) Versus Arthritis. Osteoarthritis. 2018; Available at: https://www.arthritisresearchuk.org/shop/products/publications/patient-information/conditions/osteoarthritis.aspx. Accessed November/12, 2018.</w:t>
      </w:r>
    </w:p>
    <w:p w14:paraId="4D6F2623" w14:textId="5A6A89C9" w:rsidR="008141E9" w:rsidRPr="008141E9" w:rsidRDefault="008141E9" w:rsidP="008141E9">
      <w:pPr>
        <w:pStyle w:val="NormalWeb"/>
        <w:rPr>
          <w:rFonts w:ascii="Calibri" w:hAnsi="Calibri" w:cs="Calibri"/>
          <w:sz w:val="22"/>
        </w:rPr>
      </w:pPr>
      <w:r w:rsidRPr="008141E9">
        <w:rPr>
          <w:rFonts w:ascii="Calibri" w:hAnsi="Calibri" w:cs="Calibri"/>
          <w:sz w:val="22"/>
        </w:rPr>
        <w:t>(24) NHS. Healthy weight. 2015; Available at: https://www.nhs.uk/live-well/healthy-weight/. Accessed 09/09, 2018.</w:t>
      </w:r>
    </w:p>
    <w:p w14:paraId="3C16F0D2" w14:textId="77777777" w:rsidR="008141E9" w:rsidRPr="008141E9" w:rsidRDefault="008141E9" w:rsidP="008141E9">
      <w:pPr>
        <w:pStyle w:val="NormalWeb"/>
        <w:rPr>
          <w:rFonts w:ascii="Calibri" w:hAnsi="Calibri" w:cs="Calibri"/>
          <w:sz w:val="22"/>
        </w:rPr>
      </w:pPr>
      <w:r w:rsidRPr="008141E9">
        <w:rPr>
          <w:rFonts w:ascii="Calibri" w:hAnsi="Calibri" w:cs="Calibri"/>
          <w:sz w:val="22"/>
        </w:rPr>
        <w:t>(25) Hay EM, Foster NE, Thomas E, Peat G, Phelan M, Yates HE, et al. Effectiveness of community physiotherapy and enhanced pharmacy review for knee pain in people aged over 55 presenting to primary care: pragmatic randomised trial. BMJ 2006 Nov 11;333(7576):995.</w:t>
      </w:r>
    </w:p>
    <w:p w14:paraId="5721758A" w14:textId="77777777" w:rsidR="008141E9" w:rsidRPr="008141E9" w:rsidRDefault="008141E9" w:rsidP="008141E9">
      <w:pPr>
        <w:pStyle w:val="NormalWeb"/>
        <w:rPr>
          <w:rFonts w:ascii="Calibri" w:hAnsi="Calibri" w:cs="Calibri"/>
          <w:sz w:val="22"/>
        </w:rPr>
      </w:pPr>
      <w:r w:rsidRPr="008141E9">
        <w:rPr>
          <w:rFonts w:ascii="Calibri" w:hAnsi="Calibri" w:cs="Calibri"/>
          <w:sz w:val="22"/>
        </w:rPr>
        <w:t>(26) Phelan M, Blenkinsopp A, Foster NE, Thomas E, Hay E. Pharmacist-led medication review for knee pain in older adults: content, process and outcomes. Int J Pharm Pract 2008;16:347-55.</w:t>
      </w:r>
    </w:p>
    <w:p w14:paraId="39A71363" w14:textId="77B488D4" w:rsidR="008141E9" w:rsidRPr="008141E9" w:rsidRDefault="008141E9" w:rsidP="008141E9">
      <w:pPr>
        <w:pStyle w:val="NormalWeb"/>
        <w:rPr>
          <w:rFonts w:ascii="Calibri" w:hAnsi="Calibri" w:cs="Calibri"/>
          <w:sz w:val="22"/>
        </w:rPr>
      </w:pPr>
      <w:r w:rsidRPr="008141E9">
        <w:rPr>
          <w:rFonts w:ascii="Calibri" w:hAnsi="Calibri" w:cs="Calibri"/>
          <w:sz w:val="22"/>
        </w:rPr>
        <w:t>(27) Keele University. JIGSAW-E (Europe). Available at: https://www.keele.ac.uk/pchs/implementingourresearch/makinganimpact/osteoarthritisandosteoporosis/jigsaw-e/. Accessed 03/08, 2018.</w:t>
      </w:r>
    </w:p>
    <w:p w14:paraId="599F9827" w14:textId="77777777" w:rsidR="008141E9" w:rsidRPr="008141E9" w:rsidRDefault="008141E9" w:rsidP="008141E9">
      <w:pPr>
        <w:pStyle w:val="NormalWeb"/>
        <w:rPr>
          <w:rFonts w:ascii="Calibri" w:hAnsi="Calibri" w:cs="Calibri"/>
          <w:sz w:val="22"/>
        </w:rPr>
      </w:pPr>
      <w:r w:rsidRPr="008141E9">
        <w:rPr>
          <w:rFonts w:ascii="Calibri" w:hAnsi="Calibri" w:cs="Calibri"/>
          <w:sz w:val="22"/>
        </w:rPr>
        <w:t>(28) Dziedzic KS, Healey EL, Porcheret M, Ong BN, Main CJ, Jordan KP, et al. Implementing the NICE osteoarthritis guidelines: a mixed methods study and cluster randomised trial of a model osteoarthritis consultation in primary care--the Management of OsteoArthritis In Consultations (MOSAICS) study protocol. Implement Sci 2014;9(1):95.</w:t>
      </w:r>
    </w:p>
    <w:p w14:paraId="5A9CEC2E" w14:textId="77777777" w:rsidR="008141E9" w:rsidRPr="008141E9" w:rsidRDefault="008141E9" w:rsidP="008141E9">
      <w:pPr>
        <w:pStyle w:val="NormalWeb"/>
        <w:rPr>
          <w:rFonts w:ascii="Calibri" w:hAnsi="Calibri" w:cs="Calibri"/>
          <w:sz w:val="22"/>
        </w:rPr>
      </w:pPr>
      <w:r w:rsidRPr="008141E9">
        <w:rPr>
          <w:rFonts w:ascii="Calibri" w:hAnsi="Calibri" w:cs="Calibri"/>
          <w:sz w:val="22"/>
        </w:rPr>
        <w:t>(29) Porcheret M, Main C, Croft P, Dziedzic K. Enhancing delivery of osteoarthritis care in the general practice consultation: evaluation of a behaviour change intervention. BMC Fam Pract 2018 Feb 6;19(1):26-018-0715-8.</w:t>
      </w:r>
    </w:p>
    <w:p w14:paraId="511D7CA6" w14:textId="77777777" w:rsidR="008141E9" w:rsidRPr="008141E9" w:rsidRDefault="008141E9" w:rsidP="008141E9">
      <w:pPr>
        <w:pStyle w:val="NormalWeb"/>
        <w:rPr>
          <w:rFonts w:ascii="Calibri" w:hAnsi="Calibri" w:cs="Calibri"/>
          <w:sz w:val="22"/>
        </w:rPr>
      </w:pPr>
      <w:r w:rsidRPr="008141E9">
        <w:rPr>
          <w:rFonts w:ascii="Calibri" w:hAnsi="Calibri" w:cs="Calibri"/>
          <w:sz w:val="22"/>
        </w:rPr>
        <w:t>(30) Porcheret M, Grime J, Main C, Dziedzic K. Developing a model osteoarthritis consultation: a Delphi consensus exercise. BMC Musculoskelet Disord 2013;14:25.</w:t>
      </w:r>
    </w:p>
    <w:p w14:paraId="7343C145" w14:textId="77777777" w:rsidR="008141E9" w:rsidRPr="008141E9" w:rsidRDefault="008141E9" w:rsidP="008141E9">
      <w:pPr>
        <w:pStyle w:val="NormalWeb"/>
        <w:rPr>
          <w:rFonts w:ascii="Calibri" w:hAnsi="Calibri" w:cs="Calibri"/>
          <w:sz w:val="22"/>
        </w:rPr>
      </w:pPr>
      <w:r w:rsidRPr="008141E9">
        <w:rPr>
          <w:rFonts w:ascii="Calibri" w:hAnsi="Calibri" w:cs="Calibri"/>
          <w:sz w:val="22"/>
        </w:rPr>
        <w:t>(31) Dziedzic KS, Healey EL, Porcheret M, Afolabi EK, Lewis M, Morden A, et al. Implementing core nice guidelines for osteoarthritis in primary care with a model consultation (MOSAICS): A cluster randomised controlled trial. Osteoarthritis Cartilage 2017 Oct 13.</w:t>
      </w:r>
    </w:p>
    <w:p w14:paraId="3A3E1122" w14:textId="38C8EFEE" w:rsidR="00495F6B" w:rsidRPr="009F3A3A" w:rsidRDefault="008141E9" w:rsidP="008141E9">
      <w:r w:rsidRPr="008141E9">
        <w:rPr>
          <w:rFonts w:ascii="Calibri" w:eastAsia="Times New Roman" w:hAnsi="Calibri" w:cs="Calibri"/>
        </w:rPr>
        <w:t> </w:t>
      </w:r>
    </w:p>
    <w:sectPr w:rsidR="00495F6B" w:rsidRPr="009F3A3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E6AAA" w16cid:durableId="1F1FC813"/>
  <w16cid:commentId w16cid:paraId="20BCFC4D" w16cid:durableId="1F1FC7F6"/>
  <w16cid:commentId w16cid:paraId="6BF0E5D6" w16cid:durableId="1F1FC7F7"/>
  <w16cid:commentId w16cid:paraId="5CD9026D" w16cid:durableId="1F1FC7F8"/>
  <w16cid:commentId w16cid:paraId="7D1528F5" w16cid:durableId="1F1FC7F9"/>
  <w16cid:commentId w16cid:paraId="6D11965D" w16cid:durableId="1F1FC7FA"/>
  <w16cid:commentId w16cid:paraId="0CBF2601" w16cid:durableId="1F1FC7FB"/>
  <w16cid:commentId w16cid:paraId="716CB185" w16cid:durableId="1F1FC7FC"/>
  <w16cid:commentId w16cid:paraId="3D49FD9F" w16cid:durableId="1F1FC7FD"/>
  <w16cid:commentId w16cid:paraId="453D297A" w16cid:durableId="1F1FC7FE"/>
  <w16cid:commentId w16cid:paraId="46EAAA4A" w16cid:durableId="1F1FC7FF"/>
  <w16cid:commentId w16cid:paraId="70B19EA5" w16cid:durableId="1F1FC814"/>
  <w16cid:commentId w16cid:paraId="1E95E66C" w16cid:durableId="1F1FC800"/>
  <w16cid:commentId w16cid:paraId="4A3147CB" w16cid:durableId="1F1FC801"/>
  <w16cid:commentId w16cid:paraId="5D283AE7" w16cid:durableId="1F1FC802"/>
  <w16cid:commentId w16cid:paraId="24ED2672" w16cid:durableId="1F1FC9DB"/>
  <w16cid:commentId w16cid:paraId="5D377DA7" w16cid:durableId="1F1FC803"/>
  <w16cid:commentId w16cid:paraId="53EDE385" w16cid:durableId="1F1FC804"/>
  <w16cid:commentId w16cid:paraId="375B0CD4" w16cid:durableId="1F1FC805"/>
  <w16cid:commentId w16cid:paraId="1638C537" w16cid:durableId="1F1FC806"/>
  <w16cid:commentId w16cid:paraId="26ED38CF" w16cid:durableId="1F1FC807"/>
  <w16cid:commentId w16cid:paraId="24C781CD" w16cid:durableId="1F1FC808"/>
  <w16cid:commentId w16cid:paraId="0EBAE49C" w16cid:durableId="1F1FC809"/>
  <w16cid:commentId w16cid:paraId="7CBE88D8" w16cid:durableId="1F1FC80A"/>
  <w16cid:commentId w16cid:paraId="6F525188" w16cid:durableId="1F1FC80B"/>
  <w16cid:commentId w16cid:paraId="4EF0D274" w16cid:durableId="1F1FC80C"/>
  <w16cid:commentId w16cid:paraId="1AC7E188" w16cid:durableId="1F1FC80D"/>
  <w16cid:commentId w16cid:paraId="544562FB" w16cid:durableId="1F1FC80E"/>
  <w16cid:commentId w16cid:paraId="7ED055ED" w16cid:durableId="1F1FC80F"/>
  <w16cid:commentId w16cid:paraId="6ACC0810" w16cid:durableId="1F1FC810"/>
  <w16cid:commentId w16cid:paraId="08689D39" w16cid:durableId="1F1FC811"/>
  <w16cid:commentId w16cid:paraId="1DC6FECF" w16cid:durableId="1F1FC8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EAD19" w14:textId="77777777" w:rsidR="00C154F3" w:rsidRDefault="00C154F3" w:rsidP="00C40FE5">
      <w:pPr>
        <w:spacing w:after="0" w:line="240" w:lineRule="auto"/>
      </w:pPr>
      <w:r>
        <w:separator/>
      </w:r>
    </w:p>
  </w:endnote>
  <w:endnote w:type="continuationSeparator" w:id="0">
    <w:p w14:paraId="4B637157" w14:textId="77777777" w:rsidR="00C154F3" w:rsidRDefault="00C154F3" w:rsidP="00C4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2AA" w14:textId="77777777" w:rsidR="00C154F3" w:rsidRDefault="00C154F3" w:rsidP="00C40FE5">
      <w:pPr>
        <w:spacing w:after="0" w:line="240" w:lineRule="auto"/>
      </w:pPr>
      <w:r>
        <w:separator/>
      </w:r>
    </w:p>
  </w:footnote>
  <w:footnote w:type="continuationSeparator" w:id="0">
    <w:p w14:paraId="085D7055" w14:textId="77777777" w:rsidR="00C154F3" w:rsidRDefault="00C154F3" w:rsidP="00C4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3A7"/>
    <w:multiLevelType w:val="hybridMultilevel"/>
    <w:tmpl w:val="02A0F6AC"/>
    <w:lvl w:ilvl="0" w:tplc="58A8AE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F446B"/>
    <w:multiLevelType w:val="hybridMultilevel"/>
    <w:tmpl w:val="37F2A130"/>
    <w:lvl w:ilvl="0" w:tplc="58A8AE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82795"/>
    <w:multiLevelType w:val="multilevel"/>
    <w:tmpl w:val="615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65C6E"/>
    <w:multiLevelType w:val="hybridMultilevel"/>
    <w:tmpl w:val="88A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D77CC"/>
    <w:multiLevelType w:val="hybridMultilevel"/>
    <w:tmpl w:val="D23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E2D29"/>
    <w:multiLevelType w:val="hybridMultilevel"/>
    <w:tmpl w:val="97DA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17B80"/>
    <w:multiLevelType w:val="hybridMultilevel"/>
    <w:tmpl w:val="54B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12458"/>
    <w:multiLevelType w:val="hybridMultilevel"/>
    <w:tmpl w:val="BD28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21B5F"/>
    <w:multiLevelType w:val="hybridMultilevel"/>
    <w:tmpl w:val="9B98B80E"/>
    <w:lvl w:ilvl="0" w:tplc="58A8AE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09B5"/>
    <w:multiLevelType w:val="hybridMultilevel"/>
    <w:tmpl w:val="44B43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65B96"/>
    <w:multiLevelType w:val="multilevel"/>
    <w:tmpl w:val="CC94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436A9"/>
    <w:multiLevelType w:val="hybridMultilevel"/>
    <w:tmpl w:val="479EEC0C"/>
    <w:lvl w:ilvl="0" w:tplc="58A8AE96">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D3A640C"/>
    <w:multiLevelType w:val="multilevel"/>
    <w:tmpl w:val="C544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7"/>
  </w:num>
  <w:num w:numId="5">
    <w:abstractNumId w:val="4"/>
  </w:num>
  <w:num w:numId="6">
    <w:abstractNumId w:val="5"/>
  </w:num>
  <w:num w:numId="7">
    <w:abstractNumId w:val="10"/>
  </w:num>
  <w:num w:numId="8">
    <w:abstractNumId w:val="2"/>
  </w:num>
  <w:num w:numId="9">
    <w:abstractNumId w:val="12"/>
  </w:num>
  <w:num w:numId="10">
    <w:abstractNumId w:val="1"/>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C2"/>
    <w:rsid w:val="000075D7"/>
    <w:rsid w:val="00016312"/>
    <w:rsid w:val="00020411"/>
    <w:rsid w:val="000209FF"/>
    <w:rsid w:val="0002463E"/>
    <w:rsid w:val="00026AD5"/>
    <w:rsid w:val="000337B0"/>
    <w:rsid w:val="000408AD"/>
    <w:rsid w:val="00055EFA"/>
    <w:rsid w:val="0005629D"/>
    <w:rsid w:val="00057BCB"/>
    <w:rsid w:val="00080A58"/>
    <w:rsid w:val="00084AF0"/>
    <w:rsid w:val="0009066F"/>
    <w:rsid w:val="000945CD"/>
    <w:rsid w:val="000B220E"/>
    <w:rsid w:val="000B6ED4"/>
    <w:rsid w:val="000C7F27"/>
    <w:rsid w:val="000D0BF5"/>
    <w:rsid w:val="000D19B0"/>
    <w:rsid w:val="000D2D98"/>
    <w:rsid w:val="00107216"/>
    <w:rsid w:val="00110160"/>
    <w:rsid w:val="00111662"/>
    <w:rsid w:val="00112AB9"/>
    <w:rsid w:val="00114CCA"/>
    <w:rsid w:val="00123E30"/>
    <w:rsid w:val="00125ED1"/>
    <w:rsid w:val="00134F4E"/>
    <w:rsid w:val="0013554A"/>
    <w:rsid w:val="00137F0C"/>
    <w:rsid w:val="00140D7F"/>
    <w:rsid w:val="001437E1"/>
    <w:rsid w:val="001551AD"/>
    <w:rsid w:val="001556E2"/>
    <w:rsid w:val="00175B7B"/>
    <w:rsid w:val="00176C45"/>
    <w:rsid w:val="00180400"/>
    <w:rsid w:val="00181DE4"/>
    <w:rsid w:val="00184248"/>
    <w:rsid w:val="00186981"/>
    <w:rsid w:val="001A0082"/>
    <w:rsid w:val="001B66F2"/>
    <w:rsid w:val="001C665A"/>
    <w:rsid w:val="001E3900"/>
    <w:rsid w:val="001E6E3A"/>
    <w:rsid w:val="001F4EAC"/>
    <w:rsid w:val="00202FFE"/>
    <w:rsid w:val="00203627"/>
    <w:rsid w:val="00207F83"/>
    <w:rsid w:val="00215BFB"/>
    <w:rsid w:val="0022780E"/>
    <w:rsid w:val="002558BA"/>
    <w:rsid w:val="00291EB0"/>
    <w:rsid w:val="00292D99"/>
    <w:rsid w:val="002A75ED"/>
    <w:rsid w:val="002B0908"/>
    <w:rsid w:val="002B1AEF"/>
    <w:rsid w:val="002B2726"/>
    <w:rsid w:val="002B45B0"/>
    <w:rsid w:val="002B749F"/>
    <w:rsid w:val="002C0AB6"/>
    <w:rsid w:val="002D16E1"/>
    <w:rsid w:val="002D330A"/>
    <w:rsid w:val="002D69F0"/>
    <w:rsid w:val="002D7249"/>
    <w:rsid w:val="002E287E"/>
    <w:rsid w:val="00312479"/>
    <w:rsid w:val="003139B4"/>
    <w:rsid w:val="003147CB"/>
    <w:rsid w:val="00326CE2"/>
    <w:rsid w:val="00330F5A"/>
    <w:rsid w:val="00332D35"/>
    <w:rsid w:val="0033508D"/>
    <w:rsid w:val="00344C3A"/>
    <w:rsid w:val="00347D82"/>
    <w:rsid w:val="003502CF"/>
    <w:rsid w:val="003549F7"/>
    <w:rsid w:val="00373564"/>
    <w:rsid w:val="00383B64"/>
    <w:rsid w:val="0038575F"/>
    <w:rsid w:val="003967C7"/>
    <w:rsid w:val="003B7D4C"/>
    <w:rsid w:val="003C01AE"/>
    <w:rsid w:val="003C5A75"/>
    <w:rsid w:val="003D23F8"/>
    <w:rsid w:val="003F64C7"/>
    <w:rsid w:val="00407D6B"/>
    <w:rsid w:val="004133AA"/>
    <w:rsid w:val="00415524"/>
    <w:rsid w:val="004159C0"/>
    <w:rsid w:val="00417AFA"/>
    <w:rsid w:val="00433015"/>
    <w:rsid w:val="00447B90"/>
    <w:rsid w:val="0046216E"/>
    <w:rsid w:val="004652FC"/>
    <w:rsid w:val="00475627"/>
    <w:rsid w:val="00476D3E"/>
    <w:rsid w:val="004842F4"/>
    <w:rsid w:val="00484A91"/>
    <w:rsid w:val="00487B2C"/>
    <w:rsid w:val="00490528"/>
    <w:rsid w:val="00495F6B"/>
    <w:rsid w:val="004A0D0A"/>
    <w:rsid w:val="004A1F3D"/>
    <w:rsid w:val="004B21B3"/>
    <w:rsid w:val="004B3D5F"/>
    <w:rsid w:val="004B7EBB"/>
    <w:rsid w:val="004C0E12"/>
    <w:rsid w:val="004C12BF"/>
    <w:rsid w:val="004C29B7"/>
    <w:rsid w:val="004E6CE3"/>
    <w:rsid w:val="004F0A1B"/>
    <w:rsid w:val="00503939"/>
    <w:rsid w:val="0050769D"/>
    <w:rsid w:val="005119C0"/>
    <w:rsid w:val="00512745"/>
    <w:rsid w:val="00517C6F"/>
    <w:rsid w:val="005334BB"/>
    <w:rsid w:val="00533FAB"/>
    <w:rsid w:val="00534A0A"/>
    <w:rsid w:val="005446B5"/>
    <w:rsid w:val="005546DD"/>
    <w:rsid w:val="00561E5A"/>
    <w:rsid w:val="005720DC"/>
    <w:rsid w:val="00577C5F"/>
    <w:rsid w:val="005817B7"/>
    <w:rsid w:val="005845D0"/>
    <w:rsid w:val="00587EA6"/>
    <w:rsid w:val="005A558C"/>
    <w:rsid w:val="005B78FD"/>
    <w:rsid w:val="005C5DB8"/>
    <w:rsid w:val="005D6704"/>
    <w:rsid w:val="005E3AF8"/>
    <w:rsid w:val="005F09BD"/>
    <w:rsid w:val="005F7956"/>
    <w:rsid w:val="00600F71"/>
    <w:rsid w:val="00612DE2"/>
    <w:rsid w:val="00620C36"/>
    <w:rsid w:val="0063385C"/>
    <w:rsid w:val="00634A9A"/>
    <w:rsid w:val="006409D3"/>
    <w:rsid w:val="00653DEB"/>
    <w:rsid w:val="0065793B"/>
    <w:rsid w:val="00670F68"/>
    <w:rsid w:val="00680005"/>
    <w:rsid w:val="00692FE1"/>
    <w:rsid w:val="0069359D"/>
    <w:rsid w:val="006A19C0"/>
    <w:rsid w:val="006A4F92"/>
    <w:rsid w:val="006A6F38"/>
    <w:rsid w:val="006C18F2"/>
    <w:rsid w:val="006C2C00"/>
    <w:rsid w:val="006D6535"/>
    <w:rsid w:val="006E47B3"/>
    <w:rsid w:val="006F28CC"/>
    <w:rsid w:val="006F4527"/>
    <w:rsid w:val="006F6590"/>
    <w:rsid w:val="0070094B"/>
    <w:rsid w:val="00715AFE"/>
    <w:rsid w:val="00725656"/>
    <w:rsid w:val="00725D10"/>
    <w:rsid w:val="0073384C"/>
    <w:rsid w:val="007350EE"/>
    <w:rsid w:val="0074381A"/>
    <w:rsid w:val="00747734"/>
    <w:rsid w:val="0075518F"/>
    <w:rsid w:val="00760E6F"/>
    <w:rsid w:val="007634B1"/>
    <w:rsid w:val="007A36A0"/>
    <w:rsid w:val="007A4263"/>
    <w:rsid w:val="007A60F2"/>
    <w:rsid w:val="007B0F54"/>
    <w:rsid w:val="007B140B"/>
    <w:rsid w:val="007B278B"/>
    <w:rsid w:val="007D6AB2"/>
    <w:rsid w:val="007E0434"/>
    <w:rsid w:val="007E4366"/>
    <w:rsid w:val="007F59FD"/>
    <w:rsid w:val="00802FFE"/>
    <w:rsid w:val="00813714"/>
    <w:rsid w:val="008141E9"/>
    <w:rsid w:val="008159FC"/>
    <w:rsid w:val="00816372"/>
    <w:rsid w:val="00826D1F"/>
    <w:rsid w:val="00842B5C"/>
    <w:rsid w:val="00854566"/>
    <w:rsid w:val="00854DFF"/>
    <w:rsid w:val="0086238C"/>
    <w:rsid w:val="00870CBA"/>
    <w:rsid w:val="008750C5"/>
    <w:rsid w:val="00876E58"/>
    <w:rsid w:val="008867BB"/>
    <w:rsid w:val="008B0D54"/>
    <w:rsid w:val="008B2DEC"/>
    <w:rsid w:val="008C1BB7"/>
    <w:rsid w:val="008D2113"/>
    <w:rsid w:val="008D51E3"/>
    <w:rsid w:val="008E2BEE"/>
    <w:rsid w:val="008E6BBA"/>
    <w:rsid w:val="008F190C"/>
    <w:rsid w:val="00900234"/>
    <w:rsid w:val="00904720"/>
    <w:rsid w:val="00907689"/>
    <w:rsid w:val="00913CD7"/>
    <w:rsid w:val="00931EF5"/>
    <w:rsid w:val="009335A5"/>
    <w:rsid w:val="00934B26"/>
    <w:rsid w:val="00946F9F"/>
    <w:rsid w:val="00950657"/>
    <w:rsid w:val="00953783"/>
    <w:rsid w:val="0095735A"/>
    <w:rsid w:val="009736A4"/>
    <w:rsid w:val="00986D14"/>
    <w:rsid w:val="009930ED"/>
    <w:rsid w:val="009947CF"/>
    <w:rsid w:val="00996052"/>
    <w:rsid w:val="009C5C9C"/>
    <w:rsid w:val="009D2A72"/>
    <w:rsid w:val="009D3A0F"/>
    <w:rsid w:val="009D6E43"/>
    <w:rsid w:val="009E4E5F"/>
    <w:rsid w:val="009F040A"/>
    <w:rsid w:val="009F3A3A"/>
    <w:rsid w:val="009F781E"/>
    <w:rsid w:val="00A0296C"/>
    <w:rsid w:val="00A1049A"/>
    <w:rsid w:val="00A108C9"/>
    <w:rsid w:val="00A158AE"/>
    <w:rsid w:val="00A17DA4"/>
    <w:rsid w:val="00A24FD3"/>
    <w:rsid w:val="00A26DE6"/>
    <w:rsid w:val="00A302AF"/>
    <w:rsid w:val="00A41A99"/>
    <w:rsid w:val="00A4641E"/>
    <w:rsid w:val="00A54293"/>
    <w:rsid w:val="00A73C1F"/>
    <w:rsid w:val="00A774D0"/>
    <w:rsid w:val="00A948A4"/>
    <w:rsid w:val="00AB014A"/>
    <w:rsid w:val="00AE3DB4"/>
    <w:rsid w:val="00AE566C"/>
    <w:rsid w:val="00AF6D8A"/>
    <w:rsid w:val="00B00CFB"/>
    <w:rsid w:val="00B06DAC"/>
    <w:rsid w:val="00B1694C"/>
    <w:rsid w:val="00B250BD"/>
    <w:rsid w:val="00B32B5F"/>
    <w:rsid w:val="00B40006"/>
    <w:rsid w:val="00B520D8"/>
    <w:rsid w:val="00B53C2E"/>
    <w:rsid w:val="00B60B49"/>
    <w:rsid w:val="00B61518"/>
    <w:rsid w:val="00B67315"/>
    <w:rsid w:val="00B72EA7"/>
    <w:rsid w:val="00B75F2A"/>
    <w:rsid w:val="00B8099F"/>
    <w:rsid w:val="00B954F0"/>
    <w:rsid w:val="00BA46CF"/>
    <w:rsid w:val="00BA5952"/>
    <w:rsid w:val="00BA6B12"/>
    <w:rsid w:val="00BB1E5D"/>
    <w:rsid w:val="00BC4789"/>
    <w:rsid w:val="00BC4A70"/>
    <w:rsid w:val="00BE6373"/>
    <w:rsid w:val="00BF3924"/>
    <w:rsid w:val="00BF458F"/>
    <w:rsid w:val="00C04C65"/>
    <w:rsid w:val="00C154F3"/>
    <w:rsid w:val="00C22FA3"/>
    <w:rsid w:val="00C23635"/>
    <w:rsid w:val="00C308A9"/>
    <w:rsid w:val="00C328BA"/>
    <w:rsid w:val="00C408AF"/>
    <w:rsid w:val="00C40FE5"/>
    <w:rsid w:val="00C51E3B"/>
    <w:rsid w:val="00C56B68"/>
    <w:rsid w:val="00C74325"/>
    <w:rsid w:val="00C8589F"/>
    <w:rsid w:val="00C93986"/>
    <w:rsid w:val="00C96949"/>
    <w:rsid w:val="00C97B96"/>
    <w:rsid w:val="00CB301E"/>
    <w:rsid w:val="00CB45F3"/>
    <w:rsid w:val="00CC1A78"/>
    <w:rsid w:val="00CC7876"/>
    <w:rsid w:val="00CC7921"/>
    <w:rsid w:val="00CF2821"/>
    <w:rsid w:val="00CF353F"/>
    <w:rsid w:val="00CF505C"/>
    <w:rsid w:val="00D038E0"/>
    <w:rsid w:val="00D07C86"/>
    <w:rsid w:val="00D22DD9"/>
    <w:rsid w:val="00D26495"/>
    <w:rsid w:val="00D32AC4"/>
    <w:rsid w:val="00D45D4E"/>
    <w:rsid w:val="00D4732F"/>
    <w:rsid w:val="00D65EB0"/>
    <w:rsid w:val="00D70320"/>
    <w:rsid w:val="00D7456A"/>
    <w:rsid w:val="00D9440E"/>
    <w:rsid w:val="00DA631E"/>
    <w:rsid w:val="00DB5925"/>
    <w:rsid w:val="00DC5D67"/>
    <w:rsid w:val="00DD7BAC"/>
    <w:rsid w:val="00DE0A05"/>
    <w:rsid w:val="00DE7B6F"/>
    <w:rsid w:val="00DF13A8"/>
    <w:rsid w:val="00DF2FC2"/>
    <w:rsid w:val="00E01417"/>
    <w:rsid w:val="00E064FB"/>
    <w:rsid w:val="00E15ED0"/>
    <w:rsid w:val="00E6387E"/>
    <w:rsid w:val="00E63B74"/>
    <w:rsid w:val="00E71C4D"/>
    <w:rsid w:val="00E72A37"/>
    <w:rsid w:val="00E739A1"/>
    <w:rsid w:val="00EA1A37"/>
    <w:rsid w:val="00EA1C85"/>
    <w:rsid w:val="00EB4A16"/>
    <w:rsid w:val="00EB7604"/>
    <w:rsid w:val="00EC5F2E"/>
    <w:rsid w:val="00EC5FB4"/>
    <w:rsid w:val="00EE7BAE"/>
    <w:rsid w:val="00F2559A"/>
    <w:rsid w:val="00F30CCE"/>
    <w:rsid w:val="00F3316E"/>
    <w:rsid w:val="00F44D31"/>
    <w:rsid w:val="00F550DF"/>
    <w:rsid w:val="00F566AB"/>
    <w:rsid w:val="00F83AC7"/>
    <w:rsid w:val="00F85AE0"/>
    <w:rsid w:val="00FC6797"/>
    <w:rsid w:val="00FE5B20"/>
    <w:rsid w:val="00FE5C04"/>
    <w:rsid w:val="00FF2630"/>
    <w:rsid w:val="00FF58ED"/>
    <w:rsid w:val="00FF65C0"/>
    <w:rsid w:val="00FF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02778"/>
  <w15:chartTrackingRefBased/>
  <w15:docId w15:val="{5BD0ED66-ABB3-4AAF-85E6-90DE976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2FC2"/>
    <w:rPr>
      <w:sz w:val="16"/>
      <w:szCs w:val="16"/>
    </w:rPr>
  </w:style>
  <w:style w:type="paragraph" w:styleId="CommentText">
    <w:name w:val="annotation text"/>
    <w:basedOn w:val="Normal"/>
    <w:link w:val="CommentTextChar"/>
    <w:uiPriority w:val="99"/>
    <w:semiHidden/>
    <w:unhideWhenUsed/>
    <w:rsid w:val="00DF2FC2"/>
    <w:pPr>
      <w:spacing w:line="240" w:lineRule="auto"/>
    </w:pPr>
    <w:rPr>
      <w:sz w:val="20"/>
      <w:szCs w:val="20"/>
    </w:rPr>
  </w:style>
  <w:style w:type="character" w:customStyle="1" w:styleId="CommentTextChar">
    <w:name w:val="Comment Text Char"/>
    <w:basedOn w:val="DefaultParagraphFont"/>
    <w:link w:val="CommentText"/>
    <w:uiPriority w:val="99"/>
    <w:semiHidden/>
    <w:rsid w:val="00DF2FC2"/>
    <w:rPr>
      <w:sz w:val="20"/>
      <w:szCs w:val="20"/>
    </w:rPr>
  </w:style>
  <w:style w:type="paragraph" w:styleId="CommentSubject">
    <w:name w:val="annotation subject"/>
    <w:basedOn w:val="CommentText"/>
    <w:next w:val="CommentText"/>
    <w:link w:val="CommentSubjectChar"/>
    <w:uiPriority w:val="99"/>
    <w:semiHidden/>
    <w:unhideWhenUsed/>
    <w:rsid w:val="00DF2FC2"/>
    <w:rPr>
      <w:b/>
      <w:bCs/>
    </w:rPr>
  </w:style>
  <w:style w:type="character" w:customStyle="1" w:styleId="CommentSubjectChar">
    <w:name w:val="Comment Subject Char"/>
    <w:basedOn w:val="CommentTextChar"/>
    <w:link w:val="CommentSubject"/>
    <w:uiPriority w:val="99"/>
    <w:semiHidden/>
    <w:rsid w:val="00DF2FC2"/>
    <w:rPr>
      <w:b/>
      <w:bCs/>
      <w:sz w:val="20"/>
      <w:szCs w:val="20"/>
    </w:rPr>
  </w:style>
  <w:style w:type="paragraph" w:styleId="BalloonText">
    <w:name w:val="Balloon Text"/>
    <w:basedOn w:val="Normal"/>
    <w:link w:val="BalloonTextChar"/>
    <w:uiPriority w:val="99"/>
    <w:semiHidden/>
    <w:unhideWhenUsed/>
    <w:rsid w:val="00DF2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C2"/>
    <w:rPr>
      <w:rFonts w:ascii="Segoe UI" w:hAnsi="Segoe UI" w:cs="Segoe UI"/>
      <w:sz w:val="18"/>
      <w:szCs w:val="18"/>
    </w:rPr>
  </w:style>
  <w:style w:type="paragraph" w:styleId="ListParagraph">
    <w:name w:val="List Paragraph"/>
    <w:basedOn w:val="Normal"/>
    <w:uiPriority w:val="34"/>
    <w:qFormat/>
    <w:rsid w:val="002B45B0"/>
    <w:pPr>
      <w:ind w:left="720"/>
      <w:contextualSpacing/>
    </w:pPr>
  </w:style>
  <w:style w:type="character" w:styleId="Hyperlink">
    <w:name w:val="Hyperlink"/>
    <w:basedOn w:val="DefaultParagraphFont"/>
    <w:uiPriority w:val="99"/>
    <w:unhideWhenUsed/>
    <w:rsid w:val="005720DC"/>
    <w:rPr>
      <w:color w:val="0563C1" w:themeColor="hyperlink"/>
      <w:u w:val="single"/>
    </w:rPr>
  </w:style>
  <w:style w:type="paragraph" w:customStyle="1" w:styleId="numbered-paragraph">
    <w:name w:val="numbered-paragraph"/>
    <w:basedOn w:val="Normal"/>
    <w:rsid w:val="00572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72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3554A"/>
    <w:rPr>
      <w:color w:val="954F72" w:themeColor="followedHyperlink"/>
      <w:u w:val="single"/>
    </w:rPr>
  </w:style>
  <w:style w:type="table" w:styleId="TableGrid">
    <w:name w:val="Table Grid"/>
    <w:basedOn w:val="TableNormal"/>
    <w:uiPriority w:val="39"/>
    <w:rsid w:val="002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0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E5"/>
    <w:rPr>
      <w:sz w:val="20"/>
      <w:szCs w:val="20"/>
    </w:rPr>
  </w:style>
  <w:style w:type="character" w:styleId="FootnoteReference">
    <w:name w:val="footnote reference"/>
    <w:basedOn w:val="DefaultParagraphFont"/>
    <w:uiPriority w:val="99"/>
    <w:semiHidden/>
    <w:unhideWhenUsed/>
    <w:rsid w:val="00C40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6535">
      <w:bodyDiv w:val="1"/>
      <w:marLeft w:val="0"/>
      <w:marRight w:val="0"/>
      <w:marTop w:val="0"/>
      <w:marBottom w:val="0"/>
      <w:divBdr>
        <w:top w:val="none" w:sz="0" w:space="0" w:color="auto"/>
        <w:left w:val="none" w:sz="0" w:space="0" w:color="auto"/>
        <w:bottom w:val="none" w:sz="0" w:space="0" w:color="auto"/>
        <w:right w:val="none" w:sz="0" w:space="0" w:color="auto"/>
      </w:divBdr>
    </w:div>
    <w:div w:id="444469883">
      <w:bodyDiv w:val="1"/>
      <w:marLeft w:val="0"/>
      <w:marRight w:val="0"/>
      <w:marTop w:val="0"/>
      <w:marBottom w:val="0"/>
      <w:divBdr>
        <w:top w:val="none" w:sz="0" w:space="0" w:color="auto"/>
        <w:left w:val="none" w:sz="0" w:space="0" w:color="auto"/>
        <w:bottom w:val="none" w:sz="0" w:space="0" w:color="auto"/>
        <w:right w:val="none" w:sz="0" w:space="0" w:color="auto"/>
      </w:divBdr>
      <w:divsChild>
        <w:div w:id="1231037763">
          <w:marLeft w:val="960"/>
          <w:marRight w:val="0"/>
          <w:marTop w:val="0"/>
          <w:marBottom w:val="0"/>
          <w:divBdr>
            <w:top w:val="none" w:sz="0" w:space="0" w:color="auto"/>
            <w:left w:val="none" w:sz="0" w:space="0" w:color="auto"/>
            <w:bottom w:val="none" w:sz="0" w:space="0" w:color="auto"/>
            <w:right w:val="none" w:sz="0" w:space="0" w:color="auto"/>
          </w:divBdr>
        </w:div>
      </w:divsChild>
    </w:div>
    <w:div w:id="491678795">
      <w:bodyDiv w:val="1"/>
      <w:marLeft w:val="0"/>
      <w:marRight w:val="0"/>
      <w:marTop w:val="0"/>
      <w:marBottom w:val="0"/>
      <w:divBdr>
        <w:top w:val="none" w:sz="0" w:space="0" w:color="auto"/>
        <w:left w:val="none" w:sz="0" w:space="0" w:color="auto"/>
        <w:bottom w:val="none" w:sz="0" w:space="0" w:color="auto"/>
        <w:right w:val="none" w:sz="0" w:space="0" w:color="auto"/>
      </w:divBdr>
    </w:div>
    <w:div w:id="713122001">
      <w:bodyDiv w:val="1"/>
      <w:marLeft w:val="0"/>
      <w:marRight w:val="0"/>
      <w:marTop w:val="0"/>
      <w:marBottom w:val="0"/>
      <w:divBdr>
        <w:top w:val="none" w:sz="0" w:space="0" w:color="auto"/>
        <w:left w:val="none" w:sz="0" w:space="0" w:color="auto"/>
        <w:bottom w:val="none" w:sz="0" w:space="0" w:color="auto"/>
        <w:right w:val="none" w:sz="0" w:space="0" w:color="auto"/>
      </w:divBdr>
    </w:div>
    <w:div w:id="719092687">
      <w:bodyDiv w:val="1"/>
      <w:marLeft w:val="0"/>
      <w:marRight w:val="0"/>
      <w:marTop w:val="0"/>
      <w:marBottom w:val="0"/>
      <w:divBdr>
        <w:top w:val="none" w:sz="0" w:space="0" w:color="auto"/>
        <w:left w:val="none" w:sz="0" w:space="0" w:color="auto"/>
        <w:bottom w:val="none" w:sz="0" w:space="0" w:color="auto"/>
        <w:right w:val="none" w:sz="0" w:space="0" w:color="auto"/>
      </w:divBdr>
    </w:div>
    <w:div w:id="749666462">
      <w:bodyDiv w:val="1"/>
      <w:marLeft w:val="0"/>
      <w:marRight w:val="0"/>
      <w:marTop w:val="0"/>
      <w:marBottom w:val="0"/>
      <w:divBdr>
        <w:top w:val="none" w:sz="0" w:space="0" w:color="auto"/>
        <w:left w:val="none" w:sz="0" w:space="0" w:color="auto"/>
        <w:bottom w:val="none" w:sz="0" w:space="0" w:color="auto"/>
        <w:right w:val="none" w:sz="0" w:space="0" w:color="auto"/>
      </w:divBdr>
    </w:div>
    <w:div w:id="864440412">
      <w:bodyDiv w:val="1"/>
      <w:marLeft w:val="0"/>
      <w:marRight w:val="0"/>
      <w:marTop w:val="0"/>
      <w:marBottom w:val="0"/>
      <w:divBdr>
        <w:top w:val="none" w:sz="0" w:space="0" w:color="auto"/>
        <w:left w:val="none" w:sz="0" w:space="0" w:color="auto"/>
        <w:bottom w:val="none" w:sz="0" w:space="0" w:color="auto"/>
        <w:right w:val="none" w:sz="0" w:space="0" w:color="auto"/>
      </w:divBdr>
    </w:div>
    <w:div w:id="964845897">
      <w:bodyDiv w:val="1"/>
      <w:marLeft w:val="0"/>
      <w:marRight w:val="0"/>
      <w:marTop w:val="0"/>
      <w:marBottom w:val="0"/>
      <w:divBdr>
        <w:top w:val="none" w:sz="0" w:space="0" w:color="auto"/>
        <w:left w:val="none" w:sz="0" w:space="0" w:color="auto"/>
        <w:bottom w:val="none" w:sz="0" w:space="0" w:color="auto"/>
        <w:right w:val="none" w:sz="0" w:space="0" w:color="auto"/>
      </w:divBdr>
    </w:div>
    <w:div w:id="1020737475">
      <w:bodyDiv w:val="1"/>
      <w:marLeft w:val="0"/>
      <w:marRight w:val="0"/>
      <w:marTop w:val="0"/>
      <w:marBottom w:val="0"/>
      <w:divBdr>
        <w:top w:val="none" w:sz="0" w:space="0" w:color="auto"/>
        <w:left w:val="none" w:sz="0" w:space="0" w:color="auto"/>
        <w:bottom w:val="none" w:sz="0" w:space="0" w:color="auto"/>
        <w:right w:val="none" w:sz="0" w:space="0" w:color="auto"/>
      </w:divBdr>
    </w:div>
    <w:div w:id="1170675104">
      <w:bodyDiv w:val="1"/>
      <w:marLeft w:val="0"/>
      <w:marRight w:val="0"/>
      <w:marTop w:val="0"/>
      <w:marBottom w:val="0"/>
      <w:divBdr>
        <w:top w:val="none" w:sz="0" w:space="0" w:color="auto"/>
        <w:left w:val="none" w:sz="0" w:space="0" w:color="auto"/>
        <w:bottom w:val="none" w:sz="0" w:space="0" w:color="auto"/>
        <w:right w:val="none" w:sz="0" w:space="0" w:color="auto"/>
      </w:divBdr>
    </w:div>
    <w:div w:id="1242715209">
      <w:bodyDiv w:val="1"/>
      <w:marLeft w:val="0"/>
      <w:marRight w:val="0"/>
      <w:marTop w:val="0"/>
      <w:marBottom w:val="0"/>
      <w:divBdr>
        <w:top w:val="none" w:sz="0" w:space="0" w:color="auto"/>
        <w:left w:val="none" w:sz="0" w:space="0" w:color="auto"/>
        <w:bottom w:val="none" w:sz="0" w:space="0" w:color="auto"/>
        <w:right w:val="none" w:sz="0" w:space="0" w:color="auto"/>
      </w:divBdr>
    </w:div>
    <w:div w:id="1280796976">
      <w:bodyDiv w:val="1"/>
      <w:marLeft w:val="0"/>
      <w:marRight w:val="0"/>
      <w:marTop w:val="0"/>
      <w:marBottom w:val="0"/>
      <w:divBdr>
        <w:top w:val="none" w:sz="0" w:space="0" w:color="auto"/>
        <w:left w:val="none" w:sz="0" w:space="0" w:color="auto"/>
        <w:bottom w:val="none" w:sz="0" w:space="0" w:color="auto"/>
        <w:right w:val="none" w:sz="0" w:space="0" w:color="auto"/>
      </w:divBdr>
    </w:div>
    <w:div w:id="1453666712">
      <w:bodyDiv w:val="1"/>
      <w:marLeft w:val="0"/>
      <w:marRight w:val="0"/>
      <w:marTop w:val="0"/>
      <w:marBottom w:val="0"/>
      <w:divBdr>
        <w:top w:val="none" w:sz="0" w:space="0" w:color="auto"/>
        <w:left w:val="none" w:sz="0" w:space="0" w:color="auto"/>
        <w:bottom w:val="none" w:sz="0" w:space="0" w:color="auto"/>
        <w:right w:val="none" w:sz="0" w:space="0" w:color="auto"/>
      </w:divBdr>
    </w:div>
    <w:div w:id="1685398345">
      <w:bodyDiv w:val="1"/>
      <w:marLeft w:val="0"/>
      <w:marRight w:val="0"/>
      <w:marTop w:val="0"/>
      <w:marBottom w:val="0"/>
      <w:divBdr>
        <w:top w:val="none" w:sz="0" w:space="0" w:color="auto"/>
        <w:left w:val="none" w:sz="0" w:space="0" w:color="auto"/>
        <w:bottom w:val="none" w:sz="0" w:space="0" w:color="auto"/>
        <w:right w:val="none" w:sz="0" w:space="0" w:color="auto"/>
      </w:divBdr>
    </w:div>
    <w:div w:id="1713264146">
      <w:bodyDiv w:val="1"/>
      <w:marLeft w:val="0"/>
      <w:marRight w:val="0"/>
      <w:marTop w:val="0"/>
      <w:marBottom w:val="0"/>
      <w:divBdr>
        <w:top w:val="none" w:sz="0" w:space="0" w:color="auto"/>
        <w:left w:val="none" w:sz="0" w:space="0" w:color="auto"/>
        <w:bottom w:val="none" w:sz="0" w:space="0" w:color="auto"/>
        <w:right w:val="none" w:sz="0" w:space="0" w:color="auto"/>
      </w:divBdr>
    </w:div>
    <w:div w:id="1759397976">
      <w:bodyDiv w:val="1"/>
      <w:marLeft w:val="0"/>
      <w:marRight w:val="0"/>
      <w:marTop w:val="0"/>
      <w:marBottom w:val="0"/>
      <w:divBdr>
        <w:top w:val="none" w:sz="0" w:space="0" w:color="auto"/>
        <w:left w:val="none" w:sz="0" w:space="0" w:color="auto"/>
        <w:bottom w:val="none" w:sz="0" w:space="0" w:color="auto"/>
        <w:right w:val="none" w:sz="0" w:space="0" w:color="auto"/>
      </w:divBdr>
    </w:div>
    <w:div w:id="1777212996">
      <w:bodyDiv w:val="1"/>
      <w:marLeft w:val="0"/>
      <w:marRight w:val="0"/>
      <w:marTop w:val="0"/>
      <w:marBottom w:val="0"/>
      <w:divBdr>
        <w:top w:val="none" w:sz="0" w:space="0" w:color="auto"/>
        <w:left w:val="none" w:sz="0" w:space="0" w:color="auto"/>
        <w:bottom w:val="none" w:sz="0" w:space="0" w:color="auto"/>
        <w:right w:val="none" w:sz="0" w:space="0" w:color="auto"/>
      </w:divBdr>
    </w:div>
    <w:div w:id="1785152198">
      <w:bodyDiv w:val="1"/>
      <w:marLeft w:val="0"/>
      <w:marRight w:val="0"/>
      <w:marTop w:val="0"/>
      <w:marBottom w:val="0"/>
      <w:divBdr>
        <w:top w:val="none" w:sz="0" w:space="0" w:color="auto"/>
        <w:left w:val="none" w:sz="0" w:space="0" w:color="auto"/>
        <w:bottom w:val="none" w:sz="0" w:space="0" w:color="auto"/>
        <w:right w:val="none" w:sz="0" w:space="0" w:color="auto"/>
      </w:divBdr>
    </w:div>
    <w:div w:id="1905097299">
      <w:bodyDiv w:val="1"/>
      <w:marLeft w:val="0"/>
      <w:marRight w:val="0"/>
      <w:marTop w:val="0"/>
      <w:marBottom w:val="0"/>
      <w:divBdr>
        <w:top w:val="none" w:sz="0" w:space="0" w:color="auto"/>
        <w:left w:val="none" w:sz="0" w:space="0" w:color="auto"/>
        <w:bottom w:val="none" w:sz="0" w:space="0" w:color="auto"/>
        <w:right w:val="none" w:sz="0" w:space="0" w:color="auto"/>
      </w:divBdr>
      <w:divsChild>
        <w:div w:id="583221526">
          <w:marLeft w:val="960"/>
          <w:marRight w:val="0"/>
          <w:marTop w:val="0"/>
          <w:marBottom w:val="0"/>
          <w:divBdr>
            <w:top w:val="none" w:sz="0" w:space="0" w:color="auto"/>
            <w:left w:val="none" w:sz="0" w:space="0" w:color="auto"/>
            <w:bottom w:val="none" w:sz="0" w:space="0" w:color="auto"/>
            <w:right w:val="none" w:sz="0" w:space="0" w:color="auto"/>
          </w:divBdr>
        </w:div>
      </w:divsChild>
    </w:div>
    <w:div w:id="1937244470">
      <w:bodyDiv w:val="1"/>
      <w:marLeft w:val="0"/>
      <w:marRight w:val="0"/>
      <w:marTop w:val="0"/>
      <w:marBottom w:val="0"/>
      <w:divBdr>
        <w:top w:val="none" w:sz="0" w:space="0" w:color="auto"/>
        <w:left w:val="none" w:sz="0" w:space="0" w:color="auto"/>
        <w:bottom w:val="none" w:sz="0" w:space="0" w:color="auto"/>
        <w:right w:val="none" w:sz="0" w:space="0" w:color="auto"/>
      </w:divBdr>
    </w:div>
    <w:div w:id="1954244197">
      <w:bodyDiv w:val="1"/>
      <w:marLeft w:val="0"/>
      <w:marRight w:val="0"/>
      <w:marTop w:val="0"/>
      <w:marBottom w:val="0"/>
      <w:divBdr>
        <w:top w:val="none" w:sz="0" w:space="0" w:color="auto"/>
        <w:left w:val="none" w:sz="0" w:space="0" w:color="auto"/>
        <w:bottom w:val="none" w:sz="0" w:space="0" w:color="auto"/>
        <w:right w:val="none" w:sz="0" w:space="0" w:color="auto"/>
      </w:divBdr>
    </w:div>
    <w:div w:id="2017807518">
      <w:bodyDiv w:val="1"/>
      <w:marLeft w:val="0"/>
      <w:marRight w:val="0"/>
      <w:marTop w:val="0"/>
      <w:marBottom w:val="0"/>
      <w:divBdr>
        <w:top w:val="none" w:sz="0" w:space="0" w:color="auto"/>
        <w:left w:val="none" w:sz="0" w:space="0" w:color="auto"/>
        <w:bottom w:val="none" w:sz="0" w:space="0" w:color="auto"/>
        <w:right w:val="none" w:sz="0" w:space="0" w:color="auto"/>
      </w:divBdr>
    </w:div>
    <w:div w:id="2022733963">
      <w:bodyDiv w:val="1"/>
      <w:marLeft w:val="0"/>
      <w:marRight w:val="0"/>
      <w:marTop w:val="0"/>
      <w:marBottom w:val="0"/>
      <w:divBdr>
        <w:top w:val="none" w:sz="0" w:space="0" w:color="auto"/>
        <w:left w:val="none" w:sz="0" w:space="0" w:color="auto"/>
        <w:bottom w:val="none" w:sz="0" w:space="0" w:color="auto"/>
        <w:right w:val="none" w:sz="0" w:space="0" w:color="auto"/>
      </w:divBdr>
    </w:div>
    <w:div w:id="2027361049">
      <w:bodyDiv w:val="1"/>
      <w:marLeft w:val="0"/>
      <w:marRight w:val="0"/>
      <w:marTop w:val="0"/>
      <w:marBottom w:val="0"/>
      <w:divBdr>
        <w:top w:val="none" w:sz="0" w:space="0" w:color="auto"/>
        <w:left w:val="none" w:sz="0" w:space="0" w:color="auto"/>
        <w:bottom w:val="none" w:sz="0" w:space="0" w:color="auto"/>
        <w:right w:val="none" w:sz="0" w:space="0" w:color="auto"/>
      </w:divBdr>
      <w:divsChild>
        <w:div w:id="621427215">
          <w:marLeft w:val="960"/>
          <w:marRight w:val="0"/>
          <w:marTop w:val="0"/>
          <w:marBottom w:val="0"/>
          <w:divBdr>
            <w:top w:val="none" w:sz="0" w:space="0" w:color="auto"/>
            <w:left w:val="none" w:sz="0" w:space="0" w:color="auto"/>
            <w:bottom w:val="none" w:sz="0" w:space="0" w:color="auto"/>
            <w:right w:val="none" w:sz="0" w:space="0" w:color="auto"/>
          </w:divBdr>
        </w:div>
      </w:divsChild>
    </w:div>
    <w:div w:id="2099208084">
      <w:bodyDiv w:val="1"/>
      <w:marLeft w:val="0"/>
      <w:marRight w:val="0"/>
      <w:marTop w:val="0"/>
      <w:marBottom w:val="0"/>
      <w:divBdr>
        <w:top w:val="none" w:sz="0" w:space="0" w:color="auto"/>
        <w:left w:val="none" w:sz="0" w:space="0" w:color="auto"/>
        <w:bottom w:val="none" w:sz="0" w:space="0" w:color="auto"/>
        <w:right w:val="none" w:sz="0" w:space="0" w:color="auto"/>
      </w:divBdr>
    </w:div>
    <w:div w:id="2134982951">
      <w:bodyDiv w:val="1"/>
      <w:marLeft w:val="0"/>
      <w:marRight w:val="0"/>
      <w:marTop w:val="0"/>
      <w:marBottom w:val="0"/>
      <w:divBdr>
        <w:top w:val="none" w:sz="0" w:space="0" w:color="auto"/>
        <w:left w:val="none" w:sz="0" w:space="0" w:color="auto"/>
        <w:bottom w:val="none" w:sz="0" w:space="0" w:color="auto"/>
        <w:right w:val="none" w:sz="0" w:space="0" w:color="auto"/>
      </w:divBdr>
      <w:divsChild>
        <w:div w:id="298652830">
          <w:marLeft w:val="960"/>
          <w:marRight w:val="0"/>
          <w:marTop w:val="0"/>
          <w:marBottom w:val="0"/>
          <w:divBdr>
            <w:top w:val="none" w:sz="0" w:space="0" w:color="auto"/>
            <w:left w:val="none" w:sz="0" w:space="0" w:color="auto"/>
            <w:bottom w:val="none" w:sz="0" w:space="0" w:color="auto"/>
            <w:right w:val="none" w:sz="0" w:space="0" w:color="auto"/>
          </w:divBdr>
        </w:div>
      </w:divsChild>
    </w:div>
    <w:div w:id="21350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716F-FB3D-49A4-98E5-4CB67A0A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pra48</dc:creator>
  <cp:keywords/>
  <dc:description/>
  <cp:lastModifiedBy>pra48</cp:lastModifiedBy>
  <cp:revision>2</cp:revision>
  <dcterms:created xsi:type="dcterms:W3CDTF">2019-11-13T12:28:00Z</dcterms:created>
  <dcterms:modified xsi:type="dcterms:W3CDTF">2019-11-13T12:28:00Z</dcterms:modified>
</cp:coreProperties>
</file>