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E36E" w14:textId="77777777" w:rsidR="00C6774E" w:rsidRDefault="00C6774E" w:rsidP="00CE229F">
      <w:pPr>
        <w:rPr>
          <w:rFonts w:eastAsiaTheme="majorEastAsia" w:cstheme="majorBidi"/>
          <w:b/>
          <w:sz w:val="32"/>
          <w:szCs w:val="32"/>
        </w:rPr>
      </w:pPr>
      <w:r w:rsidRPr="00C6774E">
        <w:rPr>
          <w:rFonts w:eastAsiaTheme="majorEastAsia" w:cstheme="majorBidi"/>
          <w:b/>
          <w:sz w:val="32"/>
          <w:szCs w:val="32"/>
        </w:rPr>
        <w:t>Selection in context: requirements for achieving widening participation goals</w:t>
      </w:r>
      <w:r w:rsidRPr="00C6774E">
        <w:rPr>
          <w:rFonts w:eastAsiaTheme="majorEastAsia" w:cstheme="majorBidi"/>
          <w:b/>
          <w:sz w:val="32"/>
          <w:szCs w:val="32"/>
        </w:rPr>
        <w:t xml:space="preserve"> </w:t>
      </w:r>
    </w:p>
    <w:p w14:paraId="0344EB3A" w14:textId="5B634FE5" w:rsidR="000C4375" w:rsidRDefault="000C4375" w:rsidP="00CE229F">
      <w:pPr>
        <w:rPr>
          <w:vertAlign w:val="superscript"/>
        </w:rPr>
      </w:pPr>
      <w:r>
        <w:t>Eliot Rees</w:t>
      </w:r>
      <w:r w:rsidR="00785C00" w:rsidRPr="00785C00">
        <w:rPr>
          <w:vertAlign w:val="superscript"/>
        </w:rPr>
        <w:t>1,2</w:t>
      </w:r>
      <w:r>
        <w:t>, Katherine Woolf</w:t>
      </w:r>
      <w:r w:rsidR="00785C00" w:rsidRPr="00785C00">
        <w:rPr>
          <w:vertAlign w:val="superscript"/>
        </w:rPr>
        <w:t>1</w:t>
      </w:r>
    </w:p>
    <w:p w14:paraId="65BE181D" w14:textId="62FF781E" w:rsidR="00785C00" w:rsidRDefault="00AB7EBD" w:rsidP="00785C00">
      <w:pPr>
        <w:pStyle w:val="ListParagraph"/>
        <w:numPr>
          <w:ilvl w:val="0"/>
          <w:numId w:val="5"/>
        </w:numPr>
      </w:pPr>
      <w:r>
        <w:t>Research Department of Medical Education, University College London</w:t>
      </w:r>
    </w:p>
    <w:p w14:paraId="7A6F18B0" w14:textId="7DAFF4B5" w:rsidR="00AB7EBD" w:rsidRDefault="00AB7EBD" w:rsidP="00785C00">
      <w:pPr>
        <w:pStyle w:val="ListParagraph"/>
        <w:numPr>
          <w:ilvl w:val="0"/>
          <w:numId w:val="5"/>
        </w:numPr>
      </w:pPr>
      <w:r>
        <w:t xml:space="preserve">School of Medicine, </w:t>
      </w:r>
      <w:proofErr w:type="spellStart"/>
      <w:r>
        <w:t>Keele</w:t>
      </w:r>
      <w:proofErr w:type="spellEnd"/>
      <w:r>
        <w:t xml:space="preserve"> University</w:t>
      </w:r>
    </w:p>
    <w:p w14:paraId="624BAD7A" w14:textId="3C2A32AD" w:rsidR="00AB7EBD" w:rsidRDefault="00AB7EBD" w:rsidP="00AB7EBD">
      <w:r>
        <w:t>Correspondence:</w:t>
      </w:r>
    </w:p>
    <w:p w14:paraId="39E6F21C" w14:textId="3A1076B2" w:rsidR="00AB7EBD" w:rsidRDefault="00AB7EBD" w:rsidP="00AB7EBD">
      <w:pPr>
        <w:ind w:left="720"/>
      </w:pPr>
      <w:r>
        <w:t>Eliot Rees</w:t>
      </w:r>
    </w:p>
    <w:p w14:paraId="24A67032" w14:textId="52953E3E" w:rsidR="00AB7EBD" w:rsidRDefault="00AB7EBD" w:rsidP="00AB7EBD">
      <w:pPr>
        <w:ind w:left="720"/>
      </w:pPr>
      <w:r>
        <w:t>e.rees@ucl.ac.uk</w:t>
      </w:r>
    </w:p>
    <w:p w14:paraId="5D80E191" w14:textId="3BF8F138" w:rsidR="00AB7EBD" w:rsidRDefault="00AB7EBD" w:rsidP="00AB7EBD">
      <w:pPr>
        <w:ind w:left="720"/>
      </w:pPr>
      <w:r w:rsidRPr="00AB7EBD">
        <w:t>Room GF 664, Royal Free Hospital, Hampstead, NW</w:t>
      </w:r>
      <w:proofErr w:type="gramStart"/>
      <w:r w:rsidRPr="00AB7EBD">
        <w:t>3  2</w:t>
      </w:r>
      <w:proofErr w:type="gramEnd"/>
      <w:r w:rsidRPr="00AB7EBD">
        <w:t>PF</w:t>
      </w:r>
    </w:p>
    <w:p w14:paraId="584ACB55" w14:textId="6D99A309" w:rsidR="00AB7EBD" w:rsidRPr="00785C00" w:rsidRDefault="00AB7EBD" w:rsidP="00AB7EBD">
      <w:pPr>
        <w:ind w:left="720"/>
      </w:pPr>
      <w:r w:rsidRPr="00AB7EBD">
        <w:t>+44 (0) 203 108 6875</w:t>
      </w:r>
    </w:p>
    <w:p w14:paraId="64C54A0E" w14:textId="02848BFF" w:rsidR="001C713E" w:rsidRDefault="00ED51CD" w:rsidP="00AB7EBD">
      <w:pPr>
        <w:spacing w:before="120" w:after="240" w:line="480" w:lineRule="auto"/>
      </w:pPr>
      <w:bookmarkStart w:id="0" w:name="_GoBack"/>
      <w:bookmarkEnd w:id="0"/>
      <w:r>
        <w:t xml:space="preserve">In this issue, Razack, </w:t>
      </w:r>
      <w:r>
        <w:rPr>
          <w:i/>
        </w:rPr>
        <w:t>et al.</w:t>
      </w:r>
      <w:r>
        <w:t xml:space="preserve"> explore the myth of meritocracy </w:t>
      </w:r>
      <w:r w:rsidR="00ED093B">
        <w:t xml:space="preserve">including </w:t>
      </w:r>
      <w:r w:rsidR="003827EF">
        <w:t xml:space="preserve">selection as </w:t>
      </w:r>
      <w:r w:rsidR="00EE5664">
        <w:t>an</w:t>
      </w:r>
      <w:r w:rsidR="003827EF">
        <w:t xml:space="preserve"> </w:t>
      </w:r>
      <w:r>
        <w:t>example</w:t>
      </w:r>
      <w:r w:rsidR="00FD334A">
        <w:t>, arguing</w:t>
      </w:r>
      <w:r>
        <w:t xml:space="preserve"> medicine is perceived as being ‘for the best and brightest’ but success is </w:t>
      </w:r>
      <w:r w:rsidR="007330D9">
        <w:t xml:space="preserve">also </w:t>
      </w:r>
      <w:r>
        <w:t xml:space="preserve">contingent </w:t>
      </w:r>
      <w:r w:rsidR="00E54CE1">
        <w:t>on</w:t>
      </w:r>
      <w:r>
        <w:t xml:space="preserve"> the support and conditions available to learners.</w:t>
      </w:r>
      <w:r w:rsidR="007330D9" w:rsidRPr="00801887">
        <w:rPr>
          <w:color w:val="auto"/>
          <w:vertAlign w:val="superscript"/>
        </w:rPr>
        <w:t>1</w:t>
      </w:r>
      <w:r w:rsidRPr="00801887">
        <w:rPr>
          <w:color w:val="auto"/>
        </w:rPr>
        <w:t xml:space="preserve"> </w:t>
      </w:r>
      <w:r w:rsidR="00AB1927" w:rsidRPr="00801887">
        <w:rPr>
          <w:color w:val="auto"/>
        </w:rPr>
        <w:t xml:space="preserve"> </w:t>
      </w:r>
      <w:r w:rsidR="00DD54C9" w:rsidRPr="00801887">
        <w:rPr>
          <w:b/>
          <w:color w:val="auto"/>
        </w:rPr>
        <w:t xml:space="preserve">Considering </w:t>
      </w:r>
      <w:r w:rsidR="006A0640" w:rsidRPr="00801887">
        <w:rPr>
          <w:b/>
          <w:color w:val="auto"/>
        </w:rPr>
        <w:t xml:space="preserve">achievements within the context of opportunities is increasingly popular in </w:t>
      </w:r>
      <w:r w:rsidR="00DD54C9" w:rsidRPr="00801887">
        <w:rPr>
          <w:b/>
          <w:color w:val="auto"/>
        </w:rPr>
        <w:t>selection</w:t>
      </w:r>
      <w:r w:rsidR="001C713E" w:rsidRPr="00801887">
        <w:rPr>
          <w:b/>
          <w:color w:val="auto"/>
        </w:rPr>
        <w:t xml:space="preserve">, making it </w:t>
      </w:r>
      <w:r w:rsidR="009F636D" w:rsidRPr="00801887">
        <w:rPr>
          <w:b/>
          <w:color w:val="auto"/>
        </w:rPr>
        <w:t>a priority research area.</w:t>
      </w:r>
      <w:r w:rsidR="009F636D" w:rsidRPr="00801887">
        <w:rPr>
          <w:color w:val="auto"/>
        </w:rPr>
        <w:t xml:space="preserve"> </w:t>
      </w:r>
      <w:r w:rsidR="007330D9">
        <w:t>W</w:t>
      </w:r>
      <w:r w:rsidR="009F636D">
        <w:t>e</w:t>
      </w:r>
      <w:r w:rsidR="003A2E0F">
        <w:t xml:space="preserve"> use</w:t>
      </w:r>
      <w:r w:rsidR="009F636D">
        <w:t xml:space="preserve"> </w:t>
      </w:r>
      <w:r w:rsidR="003A2E0F">
        <w:t xml:space="preserve">the example of </w:t>
      </w:r>
      <w:r w:rsidR="00B04EBD">
        <w:t xml:space="preserve">‘contextual admissions’ </w:t>
      </w:r>
      <w:r w:rsidR="00DD54C9">
        <w:t xml:space="preserve">in the </w:t>
      </w:r>
      <w:r w:rsidR="009F636D">
        <w:t>United Kingdom</w:t>
      </w:r>
      <w:r w:rsidR="003A2E0F">
        <w:t xml:space="preserve"> </w:t>
      </w:r>
      <w:r w:rsidR="009F636D">
        <w:t xml:space="preserve">to </w:t>
      </w:r>
      <w:r w:rsidR="00174AB2">
        <w:t>demonstrate</w:t>
      </w:r>
      <w:r w:rsidR="00DD54C9">
        <w:t xml:space="preserve"> the importance of clarity, transparency and evidence </w:t>
      </w:r>
      <w:r w:rsidR="008A5570">
        <w:t>for</w:t>
      </w:r>
      <w:r w:rsidR="00DD54C9">
        <w:t xml:space="preserve"> </w:t>
      </w:r>
      <w:r w:rsidR="001C713E">
        <w:t xml:space="preserve">fair and equitable selection. We highlight the </w:t>
      </w:r>
      <w:r w:rsidR="006F53B3">
        <w:t xml:space="preserve">global variation </w:t>
      </w:r>
      <w:r w:rsidR="007330D9">
        <w:t xml:space="preserve">in </w:t>
      </w:r>
      <w:r w:rsidR="009F636D">
        <w:t>widening participation</w:t>
      </w:r>
      <w:r w:rsidR="00DD54C9">
        <w:t xml:space="preserve"> polic</w:t>
      </w:r>
      <w:r w:rsidR="007330D9">
        <w:t>y goals and enactments</w:t>
      </w:r>
      <w:r w:rsidR="00DD54C9">
        <w:t>,</w:t>
      </w:r>
      <w:r w:rsidR="009F636D">
        <w:t xml:space="preserve"> </w:t>
      </w:r>
      <w:r w:rsidR="00DD54C9">
        <w:t xml:space="preserve">in </w:t>
      </w:r>
      <w:r w:rsidR="009F636D">
        <w:t>the</w:t>
      </w:r>
      <w:r w:rsidR="00CA74C6">
        <w:t xml:space="preserve"> </w:t>
      </w:r>
      <w:r w:rsidR="00B16885">
        <w:t>groups</w:t>
      </w:r>
      <w:r w:rsidR="007330D9">
        <w:t xml:space="preserve"> those policies target</w:t>
      </w:r>
      <w:r w:rsidR="003E2F07">
        <w:t>,</w:t>
      </w:r>
      <w:r w:rsidR="007330D9">
        <w:t xml:space="preserve"> and</w:t>
      </w:r>
      <w:r w:rsidR="003E2F07">
        <w:t xml:space="preserve"> </w:t>
      </w:r>
      <w:r w:rsidR="008A5570">
        <w:t xml:space="preserve">in </w:t>
      </w:r>
      <w:r w:rsidR="007330D9">
        <w:t>definitions of</w:t>
      </w:r>
      <w:r w:rsidR="003E2F07">
        <w:t xml:space="preserve"> </w:t>
      </w:r>
      <w:r w:rsidR="002C24A6">
        <w:t>target</w:t>
      </w:r>
      <w:r w:rsidR="003E2F07">
        <w:t xml:space="preserve"> groups</w:t>
      </w:r>
      <w:r w:rsidR="007330D9">
        <w:t>. We argue</w:t>
      </w:r>
      <w:r w:rsidR="001C713E">
        <w:t xml:space="preserve"> that while v</w:t>
      </w:r>
      <w:r w:rsidR="003E2F07">
        <w:t>a</w:t>
      </w:r>
      <w:r w:rsidR="00B6545A">
        <w:t xml:space="preserve">riability </w:t>
      </w:r>
      <w:r w:rsidR="00E006A3">
        <w:t>resulting from</w:t>
      </w:r>
      <w:r w:rsidR="00B82DA7">
        <w:t xml:space="preserve"> </w:t>
      </w:r>
      <w:r w:rsidR="00E006A3">
        <w:t xml:space="preserve">evidence-based </w:t>
      </w:r>
      <w:proofErr w:type="gramStart"/>
      <w:r w:rsidR="00B82DA7">
        <w:t>policy-</w:t>
      </w:r>
      <w:r w:rsidR="00097B09">
        <w:t>making</w:t>
      </w:r>
      <w:proofErr w:type="gramEnd"/>
      <w:r w:rsidR="00097B09">
        <w:t xml:space="preserve"> </w:t>
      </w:r>
      <w:r w:rsidR="00B6545A">
        <w:t>is appropriate</w:t>
      </w:r>
      <w:r w:rsidR="00DD54C9">
        <w:t xml:space="preserve"> – one size does not necessarily fit all -</w:t>
      </w:r>
      <w:r w:rsidR="009F636D">
        <w:t xml:space="preserve"> </w:t>
      </w:r>
      <w:r w:rsidR="00097B09">
        <w:t xml:space="preserve">variability can also </w:t>
      </w:r>
      <w:r w:rsidR="007330D9">
        <w:t>result from a lack of knowledge,</w:t>
      </w:r>
      <w:r w:rsidR="007330D9" w:rsidRPr="007330D9">
        <w:rPr>
          <w:vertAlign w:val="superscript"/>
        </w:rPr>
        <w:t>2</w:t>
      </w:r>
      <w:r w:rsidR="007330D9">
        <w:t xml:space="preserve"> and </w:t>
      </w:r>
      <w:r w:rsidR="00C60BF9">
        <w:t xml:space="preserve">that </w:t>
      </w:r>
      <w:r w:rsidR="007330D9">
        <w:t>lack of</w:t>
      </w:r>
      <w:r w:rsidR="00CA74C6">
        <w:t xml:space="preserve"> </w:t>
      </w:r>
      <w:r w:rsidR="00ED799B">
        <w:t xml:space="preserve">evidence, </w:t>
      </w:r>
      <w:r w:rsidR="009F636D">
        <w:t>clarity</w:t>
      </w:r>
      <w:r w:rsidR="00ED799B">
        <w:t xml:space="preserve"> and</w:t>
      </w:r>
      <w:r w:rsidR="009F636D">
        <w:t xml:space="preserve"> </w:t>
      </w:r>
      <w:r w:rsidR="00097B09">
        <w:t>transparency</w:t>
      </w:r>
      <w:r w:rsidR="009F636D">
        <w:t xml:space="preserve"> can</w:t>
      </w:r>
      <w:r w:rsidR="003E2F07">
        <w:t xml:space="preserve"> </w:t>
      </w:r>
      <w:r w:rsidR="007330D9">
        <w:t>be</w:t>
      </w:r>
      <w:r w:rsidR="003E2F07">
        <w:t xml:space="preserve"> significant barrier</w:t>
      </w:r>
      <w:r w:rsidR="00ED799B">
        <w:t>s</w:t>
      </w:r>
      <w:r w:rsidR="003E2F07">
        <w:t xml:space="preserve"> to </w:t>
      </w:r>
      <w:r w:rsidR="00B6545A">
        <w:t>widening access.</w:t>
      </w:r>
    </w:p>
    <w:p w14:paraId="39B76B04" w14:textId="0AC70587" w:rsidR="00EE31AB" w:rsidRDefault="001C713E" w:rsidP="00AB7EBD">
      <w:pPr>
        <w:spacing w:before="120" w:after="240" w:line="480" w:lineRule="auto"/>
        <w:rPr>
          <w:color w:val="auto"/>
        </w:rPr>
      </w:pPr>
      <w:r>
        <w:t>The</w:t>
      </w:r>
      <w:r w:rsidR="00DD54C9">
        <w:t xml:space="preserve"> s</w:t>
      </w:r>
      <w:r w:rsidR="009F636D">
        <w:t>tated</w:t>
      </w:r>
      <w:r w:rsidR="00B82DA7">
        <w:t xml:space="preserve"> goals of w</w:t>
      </w:r>
      <w:r w:rsidR="00ED51CD">
        <w:t>idening access</w:t>
      </w:r>
      <w:r w:rsidR="00230A5B">
        <w:t xml:space="preserve"> are several and</w:t>
      </w:r>
      <w:r w:rsidR="009F636D">
        <w:t xml:space="preserve"> </w:t>
      </w:r>
      <w:proofErr w:type="gramStart"/>
      <w:r w:rsidR="00E006A3">
        <w:t>i</w:t>
      </w:r>
      <w:r w:rsidR="007330D9">
        <w:t>nclude:</w:t>
      </w:r>
      <w:proofErr w:type="gramEnd"/>
      <w:r w:rsidR="00ED51CD">
        <w:t xml:space="preserve"> utilis</w:t>
      </w:r>
      <w:r w:rsidR="00876668">
        <w:t>ing</w:t>
      </w:r>
      <w:r w:rsidR="00ED51CD">
        <w:t xml:space="preserve"> the full talent pool of applicants</w:t>
      </w:r>
      <w:r w:rsidR="007330D9">
        <w:t>;</w:t>
      </w:r>
      <w:r w:rsidR="00ED51CD">
        <w:t xml:space="preserve"> produc</w:t>
      </w:r>
      <w:r w:rsidR="00876668">
        <w:t>ing</w:t>
      </w:r>
      <w:r w:rsidR="00ED51CD">
        <w:t xml:space="preserve"> a diverse </w:t>
      </w:r>
      <w:r w:rsidR="007330D9">
        <w:t xml:space="preserve">and representative </w:t>
      </w:r>
      <w:r w:rsidR="00ED51CD">
        <w:t>workforce</w:t>
      </w:r>
      <w:r w:rsidR="007330D9">
        <w:t>;</w:t>
      </w:r>
      <w:r w:rsidR="00ED51CD">
        <w:t xml:space="preserve"> improv</w:t>
      </w:r>
      <w:r w:rsidR="00876668">
        <w:t>ing</w:t>
      </w:r>
      <w:r w:rsidR="00ED51CD">
        <w:t xml:space="preserve"> social mobility</w:t>
      </w:r>
      <w:r w:rsidR="007330D9">
        <w:t>;</w:t>
      </w:r>
      <w:r w:rsidR="00B6545A">
        <w:t xml:space="preserve"> </w:t>
      </w:r>
      <w:r w:rsidR="00B16885">
        <w:t>redress</w:t>
      </w:r>
      <w:r w:rsidR="00876668">
        <w:t>ing</w:t>
      </w:r>
      <w:r w:rsidR="00B16885">
        <w:t xml:space="preserve"> inequalities</w:t>
      </w:r>
      <w:r w:rsidR="007330D9">
        <w:t>;</w:t>
      </w:r>
      <w:r w:rsidR="00876668">
        <w:t xml:space="preserve"> social justice</w:t>
      </w:r>
      <w:r w:rsidR="007330D9">
        <w:t>;</w:t>
      </w:r>
      <w:r w:rsidR="00876668">
        <w:t xml:space="preserve"> </w:t>
      </w:r>
      <w:r w:rsidR="007330D9">
        <w:t xml:space="preserve">and </w:t>
      </w:r>
      <w:r w:rsidR="00876668">
        <w:t>boosting economic growth.</w:t>
      </w:r>
      <w:r w:rsidR="003E2F07">
        <w:t xml:space="preserve"> </w:t>
      </w:r>
      <w:r w:rsidR="00876668">
        <w:t xml:space="preserve"> </w:t>
      </w:r>
      <w:r w:rsidR="007B3B24">
        <w:t xml:space="preserve">Reflecting local historical, legal, and social contexts and priorities, </w:t>
      </w:r>
      <w:r w:rsidR="009F6668">
        <w:t>countries</w:t>
      </w:r>
      <w:r w:rsidR="009F636D">
        <w:t xml:space="preserve"> differ</w:t>
      </w:r>
      <w:r w:rsidR="009F6668">
        <w:t xml:space="preserve"> in </w:t>
      </w:r>
      <w:r w:rsidR="007330D9">
        <w:t>the</w:t>
      </w:r>
      <w:r w:rsidR="00B6545A">
        <w:t xml:space="preserve"> </w:t>
      </w:r>
      <w:r w:rsidR="00876668">
        <w:t xml:space="preserve">goals </w:t>
      </w:r>
      <w:r w:rsidR="00DD54C9">
        <w:t>they</w:t>
      </w:r>
      <w:r w:rsidR="009F6668">
        <w:t xml:space="preserve"> prioritise</w:t>
      </w:r>
      <w:r w:rsidR="00B6545A">
        <w:t xml:space="preserve"> and </w:t>
      </w:r>
      <w:r w:rsidR="007330D9">
        <w:t>the</w:t>
      </w:r>
      <w:r w:rsidR="00B6545A">
        <w:t xml:space="preserve"> groups </w:t>
      </w:r>
      <w:r w:rsidR="00DD54C9">
        <w:t>they</w:t>
      </w:r>
      <w:r w:rsidR="00B6545A">
        <w:t xml:space="preserve"> </w:t>
      </w:r>
      <w:r w:rsidR="00876668">
        <w:t>target.</w:t>
      </w:r>
      <w:r w:rsidR="007330D9" w:rsidRPr="007330D9">
        <w:rPr>
          <w:vertAlign w:val="superscript"/>
        </w:rPr>
        <w:t>3,4</w:t>
      </w:r>
      <w:r w:rsidR="00876668">
        <w:t xml:space="preserve"> For example, former colonies such as Canada and Australia </w:t>
      </w:r>
      <w:r w:rsidR="00901BDD">
        <w:t>have a strong focus on</w:t>
      </w:r>
      <w:r w:rsidR="00876668">
        <w:t xml:space="preserve"> </w:t>
      </w:r>
      <w:r w:rsidR="00876668">
        <w:lastRenderedPageBreak/>
        <w:t xml:space="preserve">increasing participation among </w:t>
      </w:r>
      <w:r w:rsidR="007330D9">
        <w:t>indigenous</w:t>
      </w:r>
      <w:r w:rsidR="00876668">
        <w:t xml:space="preserve"> peoples</w:t>
      </w:r>
      <w:r w:rsidR="000771A7">
        <w:t xml:space="preserve"> to redress inequalities and </w:t>
      </w:r>
      <w:r>
        <w:t>create</w:t>
      </w:r>
      <w:r w:rsidR="000771A7">
        <w:t xml:space="preserve"> a diverse workforce</w:t>
      </w:r>
      <w:r w:rsidR="003827EF">
        <w:t xml:space="preserve">, whereas </w:t>
      </w:r>
      <w:r w:rsidR="00FD334A">
        <w:t>in</w:t>
      </w:r>
      <w:r w:rsidR="003827EF">
        <w:t xml:space="preserve"> </w:t>
      </w:r>
      <w:r w:rsidR="00901BDD">
        <w:t>UK</w:t>
      </w:r>
      <w:r w:rsidR="00FD334A">
        <w:t xml:space="preserve"> the </w:t>
      </w:r>
      <w:r w:rsidR="00481684">
        <w:t>focus is</w:t>
      </w:r>
      <w:r w:rsidR="00DD54C9">
        <w:t xml:space="preserve"> on</w:t>
      </w:r>
      <w:r w:rsidR="00876668">
        <w:t xml:space="preserve"> </w:t>
      </w:r>
      <w:r w:rsidR="00FD334A">
        <w:t>social mobility</w:t>
      </w:r>
      <w:r w:rsidR="00B6545A">
        <w:t>.</w:t>
      </w:r>
      <w:r w:rsidR="009F636D">
        <w:t xml:space="preserve"> </w:t>
      </w:r>
      <w:r>
        <w:t xml:space="preserve"> </w:t>
      </w:r>
      <w:r w:rsidR="009F636D">
        <w:t>E</w:t>
      </w:r>
      <w:r w:rsidR="009F6668">
        <w:t>ven within the UK</w:t>
      </w:r>
      <w:r w:rsidR="009F636D">
        <w:t xml:space="preserve"> however,</w:t>
      </w:r>
      <w:r w:rsidR="009F6668">
        <w:t xml:space="preserve"> m</w:t>
      </w:r>
      <w:r w:rsidR="003827EF">
        <w:t xml:space="preserve">edical schools </w:t>
      </w:r>
      <w:r w:rsidR="00CA74C6">
        <w:t xml:space="preserve">vary in </w:t>
      </w:r>
      <w:r w:rsidR="005D43E3">
        <w:t>their widening</w:t>
      </w:r>
      <w:r w:rsidR="009F6668">
        <w:t xml:space="preserve"> participation goals </w:t>
      </w:r>
      <w:r w:rsidR="00B04EBD">
        <w:t xml:space="preserve">and how </w:t>
      </w:r>
      <w:proofErr w:type="gramStart"/>
      <w:r w:rsidR="00B04EBD">
        <w:t>clearly</w:t>
      </w:r>
      <w:proofErr w:type="gramEnd"/>
      <w:r w:rsidR="00B04EBD">
        <w:t xml:space="preserve"> they state them</w:t>
      </w:r>
      <w:r w:rsidR="007330D9">
        <w:t>. We</w:t>
      </w:r>
      <w:r w:rsidR="009F636D">
        <w:t xml:space="preserve"> believe that </w:t>
      </w:r>
      <w:r w:rsidR="009F6668" w:rsidRPr="00801887">
        <w:rPr>
          <w:b/>
        </w:rPr>
        <w:t>b</w:t>
      </w:r>
      <w:r w:rsidR="003827EF" w:rsidRPr="00801887">
        <w:rPr>
          <w:b/>
        </w:rPr>
        <w:t xml:space="preserve">eing </w:t>
      </w:r>
      <w:r w:rsidR="000E66AC" w:rsidRPr="00801887">
        <w:rPr>
          <w:b/>
        </w:rPr>
        <w:t xml:space="preserve">explicit </w:t>
      </w:r>
      <w:r w:rsidRPr="00801887">
        <w:rPr>
          <w:b/>
        </w:rPr>
        <w:t xml:space="preserve">about </w:t>
      </w:r>
      <w:r w:rsidR="00801887" w:rsidRPr="00801887">
        <w:rPr>
          <w:b/>
        </w:rPr>
        <w:t xml:space="preserve">their widening participation </w:t>
      </w:r>
      <w:r w:rsidRPr="00801887">
        <w:rPr>
          <w:b/>
        </w:rPr>
        <w:t xml:space="preserve">goals </w:t>
      </w:r>
      <w:r w:rsidR="00EE31AB" w:rsidRPr="00801887">
        <w:rPr>
          <w:b/>
        </w:rPr>
        <w:t xml:space="preserve">will </w:t>
      </w:r>
      <w:r w:rsidR="005D43E3" w:rsidRPr="00801887">
        <w:rPr>
          <w:b/>
        </w:rPr>
        <w:t>help</w:t>
      </w:r>
      <w:r w:rsidR="00EE31AB" w:rsidRPr="00801887">
        <w:rPr>
          <w:b/>
        </w:rPr>
        <w:t xml:space="preserve"> </w:t>
      </w:r>
      <w:r w:rsidR="00FD334A" w:rsidRPr="00801887">
        <w:rPr>
          <w:b/>
        </w:rPr>
        <w:t xml:space="preserve">medical </w:t>
      </w:r>
      <w:r w:rsidR="000E66AC" w:rsidRPr="00801887">
        <w:rPr>
          <w:b/>
        </w:rPr>
        <w:t>schools</w:t>
      </w:r>
      <w:r w:rsidR="005D43E3" w:rsidRPr="00801887">
        <w:rPr>
          <w:b/>
        </w:rPr>
        <w:t xml:space="preserve"> </w:t>
      </w:r>
      <w:r w:rsidR="000E66AC" w:rsidRPr="00801887">
        <w:rPr>
          <w:b/>
        </w:rPr>
        <w:t>ensure the</w:t>
      </w:r>
      <w:r w:rsidR="005D43E3" w:rsidRPr="00801887">
        <w:rPr>
          <w:b/>
        </w:rPr>
        <w:t>y design</w:t>
      </w:r>
      <w:r w:rsidR="000E66AC" w:rsidRPr="00801887">
        <w:rPr>
          <w:b/>
        </w:rPr>
        <w:t xml:space="preserve"> policies </w:t>
      </w:r>
      <w:r w:rsidR="005D43E3" w:rsidRPr="00801887">
        <w:rPr>
          <w:b/>
        </w:rPr>
        <w:t>to</w:t>
      </w:r>
      <w:r w:rsidR="000E66AC" w:rsidRPr="00801887">
        <w:rPr>
          <w:b/>
        </w:rPr>
        <w:t xml:space="preserve"> meet</w:t>
      </w:r>
      <w:r w:rsidR="000E66AC" w:rsidRPr="00801887">
        <w:t xml:space="preserve"> </w:t>
      </w:r>
      <w:r w:rsidR="00801887" w:rsidRPr="007A4ED7">
        <w:rPr>
          <w:b/>
        </w:rPr>
        <w:t>them</w:t>
      </w:r>
      <w:r w:rsidR="00FD334A" w:rsidRPr="00F03147">
        <w:t>,</w:t>
      </w:r>
      <w:r w:rsidR="005D43E3" w:rsidRPr="00F03147">
        <w:t xml:space="preserve"> </w:t>
      </w:r>
      <w:r w:rsidR="00DD54C9" w:rsidRPr="00F03147">
        <w:t xml:space="preserve">work out how to </w:t>
      </w:r>
      <w:r w:rsidR="003827EF" w:rsidRPr="00F03147">
        <w:t>prioritise potentially conflicting goals</w:t>
      </w:r>
      <w:r w:rsidR="00801887">
        <w:t>,</w:t>
      </w:r>
      <w:r w:rsidR="00EE31AB" w:rsidRPr="00F03147">
        <w:t xml:space="preserve"> and</w:t>
      </w:r>
      <w:r w:rsidR="005D43E3" w:rsidRPr="00F03147">
        <w:t xml:space="preserve"> </w:t>
      </w:r>
      <w:r w:rsidR="00174AB2" w:rsidRPr="00F03147">
        <w:t xml:space="preserve">how to </w:t>
      </w:r>
      <w:r w:rsidR="00DD54C9" w:rsidRPr="00F03147">
        <w:t>mitigate against</w:t>
      </w:r>
      <w:r w:rsidR="005D43E3" w:rsidRPr="00F03147">
        <w:t xml:space="preserve"> </w:t>
      </w:r>
      <w:r w:rsidR="00EE31AB" w:rsidRPr="00F03147">
        <w:t>unintended consequences.</w:t>
      </w:r>
      <w:r w:rsidR="00EE31AB">
        <w:t xml:space="preserve">  For example, workforce planning </w:t>
      </w:r>
      <w:r w:rsidR="00B04EBD">
        <w:t>drives medical school widening participation agendas</w:t>
      </w:r>
      <w:r w:rsidR="007A4ED7">
        <w:t xml:space="preserve"> that aim</w:t>
      </w:r>
      <w:r>
        <w:t xml:space="preserve"> to </w:t>
      </w:r>
      <w:r w:rsidR="00B04EBD">
        <w:t xml:space="preserve">attract </w:t>
      </w:r>
      <w:r w:rsidR="000E66AC">
        <w:t>applicants</w:t>
      </w:r>
      <w:r w:rsidR="00EE31AB">
        <w:t xml:space="preserve"> from under-doctored </w:t>
      </w:r>
      <w:r w:rsidR="00193AD2">
        <w:t>regions</w:t>
      </w:r>
      <w:r w:rsidR="000E66AC">
        <w:t xml:space="preserve"> and lower socioeconomic groups </w:t>
      </w:r>
      <w:r w:rsidR="00EE31AB">
        <w:t xml:space="preserve">in the </w:t>
      </w:r>
      <w:r w:rsidR="00193AD2">
        <w:rPr>
          <w:color w:val="auto"/>
        </w:rPr>
        <w:t>anticipation</w:t>
      </w:r>
      <w:r w:rsidR="00EE31AB" w:rsidRPr="000E66AC">
        <w:rPr>
          <w:color w:val="auto"/>
        </w:rPr>
        <w:t xml:space="preserve"> th</w:t>
      </w:r>
      <w:r w:rsidR="000E66AC" w:rsidRPr="000E66AC">
        <w:rPr>
          <w:color w:val="auto"/>
        </w:rPr>
        <w:t>ey</w:t>
      </w:r>
      <w:r w:rsidR="00EE31AB" w:rsidRPr="000E66AC">
        <w:rPr>
          <w:color w:val="auto"/>
        </w:rPr>
        <w:t xml:space="preserve"> will practise in </w:t>
      </w:r>
      <w:r w:rsidR="000E66AC" w:rsidRPr="000E66AC">
        <w:rPr>
          <w:color w:val="auto"/>
        </w:rPr>
        <w:t>hard-to-fill specialties</w:t>
      </w:r>
      <w:r w:rsidR="00B04EBD">
        <w:rPr>
          <w:color w:val="auto"/>
        </w:rPr>
        <w:t xml:space="preserve"> and locations</w:t>
      </w:r>
      <w:r w:rsidR="00EE31AB" w:rsidRPr="000E66AC">
        <w:rPr>
          <w:color w:val="auto"/>
        </w:rPr>
        <w:t xml:space="preserve">. While this may </w:t>
      </w:r>
      <w:r w:rsidR="00193AD2">
        <w:rPr>
          <w:color w:val="auto"/>
        </w:rPr>
        <w:t xml:space="preserve">achieve </w:t>
      </w:r>
      <w:r w:rsidR="00B04EBD">
        <w:rPr>
          <w:color w:val="auto"/>
        </w:rPr>
        <w:t xml:space="preserve">the goal of </w:t>
      </w:r>
      <w:r w:rsidR="00193AD2">
        <w:rPr>
          <w:color w:val="auto"/>
        </w:rPr>
        <w:t>a representative and diverse workforce</w:t>
      </w:r>
      <w:r w:rsidR="000E66AC" w:rsidRPr="000E66AC">
        <w:rPr>
          <w:color w:val="auto"/>
        </w:rPr>
        <w:t>,</w:t>
      </w:r>
      <w:r w:rsidR="00EE31AB" w:rsidRPr="000E66AC">
        <w:rPr>
          <w:color w:val="auto"/>
        </w:rPr>
        <w:t xml:space="preserve"> it </w:t>
      </w:r>
      <w:r w:rsidR="009F6668">
        <w:rPr>
          <w:color w:val="auto"/>
        </w:rPr>
        <w:t xml:space="preserve">could </w:t>
      </w:r>
      <w:r w:rsidR="000E66AC">
        <w:rPr>
          <w:color w:val="auto"/>
        </w:rPr>
        <w:t>conflict with</w:t>
      </w:r>
      <w:r w:rsidR="00193AD2">
        <w:rPr>
          <w:color w:val="auto"/>
        </w:rPr>
        <w:t xml:space="preserve"> the goal of</w:t>
      </w:r>
      <w:r w:rsidR="000E66AC">
        <w:rPr>
          <w:color w:val="auto"/>
        </w:rPr>
        <w:t xml:space="preserve"> social justice </w:t>
      </w:r>
      <w:r w:rsidR="008A5570">
        <w:rPr>
          <w:color w:val="auto"/>
        </w:rPr>
        <w:t>if students</w:t>
      </w:r>
      <w:r w:rsidR="00EE31AB" w:rsidRPr="000E66AC">
        <w:rPr>
          <w:color w:val="auto"/>
        </w:rPr>
        <w:t xml:space="preserve"> from disadvantaged backgrounds </w:t>
      </w:r>
      <w:r w:rsidR="008A5570">
        <w:rPr>
          <w:color w:val="auto"/>
        </w:rPr>
        <w:t xml:space="preserve">are selected to </w:t>
      </w:r>
      <w:r w:rsidR="000E66AC">
        <w:rPr>
          <w:color w:val="auto"/>
        </w:rPr>
        <w:t xml:space="preserve">fill </w:t>
      </w:r>
      <w:r w:rsidR="005D43E3">
        <w:rPr>
          <w:color w:val="auto"/>
        </w:rPr>
        <w:t xml:space="preserve">the </w:t>
      </w:r>
      <w:r w:rsidR="000E66AC">
        <w:rPr>
          <w:color w:val="auto"/>
        </w:rPr>
        <w:t xml:space="preserve">jobs </w:t>
      </w:r>
      <w:r w:rsidR="00EE31AB" w:rsidRPr="000E66AC">
        <w:rPr>
          <w:color w:val="auto"/>
        </w:rPr>
        <w:t>their more advantaged colleagues</w:t>
      </w:r>
      <w:r w:rsidR="000E66AC" w:rsidRPr="000E66AC">
        <w:rPr>
          <w:color w:val="auto"/>
        </w:rPr>
        <w:t xml:space="preserve"> </w:t>
      </w:r>
      <w:r w:rsidR="00193AD2">
        <w:rPr>
          <w:color w:val="auto"/>
        </w:rPr>
        <w:t>find unappealing</w:t>
      </w:r>
      <w:r w:rsidR="005D43E3">
        <w:rPr>
          <w:color w:val="auto"/>
        </w:rPr>
        <w:t xml:space="preserve"> and which confer lower earnings and status</w:t>
      </w:r>
      <w:r w:rsidR="00EE31AB" w:rsidRPr="000E66AC">
        <w:rPr>
          <w:color w:val="auto"/>
        </w:rPr>
        <w:t>.</w:t>
      </w:r>
      <w:r w:rsidR="00CA74C6">
        <w:rPr>
          <w:color w:val="auto"/>
        </w:rPr>
        <w:t xml:space="preserve"> </w:t>
      </w:r>
    </w:p>
    <w:p w14:paraId="2BC90DE3" w14:textId="142B89CA" w:rsidR="005966D6" w:rsidRDefault="00BF16D3" w:rsidP="00AB7EBD">
      <w:pPr>
        <w:spacing w:before="120" w:after="240" w:line="480" w:lineRule="auto"/>
      </w:pPr>
      <w:r>
        <w:t>In terms of</w:t>
      </w:r>
      <w:r w:rsidR="007D226C">
        <w:t xml:space="preserve"> approaches </w:t>
      </w:r>
      <w:r w:rsidR="00E54DC6">
        <w:t>to widen</w:t>
      </w:r>
      <w:r w:rsidR="00174AB2">
        <w:t>ing</w:t>
      </w:r>
      <w:r w:rsidR="007D226C">
        <w:t xml:space="preserve"> access</w:t>
      </w:r>
      <w:r>
        <w:t>, m</w:t>
      </w:r>
      <w:r w:rsidR="000771A7">
        <w:t>ost countries</w:t>
      </w:r>
      <w:r w:rsidR="008A5570">
        <w:t xml:space="preserve"> </w:t>
      </w:r>
      <w:r w:rsidR="00EE31AB">
        <w:t xml:space="preserve">focus on </w:t>
      </w:r>
      <w:r w:rsidR="00CF4C47">
        <w:t xml:space="preserve">financial support </w:t>
      </w:r>
      <w:r w:rsidR="00815858">
        <w:t>for applicants</w:t>
      </w:r>
      <w:r w:rsidR="00815858" w:rsidRPr="00815858">
        <w:rPr>
          <w:vertAlign w:val="superscript"/>
        </w:rPr>
        <w:t>4</w:t>
      </w:r>
      <w:r w:rsidR="00174AB2">
        <w:t xml:space="preserve"> whereas in</w:t>
      </w:r>
      <w:r w:rsidR="00CF4C47">
        <w:t xml:space="preserve"> the U</w:t>
      </w:r>
      <w:r w:rsidR="007D226C">
        <w:t>K medical schools</w:t>
      </w:r>
      <w:r w:rsidR="00777044">
        <w:t xml:space="preserve"> have long</w:t>
      </w:r>
      <w:r w:rsidR="007D226C">
        <w:t xml:space="preserve"> </w:t>
      </w:r>
      <w:r w:rsidR="006D5195">
        <w:t>undertake</w:t>
      </w:r>
      <w:r w:rsidR="00777044">
        <w:t>n</w:t>
      </w:r>
      <w:r w:rsidR="0048200E">
        <w:t xml:space="preserve"> outreach work to </w:t>
      </w:r>
      <w:r w:rsidR="007D226C">
        <w:t>in</w:t>
      </w:r>
      <w:r w:rsidR="0048200E">
        <w:t>crease</w:t>
      </w:r>
      <w:r w:rsidR="007B3B24">
        <w:t xml:space="preserve"> aspirations</w:t>
      </w:r>
      <w:r w:rsidR="00CF4C47">
        <w:t xml:space="preserve">. </w:t>
      </w:r>
      <w:r w:rsidR="00CA74C6">
        <w:t>There is</w:t>
      </w:r>
      <w:r w:rsidR="00777044">
        <w:t xml:space="preserve"> now</w:t>
      </w:r>
      <w:r w:rsidR="00CA74C6">
        <w:t xml:space="preserve"> evidence that the </w:t>
      </w:r>
      <w:r w:rsidR="009716BB">
        <w:t>need to meet high grade requirement</w:t>
      </w:r>
      <w:r w:rsidR="007B3B24">
        <w:t>s</w:t>
      </w:r>
      <w:r w:rsidR="009716BB">
        <w:t xml:space="preserve"> is</w:t>
      </w:r>
      <w:r w:rsidR="008A5570">
        <w:t xml:space="preserve"> the most significant</w:t>
      </w:r>
      <w:r w:rsidR="009716BB">
        <w:t xml:space="preserve"> barrier</w:t>
      </w:r>
      <w:r w:rsidR="00CA74C6">
        <w:t xml:space="preserve"> to university</w:t>
      </w:r>
      <w:r w:rsidR="008A5570">
        <w:t xml:space="preserve"> </w:t>
      </w:r>
      <w:r w:rsidR="00777044">
        <w:t>for those from the lowest socioeconomic groups</w:t>
      </w:r>
      <w:r w:rsidR="00DD54C9">
        <w:t xml:space="preserve"> in the UK</w:t>
      </w:r>
      <w:r w:rsidR="00815858">
        <w:t>.</w:t>
      </w:r>
      <w:r w:rsidR="00815858" w:rsidRPr="00815858">
        <w:rPr>
          <w:vertAlign w:val="superscript"/>
        </w:rPr>
        <w:t>5</w:t>
      </w:r>
      <w:r w:rsidR="00DD54C9">
        <w:t xml:space="preserve"> </w:t>
      </w:r>
      <w:r w:rsidR="00777044">
        <w:t xml:space="preserve"> This</w:t>
      </w:r>
      <w:r w:rsidR="00CA74C6">
        <w:t xml:space="preserve"> together with</w:t>
      </w:r>
      <w:r w:rsidR="00E54DC6">
        <w:t xml:space="preserve"> </w:t>
      </w:r>
      <w:r w:rsidR="006D5195" w:rsidRPr="00815858">
        <w:t xml:space="preserve">evidence that </w:t>
      </w:r>
      <w:r w:rsidR="006D5195" w:rsidRPr="00801887">
        <w:rPr>
          <w:b/>
        </w:rPr>
        <w:t xml:space="preserve">students </w:t>
      </w:r>
      <w:r w:rsidR="005966D6" w:rsidRPr="00801887">
        <w:rPr>
          <w:b/>
        </w:rPr>
        <w:t xml:space="preserve">from non-selective state schools outperform </w:t>
      </w:r>
      <w:r w:rsidR="00E54DC6" w:rsidRPr="00801887">
        <w:rPr>
          <w:b/>
        </w:rPr>
        <w:t>those</w:t>
      </w:r>
      <w:r w:rsidR="005966D6" w:rsidRPr="00801887">
        <w:rPr>
          <w:b/>
        </w:rPr>
        <w:t xml:space="preserve"> </w:t>
      </w:r>
      <w:r w:rsidR="00DD54C9" w:rsidRPr="00801887">
        <w:rPr>
          <w:b/>
        </w:rPr>
        <w:t xml:space="preserve">with equivalent grades </w:t>
      </w:r>
      <w:r w:rsidR="005966D6" w:rsidRPr="00801887">
        <w:rPr>
          <w:b/>
        </w:rPr>
        <w:t>from private schools</w:t>
      </w:r>
      <w:r w:rsidR="005966D6" w:rsidRPr="00801887">
        <w:t xml:space="preserve"> </w:t>
      </w:r>
      <w:r w:rsidR="005966D6" w:rsidRPr="00F03147">
        <w:t xml:space="preserve">has resulted in the </w:t>
      </w:r>
      <w:r w:rsidR="00D56069" w:rsidRPr="00F03147">
        <w:t xml:space="preserve">adoption by most UK universities of </w:t>
      </w:r>
      <w:r w:rsidR="007D226C" w:rsidRPr="00F03147">
        <w:t>‘contextual admissions’</w:t>
      </w:r>
      <w:r w:rsidR="00D56069" w:rsidRPr="00815858">
        <w:t xml:space="preserve">, </w:t>
      </w:r>
      <w:r w:rsidR="00E54DC6" w:rsidRPr="00815858">
        <w:t>in which</w:t>
      </w:r>
      <w:r w:rsidR="001A17A9" w:rsidRPr="00815858">
        <w:t xml:space="preserve"> </w:t>
      </w:r>
      <w:r w:rsidR="007D226C" w:rsidRPr="00815858">
        <w:t>applicants</w:t>
      </w:r>
      <w:r w:rsidR="00CA74C6" w:rsidRPr="00815858">
        <w:t xml:space="preserve"> from particular under-represented (target)</w:t>
      </w:r>
      <w:r w:rsidR="007D226C" w:rsidRPr="00815858">
        <w:t xml:space="preserve"> groups </w:t>
      </w:r>
      <w:r w:rsidR="00815858">
        <w:t>have</w:t>
      </w:r>
      <w:r w:rsidR="007D226C" w:rsidRPr="00815858">
        <w:t xml:space="preserve"> a reduced threshold for interview </w:t>
      </w:r>
      <w:r w:rsidR="007B3B24" w:rsidRPr="00815858">
        <w:t>and/</w:t>
      </w:r>
      <w:r w:rsidR="007D226C" w:rsidRPr="00815858">
        <w:t>or reduced grade offer</w:t>
      </w:r>
      <w:r w:rsidR="00815858" w:rsidRPr="00815858">
        <w:t>s</w:t>
      </w:r>
      <w:r w:rsidR="009716BB">
        <w:t>.</w:t>
      </w:r>
      <w:r w:rsidR="00815858" w:rsidRPr="00815858">
        <w:rPr>
          <w:vertAlign w:val="superscript"/>
        </w:rPr>
        <w:t>2</w:t>
      </w:r>
      <w:r w:rsidR="009716BB">
        <w:t xml:space="preserve"> </w:t>
      </w:r>
      <w:r w:rsidR="002E42D2">
        <w:t xml:space="preserve"> </w:t>
      </w:r>
    </w:p>
    <w:p w14:paraId="7CB30842" w14:textId="50E48C1D" w:rsidR="00AC2B16" w:rsidRDefault="00815858" w:rsidP="00AB7EBD">
      <w:pPr>
        <w:spacing w:before="120" w:after="240" w:line="480" w:lineRule="auto"/>
      </w:pPr>
      <w:r>
        <w:t>C</w:t>
      </w:r>
      <w:r w:rsidR="007D226C" w:rsidRPr="00BF16D3">
        <w:t>ontextual admissions</w:t>
      </w:r>
      <w:r w:rsidR="002E42D2" w:rsidRPr="00BF16D3">
        <w:t xml:space="preserve"> </w:t>
      </w:r>
      <w:proofErr w:type="gramStart"/>
      <w:r w:rsidR="002E42D2" w:rsidRPr="00BF16D3">
        <w:t>is</w:t>
      </w:r>
      <w:proofErr w:type="gramEnd"/>
      <w:r w:rsidR="002E42D2" w:rsidRPr="00BF16D3">
        <w:t xml:space="preserve"> controversial</w:t>
      </w:r>
      <w:r w:rsidR="00EE31AB" w:rsidRPr="00BF16D3">
        <w:t xml:space="preserve">, particularly </w:t>
      </w:r>
      <w:r w:rsidR="001C713E">
        <w:t>when</w:t>
      </w:r>
      <w:r w:rsidR="007D226C" w:rsidRPr="00BF16D3">
        <w:t xml:space="preserve"> a </w:t>
      </w:r>
      <w:r w:rsidR="00777044" w:rsidRPr="00BF16D3">
        <w:t>cap on</w:t>
      </w:r>
      <w:r w:rsidR="007D226C" w:rsidRPr="00BF16D3">
        <w:t xml:space="preserve"> places</w:t>
      </w:r>
      <w:r w:rsidR="00EE31AB" w:rsidRPr="00BF16D3">
        <w:t xml:space="preserve"> means that</w:t>
      </w:r>
      <w:r w:rsidR="007D226C" w:rsidRPr="00BF16D3">
        <w:t xml:space="preserve"> </w:t>
      </w:r>
      <w:r w:rsidR="001C713E">
        <w:t xml:space="preserve">admitting </w:t>
      </w:r>
      <w:r w:rsidR="007D226C" w:rsidRPr="00BF16D3">
        <w:t xml:space="preserve">more applicants from </w:t>
      </w:r>
      <w:r w:rsidR="002E42D2" w:rsidRPr="00BF16D3">
        <w:t>target groups</w:t>
      </w:r>
      <w:r w:rsidR="007D226C" w:rsidRPr="00BF16D3">
        <w:t xml:space="preserve"> </w:t>
      </w:r>
      <w:r w:rsidR="00DB05EA">
        <w:t xml:space="preserve">results in </w:t>
      </w:r>
      <w:r w:rsidR="007D226C" w:rsidRPr="00BF16D3">
        <w:t xml:space="preserve">fewer from </w:t>
      </w:r>
      <w:r w:rsidR="001C713E">
        <w:t>non-target groups</w:t>
      </w:r>
      <w:r w:rsidR="002E42D2" w:rsidRPr="00BF16D3">
        <w:t xml:space="preserve">. </w:t>
      </w:r>
      <w:r w:rsidR="00E54DC6" w:rsidRPr="00BF16D3">
        <w:t>P</w:t>
      </w:r>
      <w:r w:rsidR="007D226C" w:rsidRPr="00BF16D3">
        <w:t xml:space="preserve">roviding </w:t>
      </w:r>
      <w:r w:rsidR="00200DA0" w:rsidRPr="00BF16D3">
        <w:t>contextualised</w:t>
      </w:r>
      <w:r w:rsidR="00DD54C9">
        <w:t xml:space="preserve"> offers </w:t>
      </w:r>
      <w:r w:rsidR="007D226C" w:rsidRPr="00BF16D3">
        <w:t>can be equitable</w:t>
      </w:r>
      <w:r w:rsidR="005D43E3" w:rsidRPr="00BF16D3">
        <w:t xml:space="preserve">, but to some accustomed to privilege equity can feel like oppression.  </w:t>
      </w:r>
      <w:r w:rsidR="009716BB" w:rsidRPr="00BF16D3">
        <w:t xml:space="preserve">There </w:t>
      </w:r>
      <w:r w:rsidR="00DB05EA">
        <w:t>is</w:t>
      </w:r>
      <w:r w:rsidR="009716BB" w:rsidRPr="00BF16D3">
        <w:t xml:space="preserve"> also concern</w:t>
      </w:r>
      <w:r w:rsidR="00D56069">
        <w:t xml:space="preserve">, particularly in medicine, </w:t>
      </w:r>
      <w:r w:rsidR="009716BB" w:rsidRPr="00BF16D3">
        <w:t xml:space="preserve">that </w:t>
      </w:r>
      <w:r w:rsidR="00DB05EA">
        <w:t>lower</w:t>
      </w:r>
      <w:r w:rsidR="00E006A3">
        <w:t xml:space="preserve"> entry requirements</w:t>
      </w:r>
      <w:r w:rsidR="009716BB">
        <w:t xml:space="preserve"> </w:t>
      </w:r>
      <w:proofErr w:type="gramStart"/>
      <w:r w:rsidR="00B04EBD">
        <w:t>results</w:t>
      </w:r>
      <w:proofErr w:type="gramEnd"/>
      <w:r w:rsidR="005966D6">
        <w:t xml:space="preserve"> </w:t>
      </w:r>
      <w:r w:rsidR="0048200E">
        <w:t xml:space="preserve">in </w:t>
      </w:r>
      <w:r w:rsidR="009716BB">
        <w:t xml:space="preserve">poorer </w:t>
      </w:r>
      <w:r w:rsidR="00B04EBD">
        <w:t>outcomes</w:t>
      </w:r>
      <w:r w:rsidR="00CF4C47">
        <w:t xml:space="preserve">. </w:t>
      </w:r>
      <w:r w:rsidR="00F11279">
        <w:t>A</w:t>
      </w:r>
      <w:r w:rsidR="00E54DC6">
        <w:t xml:space="preserve"> recent study found </w:t>
      </w:r>
      <w:r w:rsidR="00F11279">
        <w:t xml:space="preserve">medical </w:t>
      </w:r>
      <w:r w:rsidR="0048200E">
        <w:t xml:space="preserve">students </w:t>
      </w:r>
      <w:r w:rsidR="00F11279">
        <w:t>from</w:t>
      </w:r>
      <w:r w:rsidR="0048200E">
        <w:t xml:space="preserve"> the poorest performing </w:t>
      </w:r>
      <w:r w:rsidR="007A4ED7">
        <w:lastRenderedPageBreak/>
        <w:t>secondary</w:t>
      </w:r>
      <w:r w:rsidR="0048200E">
        <w:t xml:space="preserve"> schools outperform</w:t>
      </w:r>
      <w:r w:rsidR="00F11279">
        <w:t>ed</w:t>
      </w:r>
      <w:r w:rsidR="0048200E">
        <w:t xml:space="preserve"> those</w:t>
      </w:r>
      <w:r w:rsidR="00174AB2">
        <w:t xml:space="preserve"> with equivalent grades</w:t>
      </w:r>
      <w:r w:rsidR="0048200E">
        <w:t xml:space="preserve"> from </w:t>
      </w:r>
      <w:r>
        <w:t xml:space="preserve">higher performing </w:t>
      </w:r>
      <w:r w:rsidR="007A4ED7">
        <w:t>secondary</w:t>
      </w:r>
      <w:r>
        <w:t xml:space="preserve"> schools</w:t>
      </w:r>
      <w:r w:rsidR="007A4ED7">
        <w:t>,</w:t>
      </w:r>
      <w:r w:rsidRPr="00815858">
        <w:rPr>
          <w:vertAlign w:val="superscript"/>
        </w:rPr>
        <w:t>6</w:t>
      </w:r>
      <w:r w:rsidR="00DB05EA">
        <w:t xml:space="preserve"> and while t</w:t>
      </w:r>
      <w:r w:rsidR="005D43E3">
        <w:t>his</w:t>
      </w:r>
      <w:r w:rsidR="00EE31AB">
        <w:t xml:space="preserve"> </w:t>
      </w:r>
      <w:r w:rsidR="00174AB2">
        <w:t>can be</w:t>
      </w:r>
      <w:r w:rsidR="00CF4C47">
        <w:t xml:space="preserve"> </w:t>
      </w:r>
      <w:r w:rsidR="005D43E3">
        <w:t xml:space="preserve">evidence for </w:t>
      </w:r>
      <w:r w:rsidR="00B04EBD">
        <w:t>using</w:t>
      </w:r>
      <w:r w:rsidR="00CF4C47">
        <w:t xml:space="preserve"> </w:t>
      </w:r>
      <w:r w:rsidR="006F53B3">
        <w:t xml:space="preserve">average </w:t>
      </w:r>
      <w:r w:rsidR="00B04EBD">
        <w:t xml:space="preserve">school performance </w:t>
      </w:r>
      <w:r w:rsidR="00174AB2">
        <w:t>as a contextual factor in admissions</w:t>
      </w:r>
      <w:r w:rsidR="00DD54C9">
        <w:t>,</w:t>
      </w:r>
      <w:r w:rsidR="00CF4C47">
        <w:t xml:space="preserve"> </w:t>
      </w:r>
      <w:r w:rsidR="001C713E">
        <w:t>we</w:t>
      </w:r>
      <w:r w:rsidR="00CF4C47">
        <w:t xml:space="preserve"> have found many medical schools do not use this criterion, </w:t>
      </w:r>
      <w:r w:rsidR="002C24A6">
        <w:t>or</w:t>
      </w:r>
      <w:r w:rsidR="00CF4C47">
        <w:t xml:space="preserve"> use </w:t>
      </w:r>
      <w:r w:rsidR="00EE31AB">
        <w:t xml:space="preserve">it in combination with </w:t>
      </w:r>
      <w:r w:rsidR="00F11279">
        <w:t>ot</w:t>
      </w:r>
      <w:r w:rsidR="00CF4C47">
        <w:t xml:space="preserve">her </w:t>
      </w:r>
      <w:r w:rsidR="00DB05EA">
        <w:t xml:space="preserve">poorly-evidence </w:t>
      </w:r>
      <w:r w:rsidR="00CF4C47">
        <w:t xml:space="preserve">criteria. </w:t>
      </w:r>
      <w:r w:rsidR="002C24A6">
        <w:t xml:space="preserve">Indeed, </w:t>
      </w:r>
      <w:r>
        <w:t xml:space="preserve">our </w:t>
      </w:r>
      <w:r w:rsidR="007A4ED7">
        <w:t>ongoing</w:t>
      </w:r>
      <w:r w:rsidR="00F03147">
        <w:t xml:space="preserve"> audit of websites shows</w:t>
      </w:r>
      <w:r w:rsidR="00F11279">
        <w:t xml:space="preserve"> </w:t>
      </w:r>
      <w:r w:rsidR="00F11279" w:rsidRPr="00801887">
        <w:rPr>
          <w:b/>
        </w:rPr>
        <w:t>UK</w:t>
      </w:r>
      <w:r w:rsidR="002C24A6" w:rsidRPr="00801887">
        <w:rPr>
          <w:b/>
        </w:rPr>
        <w:t xml:space="preserve"> medical schools</w:t>
      </w:r>
      <w:r w:rsidRPr="00801887">
        <w:rPr>
          <w:b/>
        </w:rPr>
        <w:t xml:space="preserve"> </w:t>
      </w:r>
      <w:r w:rsidR="00F03147" w:rsidRPr="00801887">
        <w:rPr>
          <w:b/>
        </w:rPr>
        <w:t>use</w:t>
      </w:r>
      <w:r w:rsidRPr="00801887">
        <w:rPr>
          <w:b/>
        </w:rPr>
        <w:t xml:space="preserve"> </w:t>
      </w:r>
      <w:r w:rsidR="00801887" w:rsidRPr="00801887">
        <w:rPr>
          <w:b/>
        </w:rPr>
        <w:t>various</w:t>
      </w:r>
      <w:r w:rsidR="00EE31AB" w:rsidRPr="00801887">
        <w:rPr>
          <w:b/>
        </w:rPr>
        <w:t xml:space="preserve"> </w:t>
      </w:r>
      <w:r w:rsidR="00F11279" w:rsidRPr="00801887">
        <w:rPr>
          <w:b/>
        </w:rPr>
        <w:t xml:space="preserve">criteria to confer eligibility for </w:t>
      </w:r>
      <w:r w:rsidRPr="00801887">
        <w:rPr>
          <w:b/>
        </w:rPr>
        <w:t>contextual admissions</w:t>
      </w:r>
      <w:r w:rsidR="002C24A6" w:rsidRPr="00801887">
        <w:rPr>
          <w:b/>
        </w:rPr>
        <w:t xml:space="preserve">, </w:t>
      </w:r>
      <w:r w:rsidRPr="00801887">
        <w:rPr>
          <w:b/>
        </w:rPr>
        <w:t>or</w:t>
      </w:r>
      <w:r w:rsidR="002C24A6" w:rsidRPr="00801887">
        <w:rPr>
          <w:b/>
        </w:rPr>
        <w:t xml:space="preserve"> </w:t>
      </w:r>
      <w:r w:rsidR="00F03147" w:rsidRPr="00801887">
        <w:rPr>
          <w:b/>
        </w:rPr>
        <w:t>do not provide details</w:t>
      </w:r>
      <w:r w:rsidR="008A5570" w:rsidRPr="00801887">
        <w:rPr>
          <w:b/>
        </w:rPr>
        <w:t>.</w:t>
      </w:r>
      <w:r w:rsidR="001C713E" w:rsidRPr="00801887">
        <w:rPr>
          <w:b/>
        </w:rPr>
        <w:t xml:space="preserve"> </w:t>
      </w:r>
      <w:r w:rsidR="007A4ED7" w:rsidRPr="0054759D">
        <w:rPr>
          <w:bCs/>
        </w:rPr>
        <w:t>W</w:t>
      </w:r>
      <w:r w:rsidR="00174AB2">
        <w:t>hile e</w:t>
      </w:r>
      <w:r w:rsidR="00AC2B16">
        <w:t>vidence</w:t>
      </w:r>
      <w:r w:rsidR="005404A1">
        <w:t xml:space="preserve"> about the effectiveness of different criteria</w:t>
      </w:r>
      <w:r>
        <w:t xml:space="preserve"> for conferring eligibility for contextual admissions is starting to emerge,</w:t>
      </w:r>
      <w:r w:rsidRPr="00815858">
        <w:rPr>
          <w:vertAlign w:val="superscript"/>
        </w:rPr>
        <w:t>8</w:t>
      </w:r>
      <w:r>
        <w:t xml:space="preserve"> </w:t>
      </w:r>
      <w:r w:rsidR="0042601E">
        <w:t xml:space="preserve">more </w:t>
      </w:r>
      <w:r>
        <w:t>is required</w:t>
      </w:r>
      <w:r w:rsidR="005404A1">
        <w:t xml:space="preserve"> </w:t>
      </w:r>
      <w:r w:rsidR="0042601E">
        <w:t xml:space="preserve">about </w:t>
      </w:r>
      <w:r w:rsidR="00174AB2">
        <w:t>the impact that</w:t>
      </w:r>
      <w:r w:rsidR="00EE5664">
        <w:t xml:space="preserve"> </w:t>
      </w:r>
      <w:r w:rsidR="00174AB2">
        <w:t xml:space="preserve">using different criteria has </w:t>
      </w:r>
      <w:r w:rsidR="00EE5664">
        <w:t xml:space="preserve">on </w:t>
      </w:r>
      <w:r w:rsidR="005C792C">
        <w:t>widening participation</w:t>
      </w:r>
      <w:r w:rsidR="007A4ED7">
        <w:t xml:space="preserve"> in general, and</w:t>
      </w:r>
      <w:r w:rsidR="005C792C">
        <w:t xml:space="preserve"> </w:t>
      </w:r>
      <w:r>
        <w:t>to</w:t>
      </w:r>
      <w:r w:rsidR="005404A1">
        <w:t xml:space="preserve"> medicine</w:t>
      </w:r>
      <w:r w:rsidR="007A4ED7">
        <w:t xml:space="preserve"> in particular</w:t>
      </w:r>
      <w:r w:rsidR="0042601E">
        <w:t>.</w:t>
      </w:r>
    </w:p>
    <w:p w14:paraId="3F409AD6" w14:textId="00AFFF08" w:rsidR="00CF4C47" w:rsidRDefault="004C4A56" w:rsidP="00AB7EBD">
      <w:pPr>
        <w:spacing w:before="120" w:after="240" w:line="480" w:lineRule="auto"/>
      </w:pPr>
      <w:r>
        <w:t xml:space="preserve">Lack of </w:t>
      </w:r>
      <w:r w:rsidR="00815858">
        <w:t>clear</w:t>
      </w:r>
      <w:r w:rsidR="00F11279">
        <w:t xml:space="preserve"> and </w:t>
      </w:r>
      <w:r>
        <w:t>transparen</w:t>
      </w:r>
      <w:r w:rsidR="00640D8C">
        <w:t xml:space="preserve">t </w:t>
      </w:r>
      <w:r w:rsidR="00815858">
        <w:t>policies</w:t>
      </w:r>
      <w:r w:rsidR="005C792C">
        <w:t xml:space="preserve"> </w:t>
      </w:r>
      <w:r w:rsidR="00CF4C47">
        <w:t xml:space="preserve">could </w:t>
      </w:r>
      <w:r w:rsidR="00DB05EA">
        <w:t>also</w:t>
      </w:r>
      <w:r w:rsidR="00F11279">
        <w:t xml:space="preserve"> </w:t>
      </w:r>
      <w:r w:rsidR="00CF4C47">
        <w:t xml:space="preserve">act </w:t>
      </w:r>
      <w:r w:rsidR="006F53B3">
        <w:t xml:space="preserve">directly </w:t>
      </w:r>
      <w:r w:rsidR="00CF4C47">
        <w:t>as a barrier</w:t>
      </w:r>
      <w:r w:rsidR="005C792C">
        <w:t xml:space="preserve"> to access</w:t>
      </w:r>
      <w:r w:rsidR="00AC2B16">
        <w:t xml:space="preserve">. </w:t>
      </w:r>
      <w:r w:rsidR="0042601E">
        <w:t xml:space="preserve">Consider </w:t>
      </w:r>
      <w:r w:rsidR="00AC2B16">
        <w:t xml:space="preserve">an applicant whose parents earn less than the national </w:t>
      </w:r>
      <w:r w:rsidR="005C792C">
        <w:t>median</w:t>
      </w:r>
      <w:r w:rsidR="00F11279">
        <w:t xml:space="preserve"> wage</w:t>
      </w:r>
      <w:r w:rsidR="0042601E">
        <w:t xml:space="preserve">. </w:t>
      </w:r>
      <w:r w:rsidR="00DD54C9">
        <w:t>A</w:t>
      </w:r>
      <w:r w:rsidR="005404A1">
        <w:t>n</w:t>
      </w:r>
      <w:r w:rsidR="00DD54C9">
        <w:t xml:space="preserve"> </w:t>
      </w:r>
      <w:r w:rsidR="00DB05EA">
        <w:t>unclear</w:t>
      </w:r>
      <w:r w:rsidR="00640D8C">
        <w:t xml:space="preserve"> contextual admissions</w:t>
      </w:r>
      <w:r w:rsidR="00DD54C9">
        <w:t xml:space="preserve"> polic</w:t>
      </w:r>
      <w:r w:rsidR="00DB05EA">
        <w:t>y</w:t>
      </w:r>
      <w:r w:rsidR="00BF16D3">
        <w:t xml:space="preserve"> may mean they do</w:t>
      </w:r>
      <w:r w:rsidR="00AC2B16">
        <w:t xml:space="preserve"> not </w:t>
      </w:r>
      <w:r w:rsidR="00CF4C47">
        <w:t xml:space="preserve">realise that </w:t>
      </w:r>
      <w:r w:rsidR="00BF16D3">
        <w:t>they are e</w:t>
      </w:r>
      <w:r w:rsidR="005C792C">
        <w:t xml:space="preserve">ligible and </w:t>
      </w:r>
      <w:r w:rsidR="00BF16D3">
        <w:t xml:space="preserve">do </w:t>
      </w:r>
      <w:r w:rsidR="005C792C">
        <w:t>not apply</w:t>
      </w:r>
      <w:r w:rsidR="00CF4C47">
        <w:t>.</w:t>
      </w:r>
      <w:r w:rsidR="00AC2B16">
        <w:t xml:space="preserve"> </w:t>
      </w:r>
      <w:r w:rsidR="00F11279">
        <w:t xml:space="preserve"> </w:t>
      </w:r>
      <w:r w:rsidR="005404A1">
        <w:t>The</w:t>
      </w:r>
      <w:r w:rsidR="00640D8C">
        <w:t>re is still fairly limited</w:t>
      </w:r>
      <w:r w:rsidR="006F53B3">
        <w:t xml:space="preserve"> </w:t>
      </w:r>
      <w:r w:rsidR="005404A1">
        <w:t xml:space="preserve">evidence on </w:t>
      </w:r>
      <w:r w:rsidR="002C24A6">
        <w:t>how applicants approach applying</w:t>
      </w:r>
      <w:r>
        <w:t xml:space="preserve"> (or not) to </w:t>
      </w:r>
      <w:r w:rsidR="005404A1">
        <w:t>university</w:t>
      </w:r>
      <w:r w:rsidR="00640D8C">
        <w:t>, but studies have found</w:t>
      </w:r>
      <w:r w:rsidR="002C24A6">
        <w:t xml:space="preserve"> </w:t>
      </w:r>
      <w:r>
        <w:t>improving</w:t>
      </w:r>
      <w:r w:rsidR="002C24A6">
        <w:t xml:space="preserve"> information </w:t>
      </w:r>
      <w:r>
        <w:t>is</w:t>
      </w:r>
      <w:r w:rsidR="002C24A6">
        <w:t xml:space="preserve"> important in </w:t>
      </w:r>
      <w:r w:rsidR="00CF4C47">
        <w:t>helping applicants</w:t>
      </w:r>
      <w:r w:rsidR="002C24A6">
        <w:t xml:space="preserve"> from </w:t>
      </w:r>
      <w:r w:rsidR="006F53B3">
        <w:t>underrepresented</w:t>
      </w:r>
      <w:r w:rsidR="002C24A6">
        <w:t xml:space="preserve"> groups </w:t>
      </w:r>
      <w:r w:rsidR="00CF4C47">
        <w:t xml:space="preserve">make </w:t>
      </w:r>
      <w:r w:rsidR="002C24A6">
        <w:t>more successful higher education</w:t>
      </w:r>
      <w:r w:rsidR="00CF4C47">
        <w:t xml:space="preserve"> choices</w:t>
      </w:r>
      <w:r w:rsidR="006F53B3">
        <w:t>.</w:t>
      </w:r>
      <w:r w:rsidR="00576AFC">
        <w:rPr>
          <w:vertAlign w:val="superscript"/>
        </w:rPr>
        <w:t>8</w:t>
      </w:r>
      <w:r w:rsidR="006F53B3">
        <w:t xml:space="preserve"> </w:t>
      </w:r>
      <w:r w:rsidR="00F774E9">
        <w:t xml:space="preserve"> H</w:t>
      </w:r>
      <w:r w:rsidR="006F53B3">
        <w:t>ow applicants view contextual admissions</w:t>
      </w:r>
      <w:r w:rsidR="00F774E9">
        <w:t xml:space="preserve"> </w:t>
      </w:r>
      <w:r w:rsidR="006F53B3">
        <w:t>is</w:t>
      </w:r>
      <w:r w:rsidR="00F774E9">
        <w:t xml:space="preserve"> also</w:t>
      </w:r>
      <w:r w:rsidR="006F53B3">
        <w:t xml:space="preserve"> largely unknown, although there is some evidence of suspicion</w:t>
      </w:r>
      <w:r w:rsidR="00F774E9">
        <w:t xml:space="preserve"> and uncertainty</w:t>
      </w:r>
      <w:r w:rsidR="006F53B3">
        <w:t xml:space="preserve"> in how policies are enacted.</w:t>
      </w:r>
      <w:r w:rsidR="00576AFC" w:rsidRPr="00576AFC">
        <w:rPr>
          <w:vertAlign w:val="superscript"/>
        </w:rPr>
        <w:t>10</w:t>
      </w:r>
      <w:r w:rsidR="006F53B3">
        <w:t xml:space="preserve"> </w:t>
      </w:r>
      <w:r w:rsidR="00F774E9">
        <w:t>In this issue Scott discusses how assessments influence behaviour and so can selection criteria.</w:t>
      </w:r>
      <w:r w:rsidR="00F774E9">
        <w:rPr>
          <w:vertAlign w:val="superscript"/>
        </w:rPr>
        <w:t>9</w:t>
      </w:r>
      <w:r w:rsidR="00F774E9">
        <w:t xml:space="preserve"> </w:t>
      </w:r>
      <w:r w:rsidR="006F53B3">
        <w:t>Research is need</w:t>
      </w:r>
      <w:r w:rsidR="003263AC">
        <w:t>ed</w:t>
      </w:r>
      <w:r w:rsidR="006F53B3">
        <w:t xml:space="preserve"> to find out whether applicants from target groups are </w:t>
      </w:r>
      <w:r w:rsidR="006F53B3" w:rsidRPr="00B04EBD">
        <w:t xml:space="preserve">less </w:t>
      </w:r>
      <w:r w:rsidR="006F53B3">
        <w:t xml:space="preserve">likely to apply to medical schools with unclear policies. It is also possible that </w:t>
      </w:r>
      <w:r w:rsidR="00F774E9">
        <w:t xml:space="preserve">more advantaged </w:t>
      </w:r>
      <w:r w:rsidR="006F53B3">
        <w:t xml:space="preserve">applicants </w:t>
      </w:r>
      <w:r w:rsidR="00F774E9">
        <w:t xml:space="preserve">have greater resources to help them </w:t>
      </w:r>
      <w:r w:rsidR="006F53B3">
        <w:t xml:space="preserve">decode unclear policies, or that the use of particular criteria (such as postcode) to identify members of target groups may enable more advantaged applicants to ‘game’ policies. </w:t>
      </w:r>
      <w:r w:rsidR="006F53B3" w:rsidRPr="001C713E">
        <w:t>Medical schools need evidence to enable them to design systems that are transparent</w:t>
      </w:r>
      <w:r w:rsidR="006F53B3">
        <w:t xml:space="preserve"> and accessible, </w:t>
      </w:r>
      <w:r w:rsidR="006F53B3" w:rsidRPr="001C713E">
        <w:t>yet robust against gaming.</w:t>
      </w:r>
      <w:r w:rsidR="006F53B3">
        <w:t xml:space="preserve"> </w:t>
      </w:r>
      <w:r w:rsidR="0083030C" w:rsidRPr="00801887">
        <w:rPr>
          <w:b/>
        </w:rPr>
        <w:t>Evidence for the mechanisms underpinning the links between background,</w:t>
      </w:r>
      <w:r w:rsidR="00B04EBD" w:rsidRPr="00801887">
        <w:rPr>
          <w:b/>
        </w:rPr>
        <w:t xml:space="preserve"> </w:t>
      </w:r>
      <w:r w:rsidR="005404A1" w:rsidRPr="00801887">
        <w:rPr>
          <w:b/>
        </w:rPr>
        <w:t xml:space="preserve">information, </w:t>
      </w:r>
      <w:r w:rsidR="00B04EBD" w:rsidRPr="00801887">
        <w:rPr>
          <w:b/>
        </w:rPr>
        <w:lastRenderedPageBreak/>
        <w:t>achievement</w:t>
      </w:r>
      <w:r w:rsidR="00F774E9">
        <w:rPr>
          <w:b/>
        </w:rPr>
        <w:t xml:space="preserve">, and access, </w:t>
      </w:r>
      <w:r w:rsidR="00F03147" w:rsidRPr="00801887">
        <w:rPr>
          <w:b/>
        </w:rPr>
        <w:t>is crucial to</w:t>
      </w:r>
      <w:r w:rsidR="00F11279" w:rsidRPr="00801887">
        <w:rPr>
          <w:b/>
        </w:rPr>
        <w:t xml:space="preserve"> </w:t>
      </w:r>
      <w:r w:rsidR="00DB05EA" w:rsidRPr="00801887">
        <w:rPr>
          <w:b/>
        </w:rPr>
        <w:t>inform policies</w:t>
      </w:r>
      <w:r w:rsidR="00DB05EA" w:rsidRPr="00F03147">
        <w:t xml:space="preserve"> and </w:t>
      </w:r>
      <w:r w:rsidR="00F11279" w:rsidRPr="00F03147">
        <w:t>help guard against unintended consequences.</w:t>
      </w:r>
      <w:r w:rsidR="00F11279">
        <w:t xml:space="preserve"> </w:t>
      </w:r>
    </w:p>
    <w:p w14:paraId="029D3127" w14:textId="37F4119E" w:rsidR="006A4D34" w:rsidRDefault="00FD334A" w:rsidP="00AB7EBD">
      <w:pPr>
        <w:spacing w:before="120" w:after="240" w:line="480" w:lineRule="auto"/>
      </w:pPr>
      <w:r>
        <w:t xml:space="preserve">In </w:t>
      </w:r>
      <w:r w:rsidR="00EE5664">
        <w:t>conclusion,</w:t>
      </w:r>
      <w:r w:rsidR="00B20E33">
        <w:t xml:space="preserve"> to ensure </w:t>
      </w:r>
      <w:r>
        <w:t>selection is fit for purpose,</w:t>
      </w:r>
      <w:r w:rsidR="00B20E33">
        <w:t xml:space="preserve"> </w:t>
      </w:r>
      <w:r w:rsidR="00947F97" w:rsidRPr="001C713E">
        <w:t>medical schools</w:t>
      </w:r>
      <w:r w:rsidR="00B20E33" w:rsidRPr="001C713E">
        <w:t xml:space="preserve"> need to improve </w:t>
      </w:r>
      <w:r w:rsidRPr="001C713E">
        <w:t xml:space="preserve">clarity and </w:t>
      </w:r>
      <w:r w:rsidR="00B20E33" w:rsidRPr="001C713E">
        <w:t xml:space="preserve">transparency regarding </w:t>
      </w:r>
      <w:r w:rsidRPr="001C713E">
        <w:t>the</w:t>
      </w:r>
      <w:r w:rsidR="00947F97" w:rsidRPr="001C713E">
        <w:t>ir goals for</w:t>
      </w:r>
      <w:r w:rsidRPr="001C713E">
        <w:t xml:space="preserve"> widening participation</w:t>
      </w:r>
      <w:r w:rsidR="00777044" w:rsidRPr="001C713E">
        <w:t xml:space="preserve"> and</w:t>
      </w:r>
      <w:r w:rsidRPr="001C713E">
        <w:t xml:space="preserve"> </w:t>
      </w:r>
      <w:r w:rsidR="00B20E33" w:rsidRPr="001C713E">
        <w:t xml:space="preserve">the processes </w:t>
      </w:r>
      <w:r w:rsidR="00947F97" w:rsidRPr="001C713E">
        <w:t>they</w:t>
      </w:r>
      <w:r w:rsidR="00B20E33" w:rsidRPr="001C713E">
        <w:t xml:space="preserve"> use to widen access to medical schools</w:t>
      </w:r>
      <w:r w:rsidR="00BF16D3" w:rsidRPr="001C713E">
        <w:t>.</w:t>
      </w:r>
      <w:r w:rsidR="00947F97" w:rsidRPr="001C713E">
        <w:t xml:space="preserve"> </w:t>
      </w:r>
      <w:r w:rsidR="00B04EBD" w:rsidRPr="001C713E">
        <w:t>R</w:t>
      </w:r>
      <w:r w:rsidR="00947F97" w:rsidRPr="001C713E">
        <w:t>esearchers need to</w:t>
      </w:r>
      <w:r w:rsidRPr="001C713E">
        <w:t xml:space="preserve"> </w:t>
      </w:r>
      <w:r w:rsidR="00BF16D3" w:rsidRPr="001C713E">
        <w:t xml:space="preserve">seek to </w:t>
      </w:r>
      <w:r w:rsidR="006F53B3">
        <w:t>understand</w:t>
      </w:r>
      <w:r w:rsidRPr="001C713E">
        <w:t xml:space="preserve"> the </w:t>
      </w:r>
      <w:r w:rsidR="00B04EBD" w:rsidRPr="001C713E">
        <w:t>mechanisms underpinning the link</w:t>
      </w:r>
      <w:r w:rsidR="006F53B3">
        <w:t>s</w:t>
      </w:r>
      <w:r w:rsidR="00B04EBD" w:rsidRPr="001C713E">
        <w:t xml:space="preserve"> between background, </w:t>
      </w:r>
      <w:r w:rsidR="005404A1">
        <w:t xml:space="preserve">information, </w:t>
      </w:r>
      <w:r w:rsidR="00B04EBD" w:rsidRPr="001C713E">
        <w:t>achievement and outcomes</w:t>
      </w:r>
      <w:r w:rsidR="0083030C">
        <w:t>.</w:t>
      </w:r>
    </w:p>
    <w:p w14:paraId="4CE140B0" w14:textId="77777777" w:rsidR="00B20E33" w:rsidRPr="003775BD" w:rsidRDefault="00B20E33" w:rsidP="00B20E33">
      <w:pPr>
        <w:rPr>
          <w:b/>
        </w:rPr>
      </w:pPr>
      <w:r w:rsidRPr="003775BD">
        <w:rPr>
          <w:b/>
        </w:rPr>
        <w:t>References:</w:t>
      </w:r>
    </w:p>
    <w:p w14:paraId="25208EFE" w14:textId="77777777" w:rsidR="00576AFC" w:rsidRPr="00F03147" w:rsidRDefault="00F67CA0" w:rsidP="00F03147">
      <w:pPr>
        <w:pStyle w:val="ListParagraph"/>
        <w:numPr>
          <w:ilvl w:val="0"/>
          <w:numId w:val="3"/>
        </w:numPr>
        <w:ind w:left="714" w:hanging="357"/>
        <w:rPr>
          <w:rFonts w:cs="Arial"/>
          <w:color w:val="777777"/>
        </w:rPr>
      </w:pPr>
      <w:r w:rsidRPr="00F03147">
        <w:t xml:space="preserve">Razack S, </w:t>
      </w:r>
      <w:proofErr w:type="spellStart"/>
      <w:r w:rsidRPr="00F03147">
        <w:t>Riso</w:t>
      </w:r>
      <w:proofErr w:type="spellEnd"/>
      <w:r w:rsidRPr="00F03147">
        <w:t xml:space="preserve"> T, Hodges B, Steinert Y. Beyond the cultural myth of medical meritocracy. </w:t>
      </w:r>
      <w:r w:rsidRPr="00F03147">
        <w:rPr>
          <w:i/>
        </w:rPr>
        <w:t>Medical Education.</w:t>
      </w:r>
      <w:r w:rsidRPr="00F03147">
        <w:t xml:space="preserve"> 2019; 54: PAGES</w:t>
      </w:r>
    </w:p>
    <w:p w14:paraId="43485D44" w14:textId="21E32879" w:rsidR="00576AFC" w:rsidRPr="00F03147" w:rsidRDefault="00F67CA0" w:rsidP="00F03147">
      <w:pPr>
        <w:pStyle w:val="ListParagraph"/>
        <w:numPr>
          <w:ilvl w:val="0"/>
          <w:numId w:val="3"/>
        </w:numPr>
        <w:ind w:left="714" w:hanging="357"/>
        <w:rPr>
          <w:color w:val="auto"/>
        </w:rPr>
      </w:pPr>
      <w:proofErr w:type="spellStart"/>
      <w:r w:rsidRPr="00F03147">
        <w:rPr>
          <w:color w:val="auto"/>
        </w:rPr>
        <w:t>Boliver</w:t>
      </w:r>
      <w:proofErr w:type="spellEnd"/>
      <w:r w:rsidRPr="00F03147">
        <w:rPr>
          <w:color w:val="auto"/>
        </w:rPr>
        <w:t xml:space="preserve"> </w:t>
      </w:r>
      <w:r w:rsidR="00576AFC" w:rsidRPr="00F03147">
        <w:rPr>
          <w:color w:val="auto"/>
        </w:rPr>
        <w:t xml:space="preserve">V.  </w:t>
      </w:r>
      <w:r w:rsidR="00576AFC" w:rsidRPr="00F03147">
        <w:rPr>
          <w:color w:val="auto"/>
          <w:shd w:val="clear" w:color="auto" w:fill="FFFFFF"/>
        </w:rPr>
        <w:t>How fair is access to more prestigious UK universities?</w:t>
      </w:r>
      <w:r w:rsidR="00576AFC" w:rsidRPr="00F03147">
        <w:rPr>
          <w:color w:val="auto"/>
        </w:rPr>
        <w:t xml:space="preserve"> The British Journal of Sociology. 2013; 64 (2), 344-364</w:t>
      </w:r>
    </w:p>
    <w:p w14:paraId="0816702C" w14:textId="3B1013C4" w:rsidR="00F67CA0" w:rsidRPr="00F03147" w:rsidRDefault="00F67CA0" w:rsidP="00F03147">
      <w:pPr>
        <w:pStyle w:val="ListParagraph"/>
        <w:numPr>
          <w:ilvl w:val="0"/>
          <w:numId w:val="3"/>
        </w:numPr>
        <w:ind w:left="714" w:hanging="357"/>
      </w:pPr>
      <w:r w:rsidRPr="00F03147">
        <w:t xml:space="preserve">Patterson F, Roberts C, Hanson MD, </w:t>
      </w:r>
      <w:proofErr w:type="spellStart"/>
      <w:r w:rsidRPr="00F03147">
        <w:t>Hampe</w:t>
      </w:r>
      <w:proofErr w:type="spellEnd"/>
      <w:r w:rsidRPr="00F03147">
        <w:t xml:space="preserve"> W, Eva K, </w:t>
      </w:r>
      <w:proofErr w:type="spellStart"/>
      <w:r w:rsidRPr="00F03147">
        <w:t>Ponnamperuma</w:t>
      </w:r>
      <w:proofErr w:type="spellEnd"/>
      <w:r w:rsidRPr="00F03147">
        <w:t xml:space="preserve"> G, </w:t>
      </w:r>
      <w:proofErr w:type="spellStart"/>
      <w:r w:rsidRPr="00F03147">
        <w:t>Magzoub</w:t>
      </w:r>
      <w:proofErr w:type="spellEnd"/>
      <w:r w:rsidRPr="00F03147">
        <w:t xml:space="preserve"> M, </w:t>
      </w:r>
      <w:proofErr w:type="spellStart"/>
      <w:r w:rsidRPr="00F03147">
        <w:t>Tekian</w:t>
      </w:r>
      <w:proofErr w:type="spellEnd"/>
      <w:r w:rsidRPr="00F03147">
        <w:t xml:space="preserve"> A, Cleland J</w:t>
      </w:r>
      <w:r w:rsidR="00576AFC" w:rsidRPr="00F03147">
        <w:t xml:space="preserve">. Ottawa consensus statement: Selection and recruitment to the healthcare professions. </w:t>
      </w:r>
      <w:r w:rsidRPr="00F03147">
        <w:rPr>
          <w:i/>
        </w:rPr>
        <w:t>Medical Teacher.</w:t>
      </w:r>
      <w:r w:rsidRPr="00F03147">
        <w:t xml:space="preserve"> 2018; 40: 1091-1101</w:t>
      </w:r>
    </w:p>
    <w:p w14:paraId="4D223065" w14:textId="77777777" w:rsidR="00F03147" w:rsidRPr="00F03147" w:rsidRDefault="00576AFC" w:rsidP="00F03147">
      <w:pPr>
        <w:pStyle w:val="ListParagraph"/>
        <w:numPr>
          <w:ilvl w:val="0"/>
          <w:numId w:val="3"/>
        </w:numPr>
        <w:ind w:left="714" w:hanging="357"/>
        <w:rPr>
          <w:rStyle w:val="Hyperlink"/>
          <w:rFonts w:cs="Arial"/>
          <w:color w:val="1C1D1E"/>
          <w:u w:val="none"/>
        </w:rPr>
      </w:pPr>
      <w:proofErr w:type="spellStart"/>
      <w:r w:rsidRPr="00F03147">
        <w:t>Salmi</w:t>
      </w:r>
      <w:proofErr w:type="spellEnd"/>
      <w:r w:rsidRPr="00F03147">
        <w:t xml:space="preserve"> J. </w:t>
      </w:r>
      <w:r w:rsidRPr="00F03147">
        <w:rPr>
          <w:i/>
        </w:rPr>
        <w:t>All around the world – Higher education equity policies across the globe</w:t>
      </w:r>
      <w:r w:rsidRPr="00F03147">
        <w:t>. World Access to Higher Education Day and the Lumina Foundation. 2018. Available from:</w:t>
      </w:r>
      <w:r w:rsidR="00F67CA0" w:rsidRPr="00F03147">
        <w:t xml:space="preserve"> </w:t>
      </w:r>
      <w:hyperlink r:id="rId6" w:history="1">
        <w:r w:rsidR="00F67CA0" w:rsidRPr="00F03147">
          <w:rPr>
            <w:rStyle w:val="Hyperlink"/>
          </w:rPr>
          <w:t>https://worldaccesshe.com/wp-content/uploads/2018/11/All-around-the-world-Higher-education-equity-policies-across-the-globe-.pdf</w:t>
        </w:r>
      </w:hyperlink>
    </w:p>
    <w:p w14:paraId="4B62BFD8" w14:textId="77777777" w:rsidR="00F03147" w:rsidRPr="00F03147" w:rsidRDefault="00F67CA0" w:rsidP="00F03147">
      <w:pPr>
        <w:pStyle w:val="ListParagraph"/>
        <w:numPr>
          <w:ilvl w:val="0"/>
          <w:numId w:val="3"/>
        </w:numPr>
        <w:ind w:left="714" w:hanging="357"/>
      </w:pPr>
      <w:proofErr w:type="spellStart"/>
      <w:r w:rsidRPr="00F03147">
        <w:t>Chowdry</w:t>
      </w:r>
      <w:proofErr w:type="spellEnd"/>
      <w:r w:rsidRPr="00F03147">
        <w:t xml:space="preserve"> </w:t>
      </w:r>
      <w:r w:rsidR="00576AFC" w:rsidRPr="00F03147">
        <w:t xml:space="preserve">H, Crawford C, Dearden L, Goodman A, </w:t>
      </w:r>
      <w:proofErr w:type="spellStart"/>
      <w:r w:rsidR="00576AFC" w:rsidRPr="00F03147">
        <w:t>Vignoles</w:t>
      </w:r>
      <w:proofErr w:type="spellEnd"/>
      <w:r w:rsidR="00576AFC" w:rsidRPr="00F03147">
        <w:t xml:space="preserve"> A.</w:t>
      </w:r>
      <w:r w:rsidRPr="00F03147">
        <w:t xml:space="preserve"> </w:t>
      </w:r>
      <w:r w:rsidR="00576AFC" w:rsidRPr="00F03147">
        <w:t xml:space="preserve">Widening participation in higher education: analysis using linked administrative data. </w:t>
      </w:r>
      <w:r w:rsidR="00576AFC" w:rsidRPr="00F03147">
        <w:rPr>
          <w:i/>
        </w:rPr>
        <w:t xml:space="preserve">Journal of the Royal Statistical Society, </w:t>
      </w:r>
      <w:r w:rsidR="00F03147" w:rsidRPr="00F03147">
        <w:rPr>
          <w:i/>
        </w:rPr>
        <w:t xml:space="preserve">Statistics in Society Series </w:t>
      </w:r>
      <w:r w:rsidR="00576AFC" w:rsidRPr="00F03147">
        <w:rPr>
          <w:i/>
        </w:rPr>
        <w:t>A.</w:t>
      </w:r>
      <w:r w:rsidR="00576AFC" w:rsidRPr="00F03147">
        <w:t xml:space="preserve"> 2013; 176(2): 431-457.</w:t>
      </w:r>
    </w:p>
    <w:p w14:paraId="02668669" w14:textId="77777777" w:rsidR="00F03147" w:rsidRPr="00F03147" w:rsidRDefault="00815858" w:rsidP="00F03147">
      <w:pPr>
        <w:pStyle w:val="ListParagraph"/>
        <w:numPr>
          <w:ilvl w:val="0"/>
          <w:numId w:val="3"/>
        </w:numPr>
        <w:ind w:left="714" w:hanging="357"/>
        <w:rPr>
          <w:color w:val="auto"/>
        </w:rPr>
      </w:pPr>
      <w:proofErr w:type="spellStart"/>
      <w:r w:rsidRPr="00F03147">
        <w:t>Mwandigha</w:t>
      </w:r>
      <w:proofErr w:type="spellEnd"/>
      <w:r w:rsidRPr="00F03147">
        <w:t xml:space="preserve"> LM, Tiffin PA, Paton, LW, Kasim AS, </w:t>
      </w:r>
      <w:proofErr w:type="spellStart"/>
      <w:r w:rsidRPr="00F03147">
        <w:t>Bohnke</w:t>
      </w:r>
      <w:proofErr w:type="spellEnd"/>
      <w:r w:rsidRPr="00F03147">
        <w:t xml:space="preserve"> JR. What is the effect of secondary (high) schooling on </w:t>
      </w:r>
      <w:r w:rsidRPr="00F03147">
        <w:rPr>
          <w:color w:val="auto"/>
        </w:rPr>
        <w:t xml:space="preserve">subsequent medical school performance? A national, UK-based, cohort study. </w:t>
      </w:r>
      <w:r w:rsidRPr="00F03147">
        <w:rPr>
          <w:i/>
          <w:color w:val="auto"/>
        </w:rPr>
        <w:t>BMJ Open.</w:t>
      </w:r>
      <w:r w:rsidRPr="00F03147">
        <w:rPr>
          <w:color w:val="auto"/>
        </w:rPr>
        <w:t xml:space="preserve"> 2018;</w:t>
      </w:r>
      <w:proofErr w:type="gramStart"/>
      <w:r w:rsidRPr="00F03147">
        <w:rPr>
          <w:color w:val="auto"/>
        </w:rPr>
        <w:t>8:e</w:t>
      </w:r>
      <w:proofErr w:type="gramEnd"/>
      <w:r w:rsidRPr="00F03147">
        <w:rPr>
          <w:color w:val="auto"/>
        </w:rPr>
        <w:t xml:space="preserve">020291. </w:t>
      </w:r>
      <w:proofErr w:type="spellStart"/>
      <w:r w:rsidRPr="00F03147">
        <w:rPr>
          <w:color w:val="auto"/>
        </w:rPr>
        <w:t>doi</w:t>
      </w:r>
      <w:proofErr w:type="spellEnd"/>
      <w:r w:rsidRPr="00F03147">
        <w:rPr>
          <w:color w:val="auto"/>
        </w:rPr>
        <w:t>: 10.1136/bmjopen-2017-020291</w:t>
      </w:r>
      <w:bookmarkStart w:id="1" w:name="bau2"/>
    </w:p>
    <w:p w14:paraId="5D1A20F0" w14:textId="77777777" w:rsidR="00F03147" w:rsidRPr="00F03147" w:rsidRDefault="00F03147" w:rsidP="00F03147">
      <w:pPr>
        <w:pStyle w:val="ListParagraph"/>
        <w:numPr>
          <w:ilvl w:val="0"/>
          <w:numId w:val="3"/>
        </w:numPr>
        <w:ind w:left="714" w:hanging="357"/>
        <w:rPr>
          <w:color w:val="auto"/>
        </w:rPr>
      </w:pPr>
      <w:r w:rsidRPr="00F03147">
        <w:rPr>
          <w:color w:val="auto"/>
          <w:shd w:val="clear" w:color="auto" w:fill="FFFFFF"/>
        </w:rPr>
        <w:t xml:space="preserve">Stephen </w:t>
      </w:r>
      <w:proofErr w:type="spellStart"/>
      <w:r w:rsidRPr="00F03147">
        <w:rPr>
          <w:color w:val="auto"/>
          <w:shd w:val="clear" w:color="auto" w:fill="FFFFFF"/>
        </w:rPr>
        <w:t>Gorard</w:t>
      </w:r>
      <w:proofErr w:type="spellEnd"/>
      <w:r w:rsidRPr="00F03147">
        <w:rPr>
          <w:color w:val="auto"/>
          <w:shd w:val="clear" w:color="auto" w:fill="FFFFFF"/>
        </w:rPr>
        <w:t xml:space="preserve">, Nadia Siddiqui, Vikki </w:t>
      </w:r>
      <w:proofErr w:type="spellStart"/>
      <w:r w:rsidRPr="00F03147">
        <w:rPr>
          <w:color w:val="auto"/>
          <w:shd w:val="clear" w:color="auto" w:fill="FFFFFF"/>
        </w:rPr>
        <w:t>Boliver</w:t>
      </w:r>
      <w:proofErr w:type="spellEnd"/>
      <w:r w:rsidRPr="00F03147">
        <w:rPr>
          <w:color w:val="auto"/>
          <w:shd w:val="clear" w:color="auto" w:fill="FFFFFF"/>
        </w:rPr>
        <w:t>. An analysis of school-based contextual indicators for possible use in widening participation. Higher education studies. 2017;</w:t>
      </w:r>
      <w:r w:rsidRPr="00F03147">
        <w:rPr>
          <w:color w:val="auto"/>
        </w:rPr>
        <w:t xml:space="preserve"> 7(2): 79</w:t>
      </w:r>
    </w:p>
    <w:p w14:paraId="1DEB0579" w14:textId="0117FF79" w:rsidR="00F03147" w:rsidRPr="00F03147" w:rsidRDefault="00F03147" w:rsidP="00F03147">
      <w:pPr>
        <w:pStyle w:val="ListParagraph"/>
        <w:numPr>
          <w:ilvl w:val="0"/>
          <w:numId w:val="3"/>
        </w:numPr>
        <w:ind w:left="714" w:hanging="357"/>
        <w:rPr>
          <w:rFonts w:cs="Arial"/>
          <w:color w:val="auto"/>
        </w:rPr>
      </w:pPr>
      <w:r w:rsidRPr="00F03147">
        <w:rPr>
          <w:color w:val="auto"/>
        </w:rPr>
        <w:t xml:space="preserve">Ehlert M, Finger C, </w:t>
      </w:r>
      <w:proofErr w:type="spellStart"/>
      <w:r w:rsidRPr="00F03147">
        <w:rPr>
          <w:color w:val="auto"/>
        </w:rPr>
        <w:t>Rusconi</w:t>
      </w:r>
      <w:proofErr w:type="spellEnd"/>
      <w:r w:rsidRPr="00F03147">
        <w:rPr>
          <w:color w:val="auto"/>
        </w:rPr>
        <w:t xml:space="preserve"> A, </w:t>
      </w:r>
      <w:proofErr w:type="spellStart"/>
      <w:r w:rsidRPr="00F03147">
        <w:rPr>
          <w:color w:val="auto"/>
        </w:rPr>
        <w:t>Solga</w:t>
      </w:r>
      <w:proofErr w:type="spellEnd"/>
      <w:r w:rsidRPr="00F03147">
        <w:rPr>
          <w:color w:val="auto"/>
        </w:rPr>
        <w:t xml:space="preserve"> H. </w:t>
      </w:r>
      <w:bookmarkEnd w:id="1"/>
      <w:r w:rsidRPr="00F03147">
        <w:rPr>
          <w:rStyle w:val="title-text"/>
          <w:color w:val="auto"/>
        </w:rPr>
        <w:t>Applying to college: Do information deficits lower the likelihood of college-eligible students from less-privileged families to pursue their college intentions?</w:t>
      </w:r>
      <w:r w:rsidRPr="00F03147">
        <w:rPr>
          <w:color w:val="auto"/>
        </w:rPr>
        <w:t xml:space="preserve">: Evidence from a field experiment </w:t>
      </w:r>
      <w:hyperlink r:id="rId7" w:tooltip="Go to Social Science Research on ScienceDirect" w:history="1">
        <w:r w:rsidRPr="00F03147">
          <w:rPr>
            <w:rStyle w:val="Hyperlink"/>
            <w:rFonts w:cs="Arial"/>
            <w:i/>
            <w:color w:val="auto"/>
            <w:u w:val="none"/>
          </w:rPr>
          <w:t>Social Science Research</w:t>
        </w:r>
      </w:hyperlink>
      <w:r w:rsidRPr="00F03147">
        <w:rPr>
          <w:rFonts w:cs="Arial"/>
          <w:i/>
          <w:color w:val="auto"/>
        </w:rPr>
        <w:t xml:space="preserve">. </w:t>
      </w:r>
      <w:proofErr w:type="gramStart"/>
      <w:r w:rsidRPr="00F03147">
        <w:rPr>
          <w:rFonts w:cs="Arial"/>
          <w:color w:val="auto"/>
        </w:rPr>
        <w:t>2017</w:t>
      </w:r>
      <w:r w:rsidRPr="00F03147">
        <w:rPr>
          <w:rFonts w:cs="Arial"/>
          <w:i/>
          <w:color w:val="auto"/>
        </w:rPr>
        <w:t xml:space="preserve">; </w:t>
      </w:r>
      <w:r w:rsidRPr="00F03147">
        <w:rPr>
          <w:rFonts w:cs="Arial"/>
          <w:color w:val="auto"/>
        </w:rPr>
        <w:t xml:space="preserve"> 67</w:t>
      </w:r>
      <w:proofErr w:type="gramEnd"/>
      <w:r w:rsidRPr="00F03147">
        <w:rPr>
          <w:rFonts w:cs="Arial"/>
          <w:color w:val="auto"/>
        </w:rPr>
        <w:t>: 193-212</w:t>
      </w:r>
    </w:p>
    <w:p w14:paraId="76DD63C2" w14:textId="77777777" w:rsidR="00576AFC" w:rsidRPr="00F03147" w:rsidRDefault="00B20E33" w:rsidP="00F03147">
      <w:pPr>
        <w:pStyle w:val="ListParagraph"/>
        <w:numPr>
          <w:ilvl w:val="0"/>
          <w:numId w:val="3"/>
        </w:numPr>
        <w:spacing w:before="120"/>
        <w:ind w:left="714" w:hanging="357"/>
      </w:pPr>
      <w:r w:rsidRPr="00F03147">
        <w:lastRenderedPageBreak/>
        <w:t xml:space="preserve">Scott IM. Beyond “driving”: the relationship between assessment, performance and learning. </w:t>
      </w:r>
      <w:r w:rsidRPr="00F03147">
        <w:rPr>
          <w:i/>
        </w:rPr>
        <w:t>Medical Education.</w:t>
      </w:r>
      <w:r w:rsidRPr="00F03147">
        <w:t xml:space="preserve"> 2019; 54: PAGES</w:t>
      </w:r>
    </w:p>
    <w:p w14:paraId="63534472" w14:textId="4134DA72" w:rsidR="00B20E33" w:rsidRDefault="00F03147" w:rsidP="00F03147">
      <w:pPr>
        <w:pStyle w:val="ListParagraph"/>
        <w:numPr>
          <w:ilvl w:val="0"/>
          <w:numId w:val="3"/>
        </w:numPr>
        <w:spacing w:before="120"/>
        <w:ind w:left="714" w:hanging="357"/>
      </w:pPr>
      <w:r w:rsidRPr="00F03147">
        <w:t>Minty, S.</w:t>
      </w:r>
      <w:r w:rsidR="00576AFC" w:rsidRPr="00F03147">
        <w:t xml:space="preserve"> Getting into higher education: Y</w:t>
      </w:r>
      <w:r w:rsidRPr="00F03147">
        <w:t xml:space="preserve">oung people’s views of fairness. </w:t>
      </w:r>
      <w:r w:rsidRPr="00F03147">
        <w:rPr>
          <w:i/>
        </w:rPr>
        <w:t>Scottish Educational Review</w:t>
      </w:r>
      <w:r w:rsidRPr="00F03147">
        <w:t>. 2016; 48(1):</w:t>
      </w:r>
      <w:r w:rsidR="00576AFC" w:rsidRPr="00F03147">
        <w:t xml:space="preserve"> 48-62.</w:t>
      </w:r>
    </w:p>
    <w:p w14:paraId="23AD2E84" w14:textId="6D245CD2" w:rsidR="00801887" w:rsidRDefault="00801887" w:rsidP="00801887">
      <w:pPr>
        <w:spacing w:before="120"/>
        <w:ind w:left="357"/>
      </w:pPr>
    </w:p>
    <w:p w14:paraId="3F70400A" w14:textId="77777777" w:rsidR="00801887" w:rsidRPr="00801887" w:rsidRDefault="00801887" w:rsidP="00801887">
      <w:pPr>
        <w:rPr>
          <w:b/>
        </w:rPr>
      </w:pPr>
      <w:r w:rsidRPr="00801887">
        <w:rPr>
          <w:b/>
        </w:rPr>
        <w:t>Pull-out quotes:</w:t>
      </w:r>
    </w:p>
    <w:p w14:paraId="50558C35" w14:textId="77777777" w:rsidR="00801887" w:rsidRPr="00801887" w:rsidRDefault="00801887" w:rsidP="00801887">
      <w:pPr>
        <w:pStyle w:val="ListParagraph"/>
        <w:numPr>
          <w:ilvl w:val="0"/>
          <w:numId w:val="4"/>
        </w:numPr>
      </w:pPr>
      <w:r w:rsidRPr="00801887">
        <w:t xml:space="preserve">Considering achievements within the context of opportunities is increasingly popular in selection, making it a priority research area. </w:t>
      </w:r>
    </w:p>
    <w:p w14:paraId="7CF0BF84" w14:textId="77777777" w:rsidR="00801887" w:rsidRPr="00801887" w:rsidRDefault="00801887" w:rsidP="00801887">
      <w:pPr>
        <w:pStyle w:val="ListParagraph"/>
        <w:numPr>
          <w:ilvl w:val="0"/>
          <w:numId w:val="4"/>
        </w:numPr>
      </w:pPr>
      <w:r w:rsidRPr="00801887">
        <w:t>Being explicit about their widening participation goals will help medical schools ensure they design policies to meet them</w:t>
      </w:r>
      <w:r>
        <w:t>.</w:t>
      </w:r>
    </w:p>
    <w:p w14:paraId="3AF02B3B" w14:textId="77777777" w:rsidR="00801887" w:rsidRPr="00801887" w:rsidRDefault="00801887" w:rsidP="00801887">
      <w:pPr>
        <w:pStyle w:val="ListParagraph"/>
        <w:numPr>
          <w:ilvl w:val="0"/>
          <w:numId w:val="4"/>
        </w:numPr>
      </w:pPr>
      <w:r>
        <w:t>S</w:t>
      </w:r>
      <w:r w:rsidRPr="00801887">
        <w:t>tudents from non-selective state schools outperform those with equivalent grades from private schools</w:t>
      </w:r>
      <w:r>
        <w:t>.</w:t>
      </w:r>
    </w:p>
    <w:p w14:paraId="2AB74F13" w14:textId="77777777" w:rsidR="00801887" w:rsidRPr="00801887" w:rsidRDefault="00801887" w:rsidP="00801887">
      <w:pPr>
        <w:pStyle w:val="ListParagraph"/>
        <w:numPr>
          <w:ilvl w:val="0"/>
          <w:numId w:val="4"/>
        </w:numPr>
      </w:pPr>
      <w:r w:rsidRPr="00801887">
        <w:t>UK medical schools use various criteria to confer eligibility for contextual admissions, or do not provide details</w:t>
      </w:r>
      <w:r>
        <w:t>.</w:t>
      </w:r>
    </w:p>
    <w:p w14:paraId="5561612B" w14:textId="77777777" w:rsidR="00801887" w:rsidRDefault="00801887" w:rsidP="00801887">
      <w:pPr>
        <w:pStyle w:val="ListParagraph"/>
        <w:numPr>
          <w:ilvl w:val="0"/>
          <w:numId w:val="4"/>
        </w:numPr>
      </w:pPr>
      <w:r w:rsidRPr="00801887">
        <w:t>Evidence for the mechanisms underpinning the links between background, information, achievement, and access is crucial to inform policies</w:t>
      </w:r>
      <w:r>
        <w:t>.</w:t>
      </w:r>
    </w:p>
    <w:p w14:paraId="2709D655" w14:textId="77777777" w:rsidR="00801887" w:rsidRPr="00F03147" w:rsidRDefault="00801887" w:rsidP="00801887">
      <w:pPr>
        <w:spacing w:before="120"/>
        <w:ind w:left="357"/>
      </w:pPr>
    </w:p>
    <w:sectPr w:rsidR="00801887" w:rsidRPr="00F03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CCB"/>
    <w:multiLevelType w:val="hybridMultilevel"/>
    <w:tmpl w:val="76203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92C24"/>
    <w:multiLevelType w:val="hybridMultilevel"/>
    <w:tmpl w:val="2E20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B1FE3"/>
    <w:multiLevelType w:val="hybridMultilevel"/>
    <w:tmpl w:val="54025EFC"/>
    <w:lvl w:ilvl="0" w:tplc="7A0A46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24716"/>
    <w:multiLevelType w:val="hybridMultilevel"/>
    <w:tmpl w:val="C05646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BD446E"/>
    <w:multiLevelType w:val="hybridMultilevel"/>
    <w:tmpl w:val="F580B3B4"/>
    <w:lvl w:ilvl="0" w:tplc="8F02D38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7F"/>
    <w:rsid w:val="00042211"/>
    <w:rsid w:val="000771A7"/>
    <w:rsid w:val="0008551E"/>
    <w:rsid w:val="00090758"/>
    <w:rsid w:val="00097B09"/>
    <w:rsid w:val="000A3632"/>
    <w:rsid w:val="000A768B"/>
    <w:rsid w:val="000B721B"/>
    <w:rsid w:val="000C4375"/>
    <w:rsid w:val="000C686D"/>
    <w:rsid w:val="000D4260"/>
    <w:rsid w:val="000E235F"/>
    <w:rsid w:val="000E66AC"/>
    <w:rsid w:val="00143E91"/>
    <w:rsid w:val="00174AB2"/>
    <w:rsid w:val="00193AD2"/>
    <w:rsid w:val="001A17A9"/>
    <w:rsid w:val="001A4EFC"/>
    <w:rsid w:val="001C713E"/>
    <w:rsid w:val="00200DA0"/>
    <w:rsid w:val="00230A5B"/>
    <w:rsid w:val="002334C5"/>
    <w:rsid w:val="00253F94"/>
    <w:rsid w:val="002617BB"/>
    <w:rsid w:val="002C24A6"/>
    <w:rsid w:val="002D1F0B"/>
    <w:rsid w:val="002E42D2"/>
    <w:rsid w:val="003263AC"/>
    <w:rsid w:val="003827EF"/>
    <w:rsid w:val="003A2E0F"/>
    <w:rsid w:val="003E2F07"/>
    <w:rsid w:val="003E4A68"/>
    <w:rsid w:val="00406B6B"/>
    <w:rsid w:val="0042601E"/>
    <w:rsid w:val="00450C8F"/>
    <w:rsid w:val="00481684"/>
    <w:rsid w:val="00481EE6"/>
    <w:rsid w:val="0048200E"/>
    <w:rsid w:val="00495CD4"/>
    <w:rsid w:val="004A10A9"/>
    <w:rsid w:val="004A380B"/>
    <w:rsid w:val="004C4A56"/>
    <w:rsid w:val="004C6F05"/>
    <w:rsid w:val="004E0269"/>
    <w:rsid w:val="005005F1"/>
    <w:rsid w:val="005124A4"/>
    <w:rsid w:val="00517EC8"/>
    <w:rsid w:val="0052262F"/>
    <w:rsid w:val="005404A1"/>
    <w:rsid w:val="0054759D"/>
    <w:rsid w:val="00576AFC"/>
    <w:rsid w:val="00592431"/>
    <w:rsid w:val="005966D6"/>
    <w:rsid w:val="005C792C"/>
    <w:rsid w:val="005D43E3"/>
    <w:rsid w:val="0062178D"/>
    <w:rsid w:val="00640D8C"/>
    <w:rsid w:val="00647BEB"/>
    <w:rsid w:val="00684C85"/>
    <w:rsid w:val="0069727F"/>
    <w:rsid w:val="006A0640"/>
    <w:rsid w:val="006A4D34"/>
    <w:rsid w:val="006D238F"/>
    <w:rsid w:val="006D5195"/>
    <w:rsid w:val="006F53B3"/>
    <w:rsid w:val="00726AFC"/>
    <w:rsid w:val="007330D9"/>
    <w:rsid w:val="007572F4"/>
    <w:rsid w:val="00770B73"/>
    <w:rsid w:val="00777044"/>
    <w:rsid w:val="00783B21"/>
    <w:rsid w:val="00785C00"/>
    <w:rsid w:val="00790DE9"/>
    <w:rsid w:val="00796251"/>
    <w:rsid w:val="007A4ED7"/>
    <w:rsid w:val="007B3B24"/>
    <w:rsid w:val="007B4F2C"/>
    <w:rsid w:val="007D226C"/>
    <w:rsid w:val="007D7622"/>
    <w:rsid w:val="007F7DED"/>
    <w:rsid w:val="00801887"/>
    <w:rsid w:val="00815858"/>
    <w:rsid w:val="0083030C"/>
    <w:rsid w:val="00870553"/>
    <w:rsid w:val="00874DC7"/>
    <w:rsid w:val="00876668"/>
    <w:rsid w:val="008A5570"/>
    <w:rsid w:val="008C312D"/>
    <w:rsid w:val="00901BDD"/>
    <w:rsid w:val="00922B16"/>
    <w:rsid w:val="009365D8"/>
    <w:rsid w:val="00947F97"/>
    <w:rsid w:val="00965BAD"/>
    <w:rsid w:val="009716BB"/>
    <w:rsid w:val="00980019"/>
    <w:rsid w:val="009F34C9"/>
    <w:rsid w:val="009F636D"/>
    <w:rsid w:val="009F6668"/>
    <w:rsid w:val="00A23B60"/>
    <w:rsid w:val="00A32ECF"/>
    <w:rsid w:val="00AB1927"/>
    <w:rsid w:val="00AB7EBD"/>
    <w:rsid w:val="00AC2B16"/>
    <w:rsid w:val="00B022C2"/>
    <w:rsid w:val="00B04EBD"/>
    <w:rsid w:val="00B16885"/>
    <w:rsid w:val="00B20E33"/>
    <w:rsid w:val="00B5576E"/>
    <w:rsid w:val="00B6545A"/>
    <w:rsid w:val="00B82DA7"/>
    <w:rsid w:val="00BF16D3"/>
    <w:rsid w:val="00C01B59"/>
    <w:rsid w:val="00C60BF9"/>
    <w:rsid w:val="00C6774E"/>
    <w:rsid w:val="00CA74C6"/>
    <w:rsid w:val="00CD307B"/>
    <w:rsid w:val="00CE229F"/>
    <w:rsid w:val="00CF4C47"/>
    <w:rsid w:val="00D14B56"/>
    <w:rsid w:val="00D56069"/>
    <w:rsid w:val="00DB05EA"/>
    <w:rsid w:val="00DD2BA4"/>
    <w:rsid w:val="00DD54C9"/>
    <w:rsid w:val="00DE1A35"/>
    <w:rsid w:val="00DF64A2"/>
    <w:rsid w:val="00E006A3"/>
    <w:rsid w:val="00E20DC1"/>
    <w:rsid w:val="00E44E6D"/>
    <w:rsid w:val="00E528AE"/>
    <w:rsid w:val="00E54CE1"/>
    <w:rsid w:val="00E54DC6"/>
    <w:rsid w:val="00E60FBE"/>
    <w:rsid w:val="00E6448C"/>
    <w:rsid w:val="00E86FD1"/>
    <w:rsid w:val="00E95363"/>
    <w:rsid w:val="00EA1793"/>
    <w:rsid w:val="00EB695E"/>
    <w:rsid w:val="00ED093B"/>
    <w:rsid w:val="00ED1BCF"/>
    <w:rsid w:val="00ED51CD"/>
    <w:rsid w:val="00ED799B"/>
    <w:rsid w:val="00EE31AB"/>
    <w:rsid w:val="00EE5664"/>
    <w:rsid w:val="00EF2502"/>
    <w:rsid w:val="00EF331B"/>
    <w:rsid w:val="00EF5602"/>
    <w:rsid w:val="00F03147"/>
    <w:rsid w:val="00F11279"/>
    <w:rsid w:val="00F2656C"/>
    <w:rsid w:val="00F4274A"/>
    <w:rsid w:val="00F6043A"/>
    <w:rsid w:val="00F67CA0"/>
    <w:rsid w:val="00F732A2"/>
    <w:rsid w:val="00F774E9"/>
    <w:rsid w:val="00F87171"/>
    <w:rsid w:val="00F912A3"/>
    <w:rsid w:val="00FA29B0"/>
    <w:rsid w:val="00FA5D0C"/>
    <w:rsid w:val="00FD334A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1A653"/>
  <w15:chartTrackingRefBased/>
  <w15:docId w15:val="{EB621190-4318-4AF0-B6B2-6CC2F8B4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4EFC"/>
    <w:pPr>
      <w:spacing w:after="120" w:line="360" w:lineRule="auto"/>
    </w:pPr>
    <w:rPr>
      <w:rFonts w:ascii="Garamond" w:hAnsi="Garamond" w:cs="Times New Roman"/>
      <w:color w:val="000000" w:themeColor="text1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4EFC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4EFC"/>
    <w:pPr>
      <w:keepNext/>
      <w:keepLines/>
      <w:spacing w:before="120"/>
      <w:outlineLvl w:val="1"/>
    </w:pPr>
    <w:rPr>
      <w:rFonts w:eastAsiaTheme="majorEastAsia" w:cstheme="majorBidi"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EFC"/>
    <w:rPr>
      <w:rFonts w:ascii="Garamond" w:eastAsiaTheme="majorEastAsia" w:hAnsi="Garamond" w:cstheme="majorBidi"/>
      <w:b/>
      <w:color w:val="000000" w:themeColor="text1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A4EFC"/>
    <w:rPr>
      <w:rFonts w:ascii="Garamond" w:eastAsiaTheme="majorEastAsia" w:hAnsi="Garamond" w:cstheme="majorBidi"/>
      <w:color w:val="808080" w:themeColor="background1" w:themeShade="80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EA17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79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2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431"/>
    <w:rPr>
      <w:rFonts w:ascii="Garamond" w:hAnsi="Garamond" w:cs="Times New Roman"/>
      <w:color w:val="000000" w:themeColor="text1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431"/>
    <w:rPr>
      <w:rFonts w:ascii="Garamond" w:hAnsi="Garamond" w:cs="Times New Roman"/>
      <w:b/>
      <w:bCs/>
      <w:color w:val="000000" w:themeColor="text1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31"/>
    <w:rPr>
      <w:rFonts w:ascii="Segoe UI" w:hAnsi="Segoe UI" w:cs="Segoe UI"/>
      <w:color w:val="000000" w:themeColor="text1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365D8"/>
    <w:rPr>
      <w:color w:val="954F72" w:themeColor="followedHyperlink"/>
      <w:u w:val="single"/>
    </w:rPr>
  </w:style>
  <w:style w:type="character" w:customStyle="1" w:styleId="title-text">
    <w:name w:val="title-text"/>
    <w:basedOn w:val="DefaultParagraphFont"/>
    <w:rsid w:val="00F03147"/>
  </w:style>
  <w:style w:type="character" w:customStyle="1" w:styleId="sr-only">
    <w:name w:val="sr-only"/>
    <w:basedOn w:val="DefaultParagraphFont"/>
    <w:rsid w:val="00F03147"/>
  </w:style>
  <w:style w:type="character" w:customStyle="1" w:styleId="text">
    <w:name w:val="text"/>
    <w:basedOn w:val="DefaultParagraphFont"/>
    <w:rsid w:val="00F03147"/>
  </w:style>
  <w:style w:type="character" w:customStyle="1" w:styleId="author-ref">
    <w:name w:val="author-ref"/>
    <w:basedOn w:val="DefaultParagraphFont"/>
    <w:rsid w:val="00F0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iencedirect.com/science/journal/0049089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ldaccesshe.com/wp-content/uploads/2018/11/All-around-the-world-Higher-education-equity-policies-across-the-globe-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B049-D922-084B-AD89-A75CA1A7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Rees</dc:creator>
  <cp:keywords/>
  <dc:description/>
  <cp:lastModifiedBy>Eliot Rees</cp:lastModifiedBy>
  <cp:revision>2</cp:revision>
  <cp:lastPrinted>2019-10-10T17:25:00Z</cp:lastPrinted>
  <dcterms:created xsi:type="dcterms:W3CDTF">2019-10-21T23:51:00Z</dcterms:created>
  <dcterms:modified xsi:type="dcterms:W3CDTF">2019-10-21T23:51:00Z</dcterms:modified>
</cp:coreProperties>
</file>