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CEC60" w14:textId="77777777" w:rsidR="00B20FDB" w:rsidRPr="0035212A" w:rsidRDefault="00B20FDB" w:rsidP="00B20FDB">
      <w:pPr>
        <w:spacing w:line="480" w:lineRule="auto"/>
        <w:rPr>
          <w:b/>
          <w:bCs/>
          <w:iCs/>
        </w:rPr>
      </w:pPr>
      <w:bookmarkStart w:id="0" w:name="_GoBack"/>
      <w:bookmarkEnd w:id="0"/>
      <w:r>
        <w:rPr>
          <w:b/>
        </w:rPr>
        <w:t xml:space="preserve">SUPPLEMENTARY MATERIAL </w:t>
      </w:r>
    </w:p>
    <w:p w14:paraId="6794D75E" w14:textId="77777777" w:rsidR="00B20FDB" w:rsidRDefault="00B20FDB" w:rsidP="00B20FDB">
      <w:pPr>
        <w:spacing w:line="480" w:lineRule="auto"/>
        <w:rPr>
          <w:b/>
          <w:bCs/>
          <w:iCs/>
        </w:rPr>
      </w:pPr>
    </w:p>
    <w:p w14:paraId="54172FB4" w14:textId="77777777" w:rsidR="00B20FDB" w:rsidRPr="0035212A" w:rsidRDefault="00B20FDB" w:rsidP="00B20FDB">
      <w:pPr>
        <w:spacing w:line="480" w:lineRule="auto"/>
        <w:rPr>
          <w:b/>
          <w:bCs/>
          <w:iCs/>
        </w:rPr>
      </w:pPr>
      <w:r w:rsidRPr="0035212A">
        <w:rPr>
          <w:b/>
          <w:bCs/>
          <w:iCs/>
        </w:rPr>
        <w:t>Results of the content analysis of the literature</w:t>
      </w:r>
    </w:p>
    <w:p w14:paraId="188DDE37" w14:textId="77777777" w:rsidR="00B20FDB" w:rsidRPr="0035212A" w:rsidRDefault="00B20FDB" w:rsidP="00B20FDB">
      <w:pPr>
        <w:spacing w:line="480" w:lineRule="auto"/>
        <w:rPr>
          <w:bCs/>
        </w:rPr>
      </w:pPr>
      <w:r w:rsidRPr="0035212A">
        <w:rPr>
          <w:b/>
          <w:bCs/>
          <w:i/>
        </w:rPr>
        <w:t>Preclinical disease states</w:t>
      </w:r>
    </w:p>
    <w:p w14:paraId="1592A4F2" w14:textId="77777777" w:rsidR="00B20FDB" w:rsidRPr="0035212A" w:rsidRDefault="00B20FDB" w:rsidP="00B20FDB">
      <w:pPr>
        <w:spacing w:line="480" w:lineRule="auto"/>
        <w:rPr>
          <w:bCs/>
        </w:rPr>
      </w:pPr>
      <w:r w:rsidRPr="0035212A">
        <w:rPr>
          <w:bCs/>
        </w:rPr>
        <w:t xml:space="preserve">Three preclinical disease states of gout were identified, as shown in Table 2.  The most frequently occurring cluster of disease elements was ‘hyperuricemia </w:t>
      </w:r>
      <w:r w:rsidRPr="0035212A">
        <w:rPr>
          <w:bCs/>
          <w:i/>
          <w:iCs/>
        </w:rPr>
        <w:t>without</w:t>
      </w:r>
      <w:r w:rsidRPr="0035212A">
        <w:rPr>
          <w:bCs/>
        </w:rPr>
        <w:t xml:space="preserve"> clinical disease elements of gout’, present in 14.5% of total articles and universally labelled as ‘asymptomatic hyperuricemia’ (100% of articles referring to this disease state).  The other two preclinical disease states identified were ‘imaging evidence of monosodium urate crystal deposition </w:t>
      </w:r>
      <w:r w:rsidRPr="0035212A">
        <w:rPr>
          <w:bCs/>
          <w:i/>
          <w:iCs/>
        </w:rPr>
        <w:t>without</w:t>
      </w:r>
      <w:r w:rsidRPr="0035212A">
        <w:rPr>
          <w:bCs/>
        </w:rPr>
        <w:t xml:space="preserve"> clinical disease elements of gout’, most commonly labelled as ‘asymptomatic monosodium urate crystal deposition (43.8% of articles referring to this disease state); and ‘hyperuricemia </w:t>
      </w:r>
      <w:r w:rsidRPr="0035212A">
        <w:rPr>
          <w:bCs/>
          <w:i/>
          <w:iCs/>
        </w:rPr>
        <w:t>with</w:t>
      </w:r>
      <w:r w:rsidRPr="0035212A">
        <w:rPr>
          <w:bCs/>
        </w:rPr>
        <w:t xml:space="preserve"> imaging evidence </w:t>
      </w:r>
      <w:r w:rsidRPr="0035212A">
        <w:t>of</w:t>
      </w:r>
      <w:r w:rsidRPr="0035212A">
        <w:rPr>
          <w:bCs/>
        </w:rPr>
        <w:t xml:space="preserve"> monosodium urate crystal deposition and </w:t>
      </w:r>
      <w:r w:rsidRPr="0035212A">
        <w:rPr>
          <w:bCs/>
          <w:i/>
          <w:iCs/>
        </w:rPr>
        <w:t>without</w:t>
      </w:r>
      <w:r w:rsidRPr="0035212A">
        <w:rPr>
          <w:bCs/>
        </w:rPr>
        <w:t xml:space="preserve"> clinical disease elements of gout’, most frequently referred to as ‘asymptomatic hyperuricemia with monosodium urate crystal deposition’ (90.6% of articles referring to this disease state).</w:t>
      </w:r>
    </w:p>
    <w:p w14:paraId="35CE9DE6" w14:textId="77777777" w:rsidR="00B20FDB" w:rsidRPr="0035212A" w:rsidRDefault="00B20FDB" w:rsidP="00B20FDB">
      <w:pPr>
        <w:spacing w:line="480" w:lineRule="auto"/>
        <w:rPr>
          <w:bCs/>
        </w:rPr>
      </w:pPr>
    </w:p>
    <w:p w14:paraId="528C4D0E" w14:textId="77777777" w:rsidR="00B20FDB" w:rsidRPr="0035212A" w:rsidRDefault="00B20FDB" w:rsidP="00B20FDB">
      <w:pPr>
        <w:spacing w:line="480" w:lineRule="auto"/>
        <w:rPr>
          <w:b/>
          <w:bCs/>
          <w:i/>
        </w:rPr>
      </w:pPr>
      <w:r w:rsidRPr="0035212A">
        <w:rPr>
          <w:b/>
          <w:bCs/>
          <w:i/>
        </w:rPr>
        <w:t>Clinical disease states</w:t>
      </w:r>
    </w:p>
    <w:p w14:paraId="6B74FD62" w14:textId="77777777" w:rsidR="00B20FDB" w:rsidRPr="0035212A" w:rsidRDefault="00B20FDB" w:rsidP="00B20FDB">
      <w:pPr>
        <w:spacing w:line="480" w:lineRule="auto"/>
        <w:rPr>
          <w:bCs/>
        </w:rPr>
      </w:pPr>
      <w:r w:rsidRPr="0035212A">
        <w:rPr>
          <w:bCs/>
        </w:rPr>
        <w:t xml:space="preserve">There were six clinical disease states of gout identified (Table 2).  Some were consistent in how they were labelled in the literature; for example, the ‘presence of monosodium urate crystals </w:t>
      </w:r>
      <w:r w:rsidRPr="0035212A">
        <w:rPr>
          <w:bCs/>
          <w:i/>
          <w:iCs/>
        </w:rPr>
        <w:t>with</w:t>
      </w:r>
      <w:r w:rsidRPr="0035212A">
        <w:rPr>
          <w:bCs/>
        </w:rPr>
        <w:t xml:space="preserve"> at least one subcutaneous tophus’ was given the label ‘tophaceous gout’ in 81% of relevant articles.  However, the labels for other disease states showed less consistency.  For example, the cluster of ‘monosodium urate crystals </w:t>
      </w:r>
      <w:r w:rsidRPr="0035212A">
        <w:rPr>
          <w:bCs/>
          <w:i/>
          <w:iCs/>
        </w:rPr>
        <w:t>with</w:t>
      </w:r>
      <w:r w:rsidRPr="0035212A">
        <w:rPr>
          <w:bCs/>
        </w:rPr>
        <w:t xml:space="preserve"> clinical disease elements of gout’ had 14 unique labels in the literature examined, the most common being ‘symptomatic gout’, used by 50.8% of articles referencing this disease state.  Disease element clusters representing a state of high disease activity were common.  One such disease state </w:t>
      </w:r>
      <w:r w:rsidRPr="0035212A">
        <w:rPr>
          <w:bCs/>
        </w:rPr>
        <w:lastRenderedPageBreak/>
        <w:t xml:space="preserve">represented a wide range of clinical presentations: ‘the presence of monosodium urate crystals </w:t>
      </w:r>
      <w:r w:rsidRPr="0035212A">
        <w:rPr>
          <w:bCs/>
          <w:i/>
          <w:iCs/>
        </w:rPr>
        <w:t>with</w:t>
      </w:r>
      <w:r w:rsidRPr="0035212A">
        <w:rPr>
          <w:bCs/>
        </w:rPr>
        <w:t xml:space="preserve"> any of the following: frequent recurrent gout flares, chronic gouty arthritis, subcutaneous tophi or imaging disease elements of gout’; this state was referred to in 13.4% of all articles examined and was given the non-specific label of ‘severe gout’ in 81.9% of these papers.  Disease states characterising more specific elements of severity were also found.  The cluster of ‘the presence of monosodium urate crystals </w:t>
      </w:r>
      <w:r w:rsidRPr="0035212A">
        <w:rPr>
          <w:bCs/>
          <w:i/>
          <w:iCs/>
        </w:rPr>
        <w:t>with</w:t>
      </w:r>
      <w:r w:rsidRPr="0035212A">
        <w:rPr>
          <w:bCs/>
        </w:rPr>
        <w:t xml:space="preserve"> at least one subcutaneous tophus’ was a common finding, present in 19.7% of articles and labelled as ‘tophaceous gout’ in 81.1% of these.  In contrast, the cluster of disease elements representing another important clinical sequela of gout, ‘the presence of monosodium urate crystals </w:t>
      </w:r>
      <w:r w:rsidRPr="0035212A">
        <w:rPr>
          <w:bCs/>
          <w:i/>
          <w:iCs/>
        </w:rPr>
        <w:t>with</w:t>
      </w:r>
      <w:r w:rsidRPr="0035212A">
        <w:rPr>
          <w:bCs/>
        </w:rPr>
        <w:t xml:space="preserve"> clinical disease elements of gout and </w:t>
      </w:r>
      <w:r w:rsidRPr="0035212A">
        <w:rPr>
          <w:bCs/>
          <w:i/>
          <w:iCs/>
        </w:rPr>
        <w:t>with</w:t>
      </w:r>
      <w:r w:rsidRPr="0035212A">
        <w:rPr>
          <w:bCs/>
        </w:rPr>
        <w:t xml:space="preserve"> at least one gouty bone erosion’, was uncommon, appearing in only 1.1% of articles in which it was invariably labelled ‘erosive gout’.  Overall, disease element clusters representing less severe disease states were rare; the only example being the cluster ‘the presence of monosodium urate crystals </w:t>
      </w:r>
      <w:r w:rsidRPr="0035212A">
        <w:rPr>
          <w:bCs/>
          <w:i/>
          <w:iCs/>
        </w:rPr>
        <w:t>with</w:t>
      </w:r>
      <w:r w:rsidRPr="0035212A">
        <w:rPr>
          <w:bCs/>
        </w:rPr>
        <w:t xml:space="preserve"> any of the following: gout flare, chronic gouty arthritis and </w:t>
      </w:r>
      <w:r w:rsidRPr="0035212A">
        <w:rPr>
          <w:bCs/>
          <w:i/>
          <w:iCs/>
        </w:rPr>
        <w:t>without</w:t>
      </w:r>
      <w:r w:rsidRPr="0035212A">
        <w:rPr>
          <w:bCs/>
        </w:rPr>
        <w:t xml:space="preserve"> subcutaneous tophi’, labelled as ‘non-tophaceous gout’ in 80% of articles collectively describing these elements.</w:t>
      </w:r>
    </w:p>
    <w:p w14:paraId="022976A4" w14:textId="77777777" w:rsidR="00B20FDB" w:rsidRPr="0035212A" w:rsidRDefault="00B20FDB" w:rsidP="00B20FDB">
      <w:pPr>
        <w:spacing w:line="480" w:lineRule="auto"/>
        <w:rPr>
          <w:b/>
          <w:bCs/>
          <w:i/>
        </w:rPr>
      </w:pPr>
    </w:p>
    <w:p w14:paraId="0BB9238F" w14:textId="77777777" w:rsidR="00B20FDB" w:rsidRPr="0035212A" w:rsidRDefault="00B20FDB" w:rsidP="00B20FDB">
      <w:pPr>
        <w:spacing w:line="480" w:lineRule="auto"/>
        <w:rPr>
          <w:b/>
          <w:bCs/>
          <w:i/>
        </w:rPr>
      </w:pPr>
      <w:r w:rsidRPr="0035212A">
        <w:rPr>
          <w:b/>
          <w:bCs/>
          <w:i/>
        </w:rPr>
        <w:t>States describing disease course</w:t>
      </w:r>
    </w:p>
    <w:p w14:paraId="5895DE58" w14:textId="77777777" w:rsidR="00B20FDB" w:rsidRPr="0035212A" w:rsidRDefault="00B20FDB" w:rsidP="00B20FDB">
      <w:pPr>
        <w:spacing w:line="480" w:lineRule="auto"/>
        <w:rPr>
          <w:bCs/>
        </w:rPr>
      </w:pPr>
      <w:r w:rsidRPr="0035212A">
        <w:rPr>
          <w:bCs/>
        </w:rPr>
        <w:t xml:space="preserve">There were four disease states identified that referred to the temporal course of disease (Table 2).  Two disease states, ‘the first episode of gout flare </w:t>
      </w:r>
      <w:r w:rsidRPr="0035212A">
        <w:rPr>
          <w:bCs/>
          <w:i/>
          <w:iCs/>
        </w:rPr>
        <w:t>without</w:t>
      </w:r>
      <w:r w:rsidRPr="0035212A">
        <w:rPr>
          <w:bCs/>
        </w:rPr>
        <w:t xml:space="preserve"> preceding intercritical gout’ and ‘more than one episode of gout flare </w:t>
      </w:r>
      <w:r w:rsidRPr="0035212A">
        <w:rPr>
          <w:bCs/>
          <w:i/>
          <w:iCs/>
        </w:rPr>
        <w:t>with</w:t>
      </w:r>
      <w:r w:rsidRPr="0035212A">
        <w:rPr>
          <w:bCs/>
        </w:rPr>
        <w:t xml:space="preserve"> intercritical gout’, were relatively common and consistently labelled: ‘incident gout’ and ‘recurrent gout flares’ in 75.3% and 94.9% of relevant articles, respectively.  Disease states referring to progression in the natural history of gout were non-specific and relevant time-frames were infrequently defined.  These included ‘the presence of monosodium urate crystals </w:t>
      </w:r>
      <w:r w:rsidRPr="0035212A">
        <w:rPr>
          <w:bCs/>
          <w:i/>
          <w:iCs/>
        </w:rPr>
        <w:t>with</w:t>
      </w:r>
      <w:r w:rsidRPr="0035212A">
        <w:rPr>
          <w:bCs/>
        </w:rPr>
        <w:t xml:space="preserve"> clinical disease elements of gout’ either </w:t>
      </w:r>
      <w:r w:rsidRPr="0035212A">
        <w:rPr>
          <w:bCs/>
        </w:rPr>
        <w:lastRenderedPageBreak/>
        <w:t>‘early’ or ‘late’ in the course of disease natural history; these were most commonly labelled ‘early gout’ and ‘longstanding gout’ (68.4% and 66.7% of relevant articles, respectively).</w:t>
      </w:r>
    </w:p>
    <w:p w14:paraId="087FCC0D" w14:textId="77777777" w:rsidR="00B20FDB" w:rsidRPr="0035212A" w:rsidRDefault="00B20FDB" w:rsidP="00B20FDB">
      <w:pPr>
        <w:spacing w:line="480" w:lineRule="auto"/>
        <w:rPr>
          <w:b/>
          <w:bCs/>
          <w:iCs/>
        </w:rPr>
      </w:pPr>
    </w:p>
    <w:p w14:paraId="29C3BD1B" w14:textId="77777777" w:rsidR="00B20FDB" w:rsidRPr="0035212A" w:rsidRDefault="00B20FDB" w:rsidP="00B20FDB">
      <w:pPr>
        <w:spacing w:line="480" w:lineRule="auto"/>
        <w:rPr>
          <w:b/>
          <w:bCs/>
          <w:iCs/>
        </w:rPr>
      </w:pPr>
      <w:r w:rsidRPr="0035212A">
        <w:rPr>
          <w:b/>
          <w:bCs/>
          <w:iCs/>
        </w:rPr>
        <w:t>Results of the Delphi exercise</w:t>
      </w:r>
    </w:p>
    <w:p w14:paraId="553A78FE" w14:textId="77777777" w:rsidR="00B20FDB" w:rsidRPr="0035212A" w:rsidRDefault="00B20FDB" w:rsidP="00B20FDB">
      <w:pPr>
        <w:spacing w:line="480" w:lineRule="auto"/>
        <w:rPr>
          <w:bCs/>
        </w:rPr>
      </w:pPr>
      <w:r>
        <w:rPr>
          <w:b/>
          <w:bCs/>
          <w:i/>
        </w:rPr>
        <w:t>A</w:t>
      </w:r>
      <w:r w:rsidRPr="0035212A">
        <w:rPr>
          <w:b/>
          <w:bCs/>
          <w:i/>
        </w:rPr>
        <w:t>greement</w:t>
      </w:r>
      <w:r>
        <w:rPr>
          <w:b/>
          <w:bCs/>
          <w:i/>
        </w:rPr>
        <w:t xml:space="preserve"> about whether a disease state is meaningful</w:t>
      </w:r>
    </w:p>
    <w:p w14:paraId="3F408D5A" w14:textId="77777777" w:rsidR="00B20FDB" w:rsidRPr="0035212A" w:rsidRDefault="00B20FDB" w:rsidP="00B20FDB">
      <w:pPr>
        <w:spacing w:line="480" w:lineRule="auto"/>
        <w:rPr>
          <w:bCs/>
        </w:rPr>
      </w:pPr>
      <w:r w:rsidRPr="0035212A">
        <w:rPr>
          <w:bCs/>
        </w:rPr>
        <w:t xml:space="preserve">Of the 13 disease states identified from the content analysis of the literature, nine were deemed ‘meaningful’ by consensus agreement; consensus agreement on all nine disease states occurred in the first Delphi round (Table 3).  Two disease states were close to reaching consensus as meaningful, each with 74% agreement: ‘the presence of chronic gouty arthritis </w:t>
      </w:r>
      <w:r w:rsidRPr="0035212A">
        <w:rPr>
          <w:bCs/>
          <w:i/>
          <w:iCs/>
        </w:rPr>
        <w:t>with</w:t>
      </w:r>
      <w:r w:rsidRPr="0035212A">
        <w:rPr>
          <w:bCs/>
        </w:rPr>
        <w:t xml:space="preserve"> at least one subcutaneous tophus’ and ‘the presence of monosodium urate crystal deposition </w:t>
      </w:r>
      <w:r w:rsidRPr="0035212A">
        <w:rPr>
          <w:bCs/>
          <w:i/>
          <w:iCs/>
        </w:rPr>
        <w:t>with</w:t>
      </w:r>
      <w:r w:rsidRPr="0035212A">
        <w:rPr>
          <w:bCs/>
        </w:rPr>
        <w:t xml:space="preserve"> any of the following: gout flares or chronic gouty arthritis; but </w:t>
      </w:r>
      <w:r w:rsidRPr="0035212A">
        <w:rPr>
          <w:bCs/>
          <w:i/>
          <w:iCs/>
        </w:rPr>
        <w:t>without</w:t>
      </w:r>
      <w:r w:rsidRPr="0035212A">
        <w:rPr>
          <w:bCs/>
        </w:rPr>
        <w:t xml:space="preserve"> subcutaneous tophi’.  Regarding the first of these, some respondents argued that there is no meaningful distinction between this cluster of disease elements and the use of the element ‘chronic gouty arthritis’ in isolation.</w:t>
      </w:r>
    </w:p>
    <w:p w14:paraId="2A7B90CF" w14:textId="77777777" w:rsidR="00B20FDB" w:rsidRPr="0035212A" w:rsidRDefault="00B20FDB" w:rsidP="00B20FDB">
      <w:pPr>
        <w:spacing w:line="480" w:lineRule="auto"/>
        <w:rPr>
          <w:bCs/>
        </w:rPr>
      </w:pPr>
    </w:p>
    <w:p w14:paraId="616F2A3E" w14:textId="77777777" w:rsidR="00B20FDB" w:rsidRPr="0035212A" w:rsidRDefault="00B20FDB" w:rsidP="00B20FDB">
      <w:pPr>
        <w:spacing w:line="480" w:lineRule="auto"/>
        <w:rPr>
          <w:bCs/>
        </w:rPr>
      </w:pPr>
      <w:r w:rsidRPr="0035212A">
        <w:rPr>
          <w:bCs/>
        </w:rPr>
        <w:t xml:space="preserve">Two other disease states related to the temporal progression of gout through its natural history did not reach consensus agreement on being ‘meaningful’: ‘the presence of monosodium urate crystal deposition </w:t>
      </w:r>
      <w:r w:rsidRPr="0035212A">
        <w:rPr>
          <w:bCs/>
          <w:i/>
          <w:iCs/>
        </w:rPr>
        <w:t>with</w:t>
      </w:r>
      <w:r w:rsidRPr="0035212A">
        <w:rPr>
          <w:bCs/>
        </w:rPr>
        <w:t xml:space="preserve"> any of the following: gout flares, chronic gouty arthritis or subcutaneous tophi’ both ‘early’ and ‘late in the course of disease natural history’ reached 67% and 69% agreement, respectively, at the conclusion of the Delphi exercise.  In their comments, respondents argued that disease states should not be defined according to temporal descriptors such as ‘late’ or ‘longstanding’; furthermore, some felt that defining meaningful time frames may be problematic given the variable period of monosodium crystal deposition prior to the emergence of clinical symptoms and signs.</w:t>
      </w:r>
    </w:p>
    <w:p w14:paraId="00B46C96" w14:textId="77777777" w:rsidR="00B20FDB" w:rsidRPr="0035212A" w:rsidRDefault="00B20FDB" w:rsidP="00B20FDB">
      <w:pPr>
        <w:spacing w:line="480" w:lineRule="auto"/>
        <w:rPr>
          <w:bCs/>
        </w:rPr>
      </w:pPr>
    </w:p>
    <w:p w14:paraId="24B664BA" w14:textId="77777777" w:rsidR="00B20FDB" w:rsidRPr="0035212A" w:rsidRDefault="00B20FDB" w:rsidP="00B20FDB">
      <w:pPr>
        <w:spacing w:line="480" w:lineRule="auto"/>
        <w:rPr>
          <w:bCs/>
        </w:rPr>
      </w:pPr>
      <w:r w:rsidRPr="0035212A">
        <w:rPr>
          <w:bCs/>
        </w:rPr>
        <w:lastRenderedPageBreak/>
        <w:t>There were a number of additional disease states proposed by respondents during the first round. Most of these proposed disease states included aspects of gout management or treatment outcomes; or comorbidities such as chronic kidney disease or cardiovascular disease.  These were considered beyond the scope of the current project and did not represent clusters of disease elements; therefore, they were not included in subsequent rounds of the Delphi exercise.</w:t>
      </w:r>
    </w:p>
    <w:p w14:paraId="0442E9D3" w14:textId="77777777" w:rsidR="00B20FDB" w:rsidRPr="0035212A" w:rsidRDefault="00B20FDB" w:rsidP="00B20FDB">
      <w:pPr>
        <w:spacing w:line="480" w:lineRule="auto"/>
        <w:rPr>
          <w:bCs/>
        </w:rPr>
      </w:pPr>
    </w:p>
    <w:p w14:paraId="1610EFC0" w14:textId="77777777" w:rsidR="00B20FDB" w:rsidRPr="0035212A" w:rsidRDefault="00B20FDB" w:rsidP="00B20FDB">
      <w:pPr>
        <w:spacing w:line="480" w:lineRule="auto"/>
        <w:rPr>
          <w:bCs/>
        </w:rPr>
      </w:pPr>
      <w:r w:rsidRPr="0035212A">
        <w:rPr>
          <w:b/>
          <w:bCs/>
          <w:i/>
        </w:rPr>
        <w:t>Disease state labels</w:t>
      </w:r>
    </w:p>
    <w:p w14:paraId="22CA5B67" w14:textId="77777777" w:rsidR="00B20FDB" w:rsidRPr="0035212A" w:rsidRDefault="00B20FDB" w:rsidP="00B20FDB">
      <w:pPr>
        <w:spacing w:line="480" w:lineRule="auto"/>
        <w:rPr>
          <w:bCs/>
        </w:rPr>
      </w:pPr>
      <w:r w:rsidRPr="0035212A">
        <w:rPr>
          <w:bCs/>
        </w:rPr>
        <w:t xml:space="preserve">Of the nine disease states deemed to be meaningful by consensus agreement following the Delphi exercise, seven disease states reached consensus agreement on their preferred label: </w:t>
      </w:r>
      <w:r>
        <w:rPr>
          <w:bCs/>
        </w:rPr>
        <w:t>‘</w:t>
      </w:r>
      <w:r w:rsidRPr="0035212A">
        <w:rPr>
          <w:bCs/>
        </w:rPr>
        <w:t>asymptomatic hyperuricemia</w:t>
      </w:r>
      <w:r>
        <w:rPr>
          <w:bCs/>
        </w:rPr>
        <w:t>’</w:t>
      </w:r>
      <w:r w:rsidRPr="0035212A">
        <w:rPr>
          <w:bCs/>
        </w:rPr>
        <w:t xml:space="preserve">, </w:t>
      </w:r>
      <w:r>
        <w:rPr>
          <w:bCs/>
        </w:rPr>
        <w:t>‘</w:t>
      </w:r>
      <w:r w:rsidRPr="0035212A">
        <w:rPr>
          <w:bCs/>
        </w:rPr>
        <w:t>asymptomatic monosodium urate crystal deposition</w:t>
      </w:r>
      <w:r>
        <w:rPr>
          <w:bCs/>
        </w:rPr>
        <w:t>’</w:t>
      </w:r>
      <w:r w:rsidRPr="0035212A">
        <w:rPr>
          <w:bCs/>
        </w:rPr>
        <w:t xml:space="preserve">, </w:t>
      </w:r>
      <w:r>
        <w:rPr>
          <w:bCs/>
        </w:rPr>
        <w:t>‘</w:t>
      </w:r>
      <w:r w:rsidRPr="0035212A">
        <w:rPr>
          <w:bCs/>
        </w:rPr>
        <w:t>severe gout</w:t>
      </w:r>
      <w:r>
        <w:rPr>
          <w:bCs/>
        </w:rPr>
        <w:t>’</w:t>
      </w:r>
      <w:r w:rsidRPr="0035212A">
        <w:rPr>
          <w:bCs/>
        </w:rPr>
        <w:t xml:space="preserve">, </w:t>
      </w:r>
      <w:r>
        <w:rPr>
          <w:bCs/>
        </w:rPr>
        <w:t>‘</w:t>
      </w:r>
      <w:r w:rsidRPr="0035212A">
        <w:rPr>
          <w:bCs/>
        </w:rPr>
        <w:t>tophaceous gout</w:t>
      </w:r>
      <w:r>
        <w:rPr>
          <w:bCs/>
        </w:rPr>
        <w:t>’</w:t>
      </w:r>
      <w:r w:rsidRPr="0035212A">
        <w:rPr>
          <w:bCs/>
        </w:rPr>
        <w:t xml:space="preserve">, </w:t>
      </w:r>
      <w:r>
        <w:rPr>
          <w:bCs/>
        </w:rPr>
        <w:t>‘</w:t>
      </w:r>
      <w:r w:rsidRPr="0035212A">
        <w:rPr>
          <w:bCs/>
        </w:rPr>
        <w:t>erosive gout</w:t>
      </w:r>
      <w:r>
        <w:rPr>
          <w:bCs/>
        </w:rPr>
        <w:t>’</w:t>
      </w:r>
      <w:r w:rsidRPr="0035212A">
        <w:rPr>
          <w:bCs/>
        </w:rPr>
        <w:t xml:space="preserve">, </w:t>
      </w:r>
      <w:r>
        <w:rPr>
          <w:bCs/>
        </w:rPr>
        <w:t>‘</w:t>
      </w:r>
      <w:r w:rsidRPr="0035212A">
        <w:rPr>
          <w:bCs/>
        </w:rPr>
        <w:t>first gout flare</w:t>
      </w:r>
      <w:r>
        <w:rPr>
          <w:bCs/>
        </w:rPr>
        <w:t>’</w:t>
      </w:r>
      <w:r w:rsidRPr="0035212A">
        <w:rPr>
          <w:bCs/>
        </w:rPr>
        <w:t xml:space="preserve"> and </w:t>
      </w:r>
      <w:r>
        <w:rPr>
          <w:bCs/>
        </w:rPr>
        <w:t>‘</w:t>
      </w:r>
      <w:r w:rsidRPr="0035212A">
        <w:rPr>
          <w:bCs/>
        </w:rPr>
        <w:t>recurrent gout flares</w:t>
      </w:r>
      <w:r>
        <w:rPr>
          <w:bCs/>
        </w:rPr>
        <w:t>’</w:t>
      </w:r>
      <w:r w:rsidRPr="0035212A">
        <w:rPr>
          <w:bCs/>
        </w:rPr>
        <w:t xml:space="preserve"> (Table 4).</w:t>
      </w:r>
    </w:p>
    <w:p w14:paraId="4821348E" w14:textId="77777777" w:rsidR="00B20FDB" w:rsidRPr="0035212A" w:rsidRDefault="00B20FDB" w:rsidP="00B20FDB">
      <w:pPr>
        <w:spacing w:line="480" w:lineRule="auto"/>
        <w:rPr>
          <w:bCs/>
        </w:rPr>
      </w:pPr>
    </w:p>
    <w:p w14:paraId="3CE9FB46" w14:textId="77777777" w:rsidR="00B20FDB" w:rsidRPr="0035212A" w:rsidRDefault="00B20FDB" w:rsidP="00B20FDB">
      <w:pPr>
        <w:spacing w:line="480" w:lineRule="auto"/>
        <w:rPr>
          <w:b/>
        </w:rPr>
      </w:pPr>
      <w:r w:rsidRPr="0035212A">
        <w:rPr>
          <w:rFonts w:cstheme="minorHAnsi"/>
          <w:lang w:val="en-US"/>
        </w:rPr>
        <w:t xml:space="preserve">Two of the disease states determined to be meaningful failed to reach consensus agreement on their label.  One state was close to reaching agreement: ‘hyperuricemia </w:t>
      </w:r>
      <w:r w:rsidRPr="0035212A">
        <w:rPr>
          <w:rFonts w:cstheme="minorHAnsi"/>
          <w:i/>
          <w:iCs/>
          <w:lang w:val="en-US"/>
        </w:rPr>
        <w:t>with</w:t>
      </w:r>
      <w:r w:rsidRPr="0035212A">
        <w:rPr>
          <w:rFonts w:cstheme="minorHAnsi"/>
          <w:lang w:val="en-US"/>
        </w:rPr>
        <w:t xml:space="preserve"> imaging evidence of monosodium urate crystal deposition </w:t>
      </w:r>
      <w:r w:rsidRPr="0035212A">
        <w:rPr>
          <w:rFonts w:cstheme="minorHAnsi"/>
          <w:i/>
          <w:iCs/>
          <w:lang w:val="en-US"/>
        </w:rPr>
        <w:t>without</w:t>
      </w:r>
      <w:r w:rsidRPr="0035212A">
        <w:rPr>
          <w:rFonts w:cstheme="minorHAnsi"/>
          <w:lang w:val="en-US"/>
        </w:rPr>
        <w:t xml:space="preserve"> gout flares, chronic gouty arthritis or subcutaneous tophi’, the label for which, ‘asymptomatic hyperuricemia with monosodium urate crystal deposition’, reached 79% agreement after round three.  The remaining disease state, ‘the presence of monosodium urate crystal deposition </w:t>
      </w:r>
      <w:r w:rsidRPr="0035212A">
        <w:rPr>
          <w:rFonts w:cstheme="minorHAnsi"/>
          <w:i/>
          <w:iCs/>
          <w:lang w:val="en-US"/>
        </w:rPr>
        <w:t>with</w:t>
      </w:r>
      <w:r w:rsidRPr="0035212A">
        <w:rPr>
          <w:rFonts w:cstheme="minorHAnsi"/>
          <w:lang w:val="en-US"/>
        </w:rPr>
        <w:t xml:space="preserve"> any of the following: gout flares, chronic gouty arthritis or subcutaneous tophi’ was not close to reaching consensus agreement.  However, the most preferred label for this state was ‘gout’, for which there was 56% agreement.  While it was not the original intention of this project to define gout, this label was proposed by respondents during round one of the Delphi exercise and progressively gained popularity throughout the remaining two rounds.</w:t>
      </w:r>
      <w:r w:rsidRPr="0035212A">
        <w:rPr>
          <w:b/>
        </w:rPr>
        <w:br w:type="page"/>
      </w:r>
    </w:p>
    <w:p w14:paraId="775979C1" w14:textId="77777777" w:rsidR="00B20FDB" w:rsidRPr="0035212A" w:rsidRDefault="00B20FDB" w:rsidP="00B20FDB">
      <w:pPr>
        <w:spacing w:line="480" w:lineRule="auto"/>
        <w:rPr>
          <w:b/>
        </w:rPr>
      </w:pPr>
      <w:r w:rsidRPr="0035212A">
        <w:rPr>
          <w:b/>
        </w:rPr>
        <w:lastRenderedPageBreak/>
        <w:t xml:space="preserve">Supplementary Table S1.  </w:t>
      </w:r>
      <w:r w:rsidRPr="0035212A">
        <w:t>Journals used in a content analysis of gout- and hyperuricemia</w:t>
      </w:r>
      <w:r w:rsidRPr="0035212A">
        <w:rPr>
          <w:sz w:val="20"/>
        </w:rPr>
        <w:t>†</w:t>
      </w:r>
      <w:r w:rsidRPr="0035212A">
        <w:t xml:space="preserve">-related literature concerning the disease states of gout.  </w:t>
      </w:r>
      <w:r w:rsidRPr="0035212A">
        <w:rPr>
          <w:bCs/>
        </w:rPr>
        <w:t>In descending order: the ten highest-ranked general rheumatology journals, and the five highest-ranked general internal medicine journals (according to Impact Factor, 2016 Thomson-Reuters Journal Citation Reports) published between 1</w:t>
      </w:r>
      <w:r w:rsidRPr="0035212A">
        <w:rPr>
          <w:bCs/>
          <w:vertAlign w:val="superscript"/>
        </w:rPr>
        <w:t>st</w:t>
      </w:r>
      <w:r w:rsidRPr="0035212A">
        <w:rPr>
          <w:bCs/>
        </w:rPr>
        <w:t xml:space="preserve"> January 2013 and 31</w:t>
      </w:r>
      <w:r w:rsidRPr="0035212A">
        <w:rPr>
          <w:bCs/>
          <w:vertAlign w:val="superscript"/>
        </w:rPr>
        <w:t>st</w:t>
      </w:r>
      <w:r w:rsidRPr="0035212A">
        <w:rPr>
          <w:bCs/>
        </w:rPr>
        <w:t xml:space="preserve"> January 2018.</w:t>
      </w:r>
    </w:p>
    <w:tbl>
      <w:tblPr>
        <w:tblW w:w="0" w:type="auto"/>
        <w:tblBorders>
          <w:top w:val="single" w:sz="4" w:space="0" w:color="7F7F7F"/>
          <w:bottom w:val="single" w:sz="4" w:space="0" w:color="7F7F7F"/>
        </w:tblBorders>
        <w:tblLook w:val="04A0" w:firstRow="1" w:lastRow="0" w:firstColumn="1" w:lastColumn="0" w:noHBand="0" w:noVBand="1"/>
      </w:tblPr>
      <w:tblGrid>
        <w:gridCol w:w="2477"/>
        <w:gridCol w:w="3784"/>
        <w:gridCol w:w="2759"/>
      </w:tblGrid>
      <w:tr w:rsidR="00B20FDB" w:rsidRPr="0035212A" w14:paraId="13EA9B4D" w14:textId="77777777" w:rsidTr="00EC1611">
        <w:trPr>
          <w:trHeight w:val="907"/>
        </w:trPr>
        <w:tc>
          <w:tcPr>
            <w:tcW w:w="0" w:type="auto"/>
            <w:tcBorders>
              <w:top w:val="single" w:sz="12" w:space="0" w:color="auto"/>
              <w:bottom w:val="single" w:sz="4" w:space="0" w:color="7F7F7F"/>
            </w:tcBorders>
            <w:shd w:val="clear" w:color="auto" w:fill="auto"/>
            <w:vAlign w:val="center"/>
          </w:tcPr>
          <w:p w14:paraId="3EA0CC56" w14:textId="77777777" w:rsidR="00B20FDB" w:rsidRPr="0035212A" w:rsidRDefault="00B20FDB" w:rsidP="00EC1611">
            <w:pPr>
              <w:spacing w:line="480" w:lineRule="auto"/>
              <w:rPr>
                <w:sz w:val="20"/>
              </w:rPr>
            </w:pPr>
            <w:r w:rsidRPr="0035212A">
              <w:rPr>
                <w:sz w:val="20"/>
              </w:rPr>
              <w:t>Specialty</w:t>
            </w:r>
          </w:p>
        </w:tc>
        <w:tc>
          <w:tcPr>
            <w:tcW w:w="0" w:type="auto"/>
            <w:tcBorders>
              <w:top w:val="single" w:sz="12" w:space="0" w:color="auto"/>
              <w:bottom w:val="single" w:sz="4" w:space="0" w:color="7F7F7F"/>
            </w:tcBorders>
            <w:shd w:val="clear" w:color="auto" w:fill="auto"/>
            <w:vAlign w:val="center"/>
          </w:tcPr>
          <w:p w14:paraId="39CBD662" w14:textId="77777777" w:rsidR="00B20FDB" w:rsidRPr="0035212A" w:rsidRDefault="00B20FDB" w:rsidP="00EC1611">
            <w:pPr>
              <w:spacing w:line="480" w:lineRule="auto"/>
              <w:rPr>
                <w:sz w:val="20"/>
              </w:rPr>
            </w:pPr>
            <w:r w:rsidRPr="0035212A">
              <w:rPr>
                <w:sz w:val="20"/>
              </w:rPr>
              <w:t>Journal</w:t>
            </w:r>
          </w:p>
        </w:tc>
        <w:tc>
          <w:tcPr>
            <w:tcW w:w="0" w:type="auto"/>
            <w:tcBorders>
              <w:top w:val="single" w:sz="12" w:space="0" w:color="auto"/>
              <w:bottom w:val="single" w:sz="4" w:space="0" w:color="7F7F7F"/>
            </w:tcBorders>
            <w:shd w:val="clear" w:color="auto" w:fill="auto"/>
            <w:vAlign w:val="center"/>
          </w:tcPr>
          <w:p w14:paraId="5BEC50F5" w14:textId="77777777" w:rsidR="00B20FDB" w:rsidRPr="0035212A" w:rsidRDefault="00B20FDB" w:rsidP="00EC1611">
            <w:pPr>
              <w:spacing w:line="480" w:lineRule="auto"/>
              <w:jc w:val="center"/>
              <w:rPr>
                <w:sz w:val="20"/>
              </w:rPr>
            </w:pPr>
            <w:r w:rsidRPr="0035212A">
              <w:rPr>
                <w:sz w:val="20"/>
              </w:rPr>
              <w:t>Number of gout-related articles identified</w:t>
            </w:r>
          </w:p>
        </w:tc>
      </w:tr>
      <w:tr w:rsidR="00B20FDB" w:rsidRPr="0035212A" w14:paraId="261A45BD" w14:textId="77777777" w:rsidTr="00EC1611">
        <w:trPr>
          <w:trHeight w:val="367"/>
        </w:trPr>
        <w:tc>
          <w:tcPr>
            <w:tcW w:w="0" w:type="auto"/>
            <w:vMerge w:val="restart"/>
            <w:tcBorders>
              <w:top w:val="single" w:sz="12" w:space="0" w:color="auto"/>
              <w:bottom w:val="single" w:sz="4" w:space="0" w:color="7F7F7F"/>
            </w:tcBorders>
            <w:shd w:val="clear" w:color="auto" w:fill="auto"/>
            <w:vAlign w:val="center"/>
          </w:tcPr>
          <w:p w14:paraId="2A5499B6" w14:textId="77777777" w:rsidR="00B20FDB" w:rsidRPr="0035212A" w:rsidRDefault="00B20FDB" w:rsidP="00EC1611">
            <w:pPr>
              <w:spacing w:line="480" w:lineRule="auto"/>
              <w:rPr>
                <w:sz w:val="20"/>
              </w:rPr>
            </w:pPr>
            <w:r w:rsidRPr="0035212A">
              <w:rPr>
                <w:sz w:val="20"/>
              </w:rPr>
              <w:t>General rheumatology journals</w:t>
            </w:r>
          </w:p>
        </w:tc>
        <w:tc>
          <w:tcPr>
            <w:tcW w:w="0" w:type="auto"/>
            <w:tcBorders>
              <w:top w:val="single" w:sz="12" w:space="0" w:color="auto"/>
              <w:bottom w:val="single" w:sz="4" w:space="0" w:color="7F7F7F"/>
            </w:tcBorders>
            <w:shd w:val="clear" w:color="auto" w:fill="auto"/>
            <w:vAlign w:val="center"/>
          </w:tcPr>
          <w:p w14:paraId="0A99B290" w14:textId="77777777" w:rsidR="00B20FDB" w:rsidRPr="0035212A" w:rsidRDefault="00B20FDB" w:rsidP="00EC1611">
            <w:pPr>
              <w:spacing w:line="480" w:lineRule="auto"/>
              <w:rPr>
                <w:sz w:val="20"/>
                <w:szCs w:val="20"/>
              </w:rPr>
            </w:pPr>
            <w:r w:rsidRPr="0035212A">
              <w:rPr>
                <w:sz w:val="20"/>
                <w:szCs w:val="20"/>
              </w:rPr>
              <w:t>Annals of the Rheumatic Diseases</w:t>
            </w:r>
          </w:p>
        </w:tc>
        <w:tc>
          <w:tcPr>
            <w:tcW w:w="0" w:type="auto"/>
            <w:tcBorders>
              <w:top w:val="single" w:sz="12" w:space="0" w:color="auto"/>
              <w:bottom w:val="single" w:sz="4" w:space="0" w:color="7F7F7F"/>
            </w:tcBorders>
            <w:shd w:val="clear" w:color="auto" w:fill="auto"/>
            <w:vAlign w:val="center"/>
          </w:tcPr>
          <w:p w14:paraId="4563F0D0" w14:textId="77777777" w:rsidR="00B20FDB" w:rsidRPr="0035212A" w:rsidRDefault="00B20FDB" w:rsidP="00EC1611">
            <w:pPr>
              <w:spacing w:line="480" w:lineRule="auto"/>
              <w:jc w:val="center"/>
              <w:rPr>
                <w:sz w:val="20"/>
                <w:szCs w:val="20"/>
              </w:rPr>
            </w:pPr>
            <w:r w:rsidRPr="0035212A">
              <w:rPr>
                <w:sz w:val="20"/>
                <w:szCs w:val="20"/>
              </w:rPr>
              <w:t>118</w:t>
            </w:r>
          </w:p>
        </w:tc>
      </w:tr>
      <w:tr w:rsidR="00B20FDB" w:rsidRPr="0035212A" w14:paraId="748DBF3A" w14:textId="77777777" w:rsidTr="00EC1611">
        <w:trPr>
          <w:trHeight w:val="340"/>
        </w:trPr>
        <w:tc>
          <w:tcPr>
            <w:tcW w:w="0" w:type="auto"/>
            <w:vMerge/>
            <w:shd w:val="clear" w:color="auto" w:fill="auto"/>
          </w:tcPr>
          <w:p w14:paraId="58F225E5" w14:textId="77777777" w:rsidR="00B20FDB" w:rsidRPr="0035212A" w:rsidRDefault="00B20FDB" w:rsidP="00EC1611">
            <w:pPr>
              <w:spacing w:line="480" w:lineRule="auto"/>
              <w:rPr>
                <w:sz w:val="20"/>
              </w:rPr>
            </w:pPr>
          </w:p>
        </w:tc>
        <w:tc>
          <w:tcPr>
            <w:tcW w:w="0" w:type="auto"/>
            <w:shd w:val="clear" w:color="auto" w:fill="auto"/>
            <w:vAlign w:val="center"/>
          </w:tcPr>
          <w:p w14:paraId="5CA4B1E8" w14:textId="77777777" w:rsidR="00B20FDB" w:rsidRPr="0035212A" w:rsidRDefault="00B20FDB" w:rsidP="00EC1611">
            <w:pPr>
              <w:spacing w:line="480" w:lineRule="auto"/>
              <w:rPr>
                <w:sz w:val="20"/>
                <w:szCs w:val="20"/>
              </w:rPr>
            </w:pPr>
            <w:r w:rsidRPr="0035212A">
              <w:rPr>
                <w:sz w:val="20"/>
                <w:szCs w:val="20"/>
              </w:rPr>
              <w:t>Nature Reviews Rheumatology</w:t>
            </w:r>
          </w:p>
        </w:tc>
        <w:tc>
          <w:tcPr>
            <w:tcW w:w="0" w:type="auto"/>
            <w:shd w:val="clear" w:color="auto" w:fill="auto"/>
            <w:vAlign w:val="center"/>
          </w:tcPr>
          <w:p w14:paraId="354A0AD1" w14:textId="77777777" w:rsidR="00B20FDB" w:rsidRPr="0035212A" w:rsidRDefault="00B20FDB" w:rsidP="00EC1611">
            <w:pPr>
              <w:spacing w:line="480" w:lineRule="auto"/>
              <w:jc w:val="center"/>
              <w:rPr>
                <w:sz w:val="20"/>
                <w:szCs w:val="20"/>
              </w:rPr>
            </w:pPr>
            <w:r w:rsidRPr="0035212A">
              <w:rPr>
                <w:sz w:val="20"/>
                <w:szCs w:val="20"/>
              </w:rPr>
              <w:t>38</w:t>
            </w:r>
          </w:p>
        </w:tc>
      </w:tr>
      <w:tr w:rsidR="00B20FDB" w:rsidRPr="0035212A" w14:paraId="4A82D200" w14:textId="77777777" w:rsidTr="00EC1611">
        <w:trPr>
          <w:trHeight w:val="340"/>
        </w:trPr>
        <w:tc>
          <w:tcPr>
            <w:tcW w:w="0" w:type="auto"/>
            <w:vMerge/>
            <w:tcBorders>
              <w:top w:val="single" w:sz="4" w:space="0" w:color="7F7F7F"/>
              <w:bottom w:val="single" w:sz="4" w:space="0" w:color="7F7F7F"/>
            </w:tcBorders>
            <w:shd w:val="clear" w:color="auto" w:fill="auto"/>
          </w:tcPr>
          <w:p w14:paraId="7CEE02F6" w14:textId="77777777" w:rsidR="00B20FDB" w:rsidRPr="0035212A" w:rsidRDefault="00B20FDB" w:rsidP="00EC1611">
            <w:pPr>
              <w:spacing w:line="480" w:lineRule="auto"/>
              <w:rPr>
                <w:sz w:val="20"/>
              </w:rPr>
            </w:pPr>
          </w:p>
        </w:tc>
        <w:tc>
          <w:tcPr>
            <w:tcW w:w="0" w:type="auto"/>
            <w:tcBorders>
              <w:top w:val="single" w:sz="4" w:space="0" w:color="7F7F7F"/>
              <w:bottom w:val="single" w:sz="4" w:space="0" w:color="7F7F7F"/>
            </w:tcBorders>
            <w:shd w:val="clear" w:color="auto" w:fill="auto"/>
            <w:vAlign w:val="center"/>
          </w:tcPr>
          <w:p w14:paraId="51F490FA" w14:textId="77777777" w:rsidR="00B20FDB" w:rsidRPr="0035212A" w:rsidRDefault="00B20FDB" w:rsidP="00EC1611">
            <w:pPr>
              <w:spacing w:line="480" w:lineRule="auto"/>
              <w:rPr>
                <w:sz w:val="20"/>
                <w:szCs w:val="20"/>
              </w:rPr>
            </w:pPr>
            <w:r w:rsidRPr="0035212A">
              <w:rPr>
                <w:sz w:val="20"/>
                <w:szCs w:val="20"/>
              </w:rPr>
              <w:t>Arthritis and Rheumatism/Arthritis and Rheumatology</w:t>
            </w:r>
          </w:p>
        </w:tc>
        <w:tc>
          <w:tcPr>
            <w:tcW w:w="0" w:type="auto"/>
            <w:tcBorders>
              <w:top w:val="single" w:sz="4" w:space="0" w:color="7F7F7F"/>
              <w:bottom w:val="single" w:sz="4" w:space="0" w:color="7F7F7F"/>
            </w:tcBorders>
            <w:shd w:val="clear" w:color="auto" w:fill="auto"/>
            <w:vAlign w:val="center"/>
          </w:tcPr>
          <w:p w14:paraId="2E6A992B" w14:textId="77777777" w:rsidR="00B20FDB" w:rsidRPr="0035212A" w:rsidRDefault="00B20FDB" w:rsidP="00EC1611">
            <w:pPr>
              <w:spacing w:line="480" w:lineRule="auto"/>
              <w:jc w:val="center"/>
              <w:rPr>
                <w:sz w:val="20"/>
                <w:szCs w:val="20"/>
              </w:rPr>
            </w:pPr>
            <w:r w:rsidRPr="0035212A">
              <w:rPr>
                <w:sz w:val="20"/>
                <w:szCs w:val="20"/>
              </w:rPr>
              <w:t>45</w:t>
            </w:r>
          </w:p>
        </w:tc>
      </w:tr>
      <w:tr w:rsidR="00B20FDB" w:rsidRPr="0035212A" w14:paraId="77FAAAD1" w14:textId="77777777" w:rsidTr="00EC1611">
        <w:trPr>
          <w:trHeight w:val="340"/>
        </w:trPr>
        <w:tc>
          <w:tcPr>
            <w:tcW w:w="0" w:type="auto"/>
            <w:vMerge/>
            <w:shd w:val="clear" w:color="auto" w:fill="auto"/>
          </w:tcPr>
          <w:p w14:paraId="17BF1980" w14:textId="77777777" w:rsidR="00B20FDB" w:rsidRPr="0035212A" w:rsidRDefault="00B20FDB" w:rsidP="00EC1611">
            <w:pPr>
              <w:spacing w:line="480" w:lineRule="auto"/>
              <w:rPr>
                <w:sz w:val="20"/>
              </w:rPr>
            </w:pPr>
          </w:p>
        </w:tc>
        <w:tc>
          <w:tcPr>
            <w:tcW w:w="0" w:type="auto"/>
            <w:shd w:val="clear" w:color="auto" w:fill="auto"/>
            <w:vAlign w:val="center"/>
          </w:tcPr>
          <w:p w14:paraId="194212A1" w14:textId="77777777" w:rsidR="00B20FDB" w:rsidRPr="0035212A" w:rsidRDefault="00B20FDB" w:rsidP="00EC1611">
            <w:pPr>
              <w:spacing w:line="480" w:lineRule="auto"/>
              <w:rPr>
                <w:sz w:val="20"/>
                <w:szCs w:val="20"/>
              </w:rPr>
            </w:pPr>
            <w:r w:rsidRPr="0035212A">
              <w:rPr>
                <w:sz w:val="20"/>
                <w:szCs w:val="20"/>
              </w:rPr>
              <w:t>Rheumatology</w:t>
            </w:r>
          </w:p>
        </w:tc>
        <w:tc>
          <w:tcPr>
            <w:tcW w:w="0" w:type="auto"/>
            <w:shd w:val="clear" w:color="auto" w:fill="auto"/>
            <w:vAlign w:val="center"/>
          </w:tcPr>
          <w:p w14:paraId="16D156C6" w14:textId="77777777" w:rsidR="00B20FDB" w:rsidRPr="0035212A" w:rsidRDefault="00B20FDB" w:rsidP="00EC1611">
            <w:pPr>
              <w:spacing w:line="480" w:lineRule="auto"/>
              <w:jc w:val="center"/>
              <w:rPr>
                <w:sz w:val="20"/>
                <w:szCs w:val="20"/>
              </w:rPr>
            </w:pPr>
            <w:r w:rsidRPr="0035212A">
              <w:rPr>
                <w:sz w:val="20"/>
                <w:szCs w:val="20"/>
              </w:rPr>
              <w:t>92</w:t>
            </w:r>
          </w:p>
        </w:tc>
      </w:tr>
      <w:tr w:rsidR="00B20FDB" w:rsidRPr="0035212A" w14:paraId="1B00A98C" w14:textId="77777777" w:rsidTr="00EC1611">
        <w:trPr>
          <w:trHeight w:val="340"/>
        </w:trPr>
        <w:tc>
          <w:tcPr>
            <w:tcW w:w="0" w:type="auto"/>
            <w:vMerge/>
            <w:tcBorders>
              <w:top w:val="single" w:sz="4" w:space="0" w:color="7F7F7F"/>
              <w:bottom w:val="single" w:sz="4" w:space="0" w:color="7F7F7F"/>
            </w:tcBorders>
            <w:shd w:val="clear" w:color="auto" w:fill="auto"/>
          </w:tcPr>
          <w:p w14:paraId="6677F94D" w14:textId="77777777" w:rsidR="00B20FDB" w:rsidRPr="0035212A" w:rsidRDefault="00B20FDB" w:rsidP="00EC1611">
            <w:pPr>
              <w:spacing w:line="480" w:lineRule="auto"/>
              <w:rPr>
                <w:sz w:val="20"/>
              </w:rPr>
            </w:pPr>
          </w:p>
        </w:tc>
        <w:tc>
          <w:tcPr>
            <w:tcW w:w="0" w:type="auto"/>
            <w:tcBorders>
              <w:top w:val="single" w:sz="4" w:space="0" w:color="7F7F7F"/>
              <w:bottom w:val="single" w:sz="4" w:space="0" w:color="7F7F7F"/>
            </w:tcBorders>
            <w:shd w:val="clear" w:color="auto" w:fill="auto"/>
            <w:vAlign w:val="center"/>
          </w:tcPr>
          <w:p w14:paraId="23A3F609" w14:textId="77777777" w:rsidR="00B20FDB" w:rsidRPr="0035212A" w:rsidRDefault="00B20FDB" w:rsidP="00EC1611">
            <w:pPr>
              <w:spacing w:line="480" w:lineRule="auto"/>
              <w:rPr>
                <w:sz w:val="20"/>
                <w:szCs w:val="20"/>
              </w:rPr>
            </w:pPr>
            <w:r w:rsidRPr="0035212A">
              <w:rPr>
                <w:sz w:val="20"/>
                <w:szCs w:val="20"/>
              </w:rPr>
              <w:t>Seminars in Arthritis and Rheumatism</w:t>
            </w:r>
          </w:p>
        </w:tc>
        <w:tc>
          <w:tcPr>
            <w:tcW w:w="0" w:type="auto"/>
            <w:tcBorders>
              <w:top w:val="single" w:sz="4" w:space="0" w:color="7F7F7F"/>
              <w:bottom w:val="single" w:sz="4" w:space="0" w:color="7F7F7F"/>
            </w:tcBorders>
            <w:shd w:val="clear" w:color="auto" w:fill="auto"/>
            <w:vAlign w:val="center"/>
          </w:tcPr>
          <w:p w14:paraId="642282CC" w14:textId="77777777" w:rsidR="00B20FDB" w:rsidRPr="0035212A" w:rsidRDefault="00B20FDB" w:rsidP="00EC1611">
            <w:pPr>
              <w:spacing w:line="480" w:lineRule="auto"/>
              <w:jc w:val="center"/>
              <w:rPr>
                <w:sz w:val="20"/>
                <w:szCs w:val="20"/>
              </w:rPr>
            </w:pPr>
            <w:r w:rsidRPr="0035212A">
              <w:rPr>
                <w:sz w:val="20"/>
                <w:szCs w:val="20"/>
              </w:rPr>
              <w:t>36</w:t>
            </w:r>
          </w:p>
        </w:tc>
      </w:tr>
      <w:tr w:rsidR="00B20FDB" w:rsidRPr="0035212A" w14:paraId="2CA8F0CC" w14:textId="77777777" w:rsidTr="00EC1611">
        <w:trPr>
          <w:trHeight w:val="340"/>
        </w:trPr>
        <w:tc>
          <w:tcPr>
            <w:tcW w:w="0" w:type="auto"/>
            <w:vMerge/>
            <w:shd w:val="clear" w:color="auto" w:fill="auto"/>
          </w:tcPr>
          <w:p w14:paraId="037526BF" w14:textId="77777777" w:rsidR="00B20FDB" w:rsidRPr="0035212A" w:rsidRDefault="00B20FDB" w:rsidP="00EC1611">
            <w:pPr>
              <w:spacing w:line="480" w:lineRule="auto"/>
              <w:rPr>
                <w:sz w:val="20"/>
              </w:rPr>
            </w:pPr>
          </w:p>
        </w:tc>
        <w:tc>
          <w:tcPr>
            <w:tcW w:w="0" w:type="auto"/>
            <w:shd w:val="clear" w:color="auto" w:fill="auto"/>
            <w:vAlign w:val="center"/>
          </w:tcPr>
          <w:p w14:paraId="405C1A6B" w14:textId="77777777" w:rsidR="00B20FDB" w:rsidRPr="0035212A" w:rsidRDefault="00B20FDB" w:rsidP="00EC1611">
            <w:pPr>
              <w:spacing w:line="480" w:lineRule="auto"/>
              <w:rPr>
                <w:sz w:val="20"/>
                <w:szCs w:val="20"/>
              </w:rPr>
            </w:pPr>
            <w:r w:rsidRPr="0035212A">
              <w:rPr>
                <w:sz w:val="20"/>
                <w:szCs w:val="20"/>
              </w:rPr>
              <w:t>Current Opinion in Rheumatology</w:t>
            </w:r>
          </w:p>
        </w:tc>
        <w:tc>
          <w:tcPr>
            <w:tcW w:w="0" w:type="auto"/>
            <w:shd w:val="clear" w:color="auto" w:fill="auto"/>
            <w:vAlign w:val="center"/>
          </w:tcPr>
          <w:p w14:paraId="286E5B15" w14:textId="77777777" w:rsidR="00B20FDB" w:rsidRPr="0035212A" w:rsidRDefault="00B20FDB" w:rsidP="00EC1611">
            <w:pPr>
              <w:spacing w:line="480" w:lineRule="auto"/>
              <w:jc w:val="center"/>
              <w:rPr>
                <w:sz w:val="20"/>
                <w:szCs w:val="20"/>
              </w:rPr>
            </w:pPr>
            <w:r w:rsidRPr="0035212A">
              <w:rPr>
                <w:sz w:val="20"/>
                <w:szCs w:val="20"/>
              </w:rPr>
              <w:t>21</w:t>
            </w:r>
          </w:p>
        </w:tc>
      </w:tr>
      <w:tr w:rsidR="00B20FDB" w:rsidRPr="0035212A" w14:paraId="255E408C" w14:textId="77777777" w:rsidTr="00EC1611">
        <w:trPr>
          <w:trHeight w:val="381"/>
        </w:trPr>
        <w:tc>
          <w:tcPr>
            <w:tcW w:w="0" w:type="auto"/>
            <w:vMerge/>
            <w:tcBorders>
              <w:top w:val="single" w:sz="4" w:space="0" w:color="7F7F7F"/>
              <w:bottom w:val="single" w:sz="4" w:space="0" w:color="7F7F7F"/>
            </w:tcBorders>
            <w:shd w:val="clear" w:color="auto" w:fill="auto"/>
          </w:tcPr>
          <w:p w14:paraId="682A967A" w14:textId="77777777" w:rsidR="00B20FDB" w:rsidRPr="0035212A" w:rsidRDefault="00B20FDB" w:rsidP="00EC1611">
            <w:pPr>
              <w:spacing w:line="480" w:lineRule="auto"/>
              <w:rPr>
                <w:sz w:val="20"/>
              </w:rPr>
            </w:pPr>
          </w:p>
        </w:tc>
        <w:tc>
          <w:tcPr>
            <w:tcW w:w="0" w:type="auto"/>
            <w:tcBorders>
              <w:top w:val="single" w:sz="4" w:space="0" w:color="7F7F7F"/>
              <w:bottom w:val="single" w:sz="4" w:space="0" w:color="7F7F7F"/>
            </w:tcBorders>
            <w:shd w:val="clear" w:color="auto" w:fill="auto"/>
            <w:vAlign w:val="center"/>
          </w:tcPr>
          <w:p w14:paraId="44DBB464" w14:textId="77777777" w:rsidR="00B20FDB" w:rsidRPr="0035212A" w:rsidRDefault="00B20FDB" w:rsidP="00EC1611">
            <w:pPr>
              <w:spacing w:line="480" w:lineRule="auto"/>
              <w:rPr>
                <w:sz w:val="20"/>
                <w:szCs w:val="20"/>
              </w:rPr>
            </w:pPr>
            <w:r w:rsidRPr="0035212A">
              <w:rPr>
                <w:sz w:val="20"/>
                <w:szCs w:val="20"/>
              </w:rPr>
              <w:t>Arthritis Research and Therapy</w:t>
            </w:r>
          </w:p>
        </w:tc>
        <w:tc>
          <w:tcPr>
            <w:tcW w:w="0" w:type="auto"/>
            <w:tcBorders>
              <w:top w:val="single" w:sz="4" w:space="0" w:color="7F7F7F"/>
              <w:bottom w:val="single" w:sz="4" w:space="0" w:color="7F7F7F"/>
            </w:tcBorders>
            <w:shd w:val="clear" w:color="auto" w:fill="auto"/>
            <w:vAlign w:val="center"/>
          </w:tcPr>
          <w:p w14:paraId="3BA433A6" w14:textId="77777777" w:rsidR="00B20FDB" w:rsidRPr="0035212A" w:rsidRDefault="00B20FDB" w:rsidP="00EC1611">
            <w:pPr>
              <w:spacing w:line="480" w:lineRule="auto"/>
              <w:jc w:val="center"/>
              <w:rPr>
                <w:sz w:val="20"/>
                <w:szCs w:val="20"/>
              </w:rPr>
            </w:pPr>
            <w:r w:rsidRPr="0035212A">
              <w:rPr>
                <w:sz w:val="20"/>
                <w:szCs w:val="20"/>
              </w:rPr>
              <w:t>62</w:t>
            </w:r>
          </w:p>
        </w:tc>
      </w:tr>
      <w:tr w:rsidR="00B20FDB" w:rsidRPr="0035212A" w14:paraId="0896A5F5" w14:textId="77777777" w:rsidTr="00EC1611">
        <w:trPr>
          <w:trHeight w:val="340"/>
        </w:trPr>
        <w:tc>
          <w:tcPr>
            <w:tcW w:w="0" w:type="auto"/>
            <w:vMerge/>
            <w:shd w:val="clear" w:color="auto" w:fill="auto"/>
          </w:tcPr>
          <w:p w14:paraId="2BDEFB26" w14:textId="77777777" w:rsidR="00B20FDB" w:rsidRPr="0035212A" w:rsidRDefault="00B20FDB" w:rsidP="00EC1611">
            <w:pPr>
              <w:spacing w:line="480" w:lineRule="auto"/>
              <w:rPr>
                <w:sz w:val="20"/>
              </w:rPr>
            </w:pPr>
          </w:p>
        </w:tc>
        <w:tc>
          <w:tcPr>
            <w:tcW w:w="0" w:type="auto"/>
            <w:shd w:val="clear" w:color="auto" w:fill="auto"/>
            <w:vAlign w:val="center"/>
          </w:tcPr>
          <w:p w14:paraId="2455B4CD" w14:textId="77777777" w:rsidR="00B20FDB" w:rsidRPr="0035212A" w:rsidRDefault="00B20FDB" w:rsidP="00EC1611">
            <w:pPr>
              <w:spacing w:line="480" w:lineRule="auto"/>
              <w:rPr>
                <w:sz w:val="20"/>
                <w:szCs w:val="20"/>
              </w:rPr>
            </w:pPr>
            <w:r w:rsidRPr="0035212A">
              <w:rPr>
                <w:sz w:val="20"/>
                <w:szCs w:val="20"/>
              </w:rPr>
              <w:t>Best Practice and Research in Clinical Rheumatology</w:t>
            </w:r>
          </w:p>
        </w:tc>
        <w:tc>
          <w:tcPr>
            <w:tcW w:w="0" w:type="auto"/>
            <w:shd w:val="clear" w:color="auto" w:fill="auto"/>
            <w:vAlign w:val="center"/>
          </w:tcPr>
          <w:p w14:paraId="0705E7B4" w14:textId="77777777" w:rsidR="00B20FDB" w:rsidRPr="0035212A" w:rsidRDefault="00B20FDB" w:rsidP="00EC1611">
            <w:pPr>
              <w:spacing w:line="480" w:lineRule="auto"/>
              <w:jc w:val="center"/>
              <w:rPr>
                <w:sz w:val="20"/>
                <w:szCs w:val="20"/>
              </w:rPr>
            </w:pPr>
            <w:r w:rsidRPr="0035212A">
              <w:rPr>
                <w:sz w:val="20"/>
                <w:szCs w:val="20"/>
              </w:rPr>
              <w:t>5</w:t>
            </w:r>
          </w:p>
        </w:tc>
      </w:tr>
      <w:tr w:rsidR="00B20FDB" w:rsidRPr="0035212A" w14:paraId="533EC64F" w14:textId="77777777" w:rsidTr="00EC1611">
        <w:trPr>
          <w:trHeight w:val="340"/>
        </w:trPr>
        <w:tc>
          <w:tcPr>
            <w:tcW w:w="0" w:type="auto"/>
            <w:vMerge/>
            <w:tcBorders>
              <w:top w:val="single" w:sz="4" w:space="0" w:color="7F7F7F"/>
              <w:bottom w:val="single" w:sz="4" w:space="0" w:color="7F7F7F"/>
            </w:tcBorders>
            <w:shd w:val="clear" w:color="auto" w:fill="auto"/>
          </w:tcPr>
          <w:p w14:paraId="16695903" w14:textId="77777777" w:rsidR="00B20FDB" w:rsidRPr="0035212A" w:rsidRDefault="00B20FDB" w:rsidP="00EC1611">
            <w:pPr>
              <w:spacing w:line="480" w:lineRule="auto"/>
              <w:rPr>
                <w:sz w:val="20"/>
              </w:rPr>
            </w:pPr>
          </w:p>
        </w:tc>
        <w:tc>
          <w:tcPr>
            <w:tcW w:w="0" w:type="auto"/>
            <w:tcBorders>
              <w:top w:val="single" w:sz="4" w:space="0" w:color="7F7F7F"/>
              <w:bottom w:val="single" w:sz="4" w:space="0" w:color="7F7F7F"/>
            </w:tcBorders>
            <w:shd w:val="clear" w:color="auto" w:fill="auto"/>
            <w:vAlign w:val="center"/>
          </w:tcPr>
          <w:p w14:paraId="6288739F" w14:textId="77777777" w:rsidR="00B20FDB" w:rsidRPr="0035212A" w:rsidRDefault="00B20FDB" w:rsidP="00EC1611">
            <w:pPr>
              <w:spacing w:line="480" w:lineRule="auto"/>
              <w:rPr>
                <w:sz w:val="20"/>
                <w:szCs w:val="20"/>
              </w:rPr>
            </w:pPr>
            <w:r w:rsidRPr="0035212A">
              <w:rPr>
                <w:sz w:val="20"/>
                <w:szCs w:val="20"/>
              </w:rPr>
              <w:t>Rheumatic Disease Clinics of North America</w:t>
            </w:r>
          </w:p>
        </w:tc>
        <w:tc>
          <w:tcPr>
            <w:tcW w:w="0" w:type="auto"/>
            <w:tcBorders>
              <w:top w:val="single" w:sz="4" w:space="0" w:color="7F7F7F"/>
              <w:bottom w:val="single" w:sz="4" w:space="0" w:color="7F7F7F"/>
            </w:tcBorders>
            <w:shd w:val="clear" w:color="auto" w:fill="auto"/>
            <w:vAlign w:val="center"/>
          </w:tcPr>
          <w:p w14:paraId="27C8890F" w14:textId="77777777" w:rsidR="00B20FDB" w:rsidRPr="0035212A" w:rsidRDefault="00B20FDB" w:rsidP="00EC1611">
            <w:pPr>
              <w:spacing w:line="480" w:lineRule="auto"/>
              <w:jc w:val="center"/>
              <w:rPr>
                <w:sz w:val="20"/>
                <w:szCs w:val="20"/>
              </w:rPr>
            </w:pPr>
            <w:r w:rsidRPr="0035212A">
              <w:rPr>
                <w:sz w:val="20"/>
                <w:szCs w:val="20"/>
              </w:rPr>
              <w:t>19</w:t>
            </w:r>
          </w:p>
        </w:tc>
      </w:tr>
      <w:tr w:rsidR="00B20FDB" w:rsidRPr="0035212A" w14:paraId="774A5908" w14:textId="77777777" w:rsidTr="00EC1611">
        <w:trPr>
          <w:trHeight w:val="340"/>
        </w:trPr>
        <w:tc>
          <w:tcPr>
            <w:tcW w:w="0" w:type="auto"/>
            <w:vMerge/>
            <w:tcBorders>
              <w:bottom w:val="single" w:sz="12" w:space="0" w:color="auto"/>
            </w:tcBorders>
            <w:shd w:val="clear" w:color="auto" w:fill="auto"/>
          </w:tcPr>
          <w:p w14:paraId="2A4AB7F1" w14:textId="77777777" w:rsidR="00B20FDB" w:rsidRPr="0035212A" w:rsidRDefault="00B20FDB" w:rsidP="00EC1611">
            <w:pPr>
              <w:spacing w:line="480" w:lineRule="auto"/>
              <w:rPr>
                <w:sz w:val="20"/>
              </w:rPr>
            </w:pPr>
          </w:p>
        </w:tc>
        <w:tc>
          <w:tcPr>
            <w:tcW w:w="0" w:type="auto"/>
            <w:tcBorders>
              <w:bottom w:val="single" w:sz="12" w:space="0" w:color="auto"/>
            </w:tcBorders>
            <w:shd w:val="clear" w:color="auto" w:fill="auto"/>
            <w:vAlign w:val="center"/>
          </w:tcPr>
          <w:p w14:paraId="0F7F59F7" w14:textId="77777777" w:rsidR="00B20FDB" w:rsidRPr="0035212A" w:rsidRDefault="00B20FDB" w:rsidP="00EC1611">
            <w:pPr>
              <w:spacing w:line="480" w:lineRule="auto"/>
              <w:rPr>
                <w:sz w:val="20"/>
                <w:szCs w:val="20"/>
              </w:rPr>
            </w:pPr>
            <w:r w:rsidRPr="0035212A">
              <w:rPr>
                <w:sz w:val="20"/>
                <w:szCs w:val="20"/>
              </w:rPr>
              <w:t>Arthritis Care and Research</w:t>
            </w:r>
          </w:p>
        </w:tc>
        <w:tc>
          <w:tcPr>
            <w:tcW w:w="0" w:type="auto"/>
            <w:tcBorders>
              <w:bottom w:val="single" w:sz="12" w:space="0" w:color="auto"/>
            </w:tcBorders>
            <w:shd w:val="clear" w:color="auto" w:fill="auto"/>
            <w:vAlign w:val="center"/>
          </w:tcPr>
          <w:p w14:paraId="23AB222A" w14:textId="77777777" w:rsidR="00B20FDB" w:rsidRPr="0035212A" w:rsidRDefault="00B20FDB" w:rsidP="00EC1611">
            <w:pPr>
              <w:spacing w:line="480" w:lineRule="auto"/>
              <w:jc w:val="center"/>
              <w:rPr>
                <w:sz w:val="20"/>
                <w:szCs w:val="20"/>
              </w:rPr>
            </w:pPr>
            <w:r w:rsidRPr="0035212A">
              <w:rPr>
                <w:sz w:val="20"/>
                <w:szCs w:val="20"/>
              </w:rPr>
              <w:t>51</w:t>
            </w:r>
          </w:p>
        </w:tc>
      </w:tr>
      <w:tr w:rsidR="00B20FDB" w:rsidRPr="0035212A" w14:paraId="7A4D7562" w14:textId="77777777" w:rsidTr="00EC1611">
        <w:trPr>
          <w:trHeight w:val="340"/>
        </w:trPr>
        <w:tc>
          <w:tcPr>
            <w:tcW w:w="0" w:type="auto"/>
            <w:vMerge w:val="restart"/>
            <w:tcBorders>
              <w:top w:val="single" w:sz="12" w:space="0" w:color="auto"/>
              <w:bottom w:val="single" w:sz="4" w:space="0" w:color="7F7F7F"/>
            </w:tcBorders>
            <w:shd w:val="clear" w:color="auto" w:fill="auto"/>
            <w:vAlign w:val="center"/>
          </w:tcPr>
          <w:p w14:paraId="7A467573" w14:textId="77777777" w:rsidR="00B20FDB" w:rsidRPr="0035212A" w:rsidRDefault="00B20FDB" w:rsidP="00EC1611">
            <w:pPr>
              <w:spacing w:line="480" w:lineRule="auto"/>
              <w:rPr>
                <w:sz w:val="20"/>
              </w:rPr>
            </w:pPr>
            <w:r w:rsidRPr="0035212A">
              <w:rPr>
                <w:sz w:val="20"/>
              </w:rPr>
              <w:t>General internal medicine journals</w:t>
            </w:r>
          </w:p>
        </w:tc>
        <w:tc>
          <w:tcPr>
            <w:tcW w:w="0" w:type="auto"/>
            <w:tcBorders>
              <w:top w:val="single" w:sz="12" w:space="0" w:color="auto"/>
              <w:bottom w:val="single" w:sz="4" w:space="0" w:color="7F7F7F"/>
            </w:tcBorders>
            <w:shd w:val="clear" w:color="auto" w:fill="auto"/>
            <w:vAlign w:val="center"/>
          </w:tcPr>
          <w:p w14:paraId="7C14AC31" w14:textId="77777777" w:rsidR="00B20FDB" w:rsidRPr="0035212A" w:rsidRDefault="00B20FDB" w:rsidP="00EC1611">
            <w:pPr>
              <w:spacing w:line="480" w:lineRule="auto"/>
              <w:rPr>
                <w:sz w:val="20"/>
                <w:szCs w:val="20"/>
              </w:rPr>
            </w:pPr>
            <w:r w:rsidRPr="0035212A">
              <w:rPr>
                <w:sz w:val="20"/>
                <w:szCs w:val="20"/>
              </w:rPr>
              <w:t>The New England Journal of Medicine</w:t>
            </w:r>
          </w:p>
        </w:tc>
        <w:tc>
          <w:tcPr>
            <w:tcW w:w="0" w:type="auto"/>
            <w:tcBorders>
              <w:top w:val="single" w:sz="12" w:space="0" w:color="auto"/>
              <w:bottom w:val="single" w:sz="4" w:space="0" w:color="7F7F7F"/>
            </w:tcBorders>
            <w:shd w:val="clear" w:color="auto" w:fill="auto"/>
            <w:vAlign w:val="center"/>
          </w:tcPr>
          <w:p w14:paraId="401ED7E6" w14:textId="77777777" w:rsidR="00B20FDB" w:rsidRPr="0035212A" w:rsidRDefault="00B20FDB" w:rsidP="00EC1611">
            <w:pPr>
              <w:spacing w:line="480" w:lineRule="auto"/>
              <w:jc w:val="center"/>
              <w:rPr>
                <w:sz w:val="20"/>
                <w:szCs w:val="20"/>
              </w:rPr>
            </w:pPr>
            <w:r w:rsidRPr="0035212A">
              <w:rPr>
                <w:sz w:val="20"/>
                <w:szCs w:val="20"/>
              </w:rPr>
              <w:t>2</w:t>
            </w:r>
          </w:p>
        </w:tc>
      </w:tr>
      <w:tr w:rsidR="00B20FDB" w:rsidRPr="0035212A" w14:paraId="4F383837" w14:textId="77777777" w:rsidTr="00EC1611">
        <w:trPr>
          <w:trHeight w:val="340"/>
        </w:trPr>
        <w:tc>
          <w:tcPr>
            <w:tcW w:w="0" w:type="auto"/>
            <w:vMerge/>
            <w:shd w:val="clear" w:color="auto" w:fill="auto"/>
          </w:tcPr>
          <w:p w14:paraId="089D20D9" w14:textId="77777777" w:rsidR="00B20FDB" w:rsidRPr="0035212A" w:rsidRDefault="00B20FDB" w:rsidP="00EC1611">
            <w:pPr>
              <w:spacing w:line="480" w:lineRule="auto"/>
              <w:rPr>
                <w:sz w:val="20"/>
              </w:rPr>
            </w:pPr>
          </w:p>
        </w:tc>
        <w:tc>
          <w:tcPr>
            <w:tcW w:w="0" w:type="auto"/>
            <w:shd w:val="clear" w:color="auto" w:fill="auto"/>
            <w:vAlign w:val="center"/>
          </w:tcPr>
          <w:p w14:paraId="0F01DC35" w14:textId="77777777" w:rsidR="00B20FDB" w:rsidRPr="0035212A" w:rsidRDefault="00B20FDB" w:rsidP="00EC1611">
            <w:pPr>
              <w:spacing w:line="480" w:lineRule="auto"/>
              <w:rPr>
                <w:sz w:val="20"/>
                <w:szCs w:val="20"/>
              </w:rPr>
            </w:pPr>
            <w:r w:rsidRPr="0035212A">
              <w:rPr>
                <w:sz w:val="20"/>
                <w:szCs w:val="20"/>
              </w:rPr>
              <w:t>Lancet</w:t>
            </w:r>
          </w:p>
        </w:tc>
        <w:tc>
          <w:tcPr>
            <w:tcW w:w="0" w:type="auto"/>
            <w:shd w:val="clear" w:color="auto" w:fill="auto"/>
            <w:vAlign w:val="center"/>
          </w:tcPr>
          <w:p w14:paraId="556999A5" w14:textId="77777777" w:rsidR="00B20FDB" w:rsidRPr="0035212A" w:rsidRDefault="00B20FDB" w:rsidP="00EC1611">
            <w:pPr>
              <w:spacing w:line="480" w:lineRule="auto"/>
              <w:jc w:val="center"/>
              <w:rPr>
                <w:sz w:val="20"/>
                <w:szCs w:val="20"/>
              </w:rPr>
            </w:pPr>
            <w:r w:rsidRPr="0035212A">
              <w:rPr>
                <w:sz w:val="20"/>
                <w:szCs w:val="20"/>
              </w:rPr>
              <w:t>4</w:t>
            </w:r>
          </w:p>
        </w:tc>
      </w:tr>
      <w:tr w:rsidR="00B20FDB" w:rsidRPr="0035212A" w14:paraId="78035FFD" w14:textId="77777777" w:rsidTr="00EC1611">
        <w:trPr>
          <w:trHeight w:val="340"/>
        </w:trPr>
        <w:tc>
          <w:tcPr>
            <w:tcW w:w="0" w:type="auto"/>
            <w:vMerge/>
            <w:tcBorders>
              <w:top w:val="single" w:sz="4" w:space="0" w:color="7F7F7F"/>
              <w:bottom w:val="single" w:sz="4" w:space="0" w:color="7F7F7F"/>
            </w:tcBorders>
            <w:shd w:val="clear" w:color="auto" w:fill="auto"/>
          </w:tcPr>
          <w:p w14:paraId="3AD177B0" w14:textId="77777777" w:rsidR="00B20FDB" w:rsidRPr="0035212A" w:rsidRDefault="00B20FDB" w:rsidP="00EC1611">
            <w:pPr>
              <w:spacing w:line="480" w:lineRule="auto"/>
              <w:rPr>
                <w:sz w:val="20"/>
              </w:rPr>
            </w:pPr>
          </w:p>
        </w:tc>
        <w:tc>
          <w:tcPr>
            <w:tcW w:w="0" w:type="auto"/>
            <w:tcBorders>
              <w:top w:val="single" w:sz="4" w:space="0" w:color="7F7F7F"/>
              <w:bottom w:val="single" w:sz="4" w:space="0" w:color="7F7F7F"/>
            </w:tcBorders>
            <w:shd w:val="clear" w:color="auto" w:fill="auto"/>
            <w:vAlign w:val="center"/>
          </w:tcPr>
          <w:p w14:paraId="10E96F63" w14:textId="77777777" w:rsidR="00B20FDB" w:rsidRPr="0035212A" w:rsidRDefault="00B20FDB" w:rsidP="00EC1611">
            <w:pPr>
              <w:spacing w:line="480" w:lineRule="auto"/>
              <w:rPr>
                <w:sz w:val="20"/>
                <w:szCs w:val="20"/>
              </w:rPr>
            </w:pPr>
            <w:r w:rsidRPr="0035212A">
              <w:rPr>
                <w:sz w:val="20"/>
                <w:szCs w:val="20"/>
              </w:rPr>
              <w:t>Journal of the American Medical Association</w:t>
            </w:r>
          </w:p>
        </w:tc>
        <w:tc>
          <w:tcPr>
            <w:tcW w:w="0" w:type="auto"/>
            <w:tcBorders>
              <w:top w:val="single" w:sz="4" w:space="0" w:color="7F7F7F"/>
              <w:bottom w:val="single" w:sz="4" w:space="0" w:color="7F7F7F"/>
            </w:tcBorders>
            <w:shd w:val="clear" w:color="auto" w:fill="auto"/>
            <w:vAlign w:val="center"/>
          </w:tcPr>
          <w:p w14:paraId="6662D146" w14:textId="77777777" w:rsidR="00B20FDB" w:rsidRPr="0035212A" w:rsidRDefault="00B20FDB" w:rsidP="00EC1611">
            <w:pPr>
              <w:spacing w:line="480" w:lineRule="auto"/>
              <w:jc w:val="center"/>
              <w:rPr>
                <w:sz w:val="20"/>
                <w:szCs w:val="20"/>
              </w:rPr>
            </w:pPr>
            <w:r w:rsidRPr="0035212A">
              <w:rPr>
                <w:sz w:val="20"/>
                <w:szCs w:val="20"/>
              </w:rPr>
              <w:t>8</w:t>
            </w:r>
          </w:p>
        </w:tc>
      </w:tr>
      <w:tr w:rsidR="00B20FDB" w:rsidRPr="0035212A" w14:paraId="230E148F" w14:textId="77777777" w:rsidTr="00EC1611">
        <w:trPr>
          <w:trHeight w:val="340"/>
        </w:trPr>
        <w:tc>
          <w:tcPr>
            <w:tcW w:w="0" w:type="auto"/>
            <w:vMerge/>
            <w:shd w:val="clear" w:color="auto" w:fill="auto"/>
          </w:tcPr>
          <w:p w14:paraId="34866CE4" w14:textId="77777777" w:rsidR="00B20FDB" w:rsidRPr="0035212A" w:rsidRDefault="00B20FDB" w:rsidP="00EC1611">
            <w:pPr>
              <w:spacing w:line="480" w:lineRule="auto"/>
              <w:rPr>
                <w:sz w:val="20"/>
              </w:rPr>
            </w:pPr>
          </w:p>
        </w:tc>
        <w:tc>
          <w:tcPr>
            <w:tcW w:w="0" w:type="auto"/>
            <w:shd w:val="clear" w:color="auto" w:fill="auto"/>
            <w:vAlign w:val="center"/>
          </w:tcPr>
          <w:p w14:paraId="240C2399" w14:textId="77777777" w:rsidR="00B20FDB" w:rsidRPr="0035212A" w:rsidRDefault="00B20FDB" w:rsidP="00EC1611">
            <w:pPr>
              <w:spacing w:line="480" w:lineRule="auto"/>
              <w:rPr>
                <w:sz w:val="20"/>
                <w:szCs w:val="20"/>
              </w:rPr>
            </w:pPr>
            <w:r w:rsidRPr="0035212A">
              <w:rPr>
                <w:sz w:val="20"/>
                <w:szCs w:val="20"/>
              </w:rPr>
              <w:t>British Medical Journal</w:t>
            </w:r>
          </w:p>
        </w:tc>
        <w:tc>
          <w:tcPr>
            <w:tcW w:w="0" w:type="auto"/>
            <w:shd w:val="clear" w:color="auto" w:fill="auto"/>
            <w:vAlign w:val="center"/>
          </w:tcPr>
          <w:p w14:paraId="00BE63FA" w14:textId="77777777" w:rsidR="00B20FDB" w:rsidRPr="0035212A" w:rsidRDefault="00B20FDB" w:rsidP="00EC1611">
            <w:pPr>
              <w:spacing w:line="480" w:lineRule="auto"/>
              <w:jc w:val="center"/>
              <w:rPr>
                <w:sz w:val="20"/>
                <w:szCs w:val="20"/>
              </w:rPr>
            </w:pPr>
            <w:r w:rsidRPr="0035212A">
              <w:rPr>
                <w:sz w:val="20"/>
                <w:szCs w:val="20"/>
              </w:rPr>
              <w:t>14</w:t>
            </w:r>
          </w:p>
        </w:tc>
      </w:tr>
      <w:tr w:rsidR="00B20FDB" w:rsidRPr="0035212A" w14:paraId="1630DB0B" w14:textId="77777777" w:rsidTr="00EC1611">
        <w:trPr>
          <w:trHeight w:val="325"/>
        </w:trPr>
        <w:tc>
          <w:tcPr>
            <w:tcW w:w="0" w:type="auto"/>
            <w:vMerge/>
            <w:tcBorders>
              <w:top w:val="single" w:sz="4" w:space="0" w:color="7F7F7F"/>
              <w:bottom w:val="single" w:sz="12" w:space="0" w:color="auto"/>
            </w:tcBorders>
            <w:shd w:val="clear" w:color="auto" w:fill="auto"/>
          </w:tcPr>
          <w:p w14:paraId="6E378844" w14:textId="77777777" w:rsidR="00B20FDB" w:rsidRPr="0035212A" w:rsidRDefault="00B20FDB" w:rsidP="00EC1611">
            <w:pPr>
              <w:spacing w:line="480" w:lineRule="auto"/>
              <w:rPr>
                <w:sz w:val="20"/>
              </w:rPr>
            </w:pPr>
          </w:p>
        </w:tc>
        <w:tc>
          <w:tcPr>
            <w:tcW w:w="0" w:type="auto"/>
            <w:tcBorders>
              <w:top w:val="single" w:sz="4" w:space="0" w:color="7F7F7F"/>
              <w:bottom w:val="single" w:sz="12" w:space="0" w:color="auto"/>
            </w:tcBorders>
            <w:shd w:val="clear" w:color="auto" w:fill="auto"/>
            <w:vAlign w:val="center"/>
          </w:tcPr>
          <w:p w14:paraId="637387A2" w14:textId="77777777" w:rsidR="00B20FDB" w:rsidRPr="0035212A" w:rsidRDefault="00B20FDB" w:rsidP="00EC1611">
            <w:pPr>
              <w:spacing w:line="480" w:lineRule="auto"/>
              <w:rPr>
                <w:sz w:val="20"/>
                <w:szCs w:val="20"/>
              </w:rPr>
            </w:pPr>
            <w:r w:rsidRPr="0035212A">
              <w:rPr>
                <w:sz w:val="20"/>
                <w:szCs w:val="20"/>
              </w:rPr>
              <w:t>Annals of Internal Medicine</w:t>
            </w:r>
          </w:p>
        </w:tc>
        <w:tc>
          <w:tcPr>
            <w:tcW w:w="0" w:type="auto"/>
            <w:tcBorders>
              <w:top w:val="single" w:sz="4" w:space="0" w:color="7F7F7F"/>
              <w:bottom w:val="single" w:sz="12" w:space="0" w:color="auto"/>
            </w:tcBorders>
            <w:shd w:val="clear" w:color="auto" w:fill="auto"/>
            <w:vAlign w:val="center"/>
          </w:tcPr>
          <w:p w14:paraId="62273BE0" w14:textId="77777777" w:rsidR="00B20FDB" w:rsidRPr="0035212A" w:rsidRDefault="00B20FDB" w:rsidP="00EC1611">
            <w:pPr>
              <w:spacing w:line="480" w:lineRule="auto"/>
              <w:jc w:val="center"/>
              <w:rPr>
                <w:sz w:val="20"/>
                <w:szCs w:val="20"/>
              </w:rPr>
            </w:pPr>
            <w:r w:rsidRPr="0035212A">
              <w:rPr>
                <w:sz w:val="20"/>
                <w:szCs w:val="20"/>
              </w:rPr>
              <w:t>24</w:t>
            </w:r>
          </w:p>
        </w:tc>
      </w:tr>
      <w:tr w:rsidR="00B20FDB" w:rsidRPr="0035212A" w14:paraId="394BD7BC" w14:textId="77777777" w:rsidTr="00EC1611">
        <w:trPr>
          <w:trHeight w:val="340"/>
        </w:trPr>
        <w:tc>
          <w:tcPr>
            <w:tcW w:w="0" w:type="auto"/>
            <w:tcBorders>
              <w:top w:val="single" w:sz="12" w:space="0" w:color="auto"/>
              <w:bottom w:val="single" w:sz="12" w:space="0" w:color="auto"/>
            </w:tcBorders>
            <w:shd w:val="clear" w:color="auto" w:fill="auto"/>
            <w:vAlign w:val="center"/>
          </w:tcPr>
          <w:p w14:paraId="6B4FE03A" w14:textId="77777777" w:rsidR="00B20FDB" w:rsidRPr="0035212A" w:rsidRDefault="00B20FDB" w:rsidP="00EC1611">
            <w:pPr>
              <w:spacing w:line="480" w:lineRule="auto"/>
              <w:rPr>
                <w:sz w:val="20"/>
              </w:rPr>
            </w:pPr>
            <w:r w:rsidRPr="0035212A">
              <w:rPr>
                <w:sz w:val="20"/>
              </w:rPr>
              <w:t>Total</w:t>
            </w:r>
          </w:p>
        </w:tc>
        <w:tc>
          <w:tcPr>
            <w:tcW w:w="0" w:type="auto"/>
            <w:tcBorders>
              <w:top w:val="single" w:sz="12" w:space="0" w:color="auto"/>
              <w:bottom w:val="single" w:sz="12" w:space="0" w:color="auto"/>
            </w:tcBorders>
            <w:shd w:val="clear" w:color="auto" w:fill="auto"/>
          </w:tcPr>
          <w:p w14:paraId="725A09DA" w14:textId="77777777" w:rsidR="00B20FDB" w:rsidRPr="0035212A" w:rsidRDefault="00B20FDB" w:rsidP="00EC1611">
            <w:pPr>
              <w:spacing w:line="480" w:lineRule="auto"/>
              <w:rPr>
                <w:b/>
                <w:sz w:val="20"/>
                <w:szCs w:val="20"/>
              </w:rPr>
            </w:pPr>
          </w:p>
        </w:tc>
        <w:tc>
          <w:tcPr>
            <w:tcW w:w="0" w:type="auto"/>
            <w:tcBorders>
              <w:top w:val="single" w:sz="12" w:space="0" w:color="auto"/>
              <w:bottom w:val="single" w:sz="12" w:space="0" w:color="auto"/>
            </w:tcBorders>
            <w:shd w:val="clear" w:color="auto" w:fill="auto"/>
            <w:vAlign w:val="center"/>
          </w:tcPr>
          <w:p w14:paraId="0338E8E9" w14:textId="77777777" w:rsidR="00B20FDB" w:rsidRPr="0035212A" w:rsidRDefault="00B20FDB" w:rsidP="00EC1611">
            <w:pPr>
              <w:spacing w:line="480" w:lineRule="auto"/>
              <w:jc w:val="center"/>
              <w:rPr>
                <w:b/>
                <w:sz w:val="20"/>
                <w:szCs w:val="20"/>
              </w:rPr>
            </w:pPr>
            <w:r w:rsidRPr="0035212A">
              <w:rPr>
                <w:b/>
                <w:sz w:val="20"/>
                <w:szCs w:val="20"/>
              </w:rPr>
              <w:t>539</w:t>
            </w:r>
          </w:p>
        </w:tc>
      </w:tr>
    </w:tbl>
    <w:p w14:paraId="2DA01DC5" w14:textId="77777777" w:rsidR="00B20FDB" w:rsidRPr="0035212A" w:rsidRDefault="00B20FDB" w:rsidP="00B20FDB">
      <w:pPr>
        <w:spacing w:line="480" w:lineRule="auto"/>
        <w:rPr>
          <w:sz w:val="20"/>
        </w:rPr>
      </w:pPr>
    </w:p>
    <w:p w14:paraId="72A2CA35" w14:textId="77777777" w:rsidR="00B20FDB" w:rsidRPr="0035212A" w:rsidRDefault="00B20FDB" w:rsidP="00B20FDB">
      <w:pPr>
        <w:spacing w:line="480" w:lineRule="auto"/>
        <w:sectPr w:rsidR="00B20FDB" w:rsidRPr="0035212A" w:rsidSect="004E44B9">
          <w:footerReference w:type="even" r:id="rId6"/>
          <w:footerReference w:type="default" r:id="rId7"/>
          <w:pgSz w:w="11900" w:h="16840"/>
          <w:pgMar w:top="1440" w:right="1440" w:bottom="1440" w:left="1440" w:header="708" w:footer="708" w:gutter="0"/>
          <w:cols w:space="708"/>
          <w:docGrid w:linePitch="360"/>
        </w:sectPr>
      </w:pPr>
      <w:r w:rsidRPr="0035212A">
        <w:rPr>
          <w:sz w:val="20"/>
        </w:rPr>
        <w:t>†In British English, hyperuricaemia.</w:t>
      </w:r>
    </w:p>
    <w:p w14:paraId="6A344392" w14:textId="77777777" w:rsidR="00B20FDB" w:rsidRPr="0035212A" w:rsidRDefault="00B20FDB" w:rsidP="00B20FDB">
      <w:pPr>
        <w:spacing w:line="480" w:lineRule="auto"/>
      </w:pPr>
      <w:r w:rsidRPr="0035212A">
        <w:rPr>
          <w:b/>
        </w:rPr>
        <w:lastRenderedPageBreak/>
        <w:t xml:space="preserve">Supplementary Table S2.  </w:t>
      </w:r>
      <w:r w:rsidRPr="0035212A">
        <w:t>Voting results from the face-to-face consensus meeting.  Consensus defined as 80% or more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4"/>
        <w:gridCol w:w="784"/>
        <w:gridCol w:w="872"/>
        <w:gridCol w:w="883"/>
        <w:gridCol w:w="1217"/>
      </w:tblGrid>
      <w:tr w:rsidR="00B20FDB" w:rsidRPr="0035212A" w14:paraId="42E943F1" w14:textId="77777777" w:rsidTr="00EC1611">
        <w:trPr>
          <w:trHeight w:val="1020"/>
        </w:trPr>
        <w:tc>
          <w:tcPr>
            <w:tcW w:w="0" w:type="auto"/>
            <w:vMerge w:val="restart"/>
            <w:shd w:val="clear" w:color="auto" w:fill="auto"/>
            <w:vAlign w:val="center"/>
          </w:tcPr>
          <w:p w14:paraId="72111CAA" w14:textId="77777777" w:rsidR="00B20FDB" w:rsidRPr="0035212A" w:rsidRDefault="00B20FDB" w:rsidP="00EC1611">
            <w:pPr>
              <w:spacing w:line="480" w:lineRule="auto"/>
              <w:rPr>
                <w:b/>
                <w:sz w:val="20"/>
              </w:rPr>
            </w:pPr>
            <w:r w:rsidRPr="0035212A">
              <w:rPr>
                <w:b/>
                <w:sz w:val="20"/>
              </w:rPr>
              <w:t>Item proposed</w:t>
            </w:r>
          </w:p>
        </w:tc>
        <w:tc>
          <w:tcPr>
            <w:tcW w:w="0" w:type="auto"/>
            <w:gridSpan w:val="4"/>
            <w:shd w:val="clear" w:color="auto" w:fill="auto"/>
            <w:vAlign w:val="center"/>
          </w:tcPr>
          <w:p w14:paraId="1585A3CA" w14:textId="77777777" w:rsidR="00B20FDB" w:rsidRPr="0035212A" w:rsidRDefault="00B20FDB" w:rsidP="00EC1611">
            <w:pPr>
              <w:spacing w:line="480" w:lineRule="auto"/>
              <w:jc w:val="center"/>
              <w:rPr>
                <w:b/>
                <w:sz w:val="20"/>
              </w:rPr>
            </w:pPr>
            <w:r w:rsidRPr="0035212A">
              <w:rPr>
                <w:b/>
                <w:sz w:val="20"/>
              </w:rPr>
              <w:t>Voting</w:t>
            </w:r>
          </w:p>
        </w:tc>
      </w:tr>
      <w:tr w:rsidR="00B20FDB" w:rsidRPr="0035212A" w14:paraId="32809E20" w14:textId="77777777" w:rsidTr="00EC1611">
        <w:trPr>
          <w:trHeight w:val="1020"/>
        </w:trPr>
        <w:tc>
          <w:tcPr>
            <w:tcW w:w="0" w:type="auto"/>
            <w:vMerge/>
            <w:shd w:val="clear" w:color="auto" w:fill="auto"/>
          </w:tcPr>
          <w:p w14:paraId="09E039F0" w14:textId="77777777" w:rsidR="00B20FDB" w:rsidRPr="0035212A" w:rsidRDefault="00B20FDB" w:rsidP="00EC1611">
            <w:pPr>
              <w:spacing w:line="480" w:lineRule="auto"/>
              <w:rPr>
                <w:b/>
                <w:sz w:val="20"/>
              </w:rPr>
            </w:pPr>
          </w:p>
        </w:tc>
        <w:tc>
          <w:tcPr>
            <w:tcW w:w="0" w:type="auto"/>
            <w:shd w:val="clear" w:color="auto" w:fill="auto"/>
            <w:vAlign w:val="center"/>
          </w:tcPr>
          <w:p w14:paraId="7A1B674D" w14:textId="77777777" w:rsidR="00B20FDB" w:rsidRPr="0035212A" w:rsidRDefault="00B20FDB" w:rsidP="00EC1611">
            <w:pPr>
              <w:spacing w:line="480" w:lineRule="auto"/>
              <w:jc w:val="center"/>
              <w:rPr>
                <w:b/>
                <w:sz w:val="20"/>
              </w:rPr>
            </w:pPr>
            <w:r w:rsidRPr="0035212A">
              <w:rPr>
                <w:b/>
                <w:sz w:val="20"/>
              </w:rPr>
              <w:t>For (%)</w:t>
            </w:r>
          </w:p>
        </w:tc>
        <w:tc>
          <w:tcPr>
            <w:tcW w:w="0" w:type="auto"/>
            <w:shd w:val="clear" w:color="auto" w:fill="auto"/>
            <w:vAlign w:val="center"/>
          </w:tcPr>
          <w:p w14:paraId="0857013E" w14:textId="77777777" w:rsidR="00B20FDB" w:rsidRPr="0035212A" w:rsidRDefault="00B20FDB" w:rsidP="00EC1611">
            <w:pPr>
              <w:spacing w:line="480" w:lineRule="auto"/>
              <w:jc w:val="center"/>
              <w:rPr>
                <w:b/>
                <w:sz w:val="20"/>
              </w:rPr>
            </w:pPr>
            <w:r w:rsidRPr="0035212A">
              <w:rPr>
                <w:b/>
                <w:sz w:val="20"/>
              </w:rPr>
              <w:t>Against</w:t>
            </w:r>
          </w:p>
        </w:tc>
        <w:tc>
          <w:tcPr>
            <w:tcW w:w="0" w:type="auto"/>
            <w:shd w:val="clear" w:color="auto" w:fill="auto"/>
            <w:vAlign w:val="center"/>
          </w:tcPr>
          <w:p w14:paraId="0CD75C34" w14:textId="77777777" w:rsidR="00B20FDB" w:rsidRPr="0035212A" w:rsidRDefault="00B20FDB" w:rsidP="00EC1611">
            <w:pPr>
              <w:spacing w:line="480" w:lineRule="auto"/>
              <w:jc w:val="center"/>
              <w:rPr>
                <w:b/>
                <w:sz w:val="20"/>
              </w:rPr>
            </w:pPr>
            <w:r w:rsidRPr="0035212A">
              <w:rPr>
                <w:b/>
                <w:sz w:val="20"/>
              </w:rPr>
              <w:t>Abstain</w:t>
            </w:r>
          </w:p>
        </w:tc>
        <w:tc>
          <w:tcPr>
            <w:tcW w:w="0" w:type="auto"/>
            <w:shd w:val="clear" w:color="auto" w:fill="auto"/>
            <w:vAlign w:val="center"/>
          </w:tcPr>
          <w:p w14:paraId="3CF8DE9A" w14:textId="77777777" w:rsidR="00B20FDB" w:rsidRPr="0035212A" w:rsidRDefault="00B20FDB" w:rsidP="00EC1611">
            <w:pPr>
              <w:spacing w:line="480" w:lineRule="auto"/>
              <w:jc w:val="center"/>
              <w:rPr>
                <w:b/>
                <w:sz w:val="20"/>
              </w:rPr>
            </w:pPr>
            <w:r w:rsidRPr="0035212A">
              <w:rPr>
                <w:b/>
                <w:sz w:val="20"/>
              </w:rPr>
              <w:t>Consensus achieved</w:t>
            </w:r>
          </w:p>
        </w:tc>
      </w:tr>
      <w:tr w:rsidR="00B20FDB" w:rsidRPr="0035212A" w14:paraId="5F115C30" w14:textId="77777777" w:rsidTr="00EC1611">
        <w:trPr>
          <w:trHeight w:val="1595"/>
        </w:trPr>
        <w:tc>
          <w:tcPr>
            <w:tcW w:w="0" w:type="auto"/>
            <w:shd w:val="clear" w:color="auto" w:fill="auto"/>
            <w:vAlign w:val="center"/>
          </w:tcPr>
          <w:p w14:paraId="0B3F05D9" w14:textId="77777777" w:rsidR="00B20FDB" w:rsidRPr="0035212A" w:rsidRDefault="00B20FDB" w:rsidP="00EC1611">
            <w:pPr>
              <w:spacing w:line="480" w:lineRule="auto"/>
              <w:rPr>
                <w:sz w:val="18"/>
                <w:szCs w:val="18"/>
              </w:rPr>
            </w:pPr>
            <w:r w:rsidRPr="0035212A">
              <w:rPr>
                <w:sz w:val="18"/>
                <w:szCs w:val="18"/>
              </w:rPr>
              <w:t>Only disease states that met consensus as being meaningful during the Delphi exercise are included within the final disease state consensus statement.</w:t>
            </w:r>
          </w:p>
        </w:tc>
        <w:tc>
          <w:tcPr>
            <w:tcW w:w="0" w:type="auto"/>
            <w:shd w:val="clear" w:color="auto" w:fill="auto"/>
            <w:vAlign w:val="center"/>
          </w:tcPr>
          <w:p w14:paraId="0BD00F9B" w14:textId="77777777" w:rsidR="00B20FDB" w:rsidRPr="0035212A" w:rsidRDefault="00B20FDB" w:rsidP="00EC1611">
            <w:pPr>
              <w:spacing w:line="480" w:lineRule="auto"/>
              <w:jc w:val="center"/>
              <w:rPr>
                <w:sz w:val="18"/>
                <w:szCs w:val="18"/>
              </w:rPr>
            </w:pPr>
            <w:r w:rsidRPr="0035212A">
              <w:rPr>
                <w:sz w:val="18"/>
                <w:szCs w:val="18"/>
              </w:rPr>
              <w:t>35 (100%)</w:t>
            </w:r>
          </w:p>
        </w:tc>
        <w:tc>
          <w:tcPr>
            <w:tcW w:w="0" w:type="auto"/>
            <w:shd w:val="clear" w:color="auto" w:fill="auto"/>
            <w:vAlign w:val="center"/>
          </w:tcPr>
          <w:p w14:paraId="47F36282" w14:textId="77777777" w:rsidR="00B20FDB" w:rsidRPr="0035212A" w:rsidRDefault="00B20FDB" w:rsidP="00EC1611">
            <w:pPr>
              <w:spacing w:line="480" w:lineRule="auto"/>
              <w:jc w:val="center"/>
              <w:rPr>
                <w:sz w:val="18"/>
                <w:szCs w:val="18"/>
              </w:rPr>
            </w:pPr>
            <w:r w:rsidRPr="0035212A">
              <w:rPr>
                <w:sz w:val="18"/>
                <w:szCs w:val="18"/>
              </w:rPr>
              <w:t>0</w:t>
            </w:r>
          </w:p>
        </w:tc>
        <w:tc>
          <w:tcPr>
            <w:tcW w:w="0" w:type="auto"/>
            <w:shd w:val="clear" w:color="auto" w:fill="auto"/>
            <w:vAlign w:val="center"/>
          </w:tcPr>
          <w:p w14:paraId="5F16EDB7" w14:textId="77777777" w:rsidR="00B20FDB" w:rsidRPr="0035212A" w:rsidRDefault="00B20FDB" w:rsidP="00EC1611">
            <w:pPr>
              <w:spacing w:line="480" w:lineRule="auto"/>
              <w:jc w:val="center"/>
              <w:rPr>
                <w:sz w:val="18"/>
                <w:szCs w:val="18"/>
              </w:rPr>
            </w:pPr>
            <w:r w:rsidRPr="0035212A">
              <w:rPr>
                <w:sz w:val="18"/>
                <w:szCs w:val="18"/>
              </w:rPr>
              <w:t>0</w:t>
            </w:r>
          </w:p>
        </w:tc>
        <w:tc>
          <w:tcPr>
            <w:tcW w:w="0" w:type="auto"/>
            <w:shd w:val="clear" w:color="auto" w:fill="auto"/>
            <w:vAlign w:val="center"/>
          </w:tcPr>
          <w:p w14:paraId="0DAA732E" w14:textId="77777777" w:rsidR="00B20FDB" w:rsidRPr="0035212A" w:rsidRDefault="00B20FDB" w:rsidP="00EC1611">
            <w:pPr>
              <w:spacing w:line="480" w:lineRule="auto"/>
              <w:jc w:val="center"/>
              <w:rPr>
                <w:sz w:val="18"/>
                <w:szCs w:val="18"/>
              </w:rPr>
            </w:pPr>
            <w:r w:rsidRPr="0035212A">
              <w:rPr>
                <w:sz w:val="18"/>
                <w:szCs w:val="18"/>
              </w:rPr>
              <w:t>Yes</w:t>
            </w:r>
          </w:p>
        </w:tc>
      </w:tr>
      <w:tr w:rsidR="00B20FDB" w:rsidRPr="0035212A" w14:paraId="0A912DA1" w14:textId="77777777" w:rsidTr="00EC1611">
        <w:trPr>
          <w:trHeight w:val="1595"/>
        </w:trPr>
        <w:tc>
          <w:tcPr>
            <w:tcW w:w="0" w:type="auto"/>
            <w:shd w:val="clear" w:color="auto" w:fill="auto"/>
            <w:vAlign w:val="center"/>
          </w:tcPr>
          <w:p w14:paraId="380A8B48" w14:textId="77777777" w:rsidR="00B20FDB" w:rsidRPr="0035212A" w:rsidRDefault="00B20FDB" w:rsidP="00EC1611">
            <w:pPr>
              <w:spacing w:line="480" w:lineRule="auto"/>
              <w:rPr>
                <w:sz w:val="18"/>
                <w:szCs w:val="18"/>
              </w:rPr>
            </w:pPr>
            <w:r w:rsidRPr="0035212A">
              <w:rPr>
                <w:sz w:val="18"/>
                <w:szCs w:val="18"/>
              </w:rPr>
              <w:t xml:space="preserve">‘Gout’ as the label for the disease state: The presence of monosodium urate crystals </w:t>
            </w:r>
            <w:r w:rsidRPr="0035212A">
              <w:rPr>
                <w:b/>
                <w:i/>
                <w:sz w:val="18"/>
                <w:szCs w:val="18"/>
              </w:rPr>
              <w:t xml:space="preserve">with </w:t>
            </w:r>
            <w:r w:rsidRPr="0035212A">
              <w:rPr>
                <w:sz w:val="18"/>
                <w:szCs w:val="18"/>
              </w:rPr>
              <w:t>clinical disease elements of gout.</w:t>
            </w:r>
          </w:p>
        </w:tc>
        <w:tc>
          <w:tcPr>
            <w:tcW w:w="0" w:type="auto"/>
            <w:shd w:val="clear" w:color="auto" w:fill="auto"/>
            <w:vAlign w:val="center"/>
          </w:tcPr>
          <w:p w14:paraId="078E2DF0" w14:textId="77777777" w:rsidR="00B20FDB" w:rsidRPr="0035212A" w:rsidRDefault="00B20FDB" w:rsidP="00EC1611">
            <w:pPr>
              <w:spacing w:line="480" w:lineRule="auto"/>
              <w:jc w:val="center"/>
              <w:rPr>
                <w:sz w:val="18"/>
                <w:szCs w:val="18"/>
              </w:rPr>
            </w:pPr>
            <w:r w:rsidRPr="0035212A">
              <w:rPr>
                <w:sz w:val="18"/>
                <w:szCs w:val="18"/>
              </w:rPr>
              <w:t>34 (100%)</w:t>
            </w:r>
          </w:p>
        </w:tc>
        <w:tc>
          <w:tcPr>
            <w:tcW w:w="0" w:type="auto"/>
            <w:shd w:val="clear" w:color="auto" w:fill="auto"/>
            <w:vAlign w:val="center"/>
          </w:tcPr>
          <w:p w14:paraId="74850F6D" w14:textId="77777777" w:rsidR="00B20FDB" w:rsidRPr="0035212A" w:rsidRDefault="00B20FDB" w:rsidP="00EC1611">
            <w:pPr>
              <w:spacing w:line="480" w:lineRule="auto"/>
              <w:jc w:val="center"/>
              <w:rPr>
                <w:sz w:val="18"/>
                <w:szCs w:val="18"/>
              </w:rPr>
            </w:pPr>
            <w:r w:rsidRPr="0035212A">
              <w:rPr>
                <w:sz w:val="18"/>
                <w:szCs w:val="18"/>
              </w:rPr>
              <w:t>0</w:t>
            </w:r>
          </w:p>
        </w:tc>
        <w:tc>
          <w:tcPr>
            <w:tcW w:w="0" w:type="auto"/>
            <w:shd w:val="clear" w:color="auto" w:fill="auto"/>
            <w:vAlign w:val="center"/>
          </w:tcPr>
          <w:p w14:paraId="2FADAE20" w14:textId="77777777" w:rsidR="00B20FDB" w:rsidRPr="0035212A" w:rsidRDefault="00B20FDB" w:rsidP="00EC1611">
            <w:pPr>
              <w:spacing w:line="480" w:lineRule="auto"/>
              <w:jc w:val="center"/>
              <w:rPr>
                <w:sz w:val="18"/>
                <w:szCs w:val="18"/>
              </w:rPr>
            </w:pPr>
            <w:r w:rsidRPr="0035212A">
              <w:rPr>
                <w:sz w:val="18"/>
                <w:szCs w:val="18"/>
              </w:rPr>
              <w:t>1</w:t>
            </w:r>
          </w:p>
        </w:tc>
        <w:tc>
          <w:tcPr>
            <w:tcW w:w="0" w:type="auto"/>
            <w:shd w:val="clear" w:color="auto" w:fill="auto"/>
            <w:vAlign w:val="center"/>
          </w:tcPr>
          <w:p w14:paraId="34FDE043" w14:textId="77777777" w:rsidR="00B20FDB" w:rsidRPr="0035212A" w:rsidRDefault="00B20FDB" w:rsidP="00EC1611">
            <w:pPr>
              <w:spacing w:line="480" w:lineRule="auto"/>
              <w:jc w:val="center"/>
              <w:rPr>
                <w:sz w:val="18"/>
                <w:szCs w:val="18"/>
              </w:rPr>
            </w:pPr>
            <w:r w:rsidRPr="0035212A">
              <w:rPr>
                <w:sz w:val="18"/>
                <w:szCs w:val="18"/>
              </w:rPr>
              <w:t>Yes</w:t>
            </w:r>
          </w:p>
        </w:tc>
      </w:tr>
      <w:tr w:rsidR="00B20FDB" w:rsidRPr="0035212A" w14:paraId="062E979B" w14:textId="77777777" w:rsidTr="00EC1611">
        <w:trPr>
          <w:trHeight w:val="1595"/>
        </w:trPr>
        <w:tc>
          <w:tcPr>
            <w:tcW w:w="0" w:type="auto"/>
            <w:shd w:val="clear" w:color="auto" w:fill="auto"/>
            <w:vAlign w:val="center"/>
          </w:tcPr>
          <w:p w14:paraId="7E90314E" w14:textId="77777777" w:rsidR="00B20FDB" w:rsidRPr="0035212A" w:rsidRDefault="00B20FDB" w:rsidP="00EC1611">
            <w:pPr>
              <w:spacing w:line="480" w:lineRule="auto"/>
              <w:rPr>
                <w:sz w:val="18"/>
                <w:szCs w:val="18"/>
              </w:rPr>
            </w:pPr>
            <w:r w:rsidRPr="0035212A">
              <w:rPr>
                <w:sz w:val="18"/>
                <w:szCs w:val="18"/>
                <w:lang w:val="en-US"/>
              </w:rPr>
              <w:t>‘Asymptomatic hyperuricemia† with monosodium urate crystal deposition’</w:t>
            </w:r>
            <w:r w:rsidRPr="0035212A">
              <w:rPr>
                <w:sz w:val="18"/>
                <w:szCs w:val="18"/>
              </w:rPr>
              <w:t xml:space="preserve"> as the label for the disease state: Hyperuricemia† </w:t>
            </w:r>
            <w:r w:rsidRPr="0035212A">
              <w:rPr>
                <w:b/>
                <w:i/>
                <w:sz w:val="18"/>
                <w:szCs w:val="18"/>
              </w:rPr>
              <w:t xml:space="preserve">with </w:t>
            </w:r>
            <w:r w:rsidRPr="0035212A">
              <w:rPr>
                <w:sz w:val="18"/>
                <w:szCs w:val="18"/>
              </w:rPr>
              <w:t xml:space="preserve">imaging evidence of monosodium urate crystal deposition but </w:t>
            </w:r>
            <w:r w:rsidRPr="0035212A">
              <w:rPr>
                <w:b/>
                <w:i/>
                <w:sz w:val="18"/>
                <w:szCs w:val="18"/>
              </w:rPr>
              <w:t xml:space="preserve">without </w:t>
            </w:r>
            <w:r w:rsidRPr="0035212A">
              <w:rPr>
                <w:sz w:val="18"/>
                <w:szCs w:val="18"/>
              </w:rPr>
              <w:t>clinical disease elements of gout.</w:t>
            </w:r>
          </w:p>
        </w:tc>
        <w:tc>
          <w:tcPr>
            <w:tcW w:w="0" w:type="auto"/>
            <w:shd w:val="clear" w:color="auto" w:fill="auto"/>
            <w:vAlign w:val="center"/>
          </w:tcPr>
          <w:p w14:paraId="7CC089E6" w14:textId="77777777" w:rsidR="00B20FDB" w:rsidRPr="0035212A" w:rsidRDefault="00B20FDB" w:rsidP="00EC1611">
            <w:pPr>
              <w:spacing w:line="480" w:lineRule="auto"/>
              <w:jc w:val="center"/>
              <w:rPr>
                <w:sz w:val="18"/>
                <w:szCs w:val="18"/>
              </w:rPr>
            </w:pPr>
            <w:r w:rsidRPr="0035212A">
              <w:rPr>
                <w:sz w:val="18"/>
                <w:szCs w:val="18"/>
              </w:rPr>
              <w:t>33 (94%)</w:t>
            </w:r>
          </w:p>
        </w:tc>
        <w:tc>
          <w:tcPr>
            <w:tcW w:w="0" w:type="auto"/>
            <w:shd w:val="clear" w:color="auto" w:fill="auto"/>
            <w:vAlign w:val="center"/>
          </w:tcPr>
          <w:p w14:paraId="01773378" w14:textId="77777777" w:rsidR="00B20FDB" w:rsidRPr="0035212A" w:rsidRDefault="00B20FDB" w:rsidP="00EC1611">
            <w:pPr>
              <w:spacing w:line="480" w:lineRule="auto"/>
              <w:jc w:val="center"/>
              <w:rPr>
                <w:sz w:val="18"/>
                <w:szCs w:val="18"/>
              </w:rPr>
            </w:pPr>
            <w:r w:rsidRPr="0035212A">
              <w:rPr>
                <w:sz w:val="18"/>
                <w:szCs w:val="18"/>
              </w:rPr>
              <w:t>2</w:t>
            </w:r>
          </w:p>
        </w:tc>
        <w:tc>
          <w:tcPr>
            <w:tcW w:w="0" w:type="auto"/>
            <w:shd w:val="clear" w:color="auto" w:fill="auto"/>
            <w:vAlign w:val="center"/>
          </w:tcPr>
          <w:p w14:paraId="54FE4042" w14:textId="77777777" w:rsidR="00B20FDB" w:rsidRPr="0035212A" w:rsidRDefault="00B20FDB" w:rsidP="00EC1611">
            <w:pPr>
              <w:spacing w:line="480" w:lineRule="auto"/>
              <w:jc w:val="center"/>
              <w:rPr>
                <w:sz w:val="18"/>
                <w:szCs w:val="18"/>
              </w:rPr>
            </w:pPr>
            <w:r w:rsidRPr="0035212A">
              <w:rPr>
                <w:sz w:val="18"/>
                <w:szCs w:val="18"/>
              </w:rPr>
              <w:t>0</w:t>
            </w:r>
          </w:p>
        </w:tc>
        <w:tc>
          <w:tcPr>
            <w:tcW w:w="0" w:type="auto"/>
            <w:shd w:val="clear" w:color="auto" w:fill="auto"/>
            <w:vAlign w:val="center"/>
          </w:tcPr>
          <w:p w14:paraId="38F410A0" w14:textId="77777777" w:rsidR="00B20FDB" w:rsidRPr="0035212A" w:rsidRDefault="00B20FDB" w:rsidP="00EC1611">
            <w:pPr>
              <w:spacing w:line="480" w:lineRule="auto"/>
              <w:jc w:val="center"/>
              <w:rPr>
                <w:sz w:val="18"/>
                <w:szCs w:val="18"/>
              </w:rPr>
            </w:pPr>
            <w:r w:rsidRPr="0035212A">
              <w:rPr>
                <w:sz w:val="18"/>
                <w:szCs w:val="18"/>
              </w:rPr>
              <w:t>Yes</w:t>
            </w:r>
          </w:p>
        </w:tc>
      </w:tr>
      <w:tr w:rsidR="00B20FDB" w:rsidRPr="0035212A" w14:paraId="5A92A19F" w14:textId="77777777" w:rsidTr="00EC1611">
        <w:trPr>
          <w:trHeight w:val="1595"/>
        </w:trPr>
        <w:tc>
          <w:tcPr>
            <w:tcW w:w="0" w:type="auto"/>
            <w:shd w:val="clear" w:color="auto" w:fill="auto"/>
            <w:vAlign w:val="center"/>
          </w:tcPr>
          <w:p w14:paraId="447AC1BE" w14:textId="77777777" w:rsidR="00B20FDB" w:rsidRPr="0035212A" w:rsidRDefault="00B20FDB" w:rsidP="00EC1611">
            <w:pPr>
              <w:spacing w:line="480" w:lineRule="auto"/>
              <w:rPr>
                <w:sz w:val="18"/>
                <w:szCs w:val="18"/>
              </w:rPr>
            </w:pPr>
            <w:r w:rsidRPr="0035212A">
              <w:rPr>
                <w:sz w:val="18"/>
                <w:szCs w:val="18"/>
              </w:rPr>
              <w:t xml:space="preserve">‘Gout’ definition: </w:t>
            </w:r>
            <w:r w:rsidRPr="0035212A">
              <w:rPr>
                <w:rFonts w:eastAsia="Times New Roman"/>
                <w:kern w:val="24"/>
                <w:sz w:val="18"/>
                <w:szCs w:val="18"/>
                <w:lang w:val="en-NZ"/>
              </w:rPr>
              <w:t xml:space="preserve">A disease caused by </w:t>
            </w:r>
            <w:r w:rsidRPr="0035212A">
              <w:rPr>
                <w:kern w:val="24"/>
                <w:sz w:val="18"/>
                <w:szCs w:val="18"/>
                <w:lang w:val="en-US"/>
              </w:rPr>
              <w:t>monosodium urate</w:t>
            </w:r>
            <w:r w:rsidRPr="0035212A">
              <w:rPr>
                <w:rFonts w:eastAsia="Times New Roman"/>
                <w:kern w:val="24"/>
                <w:sz w:val="18"/>
                <w:szCs w:val="18"/>
                <w:lang w:val="en-US"/>
              </w:rPr>
              <w:t xml:space="preserve"> </w:t>
            </w:r>
            <w:r w:rsidRPr="0035212A">
              <w:rPr>
                <w:rFonts w:eastAsia="Times New Roman"/>
                <w:kern w:val="24"/>
                <w:sz w:val="18"/>
                <w:szCs w:val="18"/>
                <w:lang w:val="en-NZ"/>
              </w:rPr>
              <w:t>crystal deposition with any of the following clinical presentations: gout flare, chronic gouty arthritis or subcutaneous tophus</w:t>
            </w:r>
            <w:r w:rsidRPr="0035212A">
              <w:rPr>
                <w:rFonts w:eastAsia="Times New Roman"/>
                <w:kern w:val="24"/>
                <w:sz w:val="18"/>
                <w:szCs w:val="18"/>
              </w:rPr>
              <w:t>.</w:t>
            </w:r>
          </w:p>
        </w:tc>
        <w:tc>
          <w:tcPr>
            <w:tcW w:w="0" w:type="auto"/>
            <w:shd w:val="clear" w:color="auto" w:fill="auto"/>
            <w:vAlign w:val="center"/>
          </w:tcPr>
          <w:p w14:paraId="346764D9" w14:textId="77777777" w:rsidR="00B20FDB" w:rsidRPr="0035212A" w:rsidRDefault="00B20FDB" w:rsidP="00EC1611">
            <w:pPr>
              <w:spacing w:line="480" w:lineRule="auto"/>
              <w:jc w:val="center"/>
              <w:rPr>
                <w:sz w:val="18"/>
                <w:szCs w:val="18"/>
              </w:rPr>
            </w:pPr>
            <w:r w:rsidRPr="0035212A">
              <w:rPr>
                <w:sz w:val="18"/>
                <w:szCs w:val="18"/>
              </w:rPr>
              <w:t>35 (100%)</w:t>
            </w:r>
          </w:p>
        </w:tc>
        <w:tc>
          <w:tcPr>
            <w:tcW w:w="0" w:type="auto"/>
            <w:shd w:val="clear" w:color="auto" w:fill="auto"/>
            <w:vAlign w:val="center"/>
          </w:tcPr>
          <w:p w14:paraId="7D94B5F7" w14:textId="77777777" w:rsidR="00B20FDB" w:rsidRPr="0035212A" w:rsidRDefault="00B20FDB" w:rsidP="00EC1611">
            <w:pPr>
              <w:spacing w:line="480" w:lineRule="auto"/>
              <w:jc w:val="center"/>
              <w:rPr>
                <w:sz w:val="18"/>
                <w:szCs w:val="18"/>
              </w:rPr>
            </w:pPr>
            <w:r w:rsidRPr="0035212A">
              <w:rPr>
                <w:sz w:val="18"/>
                <w:szCs w:val="18"/>
              </w:rPr>
              <w:t>0</w:t>
            </w:r>
          </w:p>
        </w:tc>
        <w:tc>
          <w:tcPr>
            <w:tcW w:w="0" w:type="auto"/>
            <w:shd w:val="clear" w:color="auto" w:fill="auto"/>
            <w:vAlign w:val="center"/>
          </w:tcPr>
          <w:p w14:paraId="4D15BC77" w14:textId="77777777" w:rsidR="00B20FDB" w:rsidRPr="0035212A" w:rsidRDefault="00B20FDB" w:rsidP="00EC1611">
            <w:pPr>
              <w:spacing w:line="480" w:lineRule="auto"/>
              <w:jc w:val="center"/>
              <w:rPr>
                <w:sz w:val="18"/>
                <w:szCs w:val="18"/>
              </w:rPr>
            </w:pPr>
            <w:r w:rsidRPr="0035212A">
              <w:rPr>
                <w:sz w:val="18"/>
                <w:szCs w:val="18"/>
              </w:rPr>
              <w:t>0</w:t>
            </w:r>
          </w:p>
        </w:tc>
        <w:tc>
          <w:tcPr>
            <w:tcW w:w="0" w:type="auto"/>
            <w:shd w:val="clear" w:color="auto" w:fill="auto"/>
            <w:vAlign w:val="center"/>
          </w:tcPr>
          <w:p w14:paraId="55EC0542" w14:textId="77777777" w:rsidR="00B20FDB" w:rsidRPr="0035212A" w:rsidRDefault="00B20FDB" w:rsidP="00EC1611">
            <w:pPr>
              <w:spacing w:line="480" w:lineRule="auto"/>
              <w:jc w:val="center"/>
              <w:rPr>
                <w:sz w:val="18"/>
                <w:szCs w:val="18"/>
              </w:rPr>
            </w:pPr>
            <w:r w:rsidRPr="0035212A">
              <w:rPr>
                <w:sz w:val="18"/>
                <w:szCs w:val="18"/>
              </w:rPr>
              <w:t>Yes</w:t>
            </w:r>
          </w:p>
        </w:tc>
      </w:tr>
      <w:tr w:rsidR="00B20FDB" w:rsidRPr="0035212A" w14:paraId="041A316E" w14:textId="77777777" w:rsidTr="00EC1611">
        <w:trPr>
          <w:trHeight w:val="1595"/>
        </w:trPr>
        <w:tc>
          <w:tcPr>
            <w:tcW w:w="0" w:type="auto"/>
            <w:shd w:val="clear" w:color="auto" w:fill="auto"/>
            <w:vAlign w:val="center"/>
          </w:tcPr>
          <w:p w14:paraId="464F3923" w14:textId="77777777" w:rsidR="00B20FDB" w:rsidRPr="0035212A" w:rsidRDefault="00B20FDB" w:rsidP="00EC1611">
            <w:pPr>
              <w:spacing w:line="480" w:lineRule="auto"/>
              <w:rPr>
                <w:sz w:val="18"/>
                <w:szCs w:val="18"/>
              </w:rPr>
            </w:pPr>
            <w:r w:rsidRPr="0035212A">
              <w:rPr>
                <w:sz w:val="18"/>
                <w:szCs w:val="18"/>
              </w:rPr>
              <w:t xml:space="preserve">‘Asymptomatic hyperuricemia†’ definition: </w:t>
            </w:r>
            <w:r w:rsidRPr="0035212A">
              <w:rPr>
                <w:rFonts w:eastAsia="Times New Roman"/>
                <w:sz w:val="18"/>
                <w:szCs w:val="18"/>
                <w:lang w:val="en-NZ"/>
              </w:rPr>
              <w:t>Hyperuricemia† in the absence of gout.</w:t>
            </w:r>
          </w:p>
        </w:tc>
        <w:tc>
          <w:tcPr>
            <w:tcW w:w="0" w:type="auto"/>
            <w:shd w:val="clear" w:color="auto" w:fill="auto"/>
            <w:vAlign w:val="center"/>
          </w:tcPr>
          <w:p w14:paraId="684FCE87" w14:textId="77777777" w:rsidR="00B20FDB" w:rsidRPr="0035212A" w:rsidRDefault="00B20FDB" w:rsidP="00EC1611">
            <w:pPr>
              <w:spacing w:line="480" w:lineRule="auto"/>
              <w:jc w:val="center"/>
              <w:rPr>
                <w:sz w:val="18"/>
                <w:szCs w:val="18"/>
              </w:rPr>
            </w:pPr>
            <w:r w:rsidRPr="0035212A">
              <w:rPr>
                <w:sz w:val="18"/>
                <w:szCs w:val="18"/>
              </w:rPr>
              <w:t>34 (97%)</w:t>
            </w:r>
          </w:p>
        </w:tc>
        <w:tc>
          <w:tcPr>
            <w:tcW w:w="0" w:type="auto"/>
            <w:shd w:val="clear" w:color="auto" w:fill="auto"/>
            <w:vAlign w:val="center"/>
          </w:tcPr>
          <w:p w14:paraId="58B2F093" w14:textId="77777777" w:rsidR="00B20FDB" w:rsidRPr="0035212A" w:rsidRDefault="00B20FDB" w:rsidP="00EC1611">
            <w:pPr>
              <w:spacing w:line="480" w:lineRule="auto"/>
              <w:jc w:val="center"/>
              <w:rPr>
                <w:sz w:val="18"/>
                <w:szCs w:val="18"/>
              </w:rPr>
            </w:pPr>
            <w:r w:rsidRPr="0035212A">
              <w:rPr>
                <w:sz w:val="18"/>
                <w:szCs w:val="18"/>
              </w:rPr>
              <w:t>1</w:t>
            </w:r>
          </w:p>
        </w:tc>
        <w:tc>
          <w:tcPr>
            <w:tcW w:w="0" w:type="auto"/>
            <w:shd w:val="clear" w:color="auto" w:fill="auto"/>
            <w:vAlign w:val="center"/>
          </w:tcPr>
          <w:p w14:paraId="63C427F1" w14:textId="77777777" w:rsidR="00B20FDB" w:rsidRPr="0035212A" w:rsidRDefault="00B20FDB" w:rsidP="00EC1611">
            <w:pPr>
              <w:spacing w:line="480" w:lineRule="auto"/>
              <w:jc w:val="center"/>
              <w:rPr>
                <w:sz w:val="18"/>
                <w:szCs w:val="18"/>
              </w:rPr>
            </w:pPr>
            <w:r w:rsidRPr="0035212A">
              <w:rPr>
                <w:sz w:val="18"/>
                <w:szCs w:val="18"/>
              </w:rPr>
              <w:t>0</w:t>
            </w:r>
          </w:p>
        </w:tc>
        <w:tc>
          <w:tcPr>
            <w:tcW w:w="0" w:type="auto"/>
            <w:shd w:val="clear" w:color="auto" w:fill="auto"/>
            <w:vAlign w:val="center"/>
          </w:tcPr>
          <w:p w14:paraId="773D4202" w14:textId="77777777" w:rsidR="00B20FDB" w:rsidRPr="0035212A" w:rsidRDefault="00B20FDB" w:rsidP="00EC1611">
            <w:pPr>
              <w:spacing w:line="480" w:lineRule="auto"/>
              <w:jc w:val="center"/>
              <w:rPr>
                <w:sz w:val="18"/>
                <w:szCs w:val="18"/>
              </w:rPr>
            </w:pPr>
            <w:r w:rsidRPr="0035212A">
              <w:rPr>
                <w:sz w:val="18"/>
                <w:szCs w:val="18"/>
              </w:rPr>
              <w:t>Yes</w:t>
            </w:r>
          </w:p>
        </w:tc>
      </w:tr>
      <w:tr w:rsidR="00B20FDB" w:rsidRPr="0035212A" w14:paraId="78008990" w14:textId="77777777" w:rsidTr="00EC1611">
        <w:trPr>
          <w:trHeight w:val="1595"/>
        </w:trPr>
        <w:tc>
          <w:tcPr>
            <w:tcW w:w="0" w:type="auto"/>
            <w:shd w:val="clear" w:color="auto" w:fill="auto"/>
            <w:vAlign w:val="center"/>
          </w:tcPr>
          <w:p w14:paraId="7BE6EF3F" w14:textId="77777777" w:rsidR="00B20FDB" w:rsidRPr="0035212A" w:rsidRDefault="00B20FDB" w:rsidP="00EC1611">
            <w:pPr>
              <w:spacing w:line="480" w:lineRule="auto"/>
              <w:rPr>
                <w:sz w:val="18"/>
                <w:szCs w:val="18"/>
              </w:rPr>
            </w:pPr>
            <w:r w:rsidRPr="0035212A">
              <w:rPr>
                <w:sz w:val="18"/>
                <w:szCs w:val="18"/>
              </w:rPr>
              <w:t xml:space="preserve">‘Asymptomatic monosodium urate crystal deposition’ definition: </w:t>
            </w:r>
            <w:r w:rsidRPr="0035212A">
              <w:rPr>
                <w:rFonts w:eastAsia="Times New Roman"/>
                <w:sz w:val="18"/>
                <w:szCs w:val="18"/>
                <w:lang w:val="en-AU"/>
              </w:rPr>
              <w:t xml:space="preserve">Evidence of monosodium urate crystal deposition in the absence of gout.  </w:t>
            </w:r>
            <w:r w:rsidRPr="0035212A">
              <w:rPr>
                <w:kern w:val="24"/>
                <w:sz w:val="18"/>
                <w:szCs w:val="18"/>
                <w:lang w:val="en-US"/>
              </w:rPr>
              <w:t>Monosodium urate</w:t>
            </w:r>
            <w:r w:rsidRPr="0035212A">
              <w:rPr>
                <w:rFonts w:eastAsia="Times New Roman"/>
                <w:sz w:val="18"/>
                <w:szCs w:val="18"/>
                <w:lang w:val="en-AU"/>
              </w:rPr>
              <w:t xml:space="preserve"> crystal deposition may be demonstrated by imaging or microscopic analysis.</w:t>
            </w:r>
          </w:p>
        </w:tc>
        <w:tc>
          <w:tcPr>
            <w:tcW w:w="0" w:type="auto"/>
            <w:shd w:val="clear" w:color="auto" w:fill="auto"/>
            <w:vAlign w:val="center"/>
          </w:tcPr>
          <w:p w14:paraId="65753D1E" w14:textId="77777777" w:rsidR="00B20FDB" w:rsidRPr="0035212A" w:rsidRDefault="00B20FDB" w:rsidP="00EC1611">
            <w:pPr>
              <w:spacing w:line="480" w:lineRule="auto"/>
              <w:jc w:val="center"/>
              <w:rPr>
                <w:sz w:val="18"/>
                <w:szCs w:val="18"/>
              </w:rPr>
            </w:pPr>
            <w:r w:rsidRPr="0035212A">
              <w:rPr>
                <w:sz w:val="18"/>
                <w:szCs w:val="18"/>
              </w:rPr>
              <w:t>33 (100%)</w:t>
            </w:r>
          </w:p>
        </w:tc>
        <w:tc>
          <w:tcPr>
            <w:tcW w:w="0" w:type="auto"/>
            <w:shd w:val="clear" w:color="auto" w:fill="auto"/>
            <w:vAlign w:val="center"/>
          </w:tcPr>
          <w:p w14:paraId="5DB6A434" w14:textId="77777777" w:rsidR="00B20FDB" w:rsidRPr="0035212A" w:rsidRDefault="00B20FDB" w:rsidP="00EC1611">
            <w:pPr>
              <w:spacing w:line="480" w:lineRule="auto"/>
              <w:jc w:val="center"/>
              <w:rPr>
                <w:sz w:val="18"/>
                <w:szCs w:val="18"/>
              </w:rPr>
            </w:pPr>
            <w:r w:rsidRPr="0035212A">
              <w:rPr>
                <w:sz w:val="18"/>
                <w:szCs w:val="18"/>
              </w:rPr>
              <w:t>0</w:t>
            </w:r>
          </w:p>
        </w:tc>
        <w:tc>
          <w:tcPr>
            <w:tcW w:w="0" w:type="auto"/>
            <w:shd w:val="clear" w:color="auto" w:fill="auto"/>
            <w:vAlign w:val="center"/>
          </w:tcPr>
          <w:p w14:paraId="42C645D8" w14:textId="77777777" w:rsidR="00B20FDB" w:rsidRPr="0035212A" w:rsidRDefault="00B20FDB" w:rsidP="00EC1611">
            <w:pPr>
              <w:spacing w:line="480" w:lineRule="auto"/>
              <w:jc w:val="center"/>
              <w:rPr>
                <w:sz w:val="18"/>
                <w:szCs w:val="18"/>
              </w:rPr>
            </w:pPr>
            <w:r w:rsidRPr="0035212A">
              <w:rPr>
                <w:sz w:val="18"/>
                <w:szCs w:val="18"/>
              </w:rPr>
              <w:t>0</w:t>
            </w:r>
          </w:p>
        </w:tc>
        <w:tc>
          <w:tcPr>
            <w:tcW w:w="0" w:type="auto"/>
            <w:shd w:val="clear" w:color="auto" w:fill="auto"/>
            <w:vAlign w:val="center"/>
          </w:tcPr>
          <w:p w14:paraId="4B7238F9" w14:textId="77777777" w:rsidR="00B20FDB" w:rsidRPr="0035212A" w:rsidRDefault="00B20FDB" w:rsidP="00EC1611">
            <w:pPr>
              <w:spacing w:line="480" w:lineRule="auto"/>
              <w:jc w:val="center"/>
              <w:rPr>
                <w:sz w:val="18"/>
                <w:szCs w:val="18"/>
              </w:rPr>
            </w:pPr>
            <w:r w:rsidRPr="0035212A">
              <w:rPr>
                <w:sz w:val="18"/>
                <w:szCs w:val="18"/>
              </w:rPr>
              <w:t>Yes</w:t>
            </w:r>
          </w:p>
        </w:tc>
      </w:tr>
      <w:tr w:rsidR="00B20FDB" w:rsidRPr="0035212A" w14:paraId="38B72805" w14:textId="77777777" w:rsidTr="00EC1611">
        <w:trPr>
          <w:trHeight w:val="1595"/>
        </w:trPr>
        <w:tc>
          <w:tcPr>
            <w:tcW w:w="0" w:type="auto"/>
            <w:shd w:val="clear" w:color="auto" w:fill="auto"/>
            <w:vAlign w:val="center"/>
          </w:tcPr>
          <w:p w14:paraId="47AA42BD" w14:textId="77777777" w:rsidR="00B20FDB" w:rsidRPr="0035212A" w:rsidRDefault="00B20FDB" w:rsidP="00EC1611">
            <w:pPr>
              <w:spacing w:line="480" w:lineRule="auto"/>
              <w:rPr>
                <w:sz w:val="18"/>
                <w:szCs w:val="18"/>
              </w:rPr>
            </w:pPr>
            <w:r w:rsidRPr="0035212A">
              <w:rPr>
                <w:sz w:val="18"/>
                <w:szCs w:val="18"/>
                <w:lang w:val="en-US"/>
              </w:rPr>
              <w:lastRenderedPageBreak/>
              <w:t xml:space="preserve">‘Asymptomatic hyperuricemia† with monosodium urate crystal deposition’ definition: </w:t>
            </w:r>
            <w:r w:rsidRPr="0035212A">
              <w:rPr>
                <w:rFonts w:eastAsia="Times New Roman"/>
                <w:kern w:val="24"/>
                <w:sz w:val="18"/>
                <w:szCs w:val="18"/>
                <w:lang w:val="en-NZ"/>
              </w:rPr>
              <w:t>Hyperuricemia† with evidence of monosodium urate crystal deposition in the absence of gout.</w:t>
            </w:r>
            <w:r w:rsidRPr="0035212A">
              <w:rPr>
                <w:kern w:val="24"/>
                <w:sz w:val="18"/>
                <w:szCs w:val="18"/>
                <w:lang w:val="en-US"/>
              </w:rPr>
              <w:t xml:space="preserve">  Monosodium urate</w:t>
            </w:r>
            <w:r w:rsidRPr="0035212A">
              <w:rPr>
                <w:rFonts w:eastAsia="Times New Roman"/>
                <w:kern w:val="24"/>
                <w:sz w:val="18"/>
                <w:szCs w:val="18"/>
                <w:lang w:val="en-US"/>
              </w:rPr>
              <w:t xml:space="preserve"> </w:t>
            </w:r>
            <w:r w:rsidRPr="0035212A">
              <w:rPr>
                <w:rFonts w:eastAsia="Times New Roman"/>
                <w:kern w:val="24"/>
                <w:sz w:val="18"/>
                <w:szCs w:val="18"/>
                <w:lang w:val="en-NZ"/>
              </w:rPr>
              <w:t>crystal deposition may be demonstrated by imaging or microscopic analysis.</w:t>
            </w:r>
          </w:p>
        </w:tc>
        <w:tc>
          <w:tcPr>
            <w:tcW w:w="0" w:type="auto"/>
            <w:shd w:val="clear" w:color="auto" w:fill="auto"/>
            <w:vAlign w:val="center"/>
          </w:tcPr>
          <w:p w14:paraId="69CF1603" w14:textId="77777777" w:rsidR="00B20FDB" w:rsidRPr="0035212A" w:rsidRDefault="00B20FDB" w:rsidP="00EC1611">
            <w:pPr>
              <w:spacing w:line="480" w:lineRule="auto"/>
              <w:jc w:val="center"/>
              <w:rPr>
                <w:sz w:val="18"/>
                <w:szCs w:val="18"/>
              </w:rPr>
            </w:pPr>
            <w:r w:rsidRPr="0035212A">
              <w:rPr>
                <w:sz w:val="18"/>
                <w:szCs w:val="18"/>
              </w:rPr>
              <w:t>33 (100%)</w:t>
            </w:r>
          </w:p>
        </w:tc>
        <w:tc>
          <w:tcPr>
            <w:tcW w:w="0" w:type="auto"/>
            <w:shd w:val="clear" w:color="auto" w:fill="auto"/>
            <w:vAlign w:val="center"/>
          </w:tcPr>
          <w:p w14:paraId="488C6AA0" w14:textId="77777777" w:rsidR="00B20FDB" w:rsidRPr="0035212A" w:rsidRDefault="00B20FDB" w:rsidP="00EC1611">
            <w:pPr>
              <w:spacing w:line="480" w:lineRule="auto"/>
              <w:jc w:val="center"/>
              <w:rPr>
                <w:sz w:val="18"/>
                <w:szCs w:val="18"/>
              </w:rPr>
            </w:pPr>
            <w:r w:rsidRPr="0035212A">
              <w:rPr>
                <w:sz w:val="18"/>
                <w:szCs w:val="18"/>
              </w:rPr>
              <w:t>0</w:t>
            </w:r>
          </w:p>
        </w:tc>
        <w:tc>
          <w:tcPr>
            <w:tcW w:w="0" w:type="auto"/>
            <w:shd w:val="clear" w:color="auto" w:fill="auto"/>
            <w:vAlign w:val="center"/>
          </w:tcPr>
          <w:p w14:paraId="4DE3476D" w14:textId="77777777" w:rsidR="00B20FDB" w:rsidRPr="0035212A" w:rsidRDefault="00B20FDB" w:rsidP="00EC1611">
            <w:pPr>
              <w:spacing w:line="480" w:lineRule="auto"/>
              <w:jc w:val="center"/>
              <w:rPr>
                <w:sz w:val="18"/>
                <w:szCs w:val="18"/>
              </w:rPr>
            </w:pPr>
            <w:r w:rsidRPr="0035212A">
              <w:rPr>
                <w:sz w:val="18"/>
                <w:szCs w:val="18"/>
              </w:rPr>
              <w:t>0</w:t>
            </w:r>
          </w:p>
        </w:tc>
        <w:tc>
          <w:tcPr>
            <w:tcW w:w="0" w:type="auto"/>
            <w:shd w:val="clear" w:color="auto" w:fill="auto"/>
            <w:vAlign w:val="center"/>
          </w:tcPr>
          <w:p w14:paraId="23380F7E" w14:textId="77777777" w:rsidR="00B20FDB" w:rsidRPr="0035212A" w:rsidRDefault="00B20FDB" w:rsidP="00EC1611">
            <w:pPr>
              <w:spacing w:line="480" w:lineRule="auto"/>
              <w:jc w:val="center"/>
              <w:rPr>
                <w:sz w:val="18"/>
                <w:szCs w:val="18"/>
              </w:rPr>
            </w:pPr>
            <w:r w:rsidRPr="0035212A">
              <w:rPr>
                <w:sz w:val="18"/>
                <w:szCs w:val="18"/>
              </w:rPr>
              <w:t>Yes</w:t>
            </w:r>
          </w:p>
        </w:tc>
      </w:tr>
      <w:tr w:rsidR="00B20FDB" w:rsidRPr="0035212A" w14:paraId="100517FD" w14:textId="77777777" w:rsidTr="00EC1611">
        <w:trPr>
          <w:trHeight w:val="1595"/>
        </w:trPr>
        <w:tc>
          <w:tcPr>
            <w:tcW w:w="0" w:type="auto"/>
            <w:shd w:val="clear" w:color="auto" w:fill="auto"/>
            <w:vAlign w:val="center"/>
          </w:tcPr>
          <w:p w14:paraId="65871A16" w14:textId="77777777" w:rsidR="00B20FDB" w:rsidRPr="0035212A" w:rsidRDefault="00B20FDB" w:rsidP="00EC1611">
            <w:pPr>
              <w:spacing w:line="480" w:lineRule="auto"/>
              <w:rPr>
                <w:sz w:val="18"/>
                <w:szCs w:val="18"/>
              </w:rPr>
            </w:pPr>
            <w:r w:rsidRPr="0035212A">
              <w:rPr>
                <w:sz w:val="18"/>
                <w:szCs w:val="18"/>
              </w:rPr>
              <w:t>‘Severe gout’ should not be included in the nomenclature.</w:t>
            </w:r>
          </w:p>
        </w:tc>
        <w:tc>
          <w:tcPr>
            <w:tcW w:w="0" w:type="auto"/>
            <w:shd w:val="clear" w:color="auto" w:fill="auto"/>
            <w:vAlign w:val="center"/>
          </w:tcPr>
          <w:p w14:paraId="0B00A8C5" w14:textId="77777777" w:rsidR="00B20FDB" w:rsidRPr="0035212A" w:rsidRDefault="00B20FDB" w:rsidP="00EC1611">
            <w:pPr>
              <w:spacing w:line="480" w:lineRule="auto"/>
              <w:jc w:val="center"/>
              <w:rPr>
                <w:sz w:val="18"/>
                <w:szCs w:val="18"/>
              </w:rPr>
            </w:pPr>
            <w:r w:rsidRPr="0035212A">
              <w:rPr>
                <w:sz w:val="18"/>
                <w:szCs w:val="18"/>
              </w:rPr>
              <w:t>32 (100%)</w:t>
            </w:r>
          </w:p>
        </w:tc>
        <w:tc>
          <w:tcPr>
            <w:tcW w:w="0" w:type="auto"/>
            <w:shd w:val="clear" w:color="auto" w:fill="auto"/>
            <w:vAlign w:val="center"/>
          </w:tcPr>
          <w:p w14:paraId="33573AD3" w14:textId="77777777" w:rsidR="00B20FDB" w:rsidRPr="0035212A" w:rsidRDefault="00B20FDB" w:rsidP="00EC1611">
            <w:pPr>
              <w:spacing w:line="480" w:lineRule="auto"/>
              <w:jc w:val="center"/>
              <w:rPr>
                <w:sz w:val="18"/>
                <w:szCs w:val="18"/>
              </w:rPr>
            </w:pPr>
            <w:r w:rsidRPr="0035212A">
              <w:rPr>
                <w:sz w:val="18"/>
                <w:szCs w:val="18"/>
              </w:rPr>
              <w:t>0</w:t>
            </w:r>
          </w:p>
        </w:tc>
        <w:tc>
          <w:tcPr>
            <w:tcW w:w="0" w:type="auto"/>
            <w:shd w:val="clear" w:color="auto" w:fill="auto"/>
            <w:vAlign w:val="center"/>
          </w:tcPr>
          <w:p w14:paraId="34787F67" w14:textId="77777777" w:rsidR="00B20FDB" w:rsidRPr="0035212A" w:rsidRDefault="00B20FDB" w:rsidP="00EC1611">
            <w:pPr>
              <w:spacing w:line="480" w:lineRule="auto"/>
              <w:jc w:val="center"/>
              <w:rPr>
                <w:sz w:val="18"/>
                <w:szCs w:val="18"/>
              </w:rPr>
            </w:pPr>
            <w:r w:rsidRPr="0035212A">
              <w:rPr>
                <w:sz w:val="18"/>
                <w:szCs w:val="18"/>
              </w:rPr>
              <w:t>1</w:t>
            </w:r>
          </w:p>
        </w:tc>
        <w:tc>
          <w:tcPr>
            <w:tcW w:w="0" w:type="auto"/>
            <w:shd w:val="clear" w:color="auto" w:fill="auto"/>
            <w:vAlign w:val="center"/>
          </w:tcPr>
          <w:p w14:paraId="0DBC6897" w14:textId="77777777" w:rsidR="00B20FDB" w:rsidRPr="0035212A" w:rsidRDefault="00B20FDB" w:rsidP="00EC1611">
            <w:pPr>
              <w:spacing w:line="480" w:lineRule="auto"/>
              <w:jc w:val="center"/>
              <w:rPr>
                <w:sz w:val="18"/>
                <w:szCs w:val="18"/>
              </w:rPr>
            </w:pPr>
            <w:r w:rsidRPr="0035212A">
              <w:rPr>
                <w:sz w:val="18"/>
                <w:szCs w:val="18"/>
              </w:rPr>
              <w:t>Yes</w:t>
            </w:r>
          </w:p>
        </w:tc>
      </w:tr>
      <w:tr w:rsidR="00B20FDB" w:rsidRPr="0035212A" w14:paraId="76F53AC1" w14:textId="77777777" w:rsidTr="00EC1611">
        <w:trPr>
          <w:trHeight w:val="1595"/>
        </w:trPr>
        <w:tc>
          <w:tcPr>
            <w:tcW w:w="0" w:type="auto"/>
            <w:shd w:val="clear" w:color="auto" w:fill="auto"/>
            <w:vAlign w:val="center"/>
          </w:tcPr>
          <w:p w14:paraId="2E76020E" w14:textId="77777777" w:rsidR="00B20FDB" w:rsidRPr="0035212A" w:rsidRDefault="00B20FDB" w:rsidP="00EC1611">
            <w:pPr>
              <w:spacing w:line="480" w:lineRule="auto"/>
              <w:rPr>
                <w:sz w:val="18"/>
                <w:szCs w:val="18"/>
              </w:rPr>
            </w:pPr>
            <w:r w:rsidRPr="0035212A">
              <w:rPr>
                <w:sz w:val="18"/>
                <w:szCs w:val="18"/>
              </w:rPr>
              <w:t xml:space="preserve">‘Tophaceous gout’ definition: </w:t>
            </w:r>
            <w:r w:rsidRPr="0035212A">
              <w:rPr>
                <w:rFonts w:eastAsia="Times New Roman"/>
                <w:sz w:val="18"/>
                <w:szCs w:val="18"/>
                <w:lang w:val="en-AU"/>
              </w:rPr>
              <w:t>Gout with at least one subcutaneous tophus.</w:t>
            </w:r>
          </w:p>
        </w:tc>
        <w:tc>
          <w:tcPr>
            <w:tcW w:w="0" w:type="auto"/>
            <w:shd w:val="clear" w:color="auto" w:fill="auto"/>
            <w:vAlign w:val="center"/>
          </w:tcPr>
          <w:p w14:paraId="00398EF5" w14:textId="77777777" w:rsidR="00B20FDB" w:rsidRPr="0035212A" w:rsidRDefault="00B20FDB" w:rsidP="00EC1611">
            <w:pPr>
              <w:spacing w:line="480" w:lineRule="auto"/>
              <w:jc w:val="center"/>
              <w:rPr>
                <w:sz w:val="18"/>
                <w:szCs w:val="18"/>
              </w:rPr>
            </w:pPr>
            <w:r w:rsidRPr="0035212A">
              <w:rPr>
                <w:sz w:val="18"/>
                <w:szCs w:val="18"/>
              </w:rPr>
              <w:t>31 (100%)</w:t>
            </w:r>
          </w:p>
        </w:tc>
        <w:tc>
          <w:tcPr>
            <w:tcW w:w="0" w:type="auto"/>
            <w:shd w:val="clear" w:color="auto" w:fill="auto"/>
            <w:vAlign w:val="center"/>
          </w:tcPr>
          <w:p w14:paraId="3B2E0580" w14:textId="77777777" w:rsidR="00B20FDB" w:rsidRPr="0035212A" w:rsidRDefault="00B20FDB" w:rsidP="00EC1611">
            <w:pPr>
              <w:spacing w:line="480" w:lineRule="auto"/>
              <w:jc w:val="center"/>
              <w:rPr>
                <w:sz w:val="18"/>
                <w:szCs w:val="18"/>
              </w:rPr>
            </w:pPr>
            <w:r w:rsidRPr="0035212A">
              <w:rPr>
                <w:sz w:val="18"/>
                <w:szCs w:val="18"/>
              </w:rPr>
              <w:t>0</w:t>
            </w:r>
          </w:p>
        </w:tc>
        <w:tc>
          <w:tcPr>
            <w:tcW w:w="0" w:type="auto"/>
            <w:shd w:val="clear" w:color="auto" w:fill="auto"/>
            <w:vAlign w:val="center"/>
          </w:tcPr>
          <w:p w14:paraId="6F95D7B1" w14:textId="77777777" w:rsidR="00B20FDB" w:rsidRPr="0035212A" w:rsidRDefault="00B20FDB" w:rsidP="00EC1611">
            <w:pPr>
              <w:spacing w:line="480" w:lineRule="auto"/>
              <w:jc w:val="center"/>
              <w:rPr>
                <w:sz w:val="18"/>
                <w:szCs w:val="18"/>
              </w:rPr>
            </w:pPr>
            <w:r w:rsidRPr="0035212A">
              <w:rPr>
                <w:sz w:val="18"/>
                <w:szCs w:val="18"/>
              </w:rPr>
              <w:t>0</w:t>
            </w:r>
          </w:p>
        </w:tc>
        <w:tc>
          <w:tcPr>
            <w:tcW w:w="0" w:type="auto"/>
            <w:shd w:val="clear" w:color="auto" w:fill="auto"/>
            <w:vAlign w:val="center"/>
          </w:tcPr>
          <w:p w14:paraId="62808182" w14:textId="77777777" w:rsidR="00B20FDB" w:rsidRPr="0035212A" w:rsidRDefault="00B20FDB" w:rsidP="00EC1611">
            <w:pPr>
              <w:spacing w:line="480" w:lineRule="auto"/>
              <w:jc w:val="center"/>
              <w:rPr>
                <w:sz w:val="18"/>
                <w:szCs w:val="18"/>
              </w:rPr>
            </w:pPr>
            <w:r w:rsidRPr="0035212A">
              <w:rPr>
                <w:sz w:val="18"/>
                <w:szCs w:val="18"/>
              </w:rPr>
              <w:t>Yes</w:t>
            </w:r>
          </w:p>
        </w:tc>
      </w:tr>
      <w:tr w:rsidR="00B20FDB" w:rsidRPr="0035212A" w14:paraId="63F07C8F" w14:textId="77777777" w:rsidTr="00EC1611">
        <w:trPr>
          <w:trHeight w:val="1595"/>
        </w:trPr>
        <w:tc>
          <w:tcPr>
            <w:tcW w:w="0" w:type="auto"/>
            <w:shd w:val="clear" w:color="auto" w:fill="auto"/>
            <w:vAlign w:val="center"/>
          </w:tcPr>
          <w:p w14:paraId="38DBF8D9" w14:textId="77777777" w:rsidR="00B20FDB" w:rsidRPr="0035212A" w:rsidRDefault="00B20FDB" w:rsidP="00EC1611">
            <w:pPr>
              <w:spacing w:line="480" w:lineRule="auto"/>
              <w:rPr>
                <w:sz w:val="18"/>
                <w:szCs w:val="18"/>
              </w:rPr>
            </w:pPr>
            <w:r w:rsidRPr="0035212A">
              <w:rPr>
                <w:sz w:val="18"/>
                <w:szCs w:val="18"/>
              </w:rPr>
              <w:t xml:space="preserve">‘Erosive gout’ definition: </w:t>
            </w:r>
            <w:r w:rsidRPr="0035212A">
              <w:rPr>
                <w:rFonts w:eastAsia="Times New Roman"/>
                <w:sz w:val="18"/>
                <w:szCs w:val="18"/>
                <w:lang w:val="en-AU"/>
              </w:rPr>
              <w:t>Gout with at least one gouty bone erosion.</w:t>
            </w:r>
          </w:p>
        </w:tc>
        <w:tc>
          <w:tcPr>
            <w:tcW w:w="0" w:type="auto"/>
            <w:shd w:val="clear" w:color="auto" w:fill="auto"/>
            <w:vAlign w:val="center"/>
          </w:tcPr>
          <w:p w14:paraId="69E664B0" w14:textId="77777777" w:rsidR="00B20FDB" w:rsidRPr="0035212A" w:rsidRDefault="00B20FDB" w:rsidP="00EC1611">
            <w:pPr>
              <w:spacing w:line="480" w:lineRule="auto"/>
              <w:jc w:val="center"/>
              <w:rPr>
                <w:sz w:val="18"/>
                <w:szCs w:val="18"/>
              </w:rPr>
            </w:pPr>
            <w:r w:rsidRPr="0035212A">
              <w:rPr>
                <w:sz w:val="18"/>
                <w:szCs w:val="18"/>
              </w:rPr>
              <w:t>31 (100%)</w:t>
            </w:r>
          </w:p>
        </w:tc>
        <w:tc>
          <w:tcPr>
            <w:tcW w:w="0" w:type="auto"/>
            <w:shd w:val="clear" w:color="auto" w:fill="auto"/>
            <w:vAlign w:val="center"/>
          </w:tcPr>
          <w:p w14:paraId="46B19532" w14:textId="77777777" w:rsidR="00B20FDB" w:rsidRPr="0035212A" w:rsidRDefault="00B20FDB" w:rsidP="00EC1611">
            <w:pPr>
              <w:spacing w:line="480" w:lineRule="auto"/>
              <w:jc w:val="center"/>
              <w:rPr>
                <w:sz w:val="18"/>
                <w:szCs w:val="18"/>
              </w:rPr>
            </w:pPr>
            <w:r w:rsidRPr="0035212A">
              <w:rPr>
                <w:sz w:val="18"/>
                <w:szCs w:val="18"/>
              </w:rPr>
              <w:t>0</w:t>
            </w:r>
          </w:p>
        </w:tc>
        <w:tc>
          <w:tcPr>
            <w:tcW w:w="0" w:type="auto"/>
            <w:shd w:val="clear" w:color="auto" w:fill="auto"/>
            <w:vAlign w:val="center"/>
          </w:tcPr>
          <w:p w14:paraId="25B5702A" w14:textId="77777777" w:rsidR="00B20FDB" w:rsidRPr="0035212A" w:rsidRDefault="00B20FDB" w:rsidP="00EC1611">
            <w:pPr>
              <w:spacing w:line="480" w:lineRule="auto"/>
              <w:jc w:val="center"/>
              <w:rPr>
                <w:sz w:val="18"/>
                <w:szCs w:val="18"/>
              </w:rPr>
            </w:pPr>
            <w:r w:rsidRPr="0035212A">
              <w:rPr>
                <w:sz w:val="18"/>
                <w:szCs w:val="18"/>
              </w:rPr>
              <w:t>0</w:t>
            </w:r>
          </w:p>
        </w:tc>
        <w:tc>
          <w:tcPr>
            <w:tcW w:w="0" w:type="auto"/>
            <w:shd w:val="clear" w:color="auto" w:fill="auto"/>
            <w:vAlign w:val="center"/>
          </w:tcPr>
          <w:p w14:paraId="3C9CBC4C" w14:textId="77777777" w:rsidR="00B20FDB" w:rsidRPr="0035212A" w:rsidRDefault="00B20FDB" w:rsidP="00EC1611">
            <w:pPr>
              <w:spacing w:line="480" w:lineRule="auto"/>
              <w:jc w:val="center"/>
              <w:rPr>
                <w:sz w:val="18"/>
                <w:szCs w:val="18"/>
              </w:rPr>
            </w:pPr>
            <w:r w:rsidRPr="0035212A">
              <w:rPr>
                <w:sz w:val="18"/>
                <w:szCs w:val="18"/>
              </w:rPr>
              <w:t>Yes</w:t>
            </w:r>
          </w:p>
        </w:tc>
      </w:tr>
      <w:tr w:rsidR="00B20FDB" w:rsidRPr="0035212A" w14:paraId="38CBC9E9" w14:textId="77777777" w:rsidTr="00EC1611">
        <w:trPr>
          <w:trHeight w:val="1595"/>
        </w:trPr>
        <w:tc>
          <w:tcPr>
            <w:tcW w:w="0" w:type="auto"/>
            <w:shd w:val="clear" w:color="auto" w:fill="auto"/>
            <w:vAlign w:val="center"/>
          </w:tcPr>
          <w:p w14:paraId="1BE768B2" w14:textId="77777777" w:rsidR="00B20FDB" w:rsidRPr="0035212A" w:rsidRDefault="00B20FDB" w:rsidP="00EC1611">
            <w:pPr>
              <w:spacing w:line="480" w:lineRule="auto"/>
              <w:rPr>
                <w:sz w:val="18"/>
                <w:szCs w:val="18"/>
              </w:rPr>
            </w:pPr>
            <w:r w:rsidRPr="0035212A">
              <w:rPr>
                <w:sz w:val="18"/>
                <w:szCs w:val="18"/>
              </w:rPr>
              <w:t xml:space="preserve">‘First gout flare’ definition: </w:t>
            </w:r>
            <w:r w:rsidRPr="0035212A">
              <w:rPr>
                <w:rFonts w:eastAsia="Times New Roman"/>
                <w:sz w:val="18"/>
                <w:szCs w:val="18"/>
                <w:lang w:val="en-AU"/>
              </w:rPr>
              <w:t>The first episode of gout flare.</w:t>
            </w:r>
          </w:p>
        </w:tc>
        <w:tc>
          <w:tcPr>
            <w:tcW w:w="0" w:type="auto"/>
            <w:shd w:val="clear" w:color="auto" w:fill="auto"/>
            <w:vAlign w:val="center"/>
          </w:tcPr>
          <w:p w14:paraId="17A839FA" w14:textId="77777777" w:rsidR="00B20FDB" w:rsidRPr="0035212A" w:rsidRDefault="00B20FDB" w:rsidP="00EC1611">
            <w:pPr>
              <w:spacing w:line="480" w:lineRule="auto"/>
              <w:jc w:val="center"/>
              <w:rPr>
                <w:sz w:val="18"/>
                <w:szCs w:val="18"/>
              </w:rPr>
            </w:pPr>
            <w:r w:rsidRPr="0035212A">
              <w:rPr>
                <w:sz w:val="18"/>
                <w:szCs w:val="18"/>
              </w:rPr>
              <w:t>30 (100%)</w:t>
            </w:r>
          </w:p>
        </w:tc>
        <w:tc>
          <w:tcPr>
            <w:tcW w:w="0" w:type="auto"/>
            <w:shd w:val="clear" w:color="auto" w:fill="auto"/>
            <w:vAlign w:val="center"/>
          </w:tcPr>
          <w:p w14:paraId="2BC4DFF9" w14:textId="77777777" w:rsidR="00B20FDB" w:rsidRPr="0035212A" w:rsidRDefault="00B20FDB" w:rsidP="00EC1611">
            <w:pPr>
              <w:spacing w:line="480" w:lineRule="auto"/>
              <w:jc w:val="center"/>
              <w:rPr>
                <w:sz w:val="18"/>
                <w:szCs w:val="18"/>
              </w:rPr>
            </w:pPr>
            <w:r w:rsidRPr="0035212A">
              <w:rPr>
                <w:sz w:val="18"/>
                <w:szCs w:val="18"/>
              </w:rPr>
              <w:t>0</w:t>
            </w:r>
          </w:p>
        </w:tc>
        <w:tc>
          <w:tcPr>
            <w:tcW w:w="0" w:type="auto"/>
            <w:shd w:val="clear" w:color="auto" w:fill="auto"/>
            <w:vAlign w:val="center"/>
          </w:tcPr>
          <w:p w14:paraId="3AD1171E" w14:textId="77777777" w:rsidR="00B20FDB" w:rsidRPr="0035212A" w:rsidRDefault="00B20FDB" w:rsidP="00EC1611">
            <w:pPr>
              <w:spacing w:line="480" w:lineRule="auto"/>
              <w:jc w:val="center"/>
              <w:rPr>
                <w:sz w:val="18"/>
                <w:szCs w:val="18"/>
              </w:rPr>
            </w:pPr>
            <w:r w:rsidRPr="0035212A">
              <w:rPr>
                <w:sz w:val="18"/>
                <w:szCs w:val="18"/>
              </w:rPr>
              <w:t>1</w:t>
            </w:r>
          </w:p>
        </w:tc>
        <w:tc>
          <w:tcPr>
            <w:tcW w:w="0" w:type="auto"/>
            <w:shd w:val="clear" w:color="auto" w:fill="auto"/>
            <w:vAlign w:val="center"/>
          </w:tcPr>
          <w:p w14:paraId="0270B491" w14:textId="77777777" w:rsidR="00B20FDB" w:rsidRPr="0035212A" w:rsidRDefault="00B20FDB" w:rsidP="00EC1611">
            <w:pPr>
              <w:spacing w:line="480" w:lineRule="auto"/>
              <w:jc w:val="center"/>
              <w:rPr>
                <w:sz w:val="18"/>
                <w:szCs w:val="18"/>
              </w:rPr>
            </w:pPr>
            <w:r w:rsidRPr="0035212A">
              <w:rPr>
                <w:sz w:val="18"/>
                <w:szCs w:val="18"/>
              </w:rPr>
              <w:t>Yes</w:t>
            </w:r>
          </w:p>
        </w:tc>
      </w:tr>
      <w:tr w:rsidR="00B20FDB" w:rsidRPr="0035212A" w14:paraId="2B4D93C1" w14:textId="77777777" w:rsidTr="00EC1611">
        <w:trPr>
          <w:trHeight w:val="1595"/>
        </w:trPr>
        <w:tc>
          <w:tcPr>
            <w:tcW w:w="0" w:type="auto"/>
            <w:shd w:val="clear" w:color="auto" w:fill="auto"/>
            <w:vAlign w:val="center"/>
          </w:tcPr>
          <w:p w14:paraId="7D0DC211" w14:textId="77777777" w:rsidR="00B20FDB" w:rsidRPr="0035212A" w:rsidRDefault="00B20FDB" w:rsidP="00EC1611">
            <w:pPr>
              <w:spacing w:line="480" w:lineRule="auto"/>
              <w:rPr>
                <w:sz w:val="18"/>
                <w:szCs w:val="18"/>
              </w:rPr>
            </w:pPr>
            <w:r w:rsidRPr="0035212A">
              <w:rPr>
                <w:sz w:val="18"/>
                <w:szCs w:val="18"/>
              </w:rPr>
              <w:t xml:space="preserve">‘Recurrent gout flares’ definition: </w:t>
            </w:r>
            <w:r w:rsidRPr="0035212A">
              <w:rPr>
                <w:rFonts w:eastAsia="Times New Roman"/>
                <w:sz w:val="18"/>
                <w:szCs w:val="18"/>
                <w:lang w:val="en-AU"/>
              </w:rPr>
              <w:t>More than one gout flare.</w:t>
            </w:r>
          </w:p>
        </w:tc>
        <w:tc>
          <w:tcPr>
            <w:tcW w:w="0" w:type="auto"/>
            <w:shd w:val="clear" w:color="auto" w:fill="auto"/>
            <w:vAlign w:val="center"/>
          </w:tcPr>
          <w:p w14:paraId="13DAEF87" w14:textId="77777777" w:rsidR="00B20FDB" w:rsidRPr="0035212A" w:rsidRDefault="00B20FDB" w:rsidP="00EC1611">
            <w:pPr>
              <w:spacing w:line="480" w:lineRule="auto"/>
              <w:jc w:val="center"/>
              <w:rPr>
                <w:sz w:val="18"/>
                <w:szCs w:val="18"/>
              </w:rPr>
            </w:pPr>
            <w:r w:rsidRPr="0035212A">
              <w:rPr>
                <w:sz w:val="18"/>
                <w:szCs w:val="18"/>
              </w:rPr>
              <w:t>28 (100%)</w:t>
            </w:r>
          </w:p>
        </w:tc>
        <w:tc>
          <w:tcPr>
            <w:tcW w:w="0" w:type="auto"/>
            <w:shd w:val="clear" w:color="auto" w:fill="auto"/>
            <w:vAlign w:val="center"/>
          </w:tcPr>
          <w:p w14:paraId="5123D081" w14:textId="77777777" w:rsidR="00B20FDB" w:rsidRPr="0035212A" w:rsidRDefault="00B20FDB" w:rsidP="00EC1611">
            <w:pPr>
              <w:spacing w:line="480" w:lineRule="auto"/>
              <w:jc w:val="center"/>
              <w:rPr>
                <w:sz w:val="18"/>
                <w:szCs w:val="18"/>
              </w:rPr>
            </w:pPr>
            <w:r w:rsidRPr="0035212A">
              <w:rPr>
                <w:sz w:val="18"/>
                <w:szCs w:val="18"/>
              </w:rPr>
              <w:t>0</w:t>
            </w:r>
          </w:p>
        </w:tc>
        <w:tc>
          <w:tcPr>
            <w:tcW w:w="0" w:type="auto"/>
            <w:shd w:val="clear" w:color="auto" w:fill="auto"/>
            <w:vAlign w:val="center"/>
          </w:tcPr>
          <w:p w14:paraId="6602C31F" w14:textId="77777777" w:rsidR="00B20FDB" w:rsidRPr="0035212A" w:rsidRDefault="00B20FDB" w:rsidP="00EC1611">
            <w:pPr>
              <w:spacing w:line="480" w:lineRule="auto"/>
              <w:jc w:val="center"/>
              <w:rPr>
                <w:sz w:val="18"/>
                <w:szCs w:val="18"/>
              </w:rPr>
            </w:pPr>
            <w:r w:rsidRPr="0035212A">
              <w:rPr>
                <w:sz w:val="18"/>
                <w:szCs w:val="18"/>
              </w:rPr>
              <w:t>0</w:t>
            </w:r>
          </w:p>
        </w:tc>
        <w:tc>
          <w:tcPr>
            <w:tcW w:w="0" w:type="auto"/>
            <w:shd w:val="clear" w:color="auto" w:fill="auto"/>
            <w:vAlign w:val="center"/>
          </w:tcPr>
          <w:p w14:paraId="1304696F" w14:textId="77777777" w:rsidR="00B20FDB" w:rsidRPr="0035212A" w:rsidRDefault="00B20FDB" w:rsidP="00EC1611">
            <w:pPr>
              <w:spacing w:line="480" w:lineRule="auto"/>
              <w:jc w:val="center"/>
              <w:rPr>
                <w:sz w:val="18"/>
                <w:szCs w:val="18"/>
              </w:rPr>
            </w:pPr>
            <w:r w:rsidRPr="0035212A">
              <w:rPr>
                <w:sz w:val="18"/>
                <w:szCs w:val="18"/>
              </w:rPr>
              <w:t>Yes</w:t>
            </w:r>
          </w:p>
        </w:tc>
      </w:tr>
      <w:tr w:rsidR="00B20FDB" w:rsidRPr="0035212A" w14:paraId="1CA989B4" w14:textId="77777777" w:rsidTr="00EC1611">
        <w:trPr>
          <w:trHeight w:val="1595"/>
        </w:trPr>
        <w:tc>
          <w:tcPr>
            <w:tcW w:w="0" w:type="auto"/>
            <w:shd w:val="clear" w:color="auto" w:fill="auto"/>
            <w:vAlign w:val="center"/>
          </w:tcPr>
          <w:p w14:paraId="5A2A1114" w14:textId="77777777" w:rsidR="00B20FDB" w:rsidRPr="0035212A" w:rsidRDefault="00B20FDB" w:rsidP="00EC1611">
            <w:pPr>
              <w:spacing w:line="480" w:lineRule="auto"/>
              <w:rPr>
                <w:sz w:val="18"/>
                <w:szCs w:val="18"/>
              </w:rPr>
            </w:pPr>
            <w:r w:rsidRPr="0035212A">
              <w:rPr>
                <w:rFonts w:eastAsia="Times New Roman"/>
                <w:kern w:val="24"/>
                <w:sz w:val="18"/>
                <w:szCs w:val="18"/>
                <w:lang w:val="en-US"/>
              </w:rPr>
              <w:t xml:space="preserve">Additional recommendation on disease states not addressed by the nomenclature: </w:t>
            </w:r>
            <w:r w:rsidRPr="0035212A">
              <w:rPr>
                <w:rFonts w:eastAsia="Times New Roman"/>
                <w:sz w:val="18"/>
                <w:szCs w:val="18"/>
                <w:lang w:val="en-US"/>
              </w:rPr>
              <w:t>Where there is more than one disease state present, these can be combined (for example: tophaceous and erosive gout).  Where there are additional elements present, not recognized as disease states, these will be labelled as the recognized disease state with or without additional disease elements (for example: tophaceous gout with chronic gouty arthritis)</w:t>
            </w:r>
            <w:r w:rsidRPr="0035212A">
              <w:rPr>
                <w:rFonts w:eastAsia="Times New Roman"/>
                <w:sz w:val="18"/>
                <w:szCs w:val="18"/>
                <w:lang w:val="en-AU"/>
              </w:rPr>
              <w:t>.</w:t>
            </w:r>
          </w:p>
        </w:tc>
        <w:tc>
          <w:tcPr>
            <w:tcW w:w="0" w:type="auto"/>
            <w:shd w:val="clear" w:color="auto" w:fill="auto"/>
            <w:vAlign w:val="center"/>
          </w:tcPr>
          <w:p w14:paraId="1ADE0E6D" w14:textId="77777777" w:rsidR="00B20FDB" w:rsidRPr="0035212A" w:rsidRDefault="00B20FDB" w:rsidP="00EC1611">
            <w:pPr>
              <w:spacing w:line="480" w:lineRule="auto"/>
              <w:jc w:val="center"/>
              <w:rPr>
                <w:sz w:val="18"/>
                <w:szCs w:val="18"/>
              </w:rPr>
            </w:pPr>
            <w:r w:rsidRPr="0035212A">
              <w:rPr>
                <w:sz w:val="18"/>
                <w:szCs w:val="18"/>
              </w:rPr>
              <w:t>27 (100%)</w:t>
            </w:r>
          </w:p>
        </w:tc>
        <w:tc>
          <w:tcPr>
            <w:tcW w:w="0" w:type="auto"/>
            <w:shd w:val="clear" w:color="auto" w:fill="auto"/>
            <w:vAlign w:val="center"/>
          </w:tcPr>
          <w:p w14:paraId="53DC1D20" w14:textId="77777777" w:rsidR="00B20FDB" w:rsidRPr="0035212A" w:rsidRDefault="00B20FDB" w:rsidP="00EC1611">
            <w:pPr>
              <w:spacing w:line="480" w:lineRule="auto"/>
              <w:jc w:val="center"/>
              <w:rPr>
                <w:sz w:val="18"/>
                <w:szCs w:val="18"/>
              </w:rPr>
            </w:pPr>
            <w:r w:rsidRPr="0035212A">
              <w:rPr>
                <w:sz w:val="18"/>
                <w:szCs w:val="18"/>
              </w:rPr>
              <w:t>0</w:t>
            </w:r>
          </w:p>
        </w:tc>
        <w:tc>
          <w:tcPr>
            <w:tcW w:w="0" w:type="auto"/>
            <w:shd w:val="clear" w:color="auto" w:fill="auto"/>
            <w:vAlign w:val="center"/>
          </w:tcPr>
          <w:p w14:paraId="3E5630F0" w14:textId="77777777" w:rsidR="00B20FDB" w:rsidRPr="0035212A" w:rsidRDefault="00B20FDB" w:rsidP="00EC1611">
            <w:pPr>
              <w:spacing w:line="480" w:lineRule="auto"/>
              <w:jc w:val="center"/>
              <w:rPr>
                <w:sz w:val="18"/>
                <w:szCs w:val="18"/>
              </w:rPr>
            </w:pPr>
            <w:r w:rsidRPr="0035212A">
              <w:rPr>
                <w:sz w:val="18"/>
                <w:szCs w:val="18"/>
              </w:rPr>
              <w:t>1</w:t>
            </w:r>
          </w:p>
        </w:tc>
        <w:tc>
          <w:tcPr>
            <w:tcW w:w="0" w:type="auto"/>
            <w:shd w:val="clear" w:color="auto" w:fill="auto"/>
            <w:vAlign w:val="center"/>
          </w:tcPr>
          <w:p w14:paraId="0BA038A3" w14:textId="77777777" w:rsidR="00B20FDB" w:rsidRPr="0035212A" w:rsidRDefault="00B20FDB" w:rsidP="00EC1611">
            <w:pPr>
              <w:spacing w:line="480" w:lineRule="auto"/>
              <w:jc w:val="center"/>
              <w:rPr>
                <w:sz w:val="18"/>
                <w:szCs w:val="18"/>
              </w:rPr>
            </w:pPr>
            <w:r w:rsidRPr="0035212A">
              <w:rPr>
                <w:sz w:val="18"/>
                <w:szCs w:val="18"/>
              </w:rPr>
              <w:t>Yes</w:t>
            </w:r>
          </w:p>
        </w:tc>
      </w:tr>
    </w:tbl>
    <w:p w14:paraId="2F14729E" w14:textId="77777777" w:rsidR="00B20FDB" w:rsidRPr="0035212A" w:rsidRDefault="00B20FDB" w:rsidP="00B20FDB">
      <w:pPr>
        <w:spacing w:line="480" w:lineRule="auto"/>
        <w:rPr>
          <w:sz w:val="20"/>
        </w:rPr>
      </w:pPr>
    </w:p>
    <w:p w14:paraId="677D22E6" w14:textId="5337EA62" w:rsidR="00E212B3" w:rsidRDefault="00B20FDB" w:rsidP="00B20FDB">
      <w:pPr>
        <w:spacing w:line="480" w:lineRule="auto"/>
      </w:pPr>
      <w:r w:rsidRPr="0035212A">
        <w:rPr>
          <w:sz w:val="20"/>
        </w:rPr>
        <w:t>†In British English, hyperuricaemia.</w:t>
      </w:r>
      <w:r w:rsidRPr="0035212A">
        <w:rPr>
          <w:sz w:val="20"/>
        </w:rPr>
        <w:fldChar w:fldCharType="begin"/>
      </w:r>
      <w:r w:rsidRPr="0035212A">
        <w:rPr>
          <w:sz w:val="20"/>
        </w:rPr>
        <w:instrText xml:space="preserve"> ADDIN </w:instrText>
      </w:r>
      <w:r w:rsidRPr="0035212A">
        <w:rPr>
          <w:sz w:val="20"/>
        </w:rPr>
        <w:fldChar w:fldCharType="end"/>
      </w:r>
    </w:p>
    <w:sectPr w:rsidR="00E212B3" w:rsidSect="004E44B9">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19139" w14:textId="77777777" w:rsidR="002D594B" w:rsidRDefault="002D594B">
      <w:r>
        <w:separator/>
      </w:r>
    </w:p>
  </w:endnote>
  <w:endnote w:type="continuationSeparator" w:id="0">
    <w:p w14:paraId="0681146F" w14:textId="77777777" w:rsidR="002D594B" w:rsidRDefault="002D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4FD15" w14:textId="77777777" w:rsidR="009A0E01" w:rsidRDefault="00B20FDB" w:rsidP="003423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E06F7" w14:textId="77777777" w:rsidR="009A0E01" w:rsidRDefault="002D594B" w:rsidP="003423B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0C456" w14:textId="505FA02C" w:rsidR="009A0E01" w:rsidRPr="007E6FDC" w:rsidRDefault="00B20FDB" w:rsidP="003423B7">
    <w:pPr>
      <w:pStyle w:val="Footer"/>
      <w:framePr w:wrap="none" w:vAnchor="text" w:hAnchor="margin" w:xAlign="right" w:y="1"/>
      <w:rPr>
        <w:rStyle w:val="PageNumber"/>
      </w:rPr>
    </w:pPr>
    <w:r w:rsidRPr="007E6FDC">
      <w:rPr>
        <w:rStyle w:val="PageNumber"/>
      </w:rPr>
      <w:fldChar w:fldCharType="begin"/>
    </w:r>
    <w:r w:rsidRPr="007E6FDC">
      <w:rPr>
        <w:rStyle w:val="PageNumber"/>
      </w:rPr>
      <w:instrText xml:space="preserve">PAGE  </w:instrText>
    </w:r>
    <w:r w:rsidRPr="007E6FDC">
      <w:rPr>
        <w:rStyle w:val="PageNumber"/>
      </w:rPr>
      <w:fldChar w:fldCharType="separate"/>
    </w:r>
    <w:r w:rsidR="00441537">
      <w:rPr>
        <w:rStyle w:val="PageNumber"/>
        <w:noProof/>
      </w:rPr>
      <w:t>1</w:t>
    </w:r>
    <w:r w:rsidRPr="007E6FDC">
      <w:rPr>
        <w:rStyle w:val="PageNumber"/>
      </w:rPr>
      <w:fldChar w:fldCharType="end"/>
    </w:r>
  </w:p>
  <w:p w14:paraId="1D08DC41" w14:textId="77777777" w:rsidR="009A0E01" w:rsidRDefault="002D594B" w:rsidP="003423B7">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91579962"/>
      <w:docPartObj>
        <w:docPartGallery w:val="Page Numbers (Bottom of Page)"/>
        <w:docPartUnique/>
      </w:docPartObj>
    </w:sdtPr>
    <w:sdtEndPr>
      <w:rPr>
        <w:rStyle w:val="PageNumber"/>
      </w:rPr>
    </w:sdtEndPr>
    <w:sdtContent>
      <w:p w14:paraId="430A59C2" w14:textId="77777777" w:rsidR="009A0E01" w:rsidRDefault="00B20FDB" w:rsidP="00D86E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2240B6" w14:textId="77777777" w:rsidR="009A0E01" w:rsidRDefault="002D594B" w:rsidP="00B41B21">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82205163"/>
      <w:docPartObj>
        <w:docPartGallery w:val="Page Numbers (Bottom of Page)"/>
        <w:docPartUnique/>
      </w:docPartObj>
    </w:sdtPr>
    <w:sdtEndPr>
      <w:rPr>
        <w:rStyle w:val="PageNumber"/>
      </w:rPr>
    </w:sdtEndPr>
    <w:sdtContent>
      <w:p w14:paraId="502E537F" w14:textId="21CB60BA" w:rsidR="009A0E01" w:rsidRDefault="00B20FDB" w:rsidP="00D86E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41537">
          <w:rPr>
            <w:rStyle w:val="PageNumber"/>
            <w:noProof/>
          </w:rPr>
          <w:t>7</w:t>
        </w:r>
        <w:r>
          <w:rPr>
            <w:rStyle w:val="PageNumber"/>
          </w:rPr>
          <w:fldChar w:fldCharType="end"/>
        </w:r>
      </w:p>
    </w:sdtContent>
  </w:sdt>
  <w:p w14:paraId="1C46084E" w14:textId="77777777" w:rsidR="009A0E01" w:rsidRDefault="002D594B" w:rsidP="00B41B2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7EAB8" w14:textId="77777777" w:rsidR="002D594B" w:rsidRDefault="002D594B">
      <w:r>
        <w:separator/>
      </w:r>
    </w:p>
  </w:footnote>
  <w:footnote w:type="continuationSeparator" w:id="0">
    <w:p w14:paraId="0ABFB5AB" w14:textId="77777777" w:rsidR="002D594B" w:rsidRDefault="002D5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DB"/>
    <w:rsid w:val="0003777A"/>
    <w:rsid w:val="0005637A"/>
    <w:rsid w:val="00063B0D"/>
    <w:rsid w:val="00091630"/>
    <w:rsid w:val="00093C7E"/>
    <w:rsid w:val="000A4BE6"/>
    <w:rsid w:val="00105ECD"/>
    <w:rsid w:val="00110C5D"/>
    <w:rsid w:val="00133DDE"/>
    <w:rsid w:val="001F5A70"/>
    <w:rsid w:val="002312C6"/>
    <w:rsid w:val="0023422E"/>
    <w:rsid w:val="002837DA"/>
    <w:rsid w:val="002916BC"/>
    <w:rsid w:val="00295BF2"/>
    <w:rsid w:val="002B3213"/>
    <w:rsid w:val="002C753C"/>
    <w:rsid w:val="002D594B"/>
    <w:rsid w:val="0030471C"/>
    <w:rsid w:val="003A23F1"/>
    <w:rsid w:val="003C5CD8"/>
    <w:rsid w:val="003E161B"/>
    <w:rsid w:val="003E7917"/>
    <w:rsid w:val="00441537"/>
    <w:rsid w:val="00453722"/>
    <w:rsid w:val="0045471B"/>
    <w:rsid w:val="004A1665"/>
    <w:rsid w:val="004A326E"/>
    <w:rsid w:val="004E153D"/>
    <w:rsid w:val="004E44B9"/>
    <w:rsid w:val="00525C4D"/>
    <w:rsid w:val="005311DD"/>
    <w:rsid w:val="0054779A"/>
    <w:rsid w:val="005A2A34"/>
    <w:rsid w:val="005C6F41"/>
    <w:rsid w:val="005F48F5"/>
    <w:rsid w:val="006039A1"/>
    <w:rsid w:val="00651139"/>
    <w:rsid w:val="00663795"/>
    <w:rsid w:val="0066621C"/>
    <w:rsid w:val="00680A73"/>
    <w:rsid w:val="006B5ABE"/>
    <w:rsid w:val="0073629F"/>
    <w:rsid w:val="00757FED"/>
    <w:rsid w:val="007604C8"/>
    <w:rsid w:val="0076452D"/>
    <w:rsid w:val="007807C9"/>
    <w:rsid w:val="00786008"/>
    <w:rsid w:val="007B4C5C"/>
    <w:rsid w:val="007C222C"/>
    <w:rsid w:val="007C5DE0"/>
    <w:rsid w:val="00842E4C"/>
    <w:rsid w:val="00851BCD"/>
    <w:rsid w:val="008A4C7D"/>
    <w:rsid w:val="008B52AC"/>
    <w:rsid w:val="009446F5"/>
    <w:rsid w:val="00961BAD"/>
    <w:rsid w:val="0096497A"/>
    <w:rsid w:val="009850C0"/>
    <w:rsid w:val="00986289"/>
    <w:rsid w:val="009D395D"/>
    <w:rsid w:val="00A12A13"/>
    <w:rsid w:val="00A229FF"/>
    <w:rsid w:val="00A22B9C"/>
    <w:rsid w:val="00A37D79"/>
    <w:rsid w:val="00A93E33"/>
    <w:rsid w:val="00AF3647"/>
    <w:rsid w:val="00B20FDB"/>
    <w:rsid w:val="00B4260E"/>
    <w:rsid w:val="00BB2333"/>
    <w:rsid w:val="00BB65F9"/>
    <w:rsid w:val="00C01B56"/>
    <w:rsid w:val="00C15146"/>
    <w:rsid w:val="00C2041C"/>
    <w:rsid w:val="00C70B4E"/>
    <w:rsid w:val="00CC2BA5"/>
    <w:rsid w:val="00CC5B36"/>
    <w:rsid w:val="00CE4E49"/>
    <w:rsid w:val="00CE6A7D"/>
    <w:rsid w:val="00CF70C7"/>
    <w:rsid w:val="00D35EEE"/>
    <w:rsid w:val="00D42B0E"/>
    <w:rsid w:val="00D44179"/>
    <w:rsid w:val="00D45C0B"/>
    <w:rsid w:val="00D537F5"/>
    <w:rsid w:val="00D75131"/>
    <w:rsid w:val="00D8323D"/>
    <w:rsid w:val="00DD79F1"/>
    <w:rsid w:val="00DF3F71"/>
    <w:rsid w:val="00E03B17"/>
    <w:rsid w:val="00E32A39"/>
    <w:rsid w:val="00E77EA1"/>
    <w:rsid w:val="00EA53E8"/>
    <w:rsid w:val="00EC6405"/>
    <w:rsid w:val="00EE4C68"/>
    <w:rsid w:val="00EE5B37"/>
    <w:rsid w:val="00F16A4E"/>
    <w:rsid w:val="00F37D2E"/>
    <w:rsid w:val="00F83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3BE3"/>
  <w14:defaultImageDpi w14:val="32767"/>
  <w15:chartTrackingRefBased/>
  <w15:docId w15:val="{FFDE4914-D805-BD44-A8BB-B6587E0A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FDB"/>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0FDB"/>
    <w:pPr>
      <w:tabs>
        <w:tab w:val="center" w:pos="4513"/>
        <w:tab w:val="right" w:pos="9026"/>
      </w:tabs>
    </w:pPr>
  </w:style>
  <w:style w:type="character" w:customStyle="1" w:styleId="FooterChar">
    <w:name w:val="Footer Char"/>
    <w:basedOn w:val="DefaultParagraphFont"/>
    <w:link w:val="Footer"/>
    <w:uiPriority w:val="99"/>
    <w:rsid w:val="00B20FDB"/>
    <w:rPr>
      <w:rFonts w:ascii="Times New Roman" w:hAnsi="Times New Roman" w:cs="Times New Roman"/>
      <w:lang w:eastAsia="en-GB"/>
    </w:rPr>
  </w:style>
  <w:style w:type="character" w:styleId="PageNumber">
    <w:name w:val="page number"/>
    <w:basedOn w:val="DefaultParagraphFont"/>
    <w:uiPriority w:val="99"/>
    <w:semiHidden/>
    <w:unhideWhenUsed/>
    <w:rsid w:val="00B20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Bursill</dc:creator>
  <cp:keywords/>
  <dc:description/>
  <cp:lastModifiedBy>Ed Roddy</cp:lastModifiedBy>
  <cp:revision>2</cp:revision>
  <dcterms:created xsi:type="dcterms:W3CDTF">2019-10-22T12:46:00Z</dcterms:created>
  <dcterms:modified xsi:type="dcterms:W3CDTF">2019-10-22T12:46:00Z</dcterms:modified>
</cp:coreProperties>
</file>