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83754" w14:textId="77777777" w:rsidR="00103DB3" w:rsidRPr="005A3677" w:rsidRDefault="00826416" w:rsidP="005A3677">
      <w:pPr>
        <w:pStyle w:val="Title"/>
      </w:pPr>
      <w:r>
        <w:t>Relative prevalence</w:t>
      </w:r>
      <w:r w:rsidR="00002BF3">
        <w:t xml:space="preserve"> and distribution</w:t>
      </w:r>
      <w:r w:rsidR="00C3645C" w:rsidRPr="005A3677">
        <w:t xml:space="preserve"> of</w:t>
      </w:r>
      <w:r w:rsidR="003165A3" w:rsidRPr="005A3677">
        <w:t xml:space="preserve"> kn</w:t>
      </w:r>
      <w:r w:rsidR="00C3645C" w:rsidRPr="005A3677">
        <w:t>ee, ha</w:t>
      </w:r>
      <w:r w:rsidR="00A0319B">
        <w:t>nd and foot symptomatic osteoarthritis</w:t>
      </w:r>
      <w:r w:rsidR="00310CDB">
        <w:t xml:space="preserve"> sub</w:t>
      </w:r>
      <w:r w:rsidR="00C3645C" w:rsidRPr="005A3677">
        <w:t>types</w:t>
      </w:r>
      <w:r w:rsidR="009D70E1">
        <w:t xml:space="preserve"> in an English</w:t>
      </w:r>
      <w:r w:rsidR="00EA3FD0">
        <w:t xml:space="preserve"> population</w:t>
      </w:r>
    </w:p>
    <w:p w14:paraId="6B751B9E" w14:textId="77777777" w:rsidR="00A3661F" w:rsidRDefault="00A3661F" w:rsidP="005A3677">
      <w:pPr>
        <w:rPr>
          <w:b/>
        </w:rPr>
      </w:pPr>
    </w:p>
    <w:p w14:paraId="74FD4845" w14:textId="77777777" w:rsidR="0023007B" w:rsidRDefault="0023007B">
      <w:pPr>
        <w:spacing w:after="200" w:line="276" w:lineRule="auto"/>
        <w:rPr>
          <w:rFonts w:eastAsia="Times New Roman" w:cs="Times New Roman"/>
          <w:b/>
          <w:bCs/>
          <w:smallCaps/>
          <w:kern w:val="36"/>
          <w:szCs w:val="32"/>
          <w:lang w:eastAsia="en-GB"/>
        </w:rPr>
      </w:pPr>
      <w:r>
        <w:br w:type="page"/>
      </w:r>
    </w:p>
    <w:p w14:paraId="02478488" w14:textId="73D95FD9" w:rsidR="00C77A1B" w:rsidRDefault="00C77A1B" w:rsidP="008F735F">
      <w:pPr>
        <w:pStyle w:val="Heading1"/>
      </w:pPr>
      <w:r>
        <w:lastRenderedPageBreak/>
        <w:t>Abstract</w:t>
      </w:r>
    </w:p>
    <w:p w14:paraId="0CB416BF" w14:textId="0AAB7143" w:rsidR="00C77A1B" w:rsidRDefault="00C77A1B" w:rsidP="00C77A1B">
      <w:pPr>
        <w:pStyle w:val="NoSpacing"/>
        <w:spacing w:line="480" w:lineRule="auto"/>
      </w:pPr>
      <w:r>
        <w:t>In this brief report, we use data from a series of three related cohorts on pain and OA at the knee, hand, and foot, which were</w:t>
      </w:r>
      <w:r w:rsidR="00D0154C">
        <w:t xml:space="preserve"> conducted in North Staffordshire, England</w:t>
      </w:r>
      <w:r>
        <w:t xml:space="preserve">, and used a common approach for sampling, data collection, and coding, to estimate the relative prevalence of 10 different symptomatic radiographic OA subtypes at the knee, hand, and foot and to compare their association with age, sex, socioeconomic position and body mass index. Overall, symptomatic hand OA was more common than knee or foot OA (22.4% vs 17.4% vs 16.5%), due mainly to the high prevalence of nodal interphalangeal joint OA among women. First carpometacarpal joint OA was the most frequent subtype, with patellofemoral, tibiofemoral, (nodal) interphalangeal, and midfoot OA also common. Of the risk factors examined, the greatest differences between subtypes appeared to be their associations with sex and obesity: sex differences were noticeably greater for all forms of hand osteoarthritis except non-nodal interphalangeal joint OA, while obesity appeared most strongly associated with forms of knee OA. The prevalence of all subtypes was higher among older ages, and among those with lower educational attainment. </w:t>
      </w:r>
    </w:p>
    <w:p w14:paraId="0EEC4955" w14:textId="77777777" w:rsidR="00C77A1B" w:rsidRDefault="00C77A1B">
      <w:pPr>
        <w:spacing w:after="200" w:line="276" w:lineRule="auto"/>
      </w:pPr>
    </w:p>
    <w:p w14:paraId="19C5F0C9" w14:textId="77777777" w:rsidR="00C77A1B" w:rsidRPr="00C64839" w:rsidRDefault="00C77A1B" w:rsidP="00C77A1B">
      <w:r w:rsidRPr="00AB3577">
        <w:rPr>
          <w:b/>
        </w:rPr>
        <w:t>Keywords:</w:t>
      </w:r>
      <w:r>
        <w:t xml:space="preserve"> osteoarthritis, prevalence, population, epidemiology, subtypes, obesity, socioeconomic status</w:t>
      </w:r>
    </w:p>
    <w:p w14:paraId="6C7928CC" w14:textId="77777777" w:rsidR="00C77A1B" w:rsidRDefault="00C77A1B">
      <w:pPr>
        <w:spacing w:after="200" w:line="276" w:lineRule="auto"/>
        <w:rPr>
          <w:rFonts w:eastAsia="Times New Roman" w:cs="Times New Roman"/>
          <w:b/>
          <w:bCs/>
          <w:smallCaps/>
          <w:kern w:val="36"/>
          <w:szCs w:val="32"/>
          <w:lang w:eastAsia="en-GB"/>
        </w:rPr>
      </w:pPr>
      <w:r>
        <w:br w:type="page"/>
      </w:r>
    </w:p>
    <w:p w14:paraId="507E8BDC" w14:textId="62979698" w:rsidR="008F735F" w:rsidRDefault="00CE2FF0" w:rsidP="008F735F">
      <w:pPr>
        <w:pStyle w:val="Heading1"/>
      </w:pPr>
      <w:r>
        <w:lastRenderedPageBreak/>
        <w:t>1</w:t>
      </w:r>
      <w:r w:rsidR="00544FDA">
        <w:t>.</w:t>
      </w:r>
      <w:r>
        <w:t xml:space="preserve"> Introduction</w:t>
      </w:r>
    </w:p>
    <w:p w14:paraId="21C85136" w14:textId="594D8524" w:rsidR="00150786" w:rsidRPr="00336012" w:rsidRDefault="003165A3" w:rsidP="005A3677">
      <w:pPr>
        <w:rPr>
          <w:rFonts w:eastAsia="Times New Roman" w:cs="Times New Roman"/>
          <w:bCs/>
          <w:kern w:val="36"/>
          <w:szCs w:val="32"/>
          <w:lang w:eastAsia="en-GB"/>
        </w:rPr>
      </w:pPr>
      <w:r w:rsidRPr="00C3645C">
        <w:t>Whether</w:t>
      </w:r>
      <w:r w:rsidR="00B44438">
        <w:t xml:space="preserve"> it is </w:t>
      </w:r>
      <w:r w:rsidRPr="00C3645C">
        <w:t>risk alleles and gen</w:t>
      </w:r>
      <w:r w:rsidR="00DE7D56">
        <w:t>e expression</w:t>
      </w:r>
      <w:r w:rsidR="008B1C95">
        <w:t xml:space="preserve"> </w:t>
      </w:r>
      <w:r w:rsidR="00D83DC9">
        <w:t>(</w:t>
      </w:r>
      <w:r w:rsidR="00D83DC9">
        <w:rPr>
          <w:lang w:eastAsia="en-GB"/>
        </w:rPr>
        <w:t>Reynard &amp;</w:t>
      </w:r>
      <w:r w:rsidR="00D83DC9" w:rsidRPr="00EE3E86">
        <w:rPr>
          <w:lang w:eastAsia="en-GB"/>
        </w:rPr>
        <w:t> </w:t>
      </w:r>
      <w:r w:rsidR="00D83DC9">
        <w:rPr>
          <w:lang w:eastAsia="en-GB"/>
        </w:rPr>
        <w:t>Loughlin, 2013</w:t>
      </w:r>
      <w:r w:rsidR="00864457">
        <w:rPr>
          <w:lang w:eastAsia="en-GB"/>
        </w:rPr>
        <w:t>; Warner &amp; Valdes, 2017</w:t>
      </w:r>
      <w:r w:rsidR="00D83DC9">
        <w:t>)</w:t>
      </w:r>
      <w:r w:rsidR="00DE7D56">
        <w:t>,</w:t>
      </w:r>
      <w:r w:rsidRPr="00C3645C">
        <w:t xml:space="preserve"> </w:t>
      </w:r>
      <w:r w:rsidR="00CD6397">
        <w:t>biomechanical</w:t>
      </w:r>
      <w:r w:rsidR="00B44438">
        <w:t xml:space="preserve"> or</w:t>
      </w:r>
      <w:r w:rsidR="00D83E88">
        <w:t xml:space="preserve"> constitutional</w:t>
      </w:r>
      <w:r w:rsidR="00CD6397">
        <w:t xml:space="preserve"> </w:t>
      </w:r>
      <w:r w:rsidRPr="00C3645C">
        <w:t xml:space="preserve">risk profiles </w:t>
      </w:r>
      <w:r w:rsidR="00C10426">
        <w:t>(</w:t>
      </w:r>
      <w:r w:rsidR="00864457">
        <w:t xml:space="preserve">e.g. </w:t>
      </w:r>
      <w:r w:rsidR="008B1C95">
        <w:t>Cooper et al., 1994</w:t>
      </w:r>
      <w:r w:rsidR="00C10426">
        <w:t>)</w:t>
      </w:r>
      <w:r w:rsidR="00C3645C">
        <w:t>,</w:t>
      </w:r>
      <w:r w:rsidRPr="00C3645C">
        <w:t xml:space="preserve"> </w:t>
      </w:r>
      <w:r w:rsidR="00B44438">
        <w:t>osteoarthritis researchers have often sought to compare and contrast findings across</w:t>
      </w:r>
      <w:r w:rsidR="00DE7D56">
        <w:t xml:space="preserve"> </w:t>
      </w:r>
      <w:r w:rsidR="00B44438">
        <w:t>different joint</w:t>
      </w:r>
      <w:r w:rsidR="005E32F9">
        <w:t>s to gain new insights into the relative susceptibility to, and differential causes of, OA at different joints. Descriptive studies have a role</w:t>
      </w:r>
      <w:r w:rsidR="00E85924">
        <w:t xml:space="preserve"> in this endeavour</w:t>
      </w:r>
      <w:r w:rsidR="000B7514">
        <w:t>.</w:t>
      </w:r>
      <w:r w:rsidR="006B7EFB" w:rsidRPr="006B7EFB">
        <w:t xml:space="preserve"> </w:t>
      </w:r>
      <w:r w:rsidR="000B7514">
        <w:t xml:space="preserve">There are a great many published estimates of the population prevalence of peripheral joint osteoarthritis (Pereira et al., 2011; </w:t>
      </w:r>
      <w:r w:rsidR="00864457">
        <w:t>Kobayashi et al., 2016</w:t>
      </w:r>
      <w:r w:rsidR="000B7514">
        <w:t xml:space="preserve">; </w:t>
      </w:r>
      <w:r w:rsidR="00336012">
        <w:t>Trivedi et al., 2010</w:t>
      </w:r>
      <w:r w:rsidR="000B7514">
        <w:t>) and models incorporating multiple estimates, such as underpins the Global Burden of Disease project (Cross et al., 2014), represent an important advance.</w:t>
      </w:r>
      <w:r w:rsidR="00336012">
        <w:rPr>
          <w:rFonts w:eastAsia="Times New Roman" w:cs="Times New Roman"/>
          <w:bCs/>
          <w:kern w:val="36"/>
          <w:szCs w:val="32"/>
          <w:lang w:eastAsia="en-GB"/>
        </w:rPr>
        <w:t xml:space="preserve"> However, studies</w:t>
      </w:r>
      <w:r w:rsidR="006B7EFB">
        <w:t xml:space="preserve"> that are capable of directly comparing the frequency and distribution of different forms of joint-specific OA in the same underlying population</w:t>
      </w:r>
      <w:r w:rsidR="00E85FC8">
        <w:t xml:space="preserve"> </w:t>
      </w:r>
      <w:r w:rsidR="00336012">
        <w:t xml:space="preserve">can </w:t>
      </w:r>
      <w:r w:rsidR="009965C5">
        <w:t xml:space="preserve">still </w:t>
      </w:r>
      <w:r w:rsidR="00336012">
        <w:t xml:space="preserve">be useful </w:t>
      </w:r>
      <w:r w:rsidR="00E85FC8">
        <w:t>si</w:t>
      </w:r>
      <w:r w:rsidR="00336012">
        <w:t>nce they remove</w:t>
      </w:r>
      <w:r w:rsidR="00A56A38">
        <w:t xml:space="preserve"> several </w:t>
      </w:r>
      <w:r w:rsidR="00E85FC8">
        <w:t xml:space="preserve">sources of methodological heterogeneity that </w:t>
      </w:r>
      <w:r w:rsidR="00A56A38">
        <w:t>bedevil</w:t>
      </w:r>
      <w:r w:rsidR="00A5011E">
        <w:t xml:space="preserve"> comparisons between studies</w:t>
      </w:r>
      <w:r w:rsidR="005E32F9">
        <w:t xml:space="preserve">. </w:t>
      </w:r>
      <w:r w:rsidR="00FC202C">
        <w:t xml:space="preserve">In this </w:t>
      </w:r>
      <w:r w:rsidR="00A56A38">
        <w:t xml:space="preserve">brief </w:t>
      </w:r>
      <w:r w:rsidR="00FC202C">
        <w:t xml:space="preserve">report, we </w:t>
      </w:r>
      <w:r w:rsidR="00C52607">
        <w:t>draw on data from a series</w:t>
      </w:r>
      <w:r w:rsidR="00FC202C" w:rsidRPr="00C3645C">
        <w:t xml:space="preserve"> of </w:t>
      </w:r>
      <w:r w:rsidR="00C52607">
        <w:t xml:space="preserve">three </w:t>
      </w:r>
      <w:r w:rsidR="00FC202C" w:rsidRPr="00C3645C">
        <w:t xml:space="preserve">related cohorts on </w:t>
      </w:r>
      <w:r w:rsidR="00FC202C">
        <w:t xml:space="preserve">pain and OA at the </w:t>
      </w:r>
      <w:r w:rsidR="00FC202C" w:rsidRPr="00C3645C">
        <w:t>knee</w:t>
      </w:r>
      <w:r w:rsidR="00EC7FE8">
        <w:t xml:space="preserve"> </w:t>
      </w:r>
      <w:r w:rsidR="006E0F8B">
        <w:t>(Peat et al., 2004)</w:t>
      </w:r>
      <w:r w:rsidR="00FC202C" w:rsidRPr="00C3645C">
        <w:t>, hand</w:t>
      </w:r>
      <w:r w:rsidR="006E0F8B">
        <w:t xml:space="preserve"> (Myers et al., 2007)</w:t>
      </w:r>
      <w:r w:rsidR="00FC202C" w:rsidRPr="00C3645C">
        <w:t>, and foot</w:t>
      </w:r>
      <w:r w:rsidR="006E0F8B">
        <w:t xml:space="preserve"> (Roddy et al., 2011)</w:t>
      </w:r>
      <w:r w:rsidR="009D70E1">
        <w:t>,</w:t>
      </w:r>
      <w:r w:rsidR="0057484A">
        <w:t xml:space="preserve"> which were </w:t>
      </w:r>
      <w:r w:rsidR="008D489F">
        <w:t xml:space="preserve">conducted </w:t>
      </w:r>
      <w:r w:rsidR="004063F9">
        <w:t>in North Staffordshire in England</w:t>
      </w:r>
      <w:r w:rsidR="0057484A">
        <w:t>,</w:t>
      </w:r>
      <w:r w:rsidR="00FC202C">
        <w:t xml:space="preserve"> </w:t>
      </w:r>
      <w:r w:rsidR="00C52607">
        <w:t>and used</w:t>
      </w:r>
      <w:r w:rsidR="008D489F">
        <w:t xml:space="preserve"> a common approach</w:t>
      </w:r>
      <w:r w:rsidR="00FC202C" w:rsidRPr="00C3645C">
        <w:t xml:space="preserve"> </w:t>
      </w:r>
      <w:r w:rsidR="00FC202C">
        <w:t>for sampling, data collection, and coding</w:t>
      </w:r>
      <w:r w:rsidR="00C52607">
        <w:t>.</w:t>
      </w:r>
      <w:r w:rsidR="00FC202C">
        <w:t xml:space="preserve"> </w:t>
      </w:r>
      <w:r w:rsidR="003C2D7B">
        <w:t xml:space="preserve">We have previously published prevalence estimates from two of these studies but </w:t>
      </w:r>
      <w:r w:rsidR="00F33EF1">
        <w:t xml:space="preserve">not using a harmonised approach to case </w:t>
      </w:r>
      <w:r w:rsidR="00F33EF1" w:rsidRPr="00F6493E">
        <w:t>definition</w:t>
      </w:r>
      <w:r w:rsidR="00F6493E">
        <w:t xml:space="preserve"> (Marshall et al., 2013; Roddy et al., 2015)</w:t>
      </w:r>
      <w:r w:rsidR="00F33EF1" w:rsidRPr="00F6493E">
        <w:t>. The current report adopted a harmonised approach to case definition and analysis</w:t>
      </w:r>
      <w:r w:rsidR="00F6493E" w:rsidRPr="00F6493E">
        <w:t>,</w:t>
      </w:r>
      <w:r w:rsidR="00F6493E">
        <w:t xml:space="preserve"> applying this to all three cohorts for the first time</w:t>
      </w:r>
      <w:r w:rsidR="006A01A9">
        <w:t xml:space="preserve"> </w:t>
      </w:r>
      <w:r w:rsidR="00F6493E">
        <w:t xml:space="preserve">to </w:t>
      </w:r>
      <w:r w:rsidR="00C402B2">
        <w:t>consolidate</w:t>
      </w:r>
      <w:r w:rsidR="00F6493E">
        <w:t xml:space="preserve"> evidence </w:t>
      </w:r>
      <w:r w:rsidR="00C402B2">
        <w:t>in relation to</w:t>
      </w:r>
      <w:r w:rsidR="006E0F8B">
        <w:t xml:space="preserve"> two main questions: (i</w:t>
      </w:r>
      <w:r w:rsidR="00242A6B">
        <w:t xml:space="preserve">) </w:t>
      </w:r>
      <w:r w:rsidR="0009646D">
        <w:t>W</w:t>
      </w:r>
      <w:r w:rsidR="00242A6B">
        <w:t>hat is the relative prevalence of different symptomatic radiographic</w:t>
      </w:r>
      <w:r w:rsidR="00CC1FCE">
        <w:t xml:space="preserve"> OA</w:t>
      </w:r>
      <w:r w:rsidR="00310CDB">
        <w:t xml:space="preserve"> sub</w:t>
      </w:r>
      <w:r w:rsidR="00242A6B">
        <w:t>types</w:t>
      </w:r>
      <w:r w:rsidR="006E0F8B">
        <w:t xml:space="preserve"> at the knee, hand, and foot? (ii</w:t>
      </w:r>
      <w:r w:rsidR="00242A6B">
        <w:t xml:space="preserve">) </w:t>
      </w:r>
      <w:r w:rsidR="0009646D">
        <w:t>T</w:t>
      </w:r>
      <w:r w:rsidR="001E4C58">
        <w:t>o what extent do</w:t>
      </w:r>
      <w:r w:rsidR="00CC1FCE">
        <w:t xml:space="preserve"> these s</w:t>
      </w:r>
      <w:r w:rsidR="00310CDB">
        <w:t>ymptomatic radiographic OA sub</w:t>
      </w:r>
      <w:r w:rsidR="00CC1FCE">
        <w:t>types</w:t>
      </w:r>
      <w:r w:rsidR="001E4C58">
        <w:t xml:space="preserve"> </w:t>
      </w:r>
      <w:r w:rsidR="0009646D">
        <w:t>exhibit similar</w:t>
      </w:r>
      <w:r w:rsidR="00C402B2">
        <w:t xml:space="preserve"> relationships with </w:t>
      </w:r>
      <w:r w:rsidR="001E4C58">
        <w:t xml:space="preserve">age, sex, </w:t>
      </w:r>
      <w:r w:rsidR="00B24783">
        <w:t>socioeconomic status</w:t>
      </w:r>
      <w:r w:rsidR="00C402B2">
        <w:t xml:space="preserve"> and body mass index</w:t>
      </w:r>
      <w:r w:rsidR="005775EA">
        <w:t xml:space="preserve">? </w:t>
      </w:r>
    </w:p>
    <w:p w14:paraId="1CE059BD" w14:textId="77777777" w:rsidR="007A6AF8" w:rsidRDefault="00CE2FF0" w:rsidP="00000C76">
      <w:pPr>
        <w:pStyle w:val="Heading1"/>
      </w:pPr>
      <w:r>
        <w:t>2</w:t>
      </w:r>
      <w:r w:rsidR="00544FDA">
        <w:t>.</w:t>
      </w:r>
      <w:r>
        <w:t xml:space="preserve"> </w:t>
      </w:r>
      <w:r w:rsidR="007A6AF8">
        <w:t>Methods</w:t>
      </w:r>
    </w:p>
    <w:p w14:paraId="65DF6852" w14:textId="77777777" w:rsidR="007D4CAA" w:rsidRPr="007D4CAA" w:rsidRDefault="007D4CAA" w:rsidP="007A6AF8">
      <w:pPr>
        <w:rPr>
          <w:b/>
        </w:rPr>
      </w:pPr>
      <w:r w:rsidRPr="007D4CAA">
        <w:rPr>
          <w:b/>
        </w:rPr>
        <w:t>Data sources</w:t>
      </w:r>
    </w:p>
    <w:p w14:paraId="69DC12C4" w14:textId="6887F90E" w:rsidR="00800C0A" w:rsidRDefault="00392E07" w:rsidP="007A6AF8">
      <w:r>
        <w:t>We conducted</w:t>
      </w:r>
      <w:r w:rsidRPr="00E01E9F">
        <w:t xml:space="preserve"> </w:t>
      </w:r>
      <w:r>
        <w:t xml:space="preserve">a secondary analysis of </w:t>
      </w:r>
      <w:r w:rsidRPr="00E01E9F">
        <w:t>cross-sectional</w:t>
      </w:r>
      <w:r>
        <w:t xml:space="preserve"> survey data </w:t>
      </w:r>
      <w:r w:rsidR="007E660B">
        <w:t>collected</w:t>
      </w:r>
      <w:r w:rsidR="00A34980">
        <w:t xml:space="preserve"> </w:t>
      </w:r>
      <w:r w:rsidR="00A56CB5">
        <w:t>between 2002 a</w:t>
      </w:r>
      <w:r w:rsidR="00FF306A">
        <w:t>nd 2011</w:t>
      </w:r>
      <w:r w:rsidR="00A56CB5">
        <w:t xml:space="preserve"> </w:t>
      </w:r>
      <w:r w:rsidR="00A34980">
        <w:t>in</w:t>
      </w:r>
      <w:r w:rsidR="00EC52D1">
        <w:t xml:space="preserve"> three related</w:t>
      </w:r>
      <w:r>
        <w:t xml:space="preserve"> </w:t>
      </w:r>
      <w:r w:rsidR="00EC52D1">
        <w:t xml:space="preserve">population-based </w:t>
      </w:r>
      <w:r>
        <w:t>studies</w:t>
      </w:r>
      <w:r w:rsidR="001278C4">
        <w:t xml:space="preserve"> </w:t>
      </w:r>
      <w:r w:rsidR="00CE049F">
        <w:t xml:space="preserve">of adults aged 50 years and over </w:t>
      </w:r>
      <w:r w:rsidR="00EC52D1">
        <w:t>in North Staffordshire</w:t>
      </w:r>
      <w:r w:rsidR="00CE049F">
        <w:t>, England: t</w:t>
      </w:r>
      <w:r w:rsidR="00856949">
        <w:t>he Clinical Assessment Study of the Knee (CASK)</w:t>
      </w:r>
      <w:r w:rsidR="00CE049F">
        <w:t>, t</w:t>
      </w:r>
      <w:r>
        <w:t>he Clinical Assessment Study of the Hand (CASHA)</w:t>
      </w:r>
      <w:r w:rsidR="00CE049F">
        <w:t>, and t</w:t>
      </w:r>
      <w:r>
        <w:t>he Clini</w:t>
      </w:r>
      <w:r w:rsidR="00A34980">
        <w:t>cal Assessment Study of the Foot (CASF</w:t>
      </w:r>
      <w:r>
        <w:t>)</w:t>
      </w:r>
      <w:r w:rsidR="001278C4">
        <w:t>.</w:t>
      </w:r>
      <w:r w:rsidR="00A34980">
        <w:t xml:space="preserve"> The studies were each approved by Research Ethics Committee (</w:t>
      </w:r>
      <w:r w:rsidR="006F460D">
        <w:t xml:space="preserve">LREC Project Nos. 1430, </w:t>
      </w:r>
      <w:r w:rsidR="00021613">
        <w:t>10/H1210/5</w:t>
      </w:r>
      <w:r w:rsidR="0098700E">
        <w:t>),</w:t>
      </w:r>
      <w:r w:rsidR="00A02088">
        <w:t xml:space="preserve"> </w:t>
      </w:r>
      <w:r w:rsidR="0098700E">
        <w:t xml:space="preserve">and </w:t>
      </w:r>
      <w:r w:rsidR="00A02088">
        <w:t>their protocols</w:t>
      </w:r>
      <w:r w:rsidR="00F660F6">
        <w:t xml:space="preserve"> </w:t>
      </w:r>
      <w:r w:rsidR="008F585F">
        <w:t>have</w:t>
      </w:r>
      <w:r w:rsidR="00F660F6">
        <w:t xml:space="preserve"> </w:t>
      </w:r>
      <w:r w:rsidR="00865D2D">
        <w:t xml:space="preserve">been published (Peat et al., </w:t>
      </w:r>
      <w:r w:rsidR="00865D2D">
        <w:lastRenderedPageBreak/>
        <w:t>2004; Myers et al., 2007; Roddy et al., 2011)</w:t>
      </w:r>
      <w:r w:rsidR="00A02088">
        <w:t>.</w:t>
      </w:r>
      <w:r w:rsidR="008F585F">
        <w:t xml:space="preserve"> Briefly, </w:t>
      </w:r>
      <w:r w:rsidR="00AA080C">
        <w:t>in each study, general practice r</w:t>
      </w:r>
      <w:r w:rsidR="00865731">
        <w:t xml:space="preserve">egisters were used as a </w:t>
      </w:r>
      <w:r w:rsidR="00AA080C">
        <w:t xml:space="preserve">population sample frame to mail </w:t>
      </w:r>
      <w:r w:rsidR="00F944F9">
        <w:t xml:space="preserve">a self-complete general health </w:t>
      </w:r>
      <w:r w:rsidR="00AB2F6B">
        <w:t xml:space="preserve">survey to </w:t>
      </w:r>
      <w:r w:rsidR="00AA080C">
        <w:t>all adults aged 50 years and over</w:t>
      </w:r>
      <w:r w:rsidR="00AB2F6B">
        <w:t xml:space="preserve">. </w:t>
      </w:r>
      <w:r w:rsidR="00261167">
        <w:t xml:space="preserve">Respondents </w:t>
      </w:r>
      <w:r w:rsidR="00865731">
        <w:t xml:space="preserve">who </w:t>
      </w:r>
      <w:r w:rsidR="00261167">
        <w:t xml:space="preserve">indicated </w:t>
      </w:r>
      <w:r w:rsidR="00865731">
        <w:t xml:space="preserve">that they had </w:t>
      </w:r>
      <w:r w:rsidR="00261167">
        <w:t xml:space="preserve">pain in the joint region of interest </w:t>
      </w:r>
      <w:r w:rsidR="005206F8">
        <w:t xml:space="preserve">(knee, hand, foot) </w:t>
      </w:r>
      <w:r w:rsidR="00421EB7">
        <w:t xml:space="preserve">and consented to further contact </w:t>
      </w:r>
      <w:r w:rsidR="00261167">
        <w:t xml:space="preserve">were invited </w:t>
      </w:r>
      <w:r w:rsidR="005206F8">
        <w:t>to attend a research assessment clinic that included standardised interview, physical e</w:t>
      </w:r>
      <w:r w:rsidR="00865731">
        <w:t>xamination</w:t>
      </w:r>
      <w:r w:rsidR="001A3900">
        <w:t>, measurement of height and weight,</w:t>
      </w:r>
      <w:r w:rsidR="00865731">
        <w:t xml:space="preserve"> and plain rad</w:t>
      </w:r>
      <w:r w:rsidR="0011242D">
        <w:t>iography</w:t>
      </w:r>
      <w:r w:rsidR="005206F8">
        <w:t>. In CASK and CASHA, there</w:t>
      </w:r>
      <w:r w:rsidR="00AB2F6B">
        <w:t xml:space="preserve"> was a two-stage mailing with all resp</w:t>
      </w:r>
      <w:bookmarkStart w:id="0" w:name="_GoBack"/>
      <w:bookmarkEnd w:id="0"/>
      <w:r w:rsidR="00AB2F6B">
        <w:t xml:space="preserve">ondents reporting </w:t>
      </w:r>
      <w:r w:rsidR="00A56CB5">
        <w:t>pain in or around the knee or hand</w:t>
      </w:r>
      <w:r w:rsidR="00AB2F6B">
        <w:t xml:space="preserve"> in the past 12 months </w:t>
      </w:r>
      <w:r w:rsidR="00F73DA5">
        <w:t>in the general health survey</w:t>
      </w:r>
      <w:r w:rsidR="00AB2F6B">
        <w:t xml:space="preserve"> being invited to complete a more detailed </w:t>
      </w:r>
      <w:r w:rsidR="00AE3B1D">
        <w:t xml:space="preserve">regional pains </w:t>
      </w:r>
      <w:r w:rsidR="00AB2F6B">
        <w:t>questionnaire</w:t>
      </w:r>
      <w:r w:rsidR="00266EBC">
        <w:t xml:space="preserve"> prior to being </w:t>
      </w:r>
      <w:r w:rsidR="005206F8">
        <w:t xml:space="preserve">issued a clinic </w:t>
      </w:r>
      <w:r w:rsidR="00F11CEA">
        <w:t>invite</w:t>
      </w:r>
      <w:r w:rsidR="00435B4C">
        <w:t>,</w:t>
      </w:r>
      <w:r w:rsidR="00266EBC">
        <w:t xml:space="preserve"> </w:t>
      </w:r>
      <w:r w:rsidR="006E1DAC">
        <w:t xml:space="preserve">whereas </w:t>
      </w:r>
      <w:r w:rsidR="00435B4C">
        <w:t xml:space="preserve">for CASF, the </w:t>
      </w:r>
      <w:r w:rsidR="006E1DAC">
        <w:t>corresponding foot-specific questions were include</w:t>
      </w:r>
      <w:r w:rsidR="00435B4C">
        <w:t>d in the single-stage health survey.</w:t>
      </w:r>
      <w:r w:rsidR="00E62730">
        <w:t xml:space="preserve"> </w:t>
      </w:r>
      <w:r w:rsidR="00C21EB0">
        <w:t xml:space="preserve">The content </w:t>
      </w:r>
      <w:r w:rsidR="007E38AB">
        <w:t xml:space="preserve">of all the surveys and data collection instruments used </w:t>
      </w:r>
      <w:r w:rsidR="00C21EB0">
        <w:t xml:space="preserve">at baseline is listed in </w:t>
      </w:r>
      <w:r w:rsidR="00D63F24">
        <w:t>the three publicly available protocol papers</w:t>
      </w:r>
      <w:r w:rsidR="00C21EB0">
        <w:t xml:space="preserve"> </w:t>
      </w:r>
      <w:r w:rsidR="00C21EB0">
        <w:t>(Peat et al., 2004; Myers et al., 2007; Roddy et al., 2011)</w:t>
      </w:r>
      <w:r w:rsidR="00C21EB0">
        <w:t>.</w:t>
      </w:r>
    </w:p>
    <w:p w14:paraId="46B208A0" w14:textId="1D241767" w:rsidR="00392E07" w:rsidRPr="001A7E1B" w:rsidRDefault="007F2729" w:rsidP="007A6AF8">
      <w:r w:rsidRPr="001A7E1B">
        <w:t>S</w:t>
      </w:r>
      <w:r w:rsidR="00C2518C" w:rsidRPr="001A7E1B">
        <w:t xml:space="preserve">elf-reported </w:t>
      </w:r>
      <w:r w:rsidRPr="001A7E1B">
        <w:t xml:space="preserve">pain in the previous 4 weeks </w:t>
      </w:r>
      <w:r w:rsidR="006F3BD6" w:rsidRPr="001A7E1B">
        <w:t xml:space="preserve">at the knee, </w:t>
      </w:r>
      <w:r w:rsidR="00C2518C" w:rsidRPr="001A7E1B">
        <w:t xml:space="preserve">and specific locations in the hands </w:t>
      </w:r>
      <w:r w:rsidR="006F3BD6" w:rsidRPr="001A7E1B">
        <w:t xml:space="preserve">and feet </w:t>
      </w:r>
      <w:r w:rsidRPr="001A7E1B">
        <w:t xml:space="preserve">was collected </w:t>
      </w:r>
      <w:r w:rsidR="0050311A" w:rsidRPr="001A7E1B">
        <w:t xml:space="preserve">in CASK, CASHA, and CASF </w:t>
      </w:r>
      <w:r w:rsidR="006E23F3" w:rsidRPr="001A7E1B">
        <w:t>by participants shading a</w:t>
      </w:r>
      <w:r w:rsidR="0050311A" w:rsidRPr="001A7E1B">
        <w:t xml:space="preserve"> whole-body manikin,</w:t>
      </w:r>
      <w:r w:rsidR="00C2518C" w:rsidRPr="001A7E1B">
        <w:t xml:space="preserve"> </w:t>
      </w:r>
      <w:r w:rsidR="006E23F3" w:rsidRPr="001A7E1B">
        <w:t>hand</w:t>
      </w:r>
      <w:r w:rsidR="0036036E" w:rsidRPr="001A7E1B">
        <w:t xml:space="preserve"> drawings (Ferry et al., 1998)</w:t>
      </w:r>
      <w:r w:rsidR="006E23F3" w:rsidRPr="001A7E1B">
        <w:t xml:space="preserve">, and </w:t>
      </w:r>
      <w:r w:rsidR="00800C0A" w:rsidRPr="001A7E1B">
        <w:t>foot manikin (Garrow et al., 2004)</w:t>
      </w:r>
      <w:r w:rsidR="00742C1B" w:rsidRPr="001A7E1B">
        <w:t xml:space="preserve"> respectively</w:t>
      </w:r>
      <w:r w:rsidR="00800C0A" w:rsidRPr="001A7E1B">
        <w:t>.</w:t>
      </w:r>
      <w:r w:rsidR="006F3BD6" w:rsidRPr="001A7E1B">
        <w:t xml:space="preserve"> </w:t>
      </w:r>
      <w:r w:rsidR="00A77014" w:rsidRPr="001A7E1B">
        <w:t>In CASK, CASHA, and CASF, p</w:t>
      </w:r>
      <w:r w:rsidR="006C5CF0" w:rsidRPr="001A7E1B">
        <w:t>lain radiographs</w:t>
      </w:r>
      <w:r w:rsidR="00936400" w:rsidRPr="001A7E1B">
        <w:t xml:space="preserve"> of the knee (</w:t>
      </w:r>
      <w:r w:rsidR="006C5CF0" w:rsidRPr="001A7E1B">
        <w:rPr>
          <w:color w:val="2A2A2A"/>
          <w:shd w:val="clear" w:color="auto" w:fill="FFFFFF"/>
        </w:rPr>
        <w:t>weight-bearing posteroanterior semiflexed/met</w:t>
      </w:r>
      <w:r w:rsidR="009E1FF6" w:rsidRPr="001A7E1B">
        <w:rPr>
          <w:color w:val="2A2A2A"/>
          <w:shd w:val="clear" w:color="auto" w:fill="FFFFFF"/>
        </w:rPr>
        <w:t>atarsophalangeal,</w:t>
      </w:r>
      <w:r w:rsidR="006C5CF0" w:rsidRPr="001A7E1B">
        <w:rPr>
          <w:color w:val="2A2A2A"/>
          <w:shd w:val="clear" w:color="auto" w:fill="FFFFFF"/>
        </w:rPr>
        <w:t xml:space="preserve"> </w:t>
      </w:r>
      <w:r w:rsidR="009E1FF6" w:rsidRPr="001A7E1B">
        <w:rPr>
          <w:color w:val="2A2A2A"/>
          <w:shd w:val="clear" w:color="auto" w:fill="FFFFFF"/>
        </w:rPr>
        <w:t>skyline, and</w:t>
      </w:r>
      <w:r w:rsidR="006C5CF0" w:rsidRPr="001A7E1B">
        <w:rPr>
          <w:color w:val="2A2A2A"/>
          <w:shd w:val="clear" w:color="auto" w:fill="FFFFFF"/>
        </w:rPr>
        <w:t xml:space="preserve"> lateral view</w:t>
      </w:r>
      <w:r w:rsidR="009E1FF6" w:rsidRPr="001A7E1B">
        <w:rPr>
          <w:color w:val="2A2A2A"/>
          <w:shd w:val="clear" w:color="auto" w:fill="FFFFFF"/>
        </w:rPr>
        <w:t>s</w:t>
      </w:r>
      <w:r w:rsidR="006C5CF0" w:rsidRPr="001A7E1B">
        <w:rPr>
          <w:color w:val="2A2A2A"/>
          <w:shd w:val="clear" w:color="auto" w:fill="FFFFFF"/>
        </w:rPr>
        <w:t xml:space="preserve">), </w:t>
      </w:r>
      <w:r w:rsidR="00A77014" w:rsidRPr="001A7E1B">
        <w:rPr>
          <w:color w:val="2A2A2A"/>
          <w:shd w:val="clear" w:color="auto" w:fill="FFFFFF"/>
        </w:rPr>
        <w:t>hand</w:t>
      </w:r>
      <w:r w:rsidR="009E1FF6" w:rsidRPr="001A7E1B">
        <w:rPr>
          <w:color w:val="2A2A2A"/>
          <w:shd w:val="clear" w:color="auto" w:fill="FFFFFF"/>
        </w:rPr>
        <w:t>s</w:t>
      </w:r>
      <w:r w:rsidR="00A77014" w:rsidRPr="001A7E1B">
        <w:rPr>
          <w:color w:val="2A2A2A"/>
          <w:shd w:val="clear" w:color="auto" w:fill="FFFFFF"/>
        </w:rPr>
        <w:t xml:space="preserve"> (</w:t>
      </w:r>
      <w:r w:rsidR="00A77014" w:rsidRPr="001A7E1B">
        <w:rPr>
          <w:color w:val="000000"/>
          <w:shd w:val="clear" w:color="auto" w:fill="FFFFFF"/>
        </w:rPr>
        <w:t>p</w:t>
      </w:r>
      <w:r w:rsidR="006F3BD6" w:rsidRPr="001A7E1B">
        <w:rPr>
          <w:color w:val="000000"/>
          <w:shd w:val="clear" w:color="auto" w:fill="FFFFFF"/>
        </w:rPr>
        <w:t>osterior–anterior (PA)</w:t>
      </w:r>
      <w:r w:rsidR="00A77014" w:rsidRPr="001A7E1B">
        <w:rPr>
          <w:color w:val="000000"/>
          <w:shd w:val="clear" w:color="auto" w:fill="FFFFFF"/>
        </w:rPr>
        <w:t xml:space="preserve"> view</w:t>
      </w:r>
      <w:r w:rsidR="009E1FF6" w:rsidRPr="001A7E1B">
        <w:rPr>
          <w:color w:val="000000"/>
          <w:shd w:val="clear" w:color="auto" w:fill="FFFFFF"/>
        </w:rPr>
        <w:t>, and fee</w:t>
      </w:r>
      <w:r w:rsidR="008A1347" w:rsidRPr="001A7E1B">
        <w:rPr>
          <w:color w:val="000000"/>
          <w:shd w:val="clear" w:color="auto" w:fill="FFFFFF"/>
        </w:rPr>
        <w:t>t (</w:t>
      </w:r>
      <w:r w:rsidR="008A1347" w:rsidRPr="001A7E1B">
        <w:rPr>
          <w:color w:val="333333"/>
          <w:shd w:val="clear" w:color="auto" w:fill="FFFFFF"/>
        </w:rPr>
        <w:t>weight-bearing dorso-plantar and lateral views</w:t>
      </w:r>
      <w:r w:rsidR="00770978" w:rsidRPr="001A7E1B">
        <w:rPr>
          <w:color w:val="000000"/>
          <w:shd w:val="clear" w:color="auto" w:fill="FFFFFF"/>
        </w:rPr>
        <w:t xml:space="preserve">) </w:t>
      </w:r>
      <w:r w:rsidR="008A1347" w:rsidRPr="001A7E1B">
        <w:rPr>
          <w:color w:val="000000"/>
          <w:shd w:val="clear" w:color="auto" w:fill="FFFFFF"/>
        </w:rPr>
        <w:t xml:space="preserve">respectively </w:t>
      </w:r>
      <w:r w:rsidR="00770978" w:rsidRPr="001A7E1B">
        <w:rPr>
          <w:color w:val="000000"/>
          <w:shd w:val="clear" w:color="auto" w:fill="FFFFFF"/>
        </w:rPr>
        <w:t>were taken according to</w:t>
      </w:r>
      <w:r w:rsidR="006F3BD6" w:rsidRPr="001A7E1B">
        <w:rPr>
          <w:color w:val="000000"/>
          <w:shd w:val="clear" w:color="auto" w:fill="FFFFFF"/>
        </w:rPr>
        <w:t xml:space="preserve"> standardised protoco</w:t>
      </w:r>
      <w:r w:rsidR="00770978" w:rsidRPr="001A7E1B">
        <w:rPr>
          <w:color w:val="000000"/>
          <w:shd w:val="clear" w:color="auto" w:fill="FFFFFF"/>
        </w:rPr>
        <w:t>ls</w:t>
      </w:r>
      <w:r w:rsidR="006F3BD6" w:rsidRPr="001A7E1B">
        <w:rPr>
          <w:color w:val="000000"/>
          <w:shd w:val="clear" w:color="auto" w:fill="FFFFFF"/>
        </w:rPr>
        <w:t xml:space="preserve"> </w:t>
      </w:r>
      <w:r w:rsidR="00770978" w:rsidRPr="001A7E1B">
        <w:rPr>
          <w:color w:val="000000"/>
          <w:shd w:val="clear" w:color="auto" w:fill="FFFFFF"/>
        </w:rPr>
        <w:t xml:space="preserve">and reported </w:t>
      </w:r>
      <w:r w:rsidR="008260FB" w:rsidRPr="001A7E1B">
        <w:rPr>
          <w:color w:val="000000"/>
          <w:shd w:val="clear" w:color="auto" w:fill="FFFFFF"/>
        </w:rPr>
        <w:t xml:space="preserve">by trained readers </w:t>
      </w:r>
      <w:r w:rsidR="00770978" w:rsidRPr="001A7E1B">
        <w:rPr>
          <w:color w:val="000000"/>
          <w:shd w:val="clear" w:color="auto" w:fill="FFFFFF"/>
        </w:rPr>
        <w:t xml:space="preserve">using standardised grading systems and atlases </w:t>
      </w:r>
      <w:r w:rsidR="008260FB" w:rsidRPr="001A7E1B">
        <w:rPr>
          <w:color w:val="000000"/>
          <w:shd w:val="clear" w:color="auto" w:fill="FFFFFF"/>
        </w:rPr>
        <w:t xml:space="preserve">and </w:t>
      </w:r>
      <w:r w:rsidR="00AC7B86" w:rsidRPr="001A7E1B">
        <w:rPr>
          <w:color w:val="000000"/>
          <w:shd w:val="clear" w:color="auto" w:fill="FFFFFF"/>
        </w:rPr>
        <w:t>demonstrating acceptable reliability</w:t>
      </w:r>
      <w:r w:rsidR="00BB65B4" w:rsidRPr="001A7E1B">
        <w:rPr>
          <w:color w:val="000000"/>
          <w:shd w:val="clear" w:color="auto" w:fill="FFFFFF"/>
        </w:rPr>
        <w:t xml:space="preserve"> (</w:t>
      </w:r>
      <w:r w:rsidR="008260FB" w:rsidRPr="001A7E1B">
        <w:rPr>
          <w:color w:val="000000"/>
          <w:shd w:val="clear" w:color="auto" w:fill="FFFFFF"/>
        </w:rPr>
        <w:t xml:space="preserve">Peat et al., 2004; </w:t>
      </w:r>
      <w:r w:rsidR="00BB65B4" w:rsidRPr="001A7E1B">
        <w:rPr>
          <w:color w:val="000000"/>
          <w:shd w:val="clear" w:color="auto" w:fill="FFFFFF"/>
        </w:rPr>
        <w:t xml:space="preserve">Duncan et al., 2007; </w:t>
      </w:r>
      <w:r w:rsidR="008260FB" w:rsidRPr="001A7E1B">
        <w:rPr>
          <w:color w:val="000000"/>
          <w:shd w:val="clear" w:color="auto" w:fill="FFFFFF"/>
        </w:rPr>
        <w:t xml:space="preserve">Myers et al., </w:t>
      </w:r>
      <w:r w:rsidR="003C3E83" w:rsidRPr="001A7E1B">
        <w:rPr>
          <w:color w:val="000000"/>
          <w:shd w:val="clear" w:color="auto" w:fill="FFFFFF"/>
        </w:rPr>
        <w:t>2007</w:t>
      </w:r>
      <w:r w:rsidR="008260FB" w:rsidRPr="001A7E1B">
        <w:rPr>
          <w:color w:val="000000"/>
          <w:shd w:val="clear" w:color="auto" w:fill="FFFFFF"/>
        </w:rPr>
        <w:t xml:space="preserve">; </w:t>
      </w:r>
      <w:r w:rsidR="00C36ECC" w:rsidRPr="001A7E1B">
        <w:rPr>
          <w:color w:val="000000"/>
          <w:shd w:val="clear" w:color="auto" w:fill="FFFFFF"/>
        </w:rPr>
        <w:t xml:space="preserve">Marshall et al., 2013; </w:t>
      </w:r>
      <w:r w:rsidR="008260FB" w:rsidRPr="001A7E1B">
        <w:rPr>
          <w:color w:val="000000"/>
          <w:shd w:val="clear" w:color="auto" w:fill="FFFFFF"/>
        </w:rPr>
        <w:t xml:space="preserve">Roddy et al., 2011; </w:t>
      </w:r>
      <w:r w:rsidR="00AC7B86" w:rsidRPr="001A7E1B">
        <w:rPr>
          <w:color w:val="000000"/>
          <w:shd w:val="clear" w:color="auto" w:fill="FFFFFF"/>
        </w:rPr>
        <w:t>Roddy et al., 2015)</w:t>
      </w:r>
      <w:r w:rsidR="006F3BD6" w:rsidRPr="001A7E1B">
        <w:rPr>
          <w:color w:val="000000"/>
          <w:shd w:val="clear" w:color="auto" w:fill="FFFFFF"/>
        </w:rPr>
        <w:t>.</w:t>
      </w:r>
    </w:p>
    <w:p w14:paraId="3701BF1D" w14:textId="77777777" w:rsidR="00856949" w:rsidRDefault="00856949" w:rsidP="007A6AF8"/>
    <w:p w14:paraId="590D7EF8" w14:textId="77777777" w:rsidR="00856949" w:rsidRPr="00856949" w:rsidRDefault="00856949" w:rsidP="007A6AF8">
      <w:pPr>
        <w:rPr>
          <w:b/>
        </w:rPr>
      </w:pPr>
      <w:r w:rsidRPr="00856949">
        <w:rPr>
          <w:b/>
        </w:rPr>
        <w:t>Statistical analysis</w:t>
      </w:r>
    </w:p>
    <w:p w14:paraId="75CCDC36" w14:textId="2B827101" w:rsidR="00856949" w:rsidRDefault="00D2159A" w:rsidP="007A6AF8">
      <w:r>
        <w:t xml:space="preserve">We defined </w:t>
      </w:r>
      <w:r w:rsidR="00233DAF">
        <w:t xml:space="preserve">a total of </w:t>
      </w:r>
      <w:r w:rsidR="0094734A">
        <w:t>ten</w:t>
      </w:r>
      <w:r w:rsidR="00B273F4">
        <w:t xml:space="preserve"> </w:t>
      </w:r>
      <w:r w:rsidR="00233DAF">
        <w:t xml:space="preserve">different </w:t>
      </w:r>
      <w:r>
        <w:t xml:space="preserve">symptomatic radiographic osteoarthritis </w:t>
      </w:r>
      <w:r w:rsidR="00C90C24">
        <w:t>sub</w:t>
      </w:r>
      <w:r w:rsidR="00427F61">
        <w:t xml:space="preserve">types </w:t>
      </w:r>
      <w:r>
        <w:t>using a common approach</w:t>
      </w:r>
      <w:r w:rsidR="00427F61">
        <w:t xml:space="preserve"> based on </w:t>
      </w:r>
      <w:r w:rsidR="00454D9B">
        <w:t xml:space="preserve">the combination of </w:t>
      </w:r>
      <w:r w:rsidR="00427F61">
        <w:t xml:space="preserve">definite radiographic features and </w:t>
      </w:r>
      <w:r w:rsidR="00454D9B">
        <w:t xml:space="preserve">self-reported </w:t>
      </w:r>
      <w:r w:rsidR="00427F61">
        <w:t xml:space="preserve">pain in the relevant joint </w:t>
      </w:r>
      <w:r w:rsidR="00233DAF">
        <w:t>site i</w:t>
      </w:r>
      <w:r w:rsidR="00EB5FF7">
        <w:t>n the previous four weeks</w:t>
      </w:r>
      <w:r w:rsidR="009C4FD5">
        <w:t>.</w:t>
      </w:r>
      <w:r w:rsidR="00EB5FF7">
        <w:t xml:space="preserve"> </w:t>
      </w:r>
      <w:r w:rsidR="00C90C24">
        <w:t>The sub</w:t>
      </w:r>
      <w:r w:rsidR="000A5A34">
        <w:t xml:space="preserve">types were: medial tibiofemoral joint OA, lateral tibiofemoral joint OA, patellofemoral joint OA, </w:t>
      </w:r>
      <w:r w:rsidR="00F70088">
        <w:t>1</w:t>
      </w:r>
      <w:r w:rsidR="00F70088" w:rsidRPr="00F70088">
        <w:rPr>
          <w:vertAlign w:val="superscript"/>
        </w:rPr>
        <w:t>st</w:t>
      </w:r>
      <w:r w:rsidR="00F70088">
        <w:t xml:space="preserve"> carpometacarpal joint OA, nodal interphalangeal joint OA, non-nodal interphalangeal joint OA, </w:t>
      </w:r>
      <w:r w:rsidR="00536A1D">
        <w:t xml:space="preserve">generalised hand OA, </w:t>
      </w:r>
      <w:r w:rsidR="00F70088">
        <w:t>erosive hand OA, 1</w:t>
      </w:r>
      <w:r w:rsidR="00F70088" w:rsidRPr="00F70088">
        <w:rPr>
          <w:vertAlign w:val="superscript"/>
        </w:rPr>
        <w:t>st</w:t>
      </w:r>
      <w:r w:rsidR="00F70088">
        <w:t xml:space="preserve"> </w:t>
      </w:r>
      <w:r w:rsidR="00454D9B">
        <w:t>metatarsophalangeal joint OA, and midfoot OA.</w:t>
      </w:r>
      <w:r w:rsidR="00536A1D">
        <w:t xml:space="preserve"> </w:t>
      </w:r>
      <w:r w:rsidR="00C10D29">
        <w:t>Participant</w:t>
      </w:r>
      <w:r w:rsidR="00C90C24">
        <w:t>s could have more than one sub</w:t>
      </w:r>
      <w:r w:rsidR="00C10D29">
        <w:t>type.</w:t>
      </w:r>
      <w:r w:rsidR="0041674F">
        <w:t xml:space="preserve"> In addition, we</w:t>
      </w:r>
      <w:r w:rsidR="00C10D29">
        <w:t xml:space="preserve"> </w:t>
      </w:r>
      <w:r w:rsidR="0041674F">
        <w:t xml:space="preserve">provide estimates for </w:t>
      </w:r>
      <w:r w:rsidR="00BA5291">
        <w:lastRenderedPageBreak/>
        <w:t xml:space="preserve">aggregate case definitions: tibiofemoral joint OA, </w:t>
      </w:r>
      <w:r w:rsidR="009C4FD5">
        <w:t xml:space="preserve">interphalangeal joint OA, </w:t>
      </w:r>
      <w:r w:rsidR="00BA5291">
        <w:t xml:space="preserve">knee OA, </w:t>
      </w:r>
      <w:r w:rsidR="009C4FD5">
        <w:t xml:space="preserve">hand OA, and foot OA (see </w:t>
      </w:r>
      <w:r w:rsidR="003C2B87">
        <w:rPr>
          <w:b/>
        </w:rPr>
        <w:t>Supporting Information</w:t>
      </w:r>
      <w:r w:rsidR="009C4FD5">
        <w:rPr>
          <w:b/>
        </w:rPr>
        <w:t xml:space="preserve"> Table S1 </w:t>
      </w:r>
      <w:r w:rsidR="009C4FD5" w:rsidRPr="009C4FD5">
        <w:t>for operational definitions</w:t>
      </w:r>
      <w:r w:rsidR="009C4FD5">
        <w:t>).</w:t>
      </w:r>
    </w:p>
    <w:p w14:paraId="4F2907F1" w14:textId="77777777" w:rsidR="0011242D" w:rsidRDefault="0011242D" w:rsidP="007A6AF8"/>
    <w:p w14:paraId="742279FF" w14:textId="44930C28" w:rsidR="00454D9B" w:rsidRPr="0028657E" w:rsidRDefault="0028657E" w:rsidP="007A6AF8">
      <w:r w:rsidRPr="0028657E">
        <w:t>Using data from the general health and regional pains surveys and radiographic data from the clinical assessment</w:t>
      </w:r>
      <w:r w:rsidR="00995EE7">
        <w:t>s</w:t>
      </w:r>
      <w:r w:rsidRPr="0028657E">
        <w:t>, the population prevalence</w:t>
      </w:r>
      <w:r w:rsidR="00995EE7">
        <w:t>s</w:t>
      </w:r>
      <w:r w:rsidRPr="0028657E">
        <w:t xml:space="preserve"> of </w:t>
      </w:r>
      <w:r w:rsidR="00C90C24">
        <w:t>each sub</w:t>
      </w:r>
      <w:r w:rsidR="00851D81">
        <w:t>type</w:t>
      </w:r>
      <w:r w:rsidRPr="0028657E">
        <w:t xml:space="preserve"> </w:t>
      </w:r>
      <w:r w:rsidR="00851D81">
        <w:t>were</w:t>
      </w:r>
      <w:r w:rsidR="00995EE7">
        <w:t xml:space="preserve"> estimated using</w:t>
      </w:r>
      <w:r w:rsidRPr="0028657E">
        <w:t xml:space="preserve"> multiple </w:t>
      </w:r>
      <w:r w:rsidRPr="0028657E">
        <w:rPr>
          <w:noProof/>
        </w:rPr>
        <w:t>imputation</w:t>
      </w:r>
      <w:r w:rsidRPr="0028657E">
        <w:t xml:space="preserve"> (MI</w:t>
      </w:r>
      <w:r w:rsidR="001402B8">
        <w:t>; Rubin, 1987</w:t>
      </w:r>
      <w:r w:rsidRPr="0028657E">
        <w:t xml:space="preserve">) and weighted logistic regression </w:t>
      </w:r>
      <w:r w:rsidRPr="0028657E">
        <w:rPr>
          <w:noProof/>
        </w:rPr>
        <w:t>modelling</w:t>
      </w:r>
      <w:r w:rsidR="003C6700">
        <w:rPr>
          <w:noProof/>
        </w:rPr>
        <w:t xml:space="preserve"> applied to each cohort</w:t>
      </w:r>
      <w:r w:rsidR="0011242D">
        <w:rPr>
          <w:noProof/>
        </w:rPr>
        <w:t xml:space="preserve"> in turn</w:t>
      </w:r>
      <w:r w:rsidR="003C6700">
        <w:rPr>
          <w:noProof/>
        </w:rPr>
        <w:t xml:space="preserve"> (CASK</w:t>
      </w:r>
      <w:r w:rsidR="00C90C24">
        <w:rPr>
          <w:noProof/>
        </w:rPr>
        <w:t xml:space="preserve"> for knee OA subtypes, CASHA for hand OA subtypes, CASF for foot OA sub</w:t>
      </w:r>
      <w:r w:rsidR="0020743D">
        <w:rPr>
          <w:noProof/>
        </w:rPr>
        <w:t>types)</w:t>
      </w:r>
      <w:r w:rsidR="0020743D">
        <w:t>. In each case, t</w:t>
      </w:r>
      <w:r w:rsidRPr="0028657E">
        <w:t>he MI model</w:t>
      </w:r>
      <w:r w:rsidR="00851D81">
        <w:t>s</w:t>
      </w:r>
      <w:r w:rsidR="003C6700">
        <w:t xml:space="preserve"> were</w:t>
      </w:r>
      <w:r w:rsidRPr="0028657E">
        <w:t xml:space="preserve"> applied to all responders to the general health survey. The variables entered into the MI model</w:t>
      </w:r>
      <w:r w:rsidR="0020743D">
        <w:t>s are</w:t>
      </w:r>
      <w:r w:rsidR="00EB5FF7">
        <w:t xml:space="preserve"> listed in </w:t>
      </w:r>
      <w:r w:rsidR="003C2B87">
        <w:rPr>
          <w:b/>
        </w:rPr>
        <w:t>Supporting Information</w:t>
      </w:r>
      <w:r w:rsidR="00991CE0">
        <w:rPr>
          <w:b/>
        </w:rPr>
        <w:t xml:space="preserve"> Table S2</w:t>
      </w:r>
      <w:r w:rsidRPr="0028657E">
        <w:t>. The MI model</w:t>
      </w:r>
      <w:r w:rsidR="0020743D">
        <w:t>s were</w:t>
      </w:r>
      <w:r w:rsidRPr="0028657E">
        <w:t xml:space="preserve"> conditional such </w:t>
      </w:r>
      <w:r w:rsidR="0020743D">
        <w:t>that we</w:t>
      </w:r>
      <w:r w:rsidRPr="0028657E">
        <w:t xml:space="preserve"> only imputed r</w:t>
      </w:r>
      <w:r w:rsidR="00FD4FE2">
        <w:t>adiographs in participants reporting pain</w:t>
      </w:r>
      <w:r w:rsidRPr="0028657E">
        <w:t xml:space="preserve"> in the last year indicated in the general health survey. The number of imputations was set at </w:t>
      </w:r>
      <w:r w:rsidRPr="004C166E">
        <w:t>70</w:t>
      </w:r>
      <w:r w:rsidR="004C166E" w:rsidRPr="004C166E">
        <w:t>-80</w:t>
      </w:r>
      <w:r w:rsidR="00472F27">
        <w:t xml:space="preserve"> corresponding to the percentage of missing radiographs in those reporting pain in the last year</w:t>
      </w:r>
      <w:r w:rsidRPr="0028657E">
        <w:t>, and the imputed data sets were combined using</w:t>
      </w:r>
      <w:r w:rsidR="00DA04EE">
        <w:t xml:space="preserve"> Rubin’s combination rules. P</w:t>
      </w:r>
      <w:r w:rsidRPr="0028657E">
        <w:t>revalen</w:t>
      </w:r>
      <w:r w:rsidR="00DA04EE">
        <w:t>ce estimates (and 95% CIs)</w:t>
      </w:r>
      <w:r w:rsidRPr="0028657E">
        <w:t xml:space="preserve"> were then weighted to account for any selective non-response from the eligible baseline population to the general health survey. Information on age, </w:t>
      </w:r>
      <w:r w:rsidR="00375D69">
        <w:t>sex</w:t>
      </w:r>
      <w:r w:rsidR="00375D69" w:rsidRPr="0028657E">
        <w:t xml:space="preserve"> </w:t>
      </w:r>
      <w:r w:rsidRPr="0028657E">
        <w:t xml:space="preserve">and general practice was available for all individuals and was used to determine a weight to reflect the likelihood that a person, with a particular combination of age, </w:t>
      </w:r>
      <w:r w:rsidR="00375D69">
        <w:t>sex</w:t>
      </w:r>
      <w:r w:rsidR="00375D69" w:rsidRPr="0028657E">
        <w:t xml:space="preserve"> </w:t>
      </w:r>
      <w:r w:rsidRPr="0028657E">
        <w:t xml:space="preserve">and general practice, would return the general health survey. The population prevalence estimates (and 95% CIs) in the total baseline eligible mailed population were reported and were then stratified by </w:t>
      </w:r>
      <w:r w:rsidR="00375D69">
        <w:t>sex</w:t>
      </w:r>
      <w:r w:rsidRPr="0028657E">
        <w:t xml:space="preserve">, age </w:t>
      </w:r>
      <w:r w:rsidRPr="0028657E">
        <w:rPr>
          <w:noProof/>
        </w:rPr>
        <w:t xml:space="preserve">group, </w:t>
      </w:r>
      <w:r w:rsidR="005575BC">
        <w:t xml:space="preserve">educational attainment, occupational class (based on </w:t>
      </w:r>
      <w:r w:rsidR="004031CF">
        <w:t xml:space="preserve">standard occupational coding of </w:t>
      </w:r>
      <w:r w:rsidR="005575BC">
        <w:t>current/last job title)</w:t>
      </w:r>
      <w:r w:rsidRPr="0028657E">
        <w:t xml:space="preserve">, </w:t>
      </w:r>
      <w:r w:rsidR="005575BC">
        <w:t xml:space="preserve">and </w:t>
      </w:r>
      <w:r w:rsidR="005575BC">
        <w:rPr>
          <w:noProof/>
        </w:rPr>
        <w:t xml:space="preserve">body mass index </w:t>
      </w:r>
      <w:r w:rsidR="004031CF">
        <w:rPr>
          <w:noProof/>
        </w:rPr>
        <w:t>(</w:t>
      </w:r>
      <w:r w:rsidR="005575BC">
        <w:rPr>
          <w:noProof/>
        </w:rPr>
        <w:t>categorised</w:t>
      </w:r>
      <w:r w:rsidR="004031CF">
        <w:rPr>
          <w:noProof/>
        </w:rPr>
        <w:t>)</w:t>
      </w:r>
      <w:r w:rsidRPr="0028657E">
        <w:t>. Using Poisson regression model</w:t>
      </w:r>
      <w:r w:rsidR="009048DE">
        <w:t>s</w:t>
      </w:r>
      <w:r w:rsidRPr="0028657E">
        <w:t xml:space="preserve"> with robust standard errors and weighted for non-response to the general health survey, the prevalence </w:t>
      </w:r>
      <w:r w:rsidR="0001640E">
        <w:t xml:space="preserve">rate </w:t>
      </w:r>
      <w:r w:rsidRPr="0028657E">
        <w:t>ratio</w:t>
      </w:r>
      <w:r w:rsidR="0001640E">
        <w:t>s</w:t>
      </w:r>
      <w:r w:rsidRPr="0028657E">
        <w:t xml:space="preserve"> </w:t>
      </w:r>
      <w:r w:rsidRPr="0028657E">
        <w:rPr>
          <w:noProof/>
        </w:rPr>
        <w:t>with</w:t>
      </w:r>
      <w:r w:rsidRPr="0028657E">
        <w:t xml:space="preserve"> 95% CI were provided adjusted for sex and age. Finally, any non-linear relationships between the prevalence of</w:t>
      </w:r>
      <w:r w:rsidR="00C90C24">
        <w:t xml:space="preserve"> each sub</w:t>
      </w:r>
      <w:r w:rsidR="00FD4FE2">
        <w:t>type</w:t>
      </w:r>
      <w:r w:rsidR="0004412A">
        <w:t xml:space="preserve"> with age or body mass index</w:t>
      </w:r>
      <w:r w:rsidRPr="0028657E">
        <w:t xml:space="preserve"> were identified using fractional polynomials and were plotted with 95% CI.</w:t>
      </w:r>
      <w:r w:rsidR="00DA04EE">
        <w:t xml:space="preserve"> </w:t>
      </w:r>
      <w:r w:rsidR="00DA04EE" w:rsidRPr="0002593A">
        <w:t>Analysis was conducted in Stata v1</w:t>
      </w:r>
      <w:r w:rsidR="00DA04EE" w:rsidRPr="00465070">
        <w:t xml:space="preserve">4 </w:t>
      </w:r>
      <w:r w:rsidR="00DA04EE" w:rsidRPr="0002593A">
        <w:rPr>
          <w:rFonts w:cs="Times New Roman"/>
          <w:bCs/>
        </w:rPr>
        <w:t>(Stata Corporation, Texas, USA)</w:t>
      </w:r>
      <w:r w:rsidR="00DA04EE" w:rsidRPr="0002593A">
        <w:t>.</w:t>
      </w:r>
    </w:p>
    <w:p w14:paraId="07DF7F66" w14:textId="77777777" w:rsidR="00DC6442" w:rsidRDefault="00DC6442" w:rsidP="00000C76">
      <w:pPr>
        <w:pStyle w:val="Heading1"/>
      </w:pPr>
    </w:p>
    <w:p w14:paraId="69AF167B" w14:textId="77777777" w:rsidR="00E626C5" w:rsidRDefault="00CE2FF0" w:rsidP="00000C76">
      <w:pPr>
        <w:pStyle w:val="Heading1"/>
      </w:pPr>
      <w:r>
        <w:t>3</w:t>
      </w:r>
      <w:r w:rsidR="00544FDA">
        <w:t>.</w:t>
      </w:r>
      <w:r>
        <w:t xml:space="preserve"> </w:t>
      </w:r>
      <w:r w:rsidR="00E626C5">
        <w:t>Results</w:t>
      </w:r>
    </w:p>
    <w:p w14:paraId="7CFE6DC8" w14:textId="51E261A3" w:rsidR="00E626C5" w:rsidRPr="00526EA6" w:rsidRDefault="00B91361" w:rsidP="005A3677">
      <w:pPr>
        <w:rPr>
          <w:rFonts w:eastAsia="Times New Roman" w:cs="Times New Roman"/>
          <w:b/>
          <w:bCs/>
          <w:smallCaps/>
          <w:kern w:val="36"/>
          <w:szCs w:val="32"/>
          <w:lang w:eastAsia="en-GB"/>
        </w:rPr>
      </w:pPr>
      <w:r>
        <w:t xml:space="preserve">Between </w:t>
      </w:r>
      <w:r w:rsidR="00696B29">
        <w:t xml:space="preserve">July 2002 and May </w:t>
      </w:r>
      <w:r>
        <w:t>2003, 8984</w:t>
      </w:r>
      <w:r w:rsidR="00920BED">
        <w:t xml:space="preserve"> </w:t>
      </w:r>
      <w:r>
        <w:t xml:space="preserve">adults aged over 50 years were </w:t>
      </w:r>
      <w:r w:rsidR="00920BED">
        <w:t>mailed the general hea</w:t>
      </w:r>
      <w:r>
        <w:t>l</w:t>
      </w:r>
      <w:r w:rsidR="00920BED">
        <w:t>th s</w:t>
      </w:r>
      <w:r>
        <w:t>urvey for CASK.</w:t>
      </w:r>
      <w:r w:rsidR="00696B29">
        <w:t xml:space="preserve"> </w:t>
      </w:r>
      <w:r w:rsidR="003D113D">
        <w:t>6108</w:t>
      </w:r>
      <w:r w:rsidR="00920BED">
        <w:t xml:space="preserve"> responded</w:t>
      </w:r>
      <w:r w:rsidR="00F32405">
        <w:t xml:space="preserve"> (adjusted response</w:t>
      </w:r>
      <w:r w:rsidR="003D113D">
        <w:t xml:space="preserve"> 70%)</w:t>
      </w:r>
      <w:r w:rsidR="007168E1">
        <w:t xml:space="preserve">, </w:t>
      </w:r>
      <w:r w:rsidR="003D113D">
        <w:t>3106</w:t>
      </w:r>
      <w:r w:rsidR="00920BED">
        <w:t xml:space="preserve"> </w:t>
      </w:r>
      <w:r w:rsidR="007168E1">
        <w:t xml:space="preserve">of these </w:t>
      </w:r>
      <w:r w:rsidR="00920BED">
        <w:t>reported knee pain in the past year</w:t>
      </w:r>
      <w:r w:rsidR="007168E1">
        <w:t xml:space="preserve">, </w:t>
      </w:r>
      <w:r w:rsidR="007168E1">
        <w:lastRenderedPageBreak/>
        <w:t>and of these 819 attended the research assessment clinic.</w:t>
      </w:r>
      <w:r w:rsidR="00920BED">
        <w:t xml:space="preserve"> </w:t>
      </w:r>
      <w:r w:rsidR="007168E1">
        <w:t xml:space="preserve">For CASHA the corresponding </w:t>
      </w:r>
      <w:r w:rsidR="007A78F5">
        <w:t>numbers were</w:t>
      </w:r>
      <w:r w:rsidR="00157062">
        <w:t xml:space="preserve"> 6412</w:t>
      </w:r>
      <w:r w:rsidR="007A78F5">
        <w:t xml:space="preserve"> mailed </w:t>
      </w:r>
      <w:r w:rsidR="00DB4F18">
        <w:t xml:space="preserve">the </w:t>
      </w:r>
      <w:r w:rsidR="007A78F5">
        <w:t>general health survey</w:t>
      </w:r>
      <w:r w:rsidR="000E3C4C">
        <w:t xml:space="preserve"> between </w:t>
      </w:r>
      <w:r w:rsidR="003D113D">
        <w:t>Feb</w:t>
      </w:r>
      <w:r w:rsidR="000E3C4C">
        <w:t xml:space="preserve">ruary 2004 and </w:t>
      </w:r>
      <w:r w:rsidR="003D113D">
        <w:t>Apr</w:t>
      </w:r>
      <w:r w:rsidR="000E3C4C">
        <w:t>il</w:t>
      </w:r>
      <w:r w:rsidR="003D113D">
        <w:t xml:space="preserve"> 2005</w:t>
      </w:r>
      <w:r w:rsidR="00157062">
        <w:t>, 4511</w:t>
      </w:r>
      <w:r w:rsidR="007A78F5">
        <w:t xml:space="preserve"> responded</w:t>
      </w:r>
      <w:r w:rsidR="00F32405">
        <w:t xml:space="preserve"> (adjusted response 71%)</w:t>
      </w:r>
      <w:r w:rsidR="007A78F5">
        <w:t xml:space="preserve">, </w:t>
      </w:r>
      <w:r w:rsidR="00157062">
        <w:t>2114</w:t>
      </w:r>
      <w:r w:rsidR="007A78F5">
        <w:t xml:space="preserve"> reported hand pain in the past </w:t>
      </w:r>
      <w:r w:rsidR="00157062">
        <w:t xml:space="preserve">year, </w:t>
      </w:r>
      <w:r w:rsidR="00DB4F18">
        <w:t xml:space="preserve">and </w:t>
      </w:r>
      <w:r w:rsidR="00157062">
        <w:t>623</w:t>
      </w:r>
      <w:r w:rsidR="007A78F5">
        <w:t xml:space="preserve"> attended clinic. </w:t>
      </w:r>
      <w:r w:rsidR="00F32405">
        <w:t>For CASF the corresponding numbers were</w:t>
      </w:r>
      <w:r w:rsidR="00381CCC">
        <w:t xml:space="preserve"> 9334</w:t>
      </w:r>
      <w:r w:rsidR="00F32405">
        <w:t xml:space="preserve"> mailed </w:t>
      </w:r>
      <w:r w:rsidR="00DB4F18">
        <w:t xml:space="preserve">the </w:t>
      </w:r>
      <w:r w:rsidR="00F32405">
        <w:t xml:space="preserve">general health survey between </w:t>
      </w:r>
      <w:r w:rsidR="00A8331D">
        <w:t>May</w:t>
      </w:r>
      <w:r w:rsidR="00381CCC">
        <w:t xml:space="preserve"> 2010</w:t>
      </w:r>
      <w:r w:rsidR="00F32405">
        <w:t xml:space="preserve"> and </w:t>
      </w:r>
      <w:r w:rsidR="00A8331D">
        <w:t xml:space="preserve">June </w:t>
      </w:r>
      <w:r w:rsidR="00381CCC">
        <w:t>2011</w:t>
      </w:r>
      <w:r w:rsidR="00F32405">
        <w:t xml:space="preserve">, </w:t>
      </w:r>
      <w:r w:rsidR="00381CCC">
        <w:t>5109</w:t>
      </w:r>
      <w:r w:rsidR="00F32405">
        <w:t xml:space="preserve"> responded (adjusted response </w:t>
      </w:r>
      <w:r w:rsidR="00123EC9">
        <w:t>56</w:t>
      </w:r>
      <w:r w:rsidR="00F32405">
        <w:t xml:space="preserve">%), </w:t>
      </w:r>
      <w:r w:rsidR="003D20A4">
        <w:t>1635</w:t>
      </w:r>
      <w:r w:rsidR="00083EBB">
        <w:t xml:space="preserve"> reported foot</w:t>
      </w:r>
      <w:r w:rsidR="00F32405">
        <w:t xml:space="preserve"> pain in the past </w:t>
      </w:r>
      <w:r w:rsidR="00083EBB">
        <w:t xml:space="preserve">year, </w:t>
      </w:r>
      <w:r w:rsidR="00DB4F18">
        <w:t xml:space="preserve">and </w:t>
      </w:r>
      <w:r w:rsidR="00083EBB">
        <w:t>560</w:t>
      </w:r>
      <w:r w:rsidR="00F32405">
        <w:t xml:space="preserve"> attended clinic. </w:t>
      </w:r>
      <w:r w:rsidR="00764F5D">
        <w:t>Detailed descriptions of the response rates and the characteristics of respondents and non-respondents have been previously published (</w:t>
      </w:r>
      <w:r w:rsidR="00260FA6">
        <w:t xml:space="preserve">Peat et al., 2006; </w:t>
      </w:r>
      <w:r w:rsidR="00F4028B">
        <w:t>Nicholls, 2016</w:t>
      </w:r>
      <w:r w:rsidR="003D4256">
        <w:t>; Roddy et al., 2015).</w:t>
      </w:r>
      <w:r w:rsidR="00F32405">
        <w:t xml:space="preserve"> </w:t>
      </w:r>
      <w:r w:rsidR="007A78F5">
        <w:t xml:space="preserve"> </w:t>
      </w:r>
    </w:p>
    <w:p w14:paraId="47C69096" w14:textId="77777777" w:rsidR="00123EC9" w:rsidRDefault="00123EC9" w:rsidP="005A3677">
      <w:pPr>
        <w:rPr>
          <w:rFonts w:eastAsia="Times New Roman" w:cs="Times New Roman"/>
          <w:bCs/>
          <w:kern w:val="36"/>
          <w:szCs w:val="32"/>
          <w:lang w:eastAsia="en-GB"/>
        </w:rPr>
      </w:pPr>
    </w:p>
    <w:p w14:paraId="27A598F2" w14:textId="77777777" w:rsidR="00DB328C" w:rsidRPr="003B0652" w:rsidRDefault="00BA05FF" w:rsidP="005A3677">
      <w:pPr>
        <w:rPr>
          <w:rFonts w:eastAsia="Times New Roman" w:cs="Times New Roman"/>
          <w:b/>
          <w:bCs/>
          <w:kern w:val="36"/>
          <w:szCs w:val="32"/>
          <w:lang w:eastAsia="en-GB"/>
        </w:rPr>
      </w:pPr>
      <w:r>
        <w:rPr>
          <w:rFonts w:eastAsia="Times New Roman" w:cs="Times New Roman"/>
          <w:b/>
          <w:bCs/>
          <w:kern w:val="36"/>
          <w:szCs w:val="32"/>
          <w:lang w:eastAsia="en-GB"/>
        </w:rPr>
        <w:t>Rel</w:t>
      </w:r>
      <w:r w:rsidR="003B0652">
        <w:rPr>
          <w:rFonts w:eastAsia="Times New Roman" w:cs="Times New Roman"/>
          <w:b/>
          <w:bCs/>
          <w:kern w:val="36"/>
          <w:szCs w:val="32"/>
          <w:lang w:eastAsia="en-GB"/>
        </w:rPr>
        <w:t>ative</w:t>
      </w:r>
      <w:r w:rsidR="003B0652" w:rsidRPr="003B0652">
        <w:rPr>
          <w:rFonts w:eastAsia="Times New Roman" w:cs="Times New Roman"/>
          <w:b/>
          <w:bCs/>
          <w:kern w:val="36"/>
          <w:szCs w:val="32"/>
          <w:lang w:eastAsia="en-GB"/>
        </w:rPr>
        <w:t xml:space="preserve"> prevalence of s</w:t>
      </w:r>
      <w:r w:rsidR="00C90C24">
        <w:rPr>
          <w:rFonts w:eastAsia="Times New Roman" w:cs="Times New Roman"/>
          <w:b/>
          <w:bCs/>
          <w:kern w:val="36"/>
          <w:szCs w:val="32"/>
          <w:lang w:eastAsia="en-GB"/>
        </w:rPr>
        <w:t>ymptomatic radiographic OA sub</w:t>
      </w:r>
      <w:r w:rsidR="003B0652" w:rsidRPr="003B0652">
        <w:rPr>
          <w:rFonts w:eastAsia="Times New Roman" w:cs="Times New Roman"/>
          <w:b/>
          <w:bCs/>
          <w:kern w:val="36"/>
          <w:szCs w:val="32"/>
          <w:lang w:eastAsia="en-GB"/>
        </w:rPr>
        <w:t>types</w:t>
      </w:r>
    </w:p>
    <w:p w14:paraId="16E93636" w14:textId="4EBAAA51" w:rsidR="00123EC9" w:rsidRDefault="00570F82" w:rsidP="005A3677">
      <w:pPr>
        <w:rPr>
          <w:rFonts w:eastAsia="Times New Roman" w:cs="Times New Roman"/>
          <w:bCs/>
          <w:kern w:val="36"/>
          <w:szCs w:val="32"/>
          <w:lang w:eastAsia="en-GB"/>
        </w:rPr>
      </w:pPr>
      <w:r>
        <w:rPr>
          <w:rFonts w:eastAsia="Times New Roman" w:cs="Times New Roman"/>
          <w:bCs/>
          <w:kern w:val="36"/>
          <w:szCs w:val="32"/>
          <w:lang w:eastAsia="en-GB"/>
        </w:rPr>
        <w:t>Overall</w:t>
      </w:r>
      <w:r w:rsidR="00CE607B">
        <w:rPr>
          <w:rFonts w:eastAsia="Times New Roman" w:cs="Times New Roman"/>
          <w:bCs/>
          <w:kern w:val="36"/>
          <w:szCs w:val="32"/>
          <w:lang w:eastAsia="en-GB"/>
        </w:rPr>
        <w:t>,</w:t>
      </w:r>
      <w:r>
        <w:rPr>
          <w:rFonts w:eastAsia="Times New Roman" w:cs="Times New Roman"/>
          <w:bCs/>
          <w:kern w:val="36"/>
          <w:szCs w:val="32"/>
          <w:lang w:eastAsia="en-GB"/>
        </w:rPr>
        <w:t xml:space="preserve"> symptomatic hand OA was more common than knee or foot OA</w:t>
      </w:r>
      <w:r w:rsidR="00512036">
        <w:rPr>
          <w:rFonts w:eastAsia="Times New Roman" w:cs="Times New Roman"/>
          <w:bCs/>
          <w:kern w:val="36"/>
          <w:szCs w:val="32"/>
          <w:lang w:eastAsia="en-GB"/>
        </w:rPr>
        <w:t xml:space="preserve"> (22.4% vs 17.4% vs 16.5%)</w:t>
      </w:r>
      <w:r>
        <w:rPr>
          <w:rFonts w:eastAsia="Times New Roman" w:cs="Times New Roman"/>
          <w:bCs/>
          <w:kern w:val="36"/>
          <w:szCs w:val="32"/>
          <w:lang w:eastAsia="en-GB"/>
        </w:rPr>
        <w:t>, due mainly to the high prevalence of nodal interphalangeal joint OA among women (</w:t>
      </w:r>
      <w:r w:rsidRPr="00512036">
        <w:rPr>
          <w:rFonts w:eastAsia="Times New Roman" w:cs="Times New Roman"/>
          <w:b/>
          <w:bCs/>
          <w:kern w:val="36"/>
          <w:szCs w:val="32"/>
          <w:lang w:eastAsia="en-GB"/>
        </w:rPr>
        <w:t>Table 1</w:t>
      </w:r>
      <w:r>
        <w:rPr>
          <w:rFonts w:eastAsia="Times New Roman" w:cs="Times New Roman"/>
          <w:bCs/>
          <w:kern w:val="36"/>
          <w:szCs w:val="32"/>
          <w:lang w:eastAsia="en-GB"/>
        </w:rPr>
        <w:t>).</w:t>
      </w:r>
      <w:r w:rsidR="0089440B">
        <w:rPr>
          <w:rFonts w:eastAsia="Times New Roman" w:cs="Times New Roman"/>
          <w:bCs/>
          <w:kern w:val="36"/>
          <w:szCs w:val="32"/>
          <w:lang w:eastAsia="en-GB"/>
        </w:rPr>
        <w:t xml:space="preserve"> First carpometacarpal joint</w:t>
      </w:r>
      <w:r w:rsidR="00754CFF">
        <w:rPr>
          <w:rFonts w:eastAsia="Times New Roman" w:cs="Times New Roman"/>
          <w:bCs/>
          <w:kern w:val="36"/>
          <w:szCs w:val="32"/>
          <w:lang w:eastAsia="en-GB"/>
        </w:rPr>
        <w:t xml:space="preserve"> OA</w:t>
      </w:r>
      <w:r w:rsidR="00C90C24">
        <w:rPr>
          <w:rFonts w:eastAsia="Times New Roman" w:cs="Times New Roman"/>
          <w:bCs/>
          <w:kern w:val="36"/>
          <w:szCs w:val="32"/>
          <w:lang w:eastAsia="en-GB"/>
        </w:rPr>
        <w:t xml:space="preserve"> was the most frequent sub</w:t>
      </w:r>
      <w:r w:rsidR="00754CFF">
        <w:rPr>
          <w:rFonts w:eastAsia="Times New Roman" w:cs="Times New Roman"/>
          <w:bCs/>
          <w:kern w:val="36"/>
          <w:szCs w:val="32"/>
          <w:lang w:eastAsia="en-GB"/>
        </w:rPr>
        <w:t>type</w:t>
      </w:r>
      <w:r w:rsidR="00793CD6">
        <w:rPr>
          <w:rFonts w:eastAsia="Times New Roman" w:cs="Times New Roman"/>
          <w:bCs/>
          <w:kern w:val="36"/>
          <w:szCs w:val="32"/>
          <w:lang w:eastAsia="en-GB"/>
        </w:rPr>
        <w:t xml:space="preserve">, with patellofemoral, tibiofemoral, </w:t>
      </w:r>
      <w:r w:rsidR="00391C24">
        <w:rPr>
          <w:rFonts w:eastAsia="Times New Roman" w:cs="Times New Roman"/>
          <w:bCs/>
          <w:kern w:val="36"/>
          <w:szCs w:val="32"/>
          <w:lang w:eastAsia="en-GB"/>
        </w:rPr>
        <w:t>(</w:t>
      </w:r>
      <w:r w:rsidR="00793CD6">
        <w:rPr>
          <w:rFonts w:eastAsia="Times New Roman" w:cs="Times New Roman"/>
          <w:bCs/>
          <w:kern w:val="36"/>
          <w:szCs w:val="32"/>
          <w:lang w:eastAsia="en-GB"/>
        </w:rPr>
        <w:t>nodal</w:t>
      </w:r>
      <w:r w:rsidR="00391C24">
        <w:rPr>
          <w:rFonts w:eastAsia="Times New Roman" w:cs="Times New Roman"/>
          <w:bCs/>
          <w:kern w:val="36"/>
          <w:szCs w:val="32"/>
          <w:lang w:eastAsia="en-GB"/>
        </w:rPr>
        <w:t>)</w:t>
      </w:r>
      <w:r w:rsidR="00793CD6">
        <w:rPr>
          <w:rFonts w:eastAsia="Times New Roman" w:cs="Times New Roman"/>
          <w:bCs/>
          <w:kern w:val="36"/>
          <w:szCs w:val="32"/>
          <w:lang w:eastAsia="en-GB"/>
        </w:rPr>
        <w:t xml:space="preserve"> interphalangeal</w:t>
      </w:r>
      <w:r w:rsidR="00391C24">
        <w:rPr>
          <w:rFonts w:eastAsia="Times New Roman" w:cs="Times New Roman"/>
          <w:bCs/>
          <w:kern w:val="36"/>
          <w:szCs w:val="32"/>
          <w:lang w:eastAsia="en-GB"/>
        </w:rPr>
        <w:t xml:space="preserve">, and midfoot OA also common. As expected, </w:t>
      </w:r>
      <w:r w:rsidR="00023D78">
        <w:rPr>
          <w:rFonts w:eastAsia="Times New Roman" w:cs="Times New Roman"/>
          <w:bCs/>
          <w:kern w:val="36"/>
          <w:szCs w:val="32"/>
          <w:lang w:eastAsia="en-GB"/>
        </w:rPr>
        <w:t xml:space="preserve">within the tibiofemoral joint, </w:t>
      </w:r>
      <w:r w:rsidR="00391C24">
        <w:rPr>
          <w:rFonts w:eastAsia="Times New Roman" w:cs="Times New Roman"/>
          <w:bCs/>
          <w:kern w:val="36"/>
          <w:szCs w:val="32"/>
          <w:lang w:eastAsia="en-GB"/>
        </w:rPr>
        <w:t xml:space="preserve">medial </w:t>
      </w:r>
      <w:r w:rsidR="00023D78">
        <w:rPr>
          <w:rFonts w:eastAsia="Times New Roman" w:cs="Times New Roman"/>
          <w:bCs/>
          <w:kern w:val="36"/>
          <w:szCs w:val="32"/>
          <w:lang w:eastAsia="en-GB"/>
        </w:rPr>
        <w:t>involvement was more common than lateral</w:t>
      </w:r>
      <w:r w:rsidR="00391C24">
        <w:rPr>
          <w:rFonts w:eastAsia="Times New Roman" w:cs="Times New Roman"/>
          <w:bCs/>
          <w:kern w:val="36"/>
          <w:szCs w:val="32"/>
          <w:lang w:eastAsia="en-GB"/>
        </w:rPr>
        <w:t>.</w:t>
      </w:r>
      <w:r w:rsidR="001D0F6A">
        <w:rPr>
          <w:rFonts w:eastAsia="Times New Roman" w:cs="Times New Roman"/>
          <w:bCs/>
          <w:kern w:val="36"/>
          <w:szCs w:val="32"/>
          <w:lang w:eastAsia="en-GB"/>
        </w:rPr>
        <w:t xml:space="preserve"> </w:t>
      </w:r>
    </w:p>
    <w:p w14:paraId="4D8B4FC3" w14:textId="77777777" w:rsidR="0023007B" w:rsidRDefault="0023007B" w:rsidP="0023007B">
      <w:pPr>
        <w:spacing w:after="200" w:line="276" w:lineRule="auto"/>
        <w:rPr>
          <w:rFonts w:eastAsia="Times New Roman" w:cs="Times New Roman"/>
          <w:b/>
          <w:bCs/>
          <w:kern w:val="36"/>
          <w:szCs w:val="32"/>
          <w:lang w:eastAsia="en-GB"/>
        </w:rPr>
      </w:pPr>
    </w:p>
    <w:p w14:paraId="614DCB01" w14:textId="1640C326" w:rsidR="003B0652" w:rsidRPr="0023007B" w:rsidRDefault="00BA05FF" w:rsidP="0023007B">
      <w:pPr>
        <w:spacing w:after="200" w:line="276" w:lineRule="auto"/>
      </w:pPr>
      <w:r>
        <w:rPr>
          <w:rFonts w:eastAsia="Times New Roman" w:cs="Times New Roman"/>
          <w:b/>
          <w:bCs/>
          <w:kern w:val="36"/>
          <w:szCs w:val="32"/>
          <w:lang w:eastAsia="en-GB"/>
        </w:rPr>
        <w:t>Rel</w:t>
      </w:r>
      <w:r w:rsidR="003B0652">
        <w:rPr>
          <w:rFonts w:eastAsia="Times New Roman" w:cs="Times New Roman"/>
          <w:b/>
          <w:bCs/>
          <w:kern w:val="36"/>
          <w:szCs w:val="32"/>
          <w:lang w:eastAsia="en-GB"/>
        </w:rPr>
        <w:t>ative a</w:t>
      </w:r>
      <w:r w:rsidR="003B0652" w:rsidRPr="003B0652">
        <w:rPr>
          <w:rFonts w:eastAsia="Times New Roman" w:cs="Times New Roman"/>
          <w:b/>
          <w:bCs/>
          <w:kern w:val="36"/>
          <w:szCs w:val="32"/>
          <w:lang w:eastAsia="en-GB"/>
        </w:rPr>
        <w:t xml:space="preserve">ssociations with age, sex, </w:t>
      </w:r>
      <w:r w:rsidR="003B3C80">
        <w:rPr>
          <w:rFonts w:eastAsia="Times New Roman" w:cs="Times New Roman"/>
          <w:b/>
          <w:bCs/>
          <w:kern w:val="36"/>
          <w:szCs w:val="32"/>
          <w:lang w:eastAsia="en-GB"/>
        </w:rPr>
        <w:t>individual socioeconomic position</w:t>
      </w:r>
      <w:r w:rsidR="003B0652" w:rsidRPr="003B0652">
        <w:rPr>
          <w:rFonts w:eastAsia="Times New Roman" w:cs="Times New Roman"/>
          <w:b/>
          <w:bCs/>
          <w:kern w:val="36"/>
          <w:szCs w:val="32"/>
          <w:lang w:eastAsia="en-GB"/>
        </w:rPr>
        <w:t>, and body mass index</w:t>
      </w:r>
    </w:p>
    <w:p w14:paraId="0071C9FF" w14:textId="5C7C82F4" w:rsidR="003B0652" w:rsidRPr="00BF4361" w:rsidRDefault="00297307" w:rsidP="005A3677">
      <w:pPr>
        <w:rPr>
          <w:b/>
        </w:rPr>
      </w:pPr>
      <w:r>
        <w:rPr>
          <w:rFonts w:eastAsia="Times New Roman" w:cs="Times New Roman"/>
          <w:bCs/>
          <w:kern w:val="36"/>
          <w:szCs w:val="32"/>
          <w:lang w:eastAsia="en-GB"/>
        </w:rPr>
        <w:t>The pr</w:t>
      </w:r>
      <w:r w:rsidR="00C90C24">
        <w:rPr>
          <w:rFonts w:eastAsia="Times New Roman" w:cs="Times New Roman"/>
          <w:bCs/>
          <w:kern w:val="36"/>
          <w:szCs w:val="32"/>
          <w:lang w:eastAsia="en-GB"/>
        </w:rPr>
        <w:t>evalence of all sub</w:t>
      </w:r>
      <w:r>
        <w:rPr>
          <w:rFonts w:eastAsia="Times New Roman" w:cs="Times New Roman"/>
          <w:bCs/>
          <w:kern w:val="36"/>
          <w:szCs w:val="32"/>
          <w:lang w:eastAsia="en-GB"/>
        </w:rPr>
        <w:t xml:space="preserve">types was higher among </w:t>
      </w:r>
      <w:r w:rsidR="00506CA9">
        <w:rPr>
          <w:rFonts w:eastAsia="Times New Roman" w:cs="Times New Roman"/>
          <w:bCs/>
          <w:kern w:val="36"/>
          <w:szCs w:val="32"/>
          <w:lang w:eastAsia="en-GB"/>
        </w:rPr>
        <w:t>older ages</w:t>
      </w:r>
      <w:r w:rsidR="00AA03E4">
        <w:rPr>
          <w:rFonts w:eastAsia="Times New Roman" w:cs="Times New Roman"/>
          <w:bCs/>
          <w:kern w:val="36"/>
          <w:szCs w:val="32"/>
          <w:lang w:eastAsia="en-GB"/>
        </w:rPr>
        <w:t>, although the association appe</w:t>
      </w:r>
      <w:r w:rsidR="00C90C24">
        <w:rPr>
          <w:rFonts w:eastAsia="Times New Roman" w:cs="Times New Roman"/>
          <w:bCs/>
          <w:kern w:val="36"/>
          <w:szCs w:val="32"/>
          <w:lang w:eastAsia="en-GB"/>
        </w:rPr>
        <w:t>ared strongest for knee OA sub</w:t>
      </w:r>
      <w:r w:rsidR="00AA03E4">
        <w:rPr>
          <w:rFonts w:eastAsia="Times New Roman" w:cs="Times New Roman"/>
          <w:bCs/>
          <w:kern w:val="36"/>
          <w:szCs w:val="32"/>
          <w:lang w:eastAsia="en-GB"/>
        </w:rPr>
        <w:t>types and generalised hand OA</w:t>
      </w:r>
      <w:r w:rsidR="00535094">
        <w:rPr>
          <w:rFonts w:eastAsia="Times New Roman" w:cs="Times New Roman"/>
          <w:bCs/>
          <w:kern w:val="36"/>
          <w:szCs w:val="32"/>
          <w:lang w:eastAsia="en-GB"/>
        </w:rPr>
        <w:t xml:space="preserve"> (</w:t>
      </w:r>
      <w:r w:rsidR="00287BAA">
        <w:rPr>
          <w:rFonts w:eastAsia="Times New Roman" w:cs="Times New Roman"/>
          <w:b/>
          <w:bCs/>
          <w:kern w:val="36"/>
          <w:szCs w:val="32"/>
          <w:lang w:eastAsia="en-GB"/>
        </w:rPr>
        <w:t>Figure 1</w:t>
      </w:r>
      <w:r w:rsidR="003C2B87">
        <w:rPr>
          <w:rFonts w:eastAsia="Times New Roman" w:cs="Times New Roman"/>
          <w:b/>
          <w:bCs/>
          <w:kern w:val="36"/>
          <w:szCs w:val="32"/>
          <w:lang w:eastAsia="en-GB"/>
        </w:rPr>
        <w:t>; Supporting Information</w:t>
      </w:r>
      <w:r w:rsidR="00AA03E4" w:rsidRPr="00AA03E4">
        <w:rPr>
          <w:rFonts w:eastAsia="Times New Roman" w:cs="Times New Roman"/>
          <w:b/>
          <w:bCs/>
          <w:kern w:val="36"/>
          <w:szCs w:val="32"/>
          <w:lang w:eastAsia="en-GB"/>
        </w:rPr>
        <w:t xml:space="preserve"> Ta</w:t>
      </w:r>
      <w:r w:rsidR="00C4653B">
        <w:rPr>
          <w:rFonts w:eastAsia="Times New Roman" w:cs="Times New Roman"/>
          <w:b/>
          <w:bCs/>
          <w:kern w:val="36"/>
          <w:szCs w:val="32"/>
          <w:lang w:eastAsia="en-GB"/>
        </w:rPr>
        <w:t>bles S3 &amp; 4</w:t>
      </w:r>
      <w:r w:rsidR="00535094">
        <w:rPr>
          <w:rFonts w:eastAsia="Times New Roman" w:cs="Times New Roman"/>
          <w:bCs/>
          <w:kern w:val="36"/>
          <w:szCs w:val="32"/>
          <w:lang w:eastAsia="en-GB"/>
        </w:rPr>
        <w:t>)</w:t>
      </w:r>
      <w:r w:rsidR="005A4E91">
        <w:rPr>
          <w:rFonts w:eastAsia="Times New Roman" w:cs="Times New Roman"/>
          <w:bCs/>
          <w:kern w:val="36"/>
          <w:szCs w:val="32"/>
          <w:lang w:eastAsia="en-GB"/>
        </w:rPr>
        <w:t xml:space="preserve">. </w:t>
      </w:r>
      <w:r w:rsidR="00535094">
        <w:rPr>
          <w:rFonts w:eastAsia="Times New Roman" w:cs="Times New Roman"/>
          <w:bCs/>
          <w:kern w:val="36"/>
          <w:szCs w:val="32"/>
          <w:lang w:eastAsia="en-GB"/>
        </w:rPr>
        <w:t xml:space="preserve">Females had </w:t>
      </w:r>
      <w:r w:rsidR="00C90C24">
        <w:rPr>
          <w:rFonts w:eastAsia="Times New Roman" w:cs="Times New Roman"/>
          <w:bCs/>
          <w:kern w:val="36"/>
          <w:szCs w:val="32"/>
          <w:lang w:eastAsia="en-GB"/>
        </w:rPr>
        <w:t>a higher prevalence of all sub</w:t>
      </w:r>
      <w:r w:rsidR="00535094">
        <w:rPr>
          <w:rFonts w:eastAsia="Times New Roman" w:cs="Times New Roman"/>
          <w:bCs/>
          <w:kern w:val="36"/>
          <w:szCs w:val="32"/>
          <w:lang w:eastAsia="en-GB"/>
        </w:rPr>
        <w:t>types except non-nodal interphalangeal joint OA</w:t>
      </w:r>
      <w:r w:rsidR="009909D2">
        <w:rPr>
          <w:rFonts w:eastAsia="Times New Roman" w:cs="Times New Roman"/>
          <w:bCs/>
          <w:kern w:val="36"/>
          <w:szCs w:val="32"/>
          <w:lang w:eastAsia="en-GB"/>
        </w:rPr>
        <w:t xml:space="preserve"> and medial tibiofemoral joint OA</w:t>
      </w:r>
      <w:r w:rsidR="00535094">
        <w:rPr>
          <w:rFonts w:eastAsia="Times New Roman" w:cs="Times New Roman"/>
          <w:bCs/>
          <w:kern w:val="36"/>
          <w:szCs w:val="32"/>
          <w:lang w:eastAsia="en-GB"/>
        </w:rPr>
        <w:t xml:space="preserve">. Sex-specific differences were greatest for nodal interphalangeal joint OA, generalised hand OA, and erosive hand OA. </w:t>
      </w:r>
      <w:r w:rsidR="005A4E91">
        <w:rPr>
          <w:rFonts w:eastAsia="Times New Roman" w:cs="Times New Roman"/>
          <w:bCs/>
          <w:kern w:val="36"/>
          <w:szCs w:val="32"/>
          <w:lang w:eastAsia="en-GB"/>
        </w:rPr>
        <w:t xml:space="preserve">After adjusting for age and sex, </w:t>
      </w:r>
      <w:r w:rsidR="00E86C71">
        <w:rPr>
          <w:rFonts w:eastAsia="Times New Roman" w:cs="Times New Roman"/>
          <w:bCs/>
          <w:kern w:val="36"/>
          <w:szCs w:val="32"/>
          <w:lang w:eastAsia="en-GB"/>
        </w:rPr>
        <w:t xml:space="preserve">higher educational attainment </w:t>
      </w:r>
      <w:r w:rsidR="00E6187F">
        <w:rPr>
          <w:rFonts w:eastAsia="Times New Roman" w:cs="Times New Roman"/>
          <w:bCs/>
          <w:kern w:val="36"/>
          <w:szCs w:val="32"/>
          <w:lang w:eastAsia="en-GB"/>
        </w:rPr>
        <w:t>was associated with</w:t>
      </w:r>
      <w:r w:rsidR="00E86C71">
        <w:rPr>
          <w:rFonts w:eastAsia="Times New Roman" w:cs="Times New Roman"/>
          <w:bCs/>
          <w:kern w:val="36"/>
          <w:szCs w:val="32"/>
          <w:lang w:eastAsia="en-GB"/>
        </w:rPr>
        <w:t xml:space="preserve"> 10-30% lower prevalence </w:t>
      </w:r>
      <w:r w:rsidR="00E6187F">
        <w:rPr>
          <w:rFonts w:eastAsia="Times New Roman" w:cs="Times New Roman"/>
          <w:bCs/>
          <w:kern w:val="36"/>
          <w:szCs w:val="32"/>
          <w:lang w:eastAsia="en-GB"/>
        </w:rPr>
        <w:t>of most</w:t>
      </w:r>
      <w:r w:rsidR="00123B62">
        <w:rPr>
          <w:rFonts w:eastAsia="Times New Roman" w:cs="Times New Roman"/>
          <w:bCs/>
          <w:kern w:val="36"/>
          <w:szCs w:val="32"/>
          <w:lang w:eastAsia="en-GB"/>
        </w:rPr>
        <w:t xml:space="preserve"> sub</w:t>
      </w:r>
      <w:r w:rsidR="00E86C71">
        <w:rPr>
          <w:rFonts w:eastAsia="Times New Roman" w:cs="Times New Roman"/>
          <w:bCs/>
          <w:kern w:val="36"/>
          <w:szCs w:val="32"/>
          <w:lang w:eastAsia="en-GB"/>
        </w:rPr>
        <w:t>type</w:t>
      </w:r>
      <w:r w:rsidR="00F04090">
        <w:rPr>
          <w:rFonts w:eastAsia="Times New Roman" w:cs="Times New Roman"/>
          <w:bCs/>
          <w:kern w:val="36"/>
          <w:szCs w:val="32"/>
          <w:lang w:eastAsia="en-GB"/>
        </w:rPr>
        <w:t xml:space="preserve">s. </w:t>
      </w:r>
      <w:r w:rsidR="00813DCF">
        <w:rPr>
          <w:rFonts w:eastAsia="Times New Roman" w:cs="Times New Roman"/>
          <w:bCs/>
          <w:kern w:val="36"/>
          <w:szCs w:val="32"/>
          <w:lang w:eastAsia="en-GB"/>
        </w:rPr>
        <w:t>While hig</w:t>
      </w:r>
      <w:r w:rsidR="00A847F7">
        <w:rPr>
          <w:rFonts w:eastAsia="Times New Roman" w:cs="Times New Roman"/>
          <w:bCs/>
          <w:kern w:val="36"/>
          <w:szCs w:val="32"/>
          <w:lang w:eastAsia="en-GB"/>
        </w:rPr>
        <w:t>her prevalences of foot OA sub</w:t>
      </w:r>
      <w:r w:rsidR="00813DCF">
        <w:rPr>
          <w:rFonts w:eastAsia="Times New Roman" w:cs="Times New Roman"/>
          <w:bCs/>
          <w:kern w:val="36"/>
          <w:szCs w:val="32"/>
          <w:lang w:eastAsia="en-GB"/>
        </w:rPr>
        <w:t>types were observed</w:t>
      </w:r>
      <w:r w:rsidR="00F04090">
        <w:rPr>
          <w:rFonts w:eastAsia="Times New Roman" w:cs="Times New Roman"/>
          <w:bCs/>
          <w:kern w:val="36"/>
          <w:szCs w:val="32"/>
          <w:lang w:eastAsia="en-GB"/>
        </w:rPr>
        <w:t xml:space="preserve"> </w:t>
      </w:r>
      <w:r w:rsidR="0016468B">
        <w:rPr>
          <w:rFonts w:eastAsia="Times New Roman" w:cs="Times New Roman"/>
          <w:bCs/>
          <w:kern w:val="36"/>
          <w:szCs w:val="32"/>
          <w:lang w:eastAsia="en-GB"/>
        </w:rPr>
        <w:t>among</w:t>
      </w:r>
      <w:r w:rsidR="00472F5B">
        <w:rPr>
          <w:rFonts w:eastAsia="Times New Roman" w:cs="Times New Roman"/>
          <w:bCs/>
          <w:kern w:val="36"/>
          <w:szCs w:val="32"/>
          <w:lang w:eastAsia="en-GB"/>
        </w:rPr>
        <w:t xml:space="preserve"> </w:t>
      </w:r>
      <w:r w:rsidR="0016468B">
        <w:rPr>
          <w:rFonts w:eastAsia="Times New Roman" w:cs="Times New Roman"/>
          <w:bCs/>
          <w:kern w:val="36"/>
          <w:szCs w:val="32"/>
          <w:lang w:eastAsia="en-GB"/>
        </w:rPr>
        <w:t>those whose current or last job was classed as a routine or manual occupation</w:t>
      </w:r>
      <w:r w:rsidR="00791149">
        <w:rPr>
          <w:rFonts w:eastAsia="Times New Roman" w:cs="Times New Roman"/>
          <w:bCs/>
          <w:kern w:val="36"/>
          <w:szCs w:val="32"/>
          <w:lang w:eastAsia="en-GB"/>
        </w:rPr>
        <w:t>, there was no consistent or strong association with knee and hand OA</w:t>
      </w:r>
      <w:r w:rsidR="0078129B">
        <w:rPr>
          <w:rFonts w:eastAsia="Times New Roman" w:cs="Times New Roman"/>
          <w:bCs/>
          <w:kern w:val="36"/>
          <w:szCs w:val="32"/>
          <w:lang w:eastAsia="en-GB"/>
        </w:rPr>
        <w:t>.</w:t>
      </w:r>
      <w:r w:rsidR="000A581C">
        <w:rPr>
          <w:rFonts w:eastAsia="Times New Roman" w:cs="Times New Roman"/>
          <w:bCs/>
          <w:kern w:val="36"/>
          <w:szCs w:val="32"/>
          <w:lang w:eastAsia="en-GB"/>
        </w:rPr>
        <w:t xml:space="preserve"> </w:t>
      </w:r>
      <w:r w:rsidR="007B25D2">
        <w:rPr>
          <w:rFonts w:eastAsia="Times New Roman" w:cs="Times New Roman"/>
          <w:bCs/>
          <w:kern w:val="36"/>
          <w:szCs w:val="32"/>
          <w:lang w:eastAsia="en-GB"/>
        </w:rPr>
        <w:t xml:space="preserve">Higher prevalences of all </w:t>
      </w:r>
      <w:r w:rsidR="007E45D9">
        <w:rPr>
          <w:rFonts w:eastAsia="Times New Roman" w:cs="Times New Roman"/>
          <w:bCs/>
          <w:kern w:val="36"/>
          <w:szCs w:val="32"/>
          <w:lang w:eastAsia="en-GB"/>
        </w:rPr>
        <w:t>knee</w:t>
      </w:r>
      <w:r w:rsidR="00226027">
        <w:rPr>
          <w:rFonts w:eastAsia="Times New Roman" w:cs="Times New Roman"/>
          <w:bCs/>
          <w:kern w:val="36"/>
          <w:szCs w:val="32"/>
          <w:lang w:eastAsia="en-GB"/>
        </w:rPr>
        <w:t xml:space="preserve"> </w:t>
      </w:r>
      <w:r w:rsidR="00123B62">
        <w:rPr>
          <w:rFonts w:eastAsia="Times New Roman" w:cs="Times New Roman"/>
          <w:bCs/>
          <w:kern w:val="36"/>
          <w:szCs w:val="32"/>
          <w:lang w:eastAsia="en-GB"/>
        </w:rPr>
        <w:t>and foot sub</w:t>
      </w:r>
      <w:r w:rsidR="007E45D9">
        <w:rPr>
          <w:rFonts w:eastAsia="Times New Roman" w:cs="Times New Roman"/>
          <w:bCs/>
          <w:kern w:val="36"/>
          <w:szCs w:val="32"/>
          <w:lang w:eastAsia="en-GB"/>
        </w:rPr>
        <w:t xml:space="preserve">types, particularly midfoot OA, </w:t>
      </w:r>
      <w:r w:rsidR="00226027">
        <w:rPr>
          <w:rFonts w:eastAsia="Times New Roman" w:cs="Times New Roman"/>
          <w:bCs/>
          <w:kern w:val="36"/>
          <w:szCs w:val="32"/>
          <w:lang w:eastAsia="en-GB"/>
        </w:rPr>
        <w:t xml:space="preserve">were observed in </w:t>
      </w:r>
      <w:r w:rsidR="007E45D9">
        <w:rPr>
          <w:rFonts w:eastAsia="Times New Roman" w:cs="Times New Roman"/>
          <w:bCs/>
          <w:kern w:val="36"/>
          <w:szCs w:val="32"/>
          <w:lang w:eastAsia="en-GB"/>
        </w:rPr>
        <w:t>obese adults.</w:t>
      </w:r>
      <w:r w:rsidR="007B25D2">
        <w:rPr>
          <w:rFonts w:eastAsia="Times New Roman" w:cs="Times New Roman"/>
          <w:bCs/>
          <w:kern w:val="36"/>
          <w:szCs w:val="32"/>
          <w:lang w:eastAsia="en-GB"/>
        </w:rPr>
        <w:t xml:space="preserve"> </w:t>
      </w:r>
      <w:r w:rsidR="00123B62">
        <w:rPr>
          <w:rFonts w:eastAsia="Times New Roman" w:cs="Times New Roman"/>
          <w:bCs/>
          <w:kern w:val="36"/>
          <w:szCs w:val="32"/>
          <w:lang w:eastAsia="en-GB"/>
        </w:rPr>
        <w:t>Prevalence of most sub</w:t>
      </w:r>
      <w:r w:rsidR="00506CA9">
        <w:rPr>
          <w:rFonts w:eastAsia="Times New Roman" w:cs="Times New Roman"/>
          <w:bCs/>
          <w:kern w:val="36"/>
          <w:szCs w:val="32"/>
          <w:lang w:eastAsia="en-GB"/>
        </w:rPr>
        <w:t>types increased linearly with older age and higher BMI</w:t>
      </w:r>
      <w:r w:rsidR="00287BAA">
        <w:rPr>
          <w:rFonts w:eastAsia="Times New Roman" w:cs="Times New Roman"/>
          <w:bCs/>
          <w:kern w:val="36"/>
          <w:szCs w:val="32"/>
          <w:lang w:eastAsia="en-GB"/>
        </w:rPr>
        <w:t xml:space="preserve"> (</w:t>
      </w:r>
      <w:r w:rsidR="003C2B87">
        <w:rPr>
          <w:rFonts w:eastAsia="Times New Roman" w:cs="Times New Roman"/>
          <w:b/>
          <w:bCs/>
          <w:kern w:val="36"/>
          <w:szCs w:val="32"/>
          <w:lang w:eastAsia="en-GB"/>
        </w:rPr>
        <w:t>Supporting Information</w:t>
      </w:r>
      <w:r w:rsidR="00287BAA" w:rsidRPr="00287BAA">
        <w:rPr>
          <w:rFonts w:eastAsia="Times New Roman" w:cs="Times New Roman"/>
          <w:b/>
          <w:bCs/>
          <w:kern w:val="36"/>
          <w:szCs w:val="32"/>
          <w:lang w:eastAsia="en-GB"/>
        </w:rPr>
        <w:t xml:space="preserve"> Figure S1</w:t>
      </w:r>
      <w:r w:rsidR="00287BAA">
        <w:rPr>
          <w:rFonts w:eastAsia="Times New Roman" w:cs="Times New Roman"/>
          <w:bCs/>
          <w:kern w:val="36"/>
          <w:szCs w:val="32"/>
          <w:lang w:eastAsia="en-GB"/>
        </w:rPr>
        <w:t>)</w:t>
      </w:r>
      <w:r w:rsidR="00506CA9">
        <w:rPr>
          <w:rFonts w:eastAsia="Times New Roman" w:cs="Times New Roman"/>
          <w:bCs/>
          <w:kern w:val="36"/>
          <w:szCs w:val="32"/>
          <w:lang w:eastAsia="en-GB"/>
        </w:rPr>
        <w:t>.</w:t>
      </w:r>
    </w:p>
    <w:p w14:paraId="285EECF1" w14:textId="77777777" w:rsidR="0001640E" w:rsidRPr="00123EC9" w:rsidRDefault="0001640E" w:rsidP="005A3677">
      <w:pPr>
        <w:rPr>
          <w:rFonts w:eastAsia="Times New Roman" w:cs="Times New Roman"/>
          <w:bCs/>
          <w:kern w:val="36"/>
          <w:szCs w:val="32"/>
          <w:lang w:eastAsia="en-GB"/>
        </w:rPr>
      </w:pPr>
    </w:p>
    <w:p w14:paraId="5CB4A0F5" w14:textId="77777777" w:rsidR="00E626C5" w:rsidRDefault="00CE2FF0" w:rsidP="00000C76">
      <w:pPr>
        <w:pStyle w:val="Heading1"/>
      </w:pPr>
      <w:r>
        <w:t>4</w:t>
      </w:r>
      <w:r w:rsidR="00544FDA">
        <w:t>.</w:t>
      </w:r>
      <w:r>
        <w:t xml:space="preserve"> </w:t>
      </w:r>
      <w:r w:rsidR="00E626C5">
        <w:t>Discussion</w:t>
      </w:r>
    </w:p>
    <w:p w14:paraId="188FC051" w14:textId="3940CD3A" w:rsidR="00803205" w:rsidRDefault="00084B7E" w:rsidP="007A6AF8">
      <w:r>
        <w:lastRenderedPageBreak/>
        <w:t>This brief</w:t>
      </w:r>
      <w:r w:rsidR="00F1070C">
        <w:t xml:space="preserve"> report </w:t>
      </w:r>
      <w:r w:rsidR="00BA4B1A">
        <w:t>consolidates</w:t>
      </w:r>
      <w:r w:rsidR="006722C5">
        <w:t xml:space="preserve"> prevalence estimates for ten</w:t>
      </w:r>
      <w:r w:rsidR="001643A2">
        <w:t xml:space="preserve"> different subtyp</w:t>
      </w:r>
      <w:r w:rsidR="00A43AE2">
        <w:t>es of symptomatic</w:t>
      </w:r>
      <w:r w:rsidR="001643A2">
        <w:t xml:space="preserve"> </w:t>
      </w:r>
      <w:r w:rsidR="00A43AE2">
        <w:t xml:space="preserve">OA </w:t>
      </w:r>
      <w:r w:rsidR="001643A2">
        <w:t>at the knee, hand, and foot using</w:t>
      </w:r>
      <w:r w:rsidR="00AF52AE">
        <w:t xml:space="preserve"> a common approach to case definition </w:t>
      </w:r>
      <w:r w:rsidR="001643A2">
        <w:t>and analysis</w:t>
      </w:r>
      <w:r w:rsidR="00F4455B">
        <w:t>,</w:t>
      </w:r>
      <w:r w:rsidR="00AF52AE">
        <w:t xml:space="preserve"> </w:t>
      </w:r>
      <w:r>
        <w:t>based on</w:t>
      </w:r>
      <w:r w:rsidR="00F1070C">
        <w:t xml:space="preserve"> a harmonised approach to sampling and data collection </w:t>
      </w:r>
      <w:r w:rsidR="00E473BC">
        <w:t xml:space="preserve">conducted over a nine </w:t>
      </w:r>
      <w:r w:rsidR="001643A2">
        <w:t xml:space="preserve">year period </w:t>
      </w:r>
      <w:r w:rsidR="00F1070C">
        <w:t xml:space="preserve">within a defined local population </w:t>
      </w:r>
      <w:r w:rsidR="001643A2">
        <w:t>in England.</w:t>
      </w:r>
      <w:r w:rsidR="00864457">
        <w:t xml:space="preserve"> T</w:t>
      </w:r>
      <w:r w:rsidR="00D54F48">
        <w:t>h</w:t>
      </w:r>
      <w:r w:rsidR="00864457">
        <w:t xml:space="preserve">e </w:t>
      </w:r>
      <w:r w:rsidR="00D2134F">
        <w:t xml:space="preserve">purpose was to facilitate comparisons between these different subtypes in </w:t>
      </w:r>
      <w:r w:rsidR="00684BBB">
        <w:t>t</w:t>
      </w:r>
      <w:r w:rsidR="00A25AC2">
        <w:t>heir frequency and distribution.</w:t>
      </w:r>
    </w:p>
    <w:p w14:paraId="5DD1B565" w14:textId="77777777" w:rsidR="00BF4361" w:rsidRDefault="00BF4361" w:rsidP="007A6AF8"/>
    <w:p w14:paraId="5128D8F4" w14:textId="63488CD9" w:rsidR="008F22FB" w:rsidRPr="009150B6" w:rsidRDefault="009150B6" w:rsidP="007A6AF8">
      <w:pPr>
        <w:rPr>
          <w:b/>
        </w:rPr>
      </w:pPr>
      <w:r w:rsidRPr="009150B6">
        <w:t>Of the risk factors examined,</w:t>
      </w:r>
      <w:r w:rsidR="0060111B">
        <w:t xml:space="preserve"> the</w:t>
      </w:r>
      <w:r>
        <w:t xml:space="preserve"> gr</w:t>
      </w:r>
      <w:r w:rsidR="00123B62">
        <w:t>eatest differences between sub</w:t>
      </w:r>
      <w:r>
        <w:t xml:space="preserve">types </w:t>
      </w:r>
      <w:r w:rsidR="0060111B">
        <w:t xml:space="preserve">appeared to be </w:t>
      </w:r>
      <w:r>
        <w:t xml:space="preserve">by sex and obesity: sex differences were noticeably greater for </w:t>
      </w:r>
      <w:r w:rsidR="00A2170D">
        <w:t>all forms of hand</w:t>
      </w:r>
      <w:r>
        <w:t xml:space="preserve"> </w:t>
      </w:r>
      <w:r w:rsidR="00A43AE2">
        <w:t xml:space="preserve">OA </w:t>
      </w:r>
      <w:r w:rsidR="00A2170D">
        <w:t xml:space="preserve">except non-nodal interphalangeal joint </w:t>
      </w:r>
      <w:r w:rsidR="00F4455B">
        <w:t>OA</w:t>
      </w:r>
      <w:r w:rsidR="00A2170D">
        <w:t xml:space="preserve">, </w:t>
      </w:r>
      <w:r>
        <w:t xml:space="preserve">while obesity </w:t>
      </w:r>
      <w:r w:rsidR="00A2170D">
        <w:t xml:space="preserve">appeared most strongly associated with forms of knee </w:t>
      </w:r>
      <w:r w:rsidR="00F4455B">
        <w:t>OA</w:t>
      </w:r>
      <w:r w:rsidR="00A2170D">
        <w:t>.</w:t>
      </w:r>
      <w:r>
        <w:t xml:space="preserve"> </w:t>
      </w:r>
      <w:r w:rsidR="0022645A">
        <w:t>A h</w:t>
      </w:r>
      <w:r w:rsidR="00C902E3">
        <w:t>igher prevalence of</w:t>
      </w:r>
      <w:r w:rsidR="003A2A4C">
        <w:t xml:space="preserve"> knee OA</w:t>
      </w:r>
      <w:r w:rsidR="00C902E3">
        <w:t xml:space="preserve"> among women has been previously reported</w:t>
      </w:r>
      <w:r w:rsidR="0022645A">
        <w:t xml:space="preserve"> across multiple</w:t>
      </w:r>
      <w:r w:rsidR="00C902E3">
        <w:t xml:space="preserve"> studies</w:t>
      </w:r>
      <w:r w:rsidR="00F4455B">
        <w:t>,</w:t>
      </w:r>
      <w:r w:rsidR="000027F8">
        <w:t xml:space="preserve"> albeit with some between-study heterogeneity</w:t>
      </w:r>
      <w:r w:rsidR="0022645A">
        <w:t xml:space="preserve"> (</w:t>
      </w:r>
      <w:r w:rsidR="000027F8">
        <w:t>Srikanth</w:t>
      </w:r>
      <w:r w:rsidR="00083F63">
        <w:t xml:space="preserve"> et al.,</w:t>
      </w:r>
      <w:r w:rsidR="000027F8">
        <w:t xml:space="preserve"> 2005). I</w:t>
      </w:r>
      <w:r w:rsidR="00C902E3">
        <w:t>n the present study</w:t>
      </w:r>
      <w:r w:rsidR="00F4455B">
        <w:t>,</w:t>
      </w:r>
      <w:r w:rsidR="00C902E3">
        <w:t xml:space="preserve"> </w:t>
      </w:r>
      <w:r w:rsidR="0022645A">
        <w:t>such differences were relatively modest and</w:t>
      </w:r>
      <w:r w:rsidR="00E360C6">
        <w:t xml:space="preserve"> indeed</w:t>
      </w:r>
      <w:r w:rsidR="00E360C6" w:rsidRPr="00E360C6">
        <w:t xml:space="preserve"> </w:t>
      </w:r>
      <w:r w:rsidR="00E360C6">
        <w:t>absent</w:t>
      </w:r>
      <w:r w:rsidR="0022645A">
        <w:t xml:space="preserve"> for</w:t>
      </w:r>
      <w:r w:rsidR="003A2A4C">
        <w:t xml:space="preserve"> m</w:t>
      </w:r>
      <w:r w:rsidR="00E360C6">
        <w:t>edial tibiofemoral joint OA across each age group</w:t>
      </w:r>
      <w:r w:rsidR="0022645A">
        <w:t>.</w:t>
      </w:r>
      <w:r w:rsidR="00CA7AAA">
        <w:t xml:space="preserve"> The sample frame for our knee study</w:t>
      </w:r>
      <w:r w:rsidR="00284E0F">
        <w:t xml:space="preserve"> included a former mining community and </w:t>
      </w:r>
      <w:r w:rsidR="00F15E8D">
        <w:t>this may have caused a higher than expected</w:t>
      </w:r>
      <w:r w:rsidR="00B3450B">
        <w:t xml:space="preserve"> prevalence of medial tibiofemoral knee</w:t>
      </w:r>
      <w:r w:rsidR="00284E0F">
        <w:t xml:space="preserve"> </w:t>
      </w:r>
      <w:r w:rsidR="00B3450B">
        <w:t>OA</w:t>
      </w:r>
      <w:r w:rsidR="00F15E8D">
        <w:t xml:space="preserve"> among men in our study.</w:t>
      </w:r>
      <w:r w:rsidR="00B54EAD">
        <w:t xml:space="preserve"> The lack of higher prevalence of knee and hand OA subtypes among adults from routine/manual occupations was unexpected but </w:t>
      </w:r>
      <w:r w:rsidR="00C5631A">
        <w:t>was based on c</w:t>
      </w:r>
      <w:r w:rsidR="001946C0">
        <w:t>urrent or last job title and so will reflect any</w:t>
      </w:r>
      <w:r w:rsidR="00E64A30">
        <w:t xml:space="preserve"> </w:t>
      </w:r>
      <w:r w:rsidR="001946C0">
        <w:t xml:space="preserve">selective </w:t>
      </w:r>
      <w:r w:rsidR="00E64A30">
        <w:t>shift</w:t>
      </w:r>
      <w:r w:rsidR="001946C0">
        <w:t>ing</w:t>
      </w:r>
      <w:r w:rsidR="00897B67">
        <w:t xml:space="preserve"> to less physica</w:t>
      </w:r>
      <w:r w:rsidR="00E64A30">
        <w:t>lly dema</w:t>
      </w:r>
      <w:r w:rsidR="00224793">
        <w:t>nding occupations later in working life</w:t>
      </w:r>
      <w:r w:rsidR="00E64A30">
        <w:t>.</w:t>
      </w:r>
    </w:p>
    <w:p w14:paraId="2717ECBF" w14:textId="77777777" w:rsidR="000E666F" w:rsidRDefault="000E666F" w:rsidP="007A6AF8">
      <w:pPr>
        <w:rPr>
          <w:b/>
        </w:rPr>
      </w:pPr>
    </w:p>
    <w:p w14:paraId="5BE228A3" w14:textId="6C205146" w:rsidR="008B1A9E" w:rsidRDefault="00401B99" w:rsidP="007A6AF8">
      <w:pPr>
        <w:rPr>
          <w:rFonts w:eastAsia="Times New Roman" w:cs="Times New Roman"/>
          <w:bCs/>
          <w:kern w:val="36"/>
          <w:szCs w:val="32"/>
          <w:lang w:eastAsia="en-GB"/>
        </w:rPr>
      </w:pPr>
      <w:r>
        <w:rPr>
          <w:rFonts w:eastAsia="Times New Roman" w:cs="Times New Roman"/>
          <w:bCs/>
          <w:kern w:val="36"/>
          <w:szCs w:val="32"/>
          <w:lang w:eastAsia="en-GB"/>
        </w:rPr>
        <w:t xml:space="preserve">The current </w:t>
      </w:r>
      <w:r w:rsidR="00E744F6">
        <w:rPr>
          <w:rFonts w:eastAsia="Times New Roman" w:cs="Times New Roman"/>
          <w:bCs/>
          <w:kern w:val="36"/>
          <w:szCs w:val="32"/>
          <w:lang w:eastAsia="en-GB"/>
        </w:rPr>
        <w:t xml:space="preserve">prevalence </w:t>
      </w:r>
      <w:r>
        <w:rPr>
          <w:rFonts w:eastAsia="Times New Roman" w:cs="Times New Roman"/>
          <w:bCs/>
          <w:kern w:val="36"/>
          <w:szCs w:val="32"/>
          <w:lang w:eastAsia="en-GB"/>
        </w:rPr>
        <w:t xml:space="preserve">estimates were </w:t>
      </w:r>
      <w:r w:rsidR="00E92851">
        <w:rPr>
          <w:rFonts w:eastAsia="Times New Roman" w:cs="Times New Roman"/>
          <w:bCs/>
          <w:kern w:val="36"/>
          <w:szCs w:val="32"/>
          <w:lang w:eastAsia="en-GB"/>
        </w:rPr>
        <w:t>rela</w:t>
      </w:r>
      <w:r>
        <w:rPr>
          <w:rFonts w:eastAsia="Times New Roman" w:cs="Times New Roman"/>
          <w:bCs/>
          <w:kern w:val="36"/>
          <w:szCs w:val="32"/>
          <w:lang w:eastAsia="en-GB"/>
        </w:rPr>
        <w:t xml:space="preserve">tively high when </w:t>
      </w:r>
      <w:r w:rsidR="0008774D">
        <w:rPr>
          <w:rFonts w:eastAsia="Times New Roman" w:cs="Times New Roman"/>
          <w:bCs/>
          <w:kern w:val="36"/>
          <w:szCs w:val="32"/>
          <w:lang w:eastAsia="en-GB"/>
        </w:rPr>
        <w:t>conside</w:t>
      </w:r>
      <w:r w:rsidR="00E744F6">
        <w:rPr>
          <w:rFonts w:eastAsia="Times New Roman" w:cs="Times New Roman"/>
          <w:bCs/>
          <w:kern w:val="36"/>
          <w:szCs w:val="32"/>
          <w:lang w:eastAsia="en-GB"/>
        </w:rPr>
        <w:t>red against previous comparable studie</w:t>
      </w:r>
      <w:r>
        <w:rPr>
          <w:rFonts w:eastAsia="Times New Roman" w:cs="Times New Roman"/>
          <w:bCs/>
          <w:kern w:val="36"/>
          <w:szCs w:val="32"/>
          <w:lang w:eastAsia="en-GB"/>
        </w:rPr>
        <w:t xml:space="preserve">s </w:t>
      </w:r>
      <w:r w:rsidR="007C76E5">
        <w:rPr>
          <w:rFonts w:eastAsia="Times New Roman" w:cs="Times New Roman"/>
          <w:bCs/>
          <w:kern w:val="36"/>
          <w:szCs w:val="32"/>
          <w:lang w:eastAsia="en-GB"/>
        </w:rPr>
        <w:t>from other countries, against</w:t>
      </w:r>
      <w:r w:rsidR="00E92851">
        <w:rPr>
          <w:rFonts w:eastAsia="Times New Roman" w:cs="Times New Roman"/>
          <w:bCs/>
          <w:kern w:val="36"/>
          <w:szCs w:val="32"/>
          <w:lang w:eastAsia="en-GB"/>
        </w:rPr>
        <w:t xml:space="preserve"> </w:t>
      </w:r>
      <w:r w:rsidR="0008774D">
        <w:rPr>
          <w:rFonts w:eastAsia="Times New Roman" w:cs="Times New Roman"/>
          <w:bCs/>
          <w:kern w:val="36"/>
          <w:szCs w:val="32"/>
          <w:lang w:eastAsia="en-GB"/>
        </w:rPr>
        <w:t>modelled estimates</w:t>
      </w:r>
      <w:r>
        <w:rPr>
          <w:rFonts w:eastAsia="Times New Roman" w:cs="Times New Roman"/>
          <w:bCs/>
          <w:kern w:val="36"/>
          <w:szCs w:val="32"/>
          <w:lang w:eastAsia="en-GB"/>
        </w:rPr>
        <w:t xml:space="preserve"> </w:t>
      </w:r>
      <w:r w:rsidR="00E92851">
        <w:rPr>
          <w:rFonts w:eastAsia="Times New Roman" w:cs="Times New Roman"/>
          <w:bCs/>
          <w:kern w:val="36"/>
          <w:szCs w:val="32"/>
          <w:lang w:eastAsia="en-GB"/>
        </w:rPr>
        <w:t xml:space="preserve">for Staffordshire </w:t>
      </w:r>
      <w:r>
        <w:rPr>
          <w:rFonts w:eastAsia="Times New Roman" w:cs="Times New Roman"/>
          <w:bCs/>
          <w:kern w:val="36"/>
          <w:szCs w:val="32"/>
          <w:lang w:eastAsia="en-GB"/>
        </w:rPr>
        <w:t>from the Global Burden of Disease project</w:t>
      </w:r>
      <w:r w:rsidR="0008774D">
        <w:rPr>
          <w:rFonts w:eastAsia="Times New Roman" w:cs="Times New Roman"/>
          <w:bCs/>
          <w:kern w:val="36"/>
          <w:szCs w:val="32"/>
          <w:lang w:eastAsia="en-GB"/>
        </w:rPr>
        <w:t>,</w:t>
      </w:r>
      <w:r w:rsidR="00E92851">
        <w:rPr>
          <w:rFonts w:eastAsia="Times New Roman" w:cs="Times New Roman"/>
          <w:bCs/>
          <w:kern w:val="36"/>
          <w:szCs w:val="32"/>
          <w:lang w:eastAsia="en-GB"/>
        </w:rPr>
        <w:t xml:space="preserve"> and </w:t>
      </w:r>
      <w:r w:rsidR="007C76E5">
        <w:rPr>
          <w:rFonts w:eastAsia="Times New Roman" w:cs="Times New Roman"/>
          <w:bCs/>
          <w:kern w:val="36"/>
          <w:szCs w:val="32"/>
          <w:lang w:eastAsia="en-GB"/>
        </w:rPr>
        <w:t xml:space="preserve">against </w:t>
      </w:r>
      <w:r w:rsidR="00E92851">
        <w:rPr>
          <w:rFonts w:eastAsia="Times New Roman" w:cs="Times New Roman"/>
          <w:bCs/>
          <w:kern w:val="36"/>
          <w:szCs w:val="32"/>
          <w:lang w:eastAsia="en-GB"/>
        </w:rPr>
        <w:t xml:space="preserve">local population estimates </w:t>
      </w:r>
      <w:r w:rsidR="005010B8">
        <w:rPr>
          <w:rFonts w:eastAsia="Times New Roman" w:cs="Times New Roman"/>
          <w:bCs/>
          <w:kern w:val="36"/>
          <w:szCs w:val="32"/>
          <w:lang w:eastAsia="en-GB"/>
        </w:rPr>
        <w:t>of ‘disabling OA</w:t>
      </w:r>
      <w:r w:rsidR="0044417C">
        <w:rPr>
          <w:rFonts w:eastAsia="Times New Roman" w:cs="Times New Roman"/>
          <w:bCs/>
          <w:kern w:val="36"/>
          <w:szCs w:val="32"/>
          <w:lang w:eastAsia="en-GB"/>
        </w:rPr>
        <w:t xml:space="preserve">’ </w:t>
      </w:r>
      <w:r w:rsidR="00E92851">
        <w:rPr>
          <w:rFonts w:eastAsia="Times New Roman" w:cs="Times New Roman"/>
          <w:bCs/>
          <w:kern w:val="36"/>
          <w:szCs w:val="32"/>
          <w:lang w:eastAsia="en-GB"/>
        </w:rPr>
        <w:t xml:space="preserve">based on self-report </w:t>
      </w:r>
      <w:r>
        <w:rPr>
          <w:rFonts w:eastAsia="Times New Roman" w:cs="Times New Roman"/>
          <w:bCs/>
          <w:kern w:val="36"/>
          <w:szCs w:val="32"/>
          <w:lang w:eastAsia="en-GB"/>
        </w:rPr>
        <w:t>(</w:t>
      </w:r>
      <w:r w:rsidR="003C2B87">
        <w:rPr>
          <w:rFonts w:eastAsia="Times New Roman" w:cs="Times New Roman"/>
          <w:b/>
          <w:bCs/>
          <w:kern w:val="36"/>
          <w:szCs w:val="32"/>
          <w:lang w:eastAsia="en-GB"/>
        </w:rPr>
        <w:t>Supplementary Information</w:t>
      </w:r>
      <w:r w:rsidR="00C4653B">
        <w:rPr>
          <w:rFonts w:eastAsia="Times New Roman" w:cs="Times New Roman"/>
          <w:b/>
          <w:bCs/>
          <w:kern w:val="36"/>
          <w:szCs w:val="32"/>
          <w:lang w:eastAsia="en-GB"/>
        </w:rPr>
        <w:t xml:space="preserve"> Table S5</w:t>
      </w:r>
      <w:r>
        <w:rPr>
          <w:rFonts w:eastAsia="Times New Roman" w:cs="Times New Roman"/>
          <w:bCs/>
          <w:kern w:val="36"/>
          <w:szCs w:val="32"/>
          <w:lang w:eastAsia="en-GB"/>
        </w:rPr>
        <w:t>).</w:t>
      </w:r>
      <w:r w:rsidR="006E4E20">
        <w:rPr>
          <w:rFonts w:eastAsia="Times New Roman" w:cs="Times New Roman"/>
          <w:bCs/>
          <w:kern w:val="36"/>
          <w:szCs w:val="32"/>
          <w:lang w:eastAsia="en-GB"/>
        </w:rPr>
        <w:t xml:space="preserve"> </w:t>
      </w:r>
      <w:r w:rsidR="00F974E6">
        <w:rPr>
          <w:rFonts w:eastAsia="Times New Roman" w:cs="Times New Roman"/>
          <w:bCs/>
          <w:kern w:val="36"/>
          <w:szCs w:val="32"/>
          <w:lang w:eastAsia="en-GB"/>
        </w:rPr>
        <w:t xml:space="preserve">The effect of differences in definitions must be suspected. </w:t>
      </w:r>
      <w:r w:rsidR="006E4E20">
        <w:rPr>
          <w:rFonts w:eastAsia="Times New Roman" w:cs="Times New Roman"/>
          <w:bCs/>
          <w:kern w:val="36"/>
          <w:szCs w:val="32"/>
          <w:lang w:eastAsia="en-GB"/>
        </w:rPr>
        <w:t>One</w:t>
      </w:r>
      <w:r w:rsidR="00F974E6">
        <w:rPr>
          <w:rFonts w:eastAsia="Times New Roman" w:cs="Times New Roman"/>
          <w:bCs/>
          <w:kern w:val="36"/>
          <w:szCs w:val="32"/>
          <w:lang w:eastAsia="en-GB"/>
        </w:rPr>
        <w:t xml:space="preserve"> factor</w:t>
      </w:r>
      <w:r w:rsidR="00C538DD">
        <w:rPr>
          <w:rFonts w:eastAsia="Times New Roman" w:cs="Times New Roman"/>
          <w:bCs/>
          <w:kern w:val="36"/>
          <w:szCs w:val="32"/>
          <w:lang w:eastAsia="en-GB"/>
        </w:rPr>
        <w:t xml:space="preserve"> may</w:t>
      </w:r>
      <w:r w:rsidR="006A0636">
        <w:rPr>
          <w:rFonts w:eastAsia="Times New Roman" w:cs="Times New Roman"/>
          <w:bCs/>
          <w:kern w:val="36"/>
          <w:szCs w:val="32"/>
          <w:lang w:eastAsia="en-GB"/>
        </w:rPr>
        <w:t xml:space="preserve"> be </w:t>
      </w:r>
      <w:r w:rsidR="0044417C">
        <w:rPr>
          <w:rFonts w:eastAsia="Times New Roman" w:cs="Times New Roman"/>
          <w:bCs/>
          <w:kern w:val="36"/>
          <w:szCs w:val="32"/>
          <w:lang w:eastAsia="en-GB"/>
        </w:rPr>
        <w:t xml:space="preserve">the </w:t>
      </w:r>
      <w:r w:rsidR="00011C2B">
        <w:rPr>
          <w:rFonts w:eastAsia="Times New Roman" w:cs="Times New Roman"/>
          <w:bCs/>
          <w:kern w:val="36"/>
          <w:szCs w:val="32"/>
          <w:lang w:eastAsia="en-GB"/>
        </w:rPr>
        <w:t xml:space="preserve">lower </w:t>
      </w:r>
      <w:r w:rsidR="0044417C">
        <w:rPr>
          <w:rFonts w:eastAsia="Times New Roman" w:cs="Times New Roman"/>
          <w:bCs/>
          <w:kern w:val="36"/>
          <w:szCs w:val="32"/>
          <w:lang w:eastAsia="en-GB"/>
        </w:rPr>
        <w:t>symptom threshold</w:t>
      </w:r>
      <w:r w:rsidR="00011C2B">
        <w:rPr>
          <w:rFonts w:eastAsia="Times New Roman" w:cs="Times New Roman"/>
          <w:bCs/>
          <w:kern w:val="36"/>
          <w:szCs w:val="32"/>
          <w:lang w:eastAsia="en-GB"/>
        </w:rPr>
        <w:t xml:space="preserve"> used in the current study, requiring pain</w:t>
      </w:r>
      <w:r w:rsidR="0044417C">
        <w:rPr>
          <w:rFonts w:eastAsia="Times New Roman" w:cs="Times New Roman"/>
          <w:bCs/>
          <w:kern w:val="36"/>
          <w:szCs w:val="32"/>
          <w:lang w:eastAsia="en-GB"/>
        </w:rPr>
        <w:t xml:space="preserve"> in the past four weeks</w:t>
      </w:r>
      <w:r w:rsidR="00011C2B">
        <w:rPr>
          <w:rFonts w:eastAsia="Times New Roman" w:cs="Times New Roman"/>
          <w:bCs/>
          <w:kern w:val="36"/>
          <w:szCs w:val="32"/>
          <w:lang w:eastAsia="en-GB"/>
        </w:rPr>
        <w:t xml:space="preserve"> rather than the more stringent standard of ‘symptoms on most days</w:t>
      </w:r>
      <w:r w:rsidR="00B111BB">
        <w:rPr>
          <w:rFonts w:eastAsia="Times New Roman" w:cs="Times New Roman"/>
          <w:bCs/>
          <w:kern w:val="36"/>
          <w:szCs w:val="32"/>
          <w:lang w:eastAsia="en-GB"/>
        </w:rPr>
        <w:t>’ which was</w:t>
      </w:r>
      <w:r w:rsidR="0044417C">
        <w:rPr>
          <w:rFonts w:eastAsia="Times New Roman" w:cs="Times New Roman"/>
          <w:bCs/>
          <w:kern w:val="36"/>
          <w:szCs w:val="32"/>
          <w:lang w:eastAsia="en-GB"/>
        </w:rPr>
        <w:t xml:space="preserve"> not availa</w:t>
      </w:r>
      <w:r w:rsidR="00B111BB">
        <w:rPr>
          <w:rFonts w:eastAsia="Times New Roman" w:cs="Times New Roman"/>
          <w:bCs/>
          <w:kern w:val="36"/>
          <w:szCs w:val="32"/>
          <w:lang w:eastAsia="en-GB"/>
        </w:rPr>
        <w:t>ble across all three cohorts</w:t>
      </w:r>
      <w:r w:rsidR="0044417C">
        <w:rPr>
          <w:rFonts w:eastAsia="Times New Roman" w:cs="Times New Roman"/>
          <w:bCs/>
          <w:kern w:val="36"/>
          <w:szCs w:val="32"/>
          <w:lang w:eastAsia="en-GB"/>
        </w:rPr>
        <w:t xml:space="preserve"> for all the joint locations needed to construct </w:t>
      </w:r>
      <w:r w:rsidR="007C76E5">
        <w:rPr>
          <w:rFonts w:eastAsia="Times New Roman" w:cs="Times New Roman"/>
          <w:bCs/>
          <w:kern w:val="36"/>
          <w:szCs w:val="32"/>
          <w:lang w:eastAsia="en-GB"/>
        </w:rPr>
        <w:t xml:space="preserve">comparable </w:t>
      </w:r>
      <w:r w:rsidR="00A847F7">
        <w:rPr>
          <w:rFonts w:eastAsia="Times New Roman" w:cs="Times New Roman"/>
          <w:bCs/>
          <w:kern w:val="36"/>
          <w:szCs w:val="32"/>
          <w:lang w:eastAsia="en-GB"/>
        </w:rPr>
        <w:t>sub</w:t>
      </w:r>
      <w:r w:rsidR="00B111BB">
        <w:rPr>
          <w:rFonts w:eastAsia="Times New Roman" w:cs="Times New Roman"/>
          <w:bCs/>
          <w:kern w:val="36"/>
          <w:szCs w:val="32"/>
          <w:lang w:eastAsia="en-GB"/>
        </w:rPr>
        <w:t xml:space="preserve">type </w:t>
      </w:r>
      <w:r w:rsidR="0044417C">
        <w:rPr>
          <w:rFonts w:eastAsia="Times New Roman" w:cs="Times New Roman"/>
          <w:bCs/>
          <w:kern w:val="36"/>
          <w:szCs w:val="32"/>
          <w:lang w:eastAsia="en-GB"/>
        </w:rPr>
        <w:t>case defin</w:t>
      </w:r>
      <w:r w:rsidR="00B111BB">
        <w:rPr>
          <w:rFonts w:eastAsia="Times New Roman" w:cs="Times New Roman"/>
          <w:bCs/>
          <w:kern w:val="36"/>
          <w:szCs w:val="32"/>
          <w:lang w:eastAsia="en-GB"/>
        </w:rPr>
        <w:t>itions. Based on o</w:t>
      </w:r>
      <w:r w:rsidR="00F924AA">
        <w:rPr>
          <w:rFonts w:eastAsia="Times New Roman" w:cs="Times New Roman"/>
          <w:bCs/>
          <w:kern w:val="36"/>
          <w:szCs w:val="32"/>
          <w:lang w:eastAsia="en-GB"/>
        </w:rPr>
        <w:t>ur data,</w:t>
      </w:r>
      <w:r w:rsidR="00376B08">
        <w:rPr>
          <w:rFonts w:eastAsia="Times New Roman" w:cs="Times New Roman"/>
          <w:bCs/>
          <w:kern w:val="36"/>
          <w:szCs w:val="32"/>
          <w:lang w:eastAsia="en-GB"/>
        </w:rPr>
        <w:t xml:space="preserve"> 45-65%</w:t>
      </w:r>
      <w:r w:rsidR="00B111BB">
        <w:rPr>
          <w:rFonts w:eastAsia="Times New Roman" w:cs="Times New Roman"/>
          <w:bCs/>
          <w:kern w:val="36"/>
          <w:szCs w:val="32"/>
          <w:lang w:eastAsia="en-GB"/>
        </w:rPr>
        <w:t xml:space="preserve"> </w:t>
      </w:r>
      <w:r w:rsidR="0044417C">
        <w:rPr>
          <w:rFonts w:eastAsia="Times New Roman" w:cs="Times New Roman"/>
          <w:bCs/>
          <w:kern w:val="36"/>
          <w:szCs w:val="32"/>
          <w:lang w:eastAsia="en-GB"/>
        </w:rPr>
        <w:t>of those reporting pain in the past 4 weeks</w:t>
      </w:r>
      <w:r w:rsidR="008C4F45">
        <w:rPr>
          <w:rFonts w:eastAsia="Times New Roman" w:cs="Times New Roman"/>
          <w:bCs/>
          <w:kern w:val="36"/>
          <w:szCs w:val="32"/>
          <w:lang w:eastAsia="en-GB"/>
        </w:rPr>
        <w:t xml:space="preserve"> report symptoms on most days in the previous month</w:t>
      </w:r>
      <w:r w:rsidR="00E744F6">
        <w:rPr>
          <w:rFonts w:eastAsia="Times New Roman" w:cs="Times New Roman"/>
          <w:bCs/>
          <w:kern w:val="36"/>
          <w:szCs w:val="32"/>
          <w:lang w:eastAsia="en-GB"/>
        </w:rPr>
        <w:t>.</w:t>
      </w:r>
      <w:r w:rsidR="00F924AA">
        <w:rPr>
          <w:rFonts w:eastAsia="Times New Roman" w:cs="Times New Roman"/>
          <w:bCs/>
          <w:kern w:val="36"/>
          <w:szCs w:val="32"/>
          <w:lang w:eastAsia="en-GB"/>
        </w:rPr>
        <w:t xml:space="preserve"> This proportion was not substantially different by joint (knee</w:t>
      </w:r>
      <w:r w:rsidR="006E4E20">
        <w:rPr>
          <w:rFonts w:eastAsia="Times New Roman" w:cs="Times New Roman"/>
          <w:bCs/>
          <w:kern w:val="36"/>
          <w:szCs w:val="32"/>
          <w:lang w:eastAsia="en-GB"/>
        </w:rPr>
        <w:t xml:space="preserve"> 56%, hand 50%, foot </w:t>
      </w:r>
      <w:r w:rsidR="00F924AA">
        <w:rPr>
          <w:rFonts w:eastAsia="Times New Roman" w:cs="Times New Roman"/>
          <w:bCs/>
          <w:kern w:val="36"/>
          <w:szCs w:val="32"/>
          <w:lang w:eastAsia="en-GB"/>
        </w:rPr>
        <w:t>59%)</w:t>
      </w:r>
      <w:r w:rsidR="006E4E20">
        <w:rPr>
          <w:rFonts w:eastAsia="Times New Roman" w:cs="Times New Roman"/>
          <w:bCs/>
          <w:kern w:val="36"/>
          <w:szCs w:val="32"/>
          <w:lang w:eastAsia="en-GB"/>
        </w:rPr>
        <w:t>.</w:t>
      </w:r>
      <w:r w:rsidR="00A611C0">
        <w:rPr>
          <w:rFonts w:eastAsia="Times New Roman" w:cs="Times New Roman"/>
          <w:bCs/>
          <w:kern w:val="36"/>
          <w:szCs w:val="32"/>
          <w:lang w:eastAsia="en-GB"/>
        </w:rPr>
        <w:t xml:space="preserve"> </w:t>
      </w:r>
      <w:r w:rsidR="00A611C0" w:rsidRPr="00111264">
        <w:rPr>
          <w:rFonts w:eastAsia="Times New Roman" w:cs="Times New Roman"/>
          <w:bCs/>
          <w:kern w:val="36"/>
          <w:szCs w:val="32"/>
          <w:lang w:eastAsia="en-GB"/>
        </w:rPr>
        <w:t>Another</w:t>
      </w:r>
      <w:r w:rsidR="00B80AA3">
        <w:rPr>
          <w:rFonts w:eastAsia="Times New Roman" w:cs="Times New Roman"/>
          <w:bCs/>
          <w:kern w:val="36"/>
          <w:szCs w:val="32"/>
          <w:lang w:eastAsia="en-GB"/>
        </w:rPr>
        <w:t xml:space="preserve"> factor in case definitions</w:t>
      </w:r>
      <w:r w:rsidR="00A611C0" w:rsidRPr="00111264">
        <w:rPr>
          <w:rFonts w:eastAsia="Times New Roman" w:cs="Times New Roman"/>
          <w:bCs/>
          <w:kern w:val="36"/>
          <w:szCs w:val="32"/>
          <w:lang w:eastAsia="en-GB"/>
        </w:rPr>
        <w:t xml:space="preserve"> is how precisely the location of</w:t>
      </w:r>
      <w:r w:rsidR="00D44F09" w:rsidRPr="00111264">
        <w:rPr>
          <w:rFonts w:eastAsia="Times New Roman" w:cs="Times New Roman"/>
          <w:bCs/>
          <w:kern w:val="36"/>
          <w:szCs w:val="32"/>
          <w:lang w:eastAsia="en-GB"/>
        </w:rPr>
        <w:t xml:space="preserve"> symptom</w:t>
      </w:r>
      <w:r w:rsidR="00A611C0" w:rsidRPr="00111264">
        <w:rPr>
          <w:rFonts w:eastAsia="Times New Roman" w:cs="Times New Roman"/>
          <w:bCs/>
          <w:kern w:val="36"/>
          <w:szCs w:val="32"/>
          <w:lang w:eastAsia="en-GB"/>
        </w:rPr>
        <w:t>s and radiographic changes a</w:t>
      </w:r>
      <w:r w:rsidR="00B80AA3">
        <w:rPr>
          <w:rFonts w:eastAsia="Times New Roman" w:cs="Times New Roman"/>
          <w:bCs/>
          <w:kern w:val="36"/>
          <w:szCs w:val="32"/>
          <w:lang w:eastAsia="en-GB"/>
        </w:rPr>
        <w:t xml:space="preserve">re </w:t>
      </w:r>
      <w:r w:rsidR="00B80AA3">
        <w:rPr>
          <w:rFonts w:eastAsia="Times New Roman" w:cs="Times New Roman"/>
          <w:bCs/>
          <w:kern w:val="36"/>
          <w:szCs w:val="32"/>
          <w:lang w:eastAsia="en-GB"/>
        </w:rPr>
        <w:lastRenderedPageBreak/>
        <w:t>matched. For example, t</w:t>
      </w:r>
      <w:r w:rsidR="007A7A7A" w:rsidRPr="00111264">
        <w:rPr>
          <w:rFonts w:eastAsia="Times New Roman" w:cs="Times New Roman"/>
          <w:bCs/>
          <w:kern w:val="36"/>
          <w:szCs w:val="32"/>
          <w:lang w:eastAsia="en-GB"/>
        </w:rPr>
        <w:t>he present analysis produced</w:t>
      </w:r>
      <w:r w:rsidR="00C538DD" w:rsidRPr="00111264">
        <w:rPr>
          <w:rFonts w:eastAsia="Times New Roman" w:cs="Times New Roman"/>
          <w:bCs/>
          <w:kern w:val="36"/>
          <w:szCs w:val="32"/>
          <w:lang w:eastAsia="en-GB"/>
        </w:rPr>
        <w:t xml:space="preserve"> lower estimates for most symptomatic radiographic hand OA subtypes</w:t>
      </w:r>
      <w:r w:rsidR="007A7A7A" w:rsidRPr="00111264">
        <w:rPr>
          <w:rFonts w:eastAsia="Times New Roman" w:cs="Times New Roman"/>
          <w:bCs/>
          <w:kern w:val="36"/>
          <w:szCs w:val="32"/>
          <w:lang w:eastAsia="en-GB"/>
        </w:rPr>
        <w:t xml:space="preserve"> than a previous</w:t>
      </w:r>
      <w:r w:rsidR="007A7A7A">
        <w:rPr>
          <w:rFonts w:eastAsia="Times New Roman" w:cs="Times New Roman"/>
          <w:bCs/>
          <w:kern w:val="36"/>
          <w:szCs w:val="32"/>
          <w:lang w:eastAsia="en-GB"/>
        </w:rPr>
        <w:t xml:space="preserve"> analysis of the same cohort but which did not match symptoms and radiographic changes to the same degree but instead required cases to have </w:t>
      </w:r>
      <w:r w:rsidR="00111264">
        <w:rPr>
          <w:rFonts w:eastAsia="Times New Roman" w:cs="Times New Roman"/>
          <w:bCs/>
          <w:kern w:val="36"/>
          <w:szCs w:val="32"/>
          <w:lang w:eastAsia="en-GB"/>
        </w:rPr>
        <w:t xml:space="preserve">hand </w:t>
      </w:r>
      <w:r w:rsidR="007A7A7A">
        <w:rPr>
          <w:rFonts w:eastAsia="Times New Roman" w:cs="Times New Roman"/>
          <w:bCs/>
          <w:kern w:val="36"/>
          <w:szCs w:val="32"/>
          <w:lang w:eastAsia="en-GB"/>
        </w:rPr>
        <w:t>symptoms</w:t>
      </w:r>
      <w:r w:rsidR="00111264">
        <w:rPr>
          <w:rFonts w:eastAsia="Times New Roman" w:cs="Times New Roman"/>
          <w:bCs/>
          <w:kern w:val="36"/>
          <w:szCs w:val="32"/>
          <w:lang w:eastAsia="en-GB"/>
        </w:rPr>
        <w:t xml:space="preserve"> on a few days or more in the past month (Marshall et al., 2013).</w:t>
      </w:r>
      <w:r w:rsidR="007A7A7A">
        <w:rPr>
          <w:rFonts w:eastAsia="Times New Roman" w:cs="Times New Roman"/>
          <w:bCs/>
          <w:kern w:val="36"/>
          <w:szCs w:val="32"/>
          <w:lang w:eastAsia="en-GB"/>
        </w:rPr>
        <w:t xml:space="preserve">  </w:t>
      </w:r>
      <w:r w:rsidR="00A611C0">
        <w:rPr>
          <w:rFonts w:eastAsia="Times New Roman" w:cs="Times New Roman"/>
          <w:bCs/>
          <w:kern w:val="36"/>
          <w:szCs w:val="32"/>
          <w:lang w:eastAsia="en-GB"/>
        </w:rPr>
        <w:t xml:space="preserve"> </w:t>
      </w:r>
      <w:r w:rsidR="0034579B">
        <w:rPr>
          <w:rFonts w:eastAsia="Times New Roman" w:cs="Times New Roman"/>
          <w:bCs/>
          <w:kern w:val="36"/>
          <w:szCs w:val="32"/>
          <w:lang w:eastAsia="en-GB"/>
        </w:rPr>
        <w:t xml:space="preserve"> </w:t>
      </w:r>
    </w:p>
    <w:p w14:paraId="0E3DD979" w14:textId="77777777" w:rsidR="008B1A9E" w:rsidRDefault="008B1A9E" w:rsidP="007A6AF8">
      <w:pPr>
        <w:rPr>
          <w:rFonts w:eastAsia="Times New Roman" w:cs="Times New Roman"/>
          <w:bCs/>
          <w:kern w:val="36"/>
          <w:szCs w:val="32"/>
          <w:lang w:eastAsia="en-GB"/>
        </w:rPr>
      </w:pPr>
    </w:p>
    <w:p w14:paraId="75CCABC7" w14:textId="2D2FA3E3" w:rsidR="007C76E5" w:rsidRDefault="00F9640F" w:rsidP="007A6AF8">
      <w:pPr>
        <w:rPr>
          <w:rFonts w:eastAsia="Times New Roman" w:cs="Times New Roman"/>
          <w:bCs/>
          <w:kern w:val="36"/>
          <w:szCs w:val="32"/>
          <w:lang w:eastAsia="en-GB"/>
        </w:rPr>
      </w:pPr>
      <w:r>
        <w:rPr>
          <w:rFonts w:eastAsia="Times New Roman" w:cs="Times New Roman"/>
          <w:bCs/>
          <w:kern w:val="36"/>
          <w:szCs w:val="32"/>
          <w:lang w:eastAsia="en-GB"/>
        </w:rPr>
        <w:t xml:space="preserve">Prevalence estimates are particular to time and place. </w:t>
      </w:r>
      <w:r w:rsidR="008E3E0B">
        <w:rPr>
          <w:rFonts w:eastAsia="Times New Roman" w:cs="Times New Roman"/>
          <w:bCs/>
          <w:kern w:val="36"/>
          <w:szCs w:val="32"/>
          <w:lang w:eastAsia="en-GB"/>
        </w:rPr>
        <w:t>I</w:t>
      </w:r>
      <w:r w:rsidR="00B74F21">
        <w:rPr>
          <w:rFonts w:eastAsia="Times New Roman" w:cs="Times New Roman"/>
          <w:bCs/>
          <w:kern w:val="36"/>
          <w:szCs w:val="32"/>
          <w:lang w:eastAsia="en-GB"/>
        </w:rPr>
        <w:t>t is important to note that t</w:t>
      </w:r>
      <w:r>
        <w:rPr>
          <w:rFonts w:eastAsia="Times New Roman" w:cs="Times New Roman"/>
          <w:bCs/>
          <w:kern w:val="36"/>
          <w:szCs w:val="32"/>
          <w:lang w:eastAsia="en-GB"/>
        </w:rPr>
        <w:t>he p</w:t>
      </w:r>
      <w:r w:rsidR="0034579B">
        <w:rPr>
          <w:rFonts w:eastAsia="Times New Roman" w:cs="Times New Roman"/>
          <w:bCs/>
          <w:kern w:val="36"/>
          <w:szCs w:val="32"/>
          <w:lang w:eastAsia="en-GB"/>
        </w:rPr>
        <w:t xml:space="preserve">opulation </w:t>
      </w:r>
      <w:r>
        <w:rPr>
          <w:rFonts w:eastAsia="Times New Roman" w:cs="Times New Roman"/>
          <w:bCs/>
          <w:kern w:val="36"/>
          <w:szCs w:val="32"/>
          <w:lang w:eastAsia="en-GB"/>
        </w:rPr>
        <w:t xml:space="preserve">for these studies </w:t>
      </w:r>
      <w:r w:rsidR="0034579B">
        <w:rPr>
          <w:rFonts w:eastAsia="Times New Roman" w:cs="Times New Roman"/>
          <w:bCs/>
          <w:kern w:val="36"/>
          <w:szCs w:val="32"/>
          <w:lang w:eastAsia="en-GB"/>
        </w:rPr>
        <w:t>was overwhelming</w:t>
      </w:r>
      <w:r w:rsidR="00F4455B">
        <w:rPr>
          <w:rFonts w:eastAsia="Times New Roman" w:cs="Times New Roman"/>
          <w:bCs/>
          <w:kern w:val="36"/>
          <w:szCs w:val="32"/>
          <w:lang w:eastAsia="en-GB"/>
        </w:rPr>
        <w:t>ly</w:t>
      </w:r>
      <w:r w:rsidR="0034579B">
        <w:rPr>
          <w:rFonts w:eastAsia="Times New Roman" w:cs="Times New Roman"/>
          <w:bCs/>
          <w:kern w:val="36"/>
          <w:szCs w:val="32"/>
          <w:lang w:eastAsia="en-GB"/>
        </w:rPr>
        <w:t xml:space="preserve"> Caucasian (&gt;90%)</w:t>
      </w:r>
      <w:r w:rsidR="00BF4361">
        <w:rPr>
          <w:rFonts w:eastAsia="Times New Roman" w:cs="Times New Roman"/>
          <w:bCs/>
          <w:kern w:val="36"/>
          <w:szCs w:val="32"/>
          <w:lang w:eastAsia="en-GB"/>
        </w:rPr>
        <w:t>. C</w:t>
      </w:r>
      <w:r w:rsidR="00687C3E">
        <w:rPr>
          <w:rFonts w:eastAsia="Times New Roman" w:cs="Times New Roman"/>
          <w:bCs/>
          <w:kern w:val="36"/>
          <w:szCs w:val="32"/>
          <w:lang w:eastAsia="en-GB"/>
        </w:rPr>
        <w:t>are is needed when trying to infer our findings beyond this population</w:t>
      </w:r>
      <w:r w:rsidR="001E7B16">
        <w:rPr>
          <w:rFonts w:eastAsia="Times New Roman" w:cs="Times New Roman"/>
          <w:bCs/>
          <w:kern w:val="36"/>
          <w:szCs w:val="32"/>
          <w:lang w:eastAsia="en-GB"/>
        </w:rPr>
        <w:t xml:space="preserve"> </w:t>
      </w:r>
      <w:r w:rsidR="00687C3E">
        <w:rPr>
          <w:rFonts w:eastAsia="Times New Roman" w:cs="Times New Roman"/>
          <w:bCs/>
          <w:kern w:val="36"/>
          <w:szCs w:val="32"/>
          <w:lang w:eastAsia="en-GB"/>
        </w:rPr>
        <w:t>g</w:t>
      </w:r>
      <w:r w:rsidR="001E7B16">
        <w:rPr>
          <w:rFonts w:eastAsia="Times New Roman" w:cs="Times New Roman"/>
          <w:bCs/>
          <w:kern w:val="36"/>
          <w:szCs w:val="32"/>
          <w:lang w:eastAsia="en-GB"/>
        </w:rPr>
        <w:t>iven evidence of important differences in</w:t>
      </w:r>
      <w:r w:rsidR="005010B8">
        <w:rPr>
          <w:rFonts w:eastAsia="Times New Roman" w:cs="Times New Roman"/>
          <w:bCs/>
          <w:kern w:val="36"/>
          <w:szCs w:val="32"/>
          <w:lang w:eastAsia="en-GB"/>
        </w:rPr>
        <w:t xml:space="preserve"> OA</w:t>
      </w:r>
      <w:r w:rsidR="001E7B16">
        <w:rPr>
          <w:rFonts w:eastAsia="Times New Roman" w:cs="Times New Roman"/>
          <w:bCs/>
          <w:kern w:val="36"/>
          <w:szCs w:val="32"/>
          <w:lang w:eastAsia="en-GB"/>
        </w:rPr>
        <w:t xml:space="preserve"> occurrence</w:t>
      </w:r>
      <w:r w:rsidR="00F56EBE">
        <w:rPr>
          <w:rFonts w:eastAsia="Times New Roman" w:cs="Times New Roman"/>
          <w:bCs/>
          <w:kern w:val="36"/>
          <w:szCs w:val="32"/>
          <w:lang w:eastAsia="en-GB"/>
        </w:rPr>
        <w:t xml:space="preserve"> between different countries, ethnic groups, and cultures</w:t>
      </w:r>
      <w:r w:rsidR="00687C3E">
        <w:rPr>
          <w:rFonts w:eastAsia="Times New Roman" w:cs="Times New Roman"/>
          <w:bCs/>
          <w:kern w:val="36"/>
          <w:szCs w:val="32"/>
          <w:lang w:eastAsia="en-GB"/>
        </w:rPr>
        <w:t>.</w:t>
      </w:r>
      <w:r w:rsidR="00F56EBE">
        <w:rPr>
          <w:rFonts w:eastAsia="Times New Roman" w:cs="Times New Roman"/>
          <w:bCs/>
          <w:kern w:val="36"/>
          <w:szCs w:val="32"/>
          <w:lang w:eastAsia="en-GB"/>
        </w:rPr>
        <w:t xml:space="preserve"> </w:t>
      </w:r>
      <w:r w:rsidR="00565C18">
        <w:rPr>
          <w:rFonts w:eastAsia="Times New Roman" w:cs="Times New Roman"/>
          <w:bCs/>
          <w:kern w:val="36"/>
          <w:szCs w:val="32"/>
          <w:lang w:eastAsia="en-GB"/>
        </w:rPr>
        <w:t xml:space="preserve">Similarly, </w:t>
      </w:r>
      <w:r w:rsidR="00EC1B33">
        <w:rPr>
          <w:rFonts w:eastAsia="Times New Roman" w:cs="Times New Roman"/>
          <w:bCs/>
          <w:kern w:val="36"/>
          <w:szCs w:val="32"/>
          <w:lang w:eastAsia="en-GB"/>
        </w:rPr>
        <w:t>data collection and estimates occurred over a 9-year period</w:t>
      </w:r>
      <w:r w:rsidR="00097DAA">
        <w:rPr>
          <w:rFonts w:eastAsia="Times New Roman" w:cs="Times New Roman"/>
          <w:bCs/>
          <w:kern w:val="36"/>
          <w:szCs w:val="32"/>
          <w:lang w:eastAsia="en-GB"/>
        </w:rPr>
        <w:t xml:space="preserve"> between 2002-2011</w:t>
      </w:r>
      <w:r w:rsidR="00EC1B33">
        <w:rPr>
          <w:rFonts w:eastAsia="Times New Roman" w:cs="Times New Roman"/>
          <w:bCs/>
          <w:kern w:val="36"/>
          <w:szCs w:val="32"/>
          <w:lang w:eastAsia="en-GB"/>
        </w:rPr>
        <w:t xml:space="preserve">. While </w:t>
      </w:r>
      <w:r w:rsidR="00097DAA">
        <w:rPr>
          <w:rFonts w:eastAsia="Times New Roman" w:cs="Times New Roman"/>
          <w:bCs/>
          <w:kern w:val="36"/>
          <w:szCs w:val="32"/>
          <w:lang w:eastAsia="en-GB"/>
        </w:rPr>
        <w:t xml:space="preserve">an ageing population would be expected to result in increasing prevalence of OA over time (and hence our overall </w:t>
      </w:r>
      <w:r w:rsidR="00973B37">
        <w:rPr>
          <w:rFonts w:eastAsia="Times New Roman" w:cs="Times New Roman"/>
          <w:bCs/>
          <w:kern w:val="36"/>
          <w:szCs w:val="32"/>
          <w:lang w:eastAsia="en-GB"/>
        </w:rPr>
        <w:t>rates</w:t>
      </w:r>
      <w:r w:rsidR="00097DAA">
        <w:rPr>
          <w:rFonts w:eastAsia="Times New Roman" w:cs="Times New Roman"/>
          <w:bCs/>
          <w:kern w:val="36"/>
          <w:szCs w:val="32"/>
          <w:lang w:eastAsia="en-GB"/>
        </w:rPr>
        <w:t xml:space="preserve"> m</w:t>
      </w:r>
      <w:r w:rsidR="00973B37">
        <w:rPr>
          <w:rFonts w:eastAsia="Times New Roman" w:cs="Times New Roman"/>
          <w:bCs/>
          <w:kern w:val="36"/>
          <w:szCs w:val="32"/>
          <w:lang w:eastAsia="en-GB"/>
        </w:rPr>
        <w:t>ay under-estimate prevalence</w:t>
      </w:r>
      <w:r w:rsidR="00A1321F">
        <w:rPr>
          <w:rFonts w:eastAsia="Times New Roman" w:cs="Times New Roman"/>
          <w:bCs/>
          <w:kern w:val="36"/>
          <w:szCs w:val="32"/>
          <w:lang w:eastAsia="en-GB"/>
        </w:rPr>
        <w:t xml:space="preserve"> in 2020), our age-specific </w:t>
      </w:r>
      <w:r w:rsidR="00097DAA">
        <w:rPr>
          <w:rFonts w:eastAsia="Times New Roman" w:cs="Times New Roman"/>
          <w:bCs/>
          <w:kern w:val="36"/>
          <w:szCs w:val="32"/>
          <w:lang w:eastAsia="en-GB"/>
        </w:rPr>
        <w:t>preval</w:t>
      </w:r>
      <w:r w:rsidR="00A1321F">
        <w:rPr>
          <w:rFonts w:eastAsia="Times New Roman" w:cs="Times New Roman"/>
          <w:bCs/>
          <w:kern w:val="36"/>
          <w:szCs w:val="32"/>
          <w:lang w:eastAsia="en-GB"/>
        </w:rPr>
        <w:t>ence estimates should be less prone to becoming ‘outdated’</w:t>
      </w:r>
      <w:r w:rsidR="004E5475">
        <w:rPr>
          <w:rFonts w:eastAsia="Times New Roman" w:cs="Times New Roman"/>
          <w:bCs/>
          <w:kern w:val="36"/>
          <w:szCs w:val="32"/>
          <w:lang w:eastAsia="en-GB"/>
        </w:rPr>
        <w:t>.</w:t>
      </w:r>
      <w:r w:rsidR="002F4334">
        <w:rPr>
          <w:rFonts w:eastAsia="Times New Roman" w:cs="Times New Roman"/>
          <w:bCs/>
          <w:kern w:val="36"/>
          <w:szCs w:val="32"/>
          <w:lang w:eastAsia="en-GB"/>
        </w:rPr>
        <w:t xml:space="preserve"> </w:t>
      </w:r>
      <w:r w:rsidR="009B4D18">
        <w:rPr>
          <w:rFonts w:eastAsia="Times New Roman" w:cs="Times New Roman"/>
          <w:bCs/>
          <w:kern w:val="36"/>
          <w:szCs w:val="32"/>
          <w:lang w:eastAsia="en-GB"/>
        </w:rPr>
        <w:t>Sampling for each of our three cohorts was from different general practices within North Staffordshire</w:t>
      </w:r>
      <w:r w:rsidR="008B1A9E">
        <w:rPr>
          <w:rFonts w:eastAsia="Times New Roman" w:cs="Times New Roman"/>
          <w:bCs/>
          <w:kern w:val="36"/>
          <w:szCs w:val="32"/>
          <w:lang w:eastAsia="en-GB"/>
        </w:rPr>
        <w:t xml:space="preserve"> which could be a source</w:t>
      </w:r>
      <w:r w:rsidR="00EB5C7E">
        <w:rPr>
          <w:rFonts w:eastAsia="Times New Roman" w:cs="Times New Roman"/>
          <w:bCs/>
          <w:kern w:val="36"/>
          <w:szCs w:val="32"/>
          <w:lang w:eastAsia="en-GB"/>
        </w:rPr>
        <w:t xml:space="preserve"> residual confounding of observed differences between knee, hand, and foot OA.</w:t>
      </w:r>
      <w:r w:rsidR="005163FB">
        <w:rPr>
          <w:rFonts w:eastAsia="Times New Roman" w:cs="Times New Roman"/>
          <w:bCs/>
          <w:kern w:val="36"/>
          <w:szCs w:val="32"/>
          <w:lang w:eastAsia="en-GB"/>
        </w:rPr>
        <w:t xml:space="preserve"> Our approach to modelling used a large amount of available covariate data but ultimately assumes that the combination of multiple imputation and inverse probability weighting is sufficient to </w:t>
      </w:r>
      <w:r w:rsidR="00F67D2D">
        <w:rPr>
          <w:rFonts w:eastAsia="Times New Roman" w:cs="Times New Roman"/>
          <w:bCs/>
          <w:kern w:val="36"/>
          <w:szCs w:val="32"/>
          <w:lang w:eastAsia="en-GB"/>
        </w:rPr>
        <w:t>adjust for selective non-participation.</w:t>
      </w:r>
      <w:r w:rsidR="005163FB">
        <w:rPr>
          <w:rFonts w:eastAsia="Times New Roman" w:cs="Times New Roman"/>
          <w:bCs/>
          <w:kern w:val="36"/>
          <w:szCs w:val="32"/>
          <w:lang w:eastAsia="en-GB"/>
        </w:rPr>
        <w:t xml:space="preserve"> </w:t>
      </w:r>
      <w:r w:rsidR="00016234">
        <w:rPr>
          <w:rFonts w:eastAsia="Times New Roman" w:cs="Times New Roman"/>
          <w:bCs/>
          <w:kern w:val="36"/>
          <w:szCs w:val="32"/>
          <w:lang w:eastAsia="en-GB"/>
        </w:rPr>
        <w:t xml:space="preserve">Risk factor information available and comparable across all cohorts </w:t>
      </w:r>
      <w:r w:rsidR="00664F6D">
        <w:rPr>
          <w:rFonts w:eastAsia="Times New Roman" w:cs="Times New Roman"/>
          <w:bCs/>
          <w:kern w:val="36"/>
          <w:szCs w:val="32"/>
          <w:lang w:eastAsia="en-GB"/>
        </w:rPr>
        <w:t>was relatively limited: we were unable to investigate</w:t>
      </w:r>
      <w:r w:rsidR="00016234">
        <w:rPr>
          <w:rFonts w:eastAsia="Times New Roman" w:cs="Times New Roman"/>
          <w:bCs/>
          <w:kern w:val="36"/>
          <w:szCs w:val="32"/>
          <w:lang w:eastAsia="en-GB"/>
        </w:rPr>
        <w:t xml:space="preserve"> injury, nutritional</w:t>
      </w:r>
      <w:r w:rsidR="00DA1EB8">
        <w:rPr>
          <w:rFonts w:eastAsia="Times New Roman" w:cs="Times New Roman"/>
          <w:bCs/>
          <w:kern w:val="36"/>
          <w:szCs w:val="32"/>
          <w:lang w:eastAsia="en-GB"/>
        </w:rPr>
        <w:t>,</w:t>
      </w:r>
      <w:r w:rsidR="00016234">
        <w:rPr>
          <w:rFonts w:eastAsia="Times New Roman" w:cs="Times New Roman"/>
          <w:bCs/>
          <w:kern w:val="36"/>
          <w:szCs w:val="32"/>
          <w:lang w:eastAsia="en-GB"/>
        </w:rPr>
        <w:t xml:space="preserve"> hormonal</w:t>
      </w:r>
      <w:r w:rsidR="00664F6D">
        <w:rPr>
          <w:rFonts w:eastAsia="Times New Roman" w:cs="Times New Roman"/>
          <w:bCs/>
          <w:kern w:val="36"/>
          <w:szCs w:val="32"/>
          <w:lang w:eastAsia="en-GB"/>
        </w:rPr>
        <w:t xml:space="preserve"> or other factors where differential </w:t>
      </w:r>
      <w:r w:rsidR="00A10EFF">
        <w:rPr>
          <w:rFonts w:eastAsia="Times New Roman" w:cs="Times New Roman"/>
          <w:bCs/>
          <w:kern w:val="36"/>
          <w:szCs w:val="32"/>
          <w:lang w:eastAsia="en-GB"/>
        </w:rPr>
        <w:t xml:space="preserve">relationships with subtypes are hypothesised. </w:t>
      </w:r>
      <w:r w:rsidR="00224793">
        <w:rPr>
          <w:rFonts w:eastAsia="Times New Roman" w:cs="Times New Roman"/>
          <w:bCs/>
          <w:kern w:val="36"/>
          <w:szCs w:val="32"/>
          <w:lang w:eastAsia="en-GB"/>
        </w:rPr>
        <w:t>Unfortunately, we did not have a hip</w:t>
      </w:r>
      <w:r w:rsidR="005010B8">
        <w:rPr>
          <w:rFonts w:eastAsia="Times New Roman" w:cs="Times New Roman"/>
          <w:bCs/>
          <w:kern w:val="36"/>
          <w:szCs w:val="32"/>
          <w:lang w:eastAsia="en-GB"/>
        </w:rPr>
        <w:t xml:space="preserve"> OA</w:t>
      </w:r>
      <w:r w:rsidR="00224793">
        <w:rPr>
          <w:rFonts w:eastAsia="Times New Roman" w:cs="Times New Roman"/>
          <w:bCs/>
          <w:kern w:val="36"/>
          <w:szCs w:val="32"/>
          <w:lang w:eastAsia="en-GB"/>
        </w:rPr>
        <w:t xml:space="preserve"> cohort</w:t>
      </w:r>
      <w:r w:rsidR="00433B89">
        <w:rPr>
          <w:rFonts w:eastAsia="Times New Roman" w:cs="Times New Roman"/>
          <w:bCs/>
          <w:kern w:val="36"/>
          <w:szCs w:val="32"/>
          <w:lang w:eastAsia="en-GB"/>
        </w:rPr>
        <w:t xml:space="preserve">. </w:t>
      </w:r>
      <w:r w:rsidR="00664F6D">
        <w:rPr>
          <w:rFonts w:eastAsia="Times New Roman" w:cs="Times New Roman"/>
          <w:bCs/>
          <w:kern w:val="36"/>
          <w:szCs w:val="32"/>
          <w:lang w:eastAsia="en-GB"/>
        </w:rPr>
        <w:t>Finally, in looking at each subtype in turn we must recognise that many individuals with prevalent symptomatic OA over the age of 50 years</w:t>
      </w:r>
      <w:r w:rsidR="006C2507">
        <w:rPr>
          <w:rFonts w:eastAsia="Times New Roman" w:cs="Times New Roman"/>
          <w:bCs/>
          <w:kern w:val="36"/>
          <w:szCs w:val="32"/>
          <w:lang w:eastAsia="en-GB"/>
        </w:rPr>
        <w:t xml:space="preserve"> </w:t>
      </w:r>
      <w:r w:rsidR="00664F6D">
        <w:rPr>
          <w:rFonts w:eastAsia="Times New Roman" w:cs="Times New Roman"/>
          <w:bCs/>
          <w:kern w:val="36"/>
          <w:szCs w:val="32"/>
          <w:lang w:eastAsia="en-GB"/>
        </w:rPr>
        <w:t xml:space="preserve">have multiple co-existing OA subtypes, </w:t>
      </w:r>
      <w:r w:rsidR="006C2507">
        <w:rPr>
          <w:rFonts w:eastAsia="Times New Roman" w:cs="Times New Roman"/>
          <w:bCs/>
          <w:kern w:val="36"/>
          <w:szCs w:val="32"/>
          <w:lang w:eastAsia="en-GB"/>
        </w:rPr>
        <w:t>and this reduces our ability to distinguish subtype-specific associations.</w:t>
      </w:r>
    </w:p>
    <w:p w14:paraId="598AB04A" w14:textId="77777777" w:rsidR="008E3E0B" w:rsidRDefault="008E3E0B" w:rsidP="007A6AF8">
      <w:pPr>
        <w:rPr>
          <w:rFonts w:eastAsia="Times New Roman" w:cs="Times New Roman"/>
          <w:bCs/>
          <w:kern w:val="36"/>
          <w:szCs w:val="32"/>
          <w:lang w:eastAsia="en-GB"/>
        </w:rPr>
      </w:pPr>
    </w:p>
    <w:p w14:paraId="3899E332" w14:textId="707750AD" w:rsidR="008E3E0B" w:rsidRDefault="00F90ED6" w:rsidP="007A6AF8">
      <w:pPr>
        <w:rPr>
          <w:rFonts w:eastAsia="Times New Roman" w:cs="Times New Roman"/>
          <w:bCs/>
          <w:kern w:val="36"/>
          <w:szCs w:val="32"/>
          <w:lang w:eastAsia="en-GB"/>
        </w:rPr>
      </w:pPr>
      <w:r>
        <w:rPr>
          <w:rFonts w:eastAsia="Times New Roman" w:cs="Times New Roman"/>
          <w:bCs/>
          <w:kern w:val="36"/>
          <w:szCs w:val="32"/>
          <w:lang w:eastAsia="en-GB"/>
        </w:rPr>
        <w:t>Despite these limitations, the current st</w:t>
      </w:r>
      <w:r w:rsidR="00433B89">
        <w:rPr>
          <w:rFonts w:eastAsia="Times New Roman" w:cs="Times New Roman"/>
          <w:bCs/>
          <w:kern w:val="36"/>
          <w:szCs w:val="32"/>
          <w:lang w:eastAsia="en-GB"/>
        </w:rPr>
        <w:t>udy provides one of the few</w:t>
      </w:r>
      <w:r w:rsidR="00554D3D">
        <w:rPr>
          <w:rFonts w:eastAsia="Times New Roman" w:cs="Times New Roman"/>
          <w:bCs/>
          <w:kern w:val="36"/>
          <w:szCs w:val="32"/>
          <w:lang w:eastAsia="en-GB"/>
        </w:rPr>
        <w:t xml:space="preserve"> insight</w:t>
      </w:r>
      <w:r w:rsidR="00433B89">
        <w:rPr>
          <w:rFonts w:eastAsia="Times New Roman" w:cs="Times New Roman"/>
          <w:bCs/>
          <w:kern w:val="36"/>
          <w:szCs w:val="32"/>
          <w:lang w:eastAsia="en-GB"/>
        </w:rPr>
        <w:t>s</w:t>
      </w:r>
      <w:r w:rsidR="00554D3D">
        <w:rPr>
          <w:rFonts w:eastAsia="Times New Roman" w:cs="Times New Roman"/>
          <w:bCs/>
          <w:kern w:val="36"/>
          <w:szCs w:val="32"/>
          <w:lang w:eastAsia="en-GB"/>
        </w:rPr>
        <w:t xml:space="preserve"> into the relative prevalence and distribution of a range of </w:t>
      </w:r>
      <w:r w:rsidR="00433B89">
        <w:rPr>
          <w:rFonts w:eastAsia="Times New Roman" w:cs="Times New Roman"/>
          <w:bCs/>
          <w:kern w:val="36"/>
          <w:szCs w:val="32"/>
          <w:lang w:eastAsia="en-GB"/>
        </w:rPr>
        <w:t>symptomatic osteoarthritis subtypes</w:t>
      </w:r>
      <w:r w:rsidR="00E366BD">
        <w:rPr>
          <w:rFonts w:eastAsia="Times New Roman" w:cs="Times New Roman"/>
          <w:bCs/>
          <w:kern w:val="36"/>
          <w:szCs w:val="32"/>
          <w:lang w:eastAsia="en-GB"/>
        </w:rPr>
        <w:t xml:space="preserve"> within a defined UK po</w:t>
      </w:r>
      <w:r w:rsidR="005C6A51">
        <w:rPr>
          <w:rFonts w:eastAsia="Times New Roman" w:cs="Times New Roman"/>
          <w:bCs/>
          <w:kern w:val="36"/>
          <w:szCs w:val="32"/>
          <w:lang w:eastAsia="en-GB"/>
        </w:rPr>
        <w:t>pulation. While some differences are noted,</w:t>
      </w:r>
      <w:r w:rsidR="0016372E">
        <w:rPr>
          <w:rFonts w:eastAsia="Times New Roman" w:cs="Times New Roman"/>
          <w:bCs/>
          <w:kern w:val="36"/>
          <w:szCs w:val="32"/>
          <w:lang w:eastAsia="en-GB"/>
        </w:rPr>
        <w:t xml:space="preserve"> </w:t>
      </w:r>
      <w:r w:rsidR="005C6A51">
        <w:rPr>
          <w:rFonts w:eastAsia="Times New Roman" w:cs="Times New Roman"/>
          <w:bCs/>
          <w:kern w:val="36"/>
          <w:szCs w:val="32"/>
          <w:lang w:eastAsia="en-GB"/>
        </w:rPr>
        <w:t>a general pattern of</w:t>
      </w:r>
      <w:r w:rsidR="0016372E">
        <w:rPr>
          <w:rFonts w:eastAsia="Times New Roman" w:cs="Times New Roman"/>
          <w:bCs/>
          <w:kern w:val="36"/>
          <w:szCs w:val="32"/>
          <w:lang w:eastAsia="en-GB"/>
        </w:rPr>
        <w:t xml:space="preserve"> consistently higher prevalence across most subtypes</w:t>
      </w:r>
      <w:r w:rsidR="00331C63">
        <w:rPr>
          <w:rFonts w:eastAsia="Times New Roman" w:cs="Times New Roman"/>
          <w:bCs/>
          <w:kern w:val="36"/>
          <w:szCs w:val="32"/>
          <w:lang w:eastAsia="en-GB"/>
        </w:rPr>
        <w:t xml:space="preserve"> is</w:t>
      </w:r>
      <w:r w:rsidR="0016372E">
        <w:rPr>
          <w:rFonts w:eastAsia="Times New Roman" w:cs="Times New Roman"/>
          <w:bCs/>
          <w:kern w:val="36"/>
          <w:szCs w:val="32"/>
          <w:lang w:eastAsia="en-GB"/>
        </w:rPr>
        <w:t xml:space="preserve"> </w:t>
      </w:r>
      <w:r w:rsidR="005C6A51">
        <w:rPr>
          <w:rFonts w:eastAsia="Times New Roman" w:cs="Times New Roman"/>
          <w:bCs/>
          <w:kern w:val="36"/>
          <w:szCs w:val="32"/>
          <w:lang w:eastAsia="en-GB"/>
        </w:rPr>
        <w:t xml:space="preserve">seen in </w:t>
      </w:r>
      <w:r w:rsidR="0016372E">
        <w:rPr>
          <w:rFonts w:eastAsia="Times New Roman" w:cs="Times New Roman"/>
          <w:bCs/>
          <w:kern w:val="36"/>
          <w:szCs w:val="32"/>
          <w:lang w:eastAsia="en-GB"/>
        </w:rPr>
        <w:t>older, female, lower socioeconomic status</w:t>
      </w:r>
      <w:r w:rsidR="007E097B">
        <w:rPr>
          <w:rFonts w:eastAsia="Times New Roman" w:cs="Times New Roman"/>
          <w:bCs/>
          <w:kern w:val="36"/>
          <w:szCs w:val="32"/>
          <w:lang w:eastAsia="en-GB"/>
        </w:rPr>
        <w:t xml:space="preserve">, and obese individuals, suggesting the potential value of common action across </w:t>
      </w:r>
      <w:r w:rsidR="00170A94">
        <w:rPr>
          <w:rFonts w:eastAsia="Times New Roman" w:cs="Times New Roman"/>
          <w:bCs/>
          <w:kern w:val="36"/>
          <w:szCs w:val="32"/>
          <w:lang w:eastAsia="en-GB"/>
        </w:rPr>
        <w:t>all subtypes to</w:t>
      </w:r>
      <w:r w:rsidR="007E097B">
        <w:rPr>
          <w:rFonts w:eastAsia="Times New Roman" w:cs="Times New Roman"/>
          <w:bCs/>
          <w:kern w:val="36"/>
          <w:szCs w:val="32"/>
          <w:lang w:eastAsia="en-GB"/>
        </w:rPr>
        <w:t xml:space="preserve"> their prevention and management in populations.</w:t>
      </w:r>
    </w:p>
    <w:p w14:paraId="712DEB6A" w14:textId="747FC633" w:rsidR="00C104C3" w:rsidRPr="0023007B" w:rsidRDefault="0044417C" w:rsidP="005A3677">
      <w:pPr>
        <w:rPr>
          <w:rFonts w:eastAsia="Times New Roman" w:cs="Times New Roman"/>
          <w:bCs/>
          <w:kern w:val="36"/>
          <w:szCs w:val="32"/>
          <w:lang w:eastAsia="en-GB"/>
        </w:rPr>
      </w:pPr>
      <w:r>
        <w:rPr>
          <w:rFonts w:eastAsia="Times New Roman" w:cs="Times New Roman"/>
          <w:bCs/>
          <w:kern w:val="36"/>
          <w:szCs w:val="32"/>
          <w:lang w:eastAsia="en-GB"/>
        </w:rPr>
        <w:t xml:space="preserve"> </w:t>
      </w:r>
    </w:p>
    <w:p w14:paraId="09AD40F8" w14:textId="77777777" w:rsidR="00106056" w:rsidRPr="007D4CAA" w:rsidRDefault="00106056" w:rsidP="005A3677">
      <w:pPr>
        <w:rPr>
          <w:b/>
          <w:lang w:eastAsia="en-GB"/>
        </w:rPr>
      </w:pPr>
      <w:r w:rsidRPr="007D4CAA">
        <w:rPr>
          <w:b/>
          <w:lang w:eastAsia="en-GB"/>
        </w:rPr>
        <w:lastRenderedPageBreak/>
        <w:t>References</w:t>
      </w:r>
    </w:p>
    <w:p w14:paraId="61D5C29C" w14:textId="499D5ACD" w:rsidR="009133E6" w:rsidRPr="009133E6" w:rsidRDefault="00CD1D7D" w:rsidP="00A85AA1">
      <w:pPr>
        <w:shd w:val="clear" w:color="auto" w:fill="FFFFFF"/>
        <w:rPr>
          <w:rFonts w:eastAsia="Times New Roman" w:cs="Arial"/>
          <w:lang w:eastAsia="en-GB"/>
        </w:rPr>
      </w:pPr>
      <w:r w:rsidRPr="00A85AA1">
        <w:rPr>
          <w:shd w:val="clear" w:color="auto" w:fill="FFFFFF"/>
        </w:rPr>
        <w:t>Cooper</w:t>
      </w:r>
      <w:r w:rsidR="002616CE">
        <w:rPr>
          <w:shd w:val="clear" w:color="auto" w:fill="FFFFFF"/>
        </w:rPr>
        <w:t>,</w:t>
      </w:r>
      <w:r w:rsidRPr="00A85AA1">
        <w:rPr>
          <w:shd w:val="clear" w:color="auto" w:fill="FFFFFF"/>
        </w:rPr>
        <w:t xml:space="preserve"> C</w:t>
      </w:r>
      <w:r w:rsidR="002616CE">
        <w:rPr>
          <w:shd w:val="clear" w:color="auto" w:fill="FFFFFF"/>
        </w:rPr>
        <w:t>.</w:t>
      </w:r>
      <w:r w:rsidRPr="00A85AA1">
        <w:rPr>
          <w:shd w:val="clear" w:color="auto" w:fill="FFFFFF"/>
        </w:rPr>
        <w:t>, McAlindon</w:t>
      </w:r>
      <w:r w:rsidR="002616CE">
        <w:rPr>
          <w:shd w:val="clear" w:color="auto" w:fill="FFFFFF"/>
        </w:rPr>
        <w:t>,</w:t>
      </w:r>
      <w:r w:rsidRPr="00A85AA1">
        <w:rPr>
          <w:shd w:val="clear" w:color="auto" w:fill="FFFFFF"/>
        </w:rPr>
        <w:t xml:space="preserve"> T</w:t>
      </w:r>
      <w:r w:rsidR="002616CE">
        <w:rPr>
          <w:shd w:val="clear" w:color="auto" w:fill="FFFFFF"/>
        </w:rPr>
        <w:t>.</w:t>
      </w:r>
      <w:r w:rsidRPr="00A85AA1">
        <w:rPr>
          <w:shd w:val="clear" w:color="auto" w:fill="FFFFFF"/>
        </w:rPr>
        <w:t>, Snow</w:t>
      </w:r>
      <w:r w:rsidR="002616CE">
        <w:rPr>
          <w:shd w:val="clear" w:color="auto" w:fill="FFFFFF"/>
        </w:rPr>
        <w:t>,</w:t>
      </w:r>
      <w:r w:rsidRPr="00A85AA1">
        <w:rPr>
          <w:shd w:val="clear" w:color="auto" w:fill="FFFFFF"/>
        </w:rPr>
        <w:t xml:space="preserve"> S</w:t>
      </w:r>
      <w:r w:rsidR="002616CE">
        <w:rPr>
          <w:shd w:val="clear" w:color="auto" w:fill="FFFFFF"/>
        </w:rPr>
        <w:t>.</w:t>
      </w:r>
      <w:r w:rsidRPr="00A85AA1">
        <w:rPr>
          <w:shd w:val="clear" w:color="auto" w:fill="FFFFFF"/>
        </w:rPr>
        <w:t>, Vines</w:t>
      </w:r>
      <w:r w:rsidR="002616CE">
        <w:rPr>
          <w:shd w:val="clear" w:color="auto" w:fill="FFFFFF"/>
        </w:rPr>
        <w:t>,</w:t>
      </w:r>
      <w:r w:rsidRPr="00A85AA1">
        <w:rPr>
          <w:shd w:val="clear" w:color="auto" w:fill="FFFFFF"/>
        </w:rPr>
        <w:t xml:space="preserve"> K</w:t>
      </w:r>
      <w:r w:rsidR="002616CE">
        <w:rPr>
          <w:shd w:val="clear" w:color="auto" w:fill="FFFFFF"/>
        </w:rPr>
        <w:t>.</w:t>
      </w:r>
      <w:r w:rsidRPr="00A85AA1">
        <w:rPr>
          <w:shd w:val="clear" w:color="auto" w:fill="FFFFFF"/>
        </w:rPr>
        <w:t>, Young</w:t>
      </w:r>
      <w:r w:rsidR="002616CE">
        <w:rPr>
          <w:shd w:val="clear" w:color="auto" w:fill="FFFFFF"/>
        </w:rPr>
        <w:t>,</w:t>
      </w:r>
      <w:r w:rsidRPr="00A85AA1">
        <w:rPr>
          <w:shd w:val="clear" w:color="auto" w:fill="FFFFFF"/>
        </w:rPr>
        <w:t xml:space="preserve"> P</w:t>
      </w:r>
      <w:r w:rsidR="002616CE">
        <w:rPr>
          <w:shd w:val="clear" w:color="auto" w:fill="FFFFFF"/>
        </w:rPr>
        <w:t>.</w:t>
      </w:r>
      <w:r w:rsidRPr="00A85AA1">
        <w:rPr>
          <w:shd w:val="clear" w:color="auto" w:fill="FFFFFF"/>
        </w:rPr>
        <w:t>, Kirwan</w:t>
      </w:r>
      <w:r w:rsidR="002616CE">
        <w:rPr>
          <w:shd w:val="clear" w:color="auto" w:fill="FFFFFF"/>
        </w:rPr>
        <w:t>,</w:t>
      </w:r>
      <w:r w:rsidRPr="00A85AA1">
        <w:rPr>
          <w:shd w:val="clear" w:color="auto" w:fill="FFFFFF"/>
        </w:rPr>
        <w:t xml:space="preserve"> J</w:t>
      </w:r>
      <w:r w:rsidR="002616CE">
        <w:rPr>
          <w:shd w:val="clear" w:color="auto" w:fill="FFFFFF"/>
        </w:rPr>
        <w:t>.</w:t>
      </w:r>
      <w:r w:rsidRPr="00A85AA1">
        <w:rPr>
          <w:shd w:val="clear" w:color="auto" w:fill="FFFFFF"/>
        </w:rPr>
        <w:t>, Dieppe</w:t>
      </w:r>
      <w:r w:rsidR="002616CE">
        <w:rPr>
          <w:shd w:val="clear" w:color="auto" w:fill="FFFFFF"/>
        </w:rPr>
        <w:t>,</w:t>
      </w:r>
      <w:r w:rsidRPr="00A85AA1">
        <w:rPr>
          <w:shd w:val="clear" w:color="auto" w:fill="FFFFFF"/>
        </w:rPr>
        <w:t xml:space="preserve"> P. </w:t>
      </w:r>
      <w:r w:rsidR="002616CE">
        <w:rPr>
          <w:shd w:val="clear" w:color="auto" w:fill="FFFFFF"/>
        </w:rPr>
        <w:t xml:space="preserve">(1994) </w:t>
      </w:r>
      <w:r w:rsidRPr="00A85AA1">
        <w:rPr>
          <w:shd w:val="clear" w:color="auto" w:fill="FFFFFF"/>
        </w:rPr>
        <w:t>Mechanical and constitutional risk factors for symptomatic knee osteoarthritis: differences between medial tibiofemoral and patellofemoral disease. </w:t>
      </w:r>
      <w:r w:rsidRPr="00A85AA1">
        <w:rPr>
          <w:rStyle w:val="ref-journal"/>
          <w:shd w:val="clear" w:color="auto" w:fill="FFFFFF"/>
        </w:rPr>
        <w:t>J</w:t>
      </w:r>
      <w:r w:rsidR="002616CE">
        <w:rPr>
          <w:rStyle w:val="ref-journal"/>
          <w:shd w:val="clear" w:color="auto" w:fill="FFFFFF"/>
        </w:rPr>
        <w:t xml:space="preserve">ournal of Rheumatology, </w:t>
      </w:r>
      <w:r w:rsidRPr="00A85AA1">
        <w:rPr>
          <w:rStyle w:val="ref-vol"/>
          <w:shd w:val="clear" w:color="auto" w:fill="FFFFFF"/>
        </w:rPr>
        <w:t>21</w:t>
      </w:r>
      <w:r w:rsidR="002616CE">
        <w:rPr>
          <w:shd w:val="clear" w:color="auto" w:fill="FFFFFF"/>
        </w:rPr>
        <w:t xml:space="preserve">, </w:t>
      </w:r>
      <w:r w:rsidRPr="00A85AA1">
        <w:rPr>
          <w:shd w:val="clear" w:color="auto" w:fill="FFFFFF"/>
        </w:rPr>
        <w:t>307–313.</w:t>
      </w:r>
      <w:r w:rsidR="009133E6" w:rsidRPr="00A85AA1">
        <w:rPr>
          <w:shd w:val="clear" w:color="auto" w:fill="FFFFFF"/>
        </w:rPr>
        <w:t xml:space="preserve"> </w:t>
      </w:r>
      <w:r w:rsidR="009133E6" w:rsidRPr="00A85AA1">
        <w:rPr>
          <w:rFonts w:eastAsia="Times New Roman" w:cs="Arial"/>
          <w:lang w:eastAsia="en-GB"/>
        </w:rPr>
        <w:t xml:space="preserve">PMID: </w:t>
      </w:r>
      <w:r w:rsidR="009133E6" w:rsidRPr="009133E6">
        <w:rPr>
          <w:rFonts w:eastAsia="Times New Roman" w:cs="Arial"/>
          <w:lang w:eastAsia="en-GB"/>
        </w:rPr>
        <w:t>8182642</w:t>
      </w:r>
    </w:p>
    <w:p w14:paraId="56A20D16" w14:textId="320313DF" w:rsidR="00CD1D7D" w:rsidRPr="00A85AA1" w:rsidRDefault="00CD1D7D" w:rsidP="00A85AA1">
      <w:pPr>
        <w:spacing w:after="240"/>
      </w:pPr>
    </w:p>
    <w:p w14:paraId="21DCD82A" w14:textId="0941DA50" w:rsidR="00083F63" w:rsidRDefault="00083F63" w:rsidP="00A85AA1">
      <w:pPr>
        <w:spacing w:after="240"/>
        <w:rPr>
          <w:rFonts w:cs="Arial"/>
          <w:shd w:val="clear" w:color="auto" w:fill="FFFFFF"/>
        </w:rPr>
      </w:pPr>
      <w:r w:rsidRPr="00A85AA1">
        <w:rPr>
          <w:rStyle w:val="element-citation"/>
          <w:shd w:val="clear" w:color="auto" w:fill="FFFFFF"/>
        </w:rPr>
        <w:t>Cross</w:t>
      </w:r>
      <w:r w:rsidR="002616CE">
        <w:rPr>
          <w:rStyle w:val="element-citation"/>
          <w:shd w:val="clear" w:color="auto" w:fill="FFFFFF"/>
        </w:rPr>
        <w:t>,</w:t>
      </w:r>
      <w:r w:rsidRPr="00A85AA1">
        <w:rPr>
          <w:rStyle w:val="element-citation"/>
          <w:shd w:val="clear" w:color="auto" w:fill="FFFFFF"/>
        </w:rPr>
        <w:t xml:space="preserve"> M</w:t>
      </w:r>
      <w:r w:rsidR="002616CE">
        <w:rPr>
          <w:rStyle w:val="element-citation"/>
          <w:shd w:val="clear" w:color="auto" w:fill="FFFFFF"/>
        </w:rPr>
        <w:t>.</w:t>
      </w:r>
      <w:r w:rsidRPr="00A85AA1">
        <w:rPr>
          <w:rStyle w:val="element-citation"/>
          <w:shd w:val="clear" w:color="auto" w:fill="FFFFFF"/>
        </w:rPr>
        <w:t>, Smith</w:t>
      </w:r>
      <w:r w:rsidR="002616CE">
        <w:rPr>
          <w:rStyle w:val="element-citation"/>
          <w:shd w:val="clear" w:color="auto" w:fill="FFFFFF"/>
        </w:rPr>
        <w:t>,</w:t>
      </w:r>
      <w:r w:rsidRPr="00A85AA1">
        <w:rPr>
          <w:rStyle w:val="element-citation"/>
          <w:shd w:val="clear" w:color="auto" w:fill="FFFFFF"/>
        </w:rPr>
        <w:t xml:space="preserve"> E</w:t>
      </w:r>
      <w:r w:rsidR="002616CE">
        <w:rPr>
          <w:rStyle w:val="element-citation"/>
          <w:shd w:val="clear" w:color="auto" w:fill="FFFFFF"/>
        </w:rPr>
        <w:t>.</w:t>
      </w:r>
      <w:r w:rsidRPr="00A85AA1">
        <w:rPr>
          <w:rStyle w:val="element-citation"/>
          <w:shd w:val="clear" w:color="auto" w:fill="FFFFFF"/>
        </w:rPr>
        <w:t>, Hoy</w:t>
      </w:r>
      <w:r w:rsidR="002616CE">
        <w:rPr>
          <w:rStyle w:val="element-citation"/>
          <w:shd w:val="clear" w:color="auto" w:fill="FFFFFF"/>
        </w:rPr>
        <w:t>,</w:t>
      </w:r>
      <w:r w:rsidRPr="00A85AA1">
        <w:rPr>
          <w:rStyle w:val="element-citation"/>
          <w:shd w:val="clear" w:color="auto" w:fill="FFFFFF"/>
        </w:rPr>
        <w:t xml:space="preserve"> D</w:t>
      </w:r>
      <w:r w:rsidR="002616CE">
        <w:rPr>
          <w:rStyle w:val="element-citation"/>
          <w:shd w:val="clear" w:color="auto" w:fill="FFFFFF"/>
        </w:rPr>
        <w:t>.</w:t>
      </w:r>
      <w:r w:rsidRPr="00A85AA1">
        <w:rPr>
          <w:rStyle w:val="element-citation"/>
          <w:shd w:val="clear" w:color="auto" w:fill="FFFFFF"/>
        </w:rPr>
        <w:t xml:space="preserve">, </w:t>
      </w:r>
      <w:hyperlink r:id="rId8" w:history="1">
        <w:r w:rsidR="00161B6C" w:rsidRPr="00161B6C">
          <w:rPr>
            <w:rStyle w:val="Hyperlink"/>
            <w:rFonts w:cs="Arial"/>
            <w:color w:val="auto"/>
            <w:u w:val="none"/>
            <w:shd w:val="clear" w:color="auto" w:fill="FFFFFF"/>
          </w:rPr>
          <w:t>Nolte</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S</w:t>
        </w:r>
      </w:hyperlink>
      <w:r w:rsidR="00161B6C">
        <w:t>.</w:t>
      </w:r>
      <w:r w:rsidR="00161B6C" w:rsidRPr="00161B6C">
        <w:rPr>
          <w:rFonts w:cs="Arial"/>
          <w:shd w:val="clear" w:color="auto" w:fill="FFFFFF"/>
        </w:rPr>
        <w:t>, </w:t>
      </w:r>
      <w:hyperlink r:id="rId9" w:history="1">
        <w:r w:rsidR="00161B6C" w:rsidRPr="00161B6C">
          <w:rPr>
            <w:rStyle w:val="Hyperlink"/>
            <w:rFonts w:cs="Arial"/>
            <w:color w:val="auto"/>
            <w:u w:val="none"/>
            <w:shd w:val="clear" w:color="auto" w:fill="FFFFFF"/>
          </w:rPr>
          <w:t>Ackerman</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I</w:t>
        </w:r>
      </w:hyperlink>
      <w:r w:rsidR="00161B6C">
        <w:t>.</w:t>
      </w:r>
      <w:r w:rsidR="00161B6C" w:rsidRPr="00161B6C">
        <w:rPr>
          <w:rFonts w:cs="Arial"/>
          <w:shd w:val="clear" w:color="auto" w:fill="FFFFFF"/>
        </w:rPr>
        <w:t>, </w:t>
      </w:r>
      <w:hyperlink r:id="rId10" w:history="1">
        <w:r w:rsidR="00161B6C" w:rsidRPr="00161B6C">
          <w:rPr>
            <w:rStyle w:val="Hyperlink"/>
            <w:rFonts w:cs="Arial"/>
            <w:color w:val="auto"/>
            <w:u w:val="none"/>
            <w:shd w:val="clear" w:color="auto" w:fill="FFFFFF"/>
          </w:rPr>
          <w:t>Fransen</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M</w:t>
        </w:r>
      </w:hyperlink>
      <w:r w:rsidR="00161B6C">
        <w:t>.</w:t>
      </w:r>
      <w:r w:rsidR="00161B6C" w:rsidRPr="00161B6C">
        <w:rPr>
          <w:rFonts w:cs="Arial"/>
          <w:shd w:val="clear" w:color="auto" w:fill="FFFFFF"/>
        </w:rPr>
        <w:t>, </w:t>
      </w:r>
      <w:hyperlink r:id="rId11" w:history="1">
        <w:r w:rsidR="00161B6C" w:rsidRPr="00161B6C">
          <w:rPr>
            <w:rStyle w:val="Hyperlink"/>
            <w:rFonts w:cs="Arial"/>
            <w:color w:val="auto"/>
            <w:u w:val="none"/>
            <w:shd w:val="clear" w:color="auto" w:fill="FFFFFF"/>
          </w:rPr>
          <w:t>Bridgett</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L</w:t>
        </w:r>
      </w:hyperlink>
      <w:r w:rsidR="00161B6C">
        <w:t>.</w:t>
      </w:r>
      <w:r w:rsidR="00161B6C" w:rsidRPr="00161B6C">
        <w:rPr>
          <w:rFonts w:cs="Arial"/>
          <w:shd w:val="clear" w:color="auto" w:fill="FFFFFF"/>
        </w:rPr>
        <w:t>, </w:t>
      </w:r>
      <w:hyperlink r:id="rId12" w:history="1">
        <w:r w:rsidR="00161B6C" w:rsidRPr="00161B6C">
          <w:rPr>
            <w:rStyle w:val="Hyperlink"/>
            <w:rFonts w:cs="Arial"/>
            <w:color w:val="auto"/>
            <w:u w:val="none"/>
            <w:shd w:val="clear" w:color="auto" w:fill="FFFFFF"/>
          </w:rPr>
          <w:t>Williams</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S</w:t>
        </w:r>
      </w:hyperlink>
      <w:r w:rsidR="00161B6C">
        <w:t>.</w:t>
      </w:r>
      <w:r w:rsidR="00161B6C" w:rsidRPr="00161B6C">
        <w:rPr>
          <w:rFonts w:cs="Arial"/>
          <w:shd w:val="clear" w:color="auto" w:fill="FFFFFF"/>
        </w:rPr>
        <w:t>, </w:t>
      </w:r>
      <w:hyperlink r:id="rId13" w:history="1">
        <w:r w:rsidR="00161B6C" w:rsidRPr="00161B6C">
          <w:rPr>
            <w:rStyle w:val="Hyperlink"/>
            <w:rFonts w:cs="Arial"/>
            <w:color w:val="auto"/>
            <w:u w:val="none"/>
            <w:shd w:val="clear" w:color="auto" w:fill="FFFFFF"/>
          </w:rPr>
          <w:t>Guillemin</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F</w:t>
        </w:r>
      </w:hyperlink>
      <w:r w:rsidR="00161B6C">
        <w:t>.</w:t>
      </w:r>
      <w:r w:rsidR="00161B6C" w:rsidRPr="00161B6C">
        <w:rPr>
          <w:rFonts w:cs="Arial"/>
          <w:shd w:val="clear" w:color="auto" w:fill="FFFFFF"/>
        </w:rPr>
        <w:t>, </w:t>
      </w:r>
      <w:hyperlink r:id="rId14" w:history="1">
        <w:r w:rsidR="00161B6C" w:rsidRPr="00161B6C">
          <w:rPr>
            <w:rStyle w:val="Hyperlink"/>
            <w:rFonts w:cs="Arial"/>
            <w:color w:val="auto"/>
            <w:u w:val="none"/>
            <w:shd w:val="clear" w:color="auto" w:fill="FFFFFF"/>
          </w:rPr>
          <w:t>Hill</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C</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L</w:t>
        </w:r>
      </w:hyperlink>
      <w:r w:rsidR="00161B6C">
        <w:t>.</w:t>
      </w:r>
      <w:r w:rsidR="00161B6C" w:rsidRPr="00161B6C">
        <w:rPr>
          <w:rFonts w:cs="Arial"/>
          <w:shd w:val="clear" w:color="auto" w:fill="FFFFFF"/>
        </w:rPr>
        <w:t>, </w:t>
      </w:r>
      <w:hyperlink r:id="rId15" w:history="1">
        <w:r w:rsidR="00161B6C" w:rsidRPr="00161B6C">
          <w:rPr>
            <w:rStyle w:val="Hyperlink"/>
            <w:rFonts w:cs="Arial"/>
            <w:color w:val="auto"/>
            <w:u w:val="none"/>
            <w:shd w:val="clear" w:color="auto" w:fill="FFFFFF"/>
          </w:rPr>
          <w:t>Laslett</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L</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L</w:t>
        </w:r>
      </w:hyperlink>
      <w:r w:rsidR="00161B6C">
        <w:t>.</w:t>
      </w:r>
      <w:r w:rsidR="00161B6C" w:rsidRPr="00161B6C">
        <w:rPr>
          <w:rFonts w:cs="Arial"/>
          <w:shd w:val="clear" w:color="auto" w:fill="FFFFFF"/>
        </w:rPr>
        <w:t>, </w:t>
      </w:r>
      <w:hyperlink r:id="rId16" w:history="1">
        <w:r w:rsidR="00161B6C" w:rsidRPr="00161B6C">
          <w:rPr>
            <w:rStyle w:val="Hyperlink"/>
            <w:rFonts w:cs="Arial"/>
            <w:color w:val="auto"/>
            <w:u w:val="none"/>
            <w:shd w:val="clear" w:color="auto" w:fill="FFFFFF"/>
          </w:rPr>
          <w:t>Jones</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G</w:t>
        </w:r>
      </w:hyperlink>
      <w:r w:rsidR="00161B6C">
        <w:t>.</w:t>
      </w:r>
      <w:r w:rsidR="00161B6C" w:rsidRPr="00161B6C">
        <w:rPr>
          <w:rFonts w:cs="Arial"/>
          <w:shd w:val="clear" w:color="auto" w:fill="FFFFFF"/>
        </w:rPr>
        <w:t>, </w:t>
      </w:r>
      <w:hyperlink r:id="rId17" w:history="1">
        <w:r w:rsidR="00161B6C" w:rsidRPr="00161B6C">
          <w:rPr>
            <w:rStyle w:val="Hyperlink"/>
            <w:rFonts w:cs="Arial"/>
            <w:color w:val="auto"/>
            <w:u w:val="none"/>
            <w:shd w:val="clear" w:color="auto" w:fill="FFFFFF"/>
          </w:rPr>
          <w:t>Cicuttini</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F</w:t>
        </w:r>
      </w:hyperlink>
      <w:r w:rsidR="00161B6C">
        <w:t>.</w:t>
      </w:r>
      <w:r w:rsidR="00161B6C" w:rsidRPr="00161B6C">
        <w:rPr>
          <w:rFonts w:cs="Arial"/>
          <w:shd w:val="clear" w:color="auto" w:fill="FFFFFF"/>
        </w:rPr>
        <w:t>, </w:t>
      </w:r>
      <w:hyperlink r:id="rId18" w:history="1">
        <w:r w:rsidR="00161B6C" w:rsidRPr="00161B6C">
          <w:rPr>
            <w:rStyle w:val="Hyperlink"/>
            <w:rFonts w:cs="Arial"/>
            <w:color w:val="auto"/>
            <w:u w:val="none"/>
            <w:shd w:val="clear" w:color="auto" w:fill="FFFFFF"/>
          </w:rPr>
          <w:t>Osborne</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R</w:t>
        </w:r>
      </w:hyperlink>
      <w:r w:rsidR="00161B6C">
        <w:t>.</w:t>
      </w:r>
      <w:r w:rsidR="00161B6C" w:rsidRPr="00161B6C">
        <w:rPr>
          <w:rFonts w:cs="Arial"/>
          <w:shd w:val="clear" w:color="auto" w:fill="FFFFFF"/>
        </w:rPr>
        <w:t>, </w:t>
      </w:r>
      <w:hyperlink r:id="rId19" w:history="1">
        <w:r w:rsidR="00161B6C" w:rsidRPr="00161B6C">
          <w:rPr>
            <w:rStyle w:val="Hyperlink"/>
            <w:rFonts w:cs="Arial"/>
            <w:color w:val="auto"/>
            <w:u w:val="none"/>
            <w:shd w:val="clear" w:color="auto" w:fill="FFFFFF"/>
          </w:rPr>
          <w:t>Vos</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T</w:t>
        </w:r>
      </w:hyperlink>
      <w:r w:rsidR="00161B6C">
        <w:t>.</w:t>
      </w:r>
      <w:r w:rsidR="00161B6C" w:rsidRPr="00161B6C">
        <w:rPr>
          <w:rFonts w:cs="Arial"/>
          <w:shd w:val="clear" w:color="auto" w:fill="FFFFFF"/>
        </w:rPr>
        <w:t>, </w:t>
      </w:r>
      <w:hyperlink r:id="rId20" w:history="1">
        <w:r w:rsidR="00161B6C" w:rsidRPr="00161B6C">
          <w:rPr>
            <w:rStyle w:val="Hyperlink"/>
            <w:rFonts w:cs="Arial"/>
            <w:color w:val="auto"/>
            <w:u w:val="none"/>
            <w:shd w:val="clear" w:color="auto" w:fill="FFFFFF"/>
          </w:rPr>
          <w:t>Buchbinder</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R</w:t>
        </w:r>
      </w:hyperlink>
      <w:r w:rsidR="00161B6C">
        <w:t>.</w:t>
      </w:r>
      <w:r w:rsidR="00161B6C" w:rsidRPr="00161B6C">
        <w:rPr>
          <w:rFonts w:cs="Arial"/>
          <w:shd w:val="clear" w:color="auto" w:fill="FFFFFF"/>
        </w:rPr>
        <w:t>, </w:t>
      </w:r>
      <w:hyperlink r:id="rId21" w:history="1">
        <w:r w:rsidR="00161B6C" w:rsidRPr="00161B6C">
          <w:rPr>
            <w:rStyle w:val="Hyperlink"/>
            <w:rFonts w:cs="Arial"/>
            <w:color w:val="auto"/>
            <w:u w:val="none"/>
            <w:shd w:val="clear" w:color="auto" w:fill="FFFFFF"/>
          </w:rPr>
          <w:t>Woolf</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A</w:t>
        </w:r>
      </w:hyperlink>
      <w:r w:rsidR="00161B6C">
        <w:t>.</w:t>
      </w:r>
      <w:r w:rsidR="00161B6C" w:rsidRPr="00161B6C">
        <w:rPr>
          <w:rFonts w:cs="Arial"/>
          <w:shd w:val="clear" w:color="auto" w:fill="FFFFFF"/>
        </w:rPr>
        <w:t>, </w:t>
      </w:r>
      <w:hyperlink r:id="rId22" w:history="1">
        <w:r w:rsidR="00161B6C" w:rsidRPr="00161B6C">
          <w:rPr>
            <w:rStyle w:val="Hyperlink"/>
            <w:rFonts w:cs="Arial"/>
            <w:color w:val="auto"/>
            <w:u w:val="none"/>
            <w:shd w:val="clear" w:color="auto" w:fill="FFFFFF"/>
          </w:rPr>
          <w:t>March</w:t>
        </w:r>
        <w:r w:rsidR="00161B6C">
          <w:rPr>
            <w:rStyle w:val="Hyperlink"/>
            <w:rFonts w:cs="Arial"/>
            <w:color w:val="auto"/>
            <w:u w:val="none"/>
            <w:shd w:val="clear" w:color="auto" w:fill="FFFFFF"/>
          </w:rPr>
          <w:t>,</w:t>
        </w:r>
        <w:r w:rsidR="00161B6C" w:rsidRPr="00161B6C">
          <w:rPr>
            <w:rStyle w:val="Hyperlink"/>
            <w:rFonts w:cs="Arial"/>
            <w:color w:val="auto"/>
            <w:u w:val="none"/>
            <w:shd w:val="clear" w:color="auto" w:fill="FFFFFF"/>
          </w:rPr>
          <w:t xml:space="preserve"> L</w:t>
        </w:r>
      </w:hyperlink>
      <w:r w:rsidRPr="00A85AA1">
        <w:rPr>
          <w:rStyle w:val="element-citation"/>
          <w:shd w:val="clear" w:color="auto" w:fill="FFFFFF"/>
        </w:rPr>
        <w:t xml:space="preserve">. </w:t>
      </w:r>
      <w:r w:rsidR="0065331B">
        <w:rPr>
          <w:rStyle w:val="element-citation"/>
          <w:shd w:val="clear" w:color="auto" w:fill="FFFFFF"/>
        </w:rPr>
        <w:t xml:space="preserve">(2014) </w:t>
      </w:r>
      <w:r w:rsidRPr="00A85AA1">
        <w:rPr>
          <w:rStyle w:val="element-citation"/>
          <w:shd w:val="clear" w:color="auto" w:fill="FFFFFF"/>
        </w:rPr>
        <w:t>The global burden of hip and knee osteoarthritis: estimates from the global burden of disease 2010 study. </w:t>
      </w:r>
      <w:r w:rsidRPr="00A85AA1">
        <w:rPr>
          <w:rStyle w:val="ref-journal"/>
          <w:shd w:val="clear" w:color="auto" w:fill="FFFFFF"/>
        </w:rPr>
        <w:t>Ann</w:t>
      </w:r>
      <w:r w:rsidR="0065331B">
        <w:rPr>
          <w:rStyle w:val="ref-journal"/>
          <w:shd w:val="clear" w:color="auto" w:fill="FFFFFF"/>
        </w:rPr>
        <w:t>als of the</w:t>
      </w:r>
      <w:r w:rsidRPr="00A85AA1">
        <w:rPr>
          <w:rStyle w:val="ref-journal"/>
          <w:shd w:val="clear" w:color="auto" w:fill="FFFFFF"/>
        </w:rPr>
        <w:t xml:space="preserve"> Rheum</w:t>
      </w:r>
      <w:r w:rsidR="0065331B">
        <w:rPr>
          <w:rStyle w:val="ref-journal"/>
          <w:shd w:val="clear" w:color="auto" w:fill="FFFFFF"/>
        </w:rPr>
        <w:t>atic</w:t>
      </w:r>
      <w:r w:rsidRPr="00A85AA1">
        <w:rPr>
          <w:rStyle w:val="ref-journal"/>
          <w:shd w:val="clear" w:color="auto" w:fill="FFFFFF"/>
        </w:rPr>
        <w:t xml:space="preserve"> Dis</w:t>
      </w:r>
      <w:r w:rsidR="0065331B">
        <w:rPr>
          <w:rStyle w:val="ref-journal"/>
          <w:shd w:val="clear" w:color="auto" w:fill="FFFFFF"/>
        </w:rPr>
        <w:t>eases,</w:t>
      </w:r>
      <w:r w:rsidRPr="00A85AA1">
        <w:rPr>
          <w:rStyle w:val="ref-journal"/>
          <w:shd w:val="clear" w:color="auto" w:fill="FFFFFF"/>
        </w:rPr>
        <w:t> </w:t>
      </w:r>
      <w:r w:rsidRPr="00A85AA1">
        <w:rPr>
          <w:rStyle w:val="ref-vol"/>
          <w:shd w:val="clear" w:color="auto" w:fill="FFFFFF"/>
        </w:rPr>
        <w:t>73</w:t>
      </w:r>
      <w:r w:rsidR="0065331B">
        <w:rPr>
          <w:rStyle w:val="element-citation"/>
          <w:shd w:val="clear" w:color="auto" w:fill="FFFFFF"/>
        </w:rPr>
        <w:t xml:space="preserve">, </w:t>
      </w:r>
      <w:r w:rsidRPr="00A85AA1">
        <w:rPr>
          <w:rStyle w:val="element-citation"/>
          <w:shd w:val="clear" w:color="auto" w:fill="FFFFFF"/>
        </w:rPr>
        <w:t>1323–1330.</w:t>
      </w:r>
      <w:r w:rsidR="009133E6" w:rsidRPr="00A85AA1">
        <w:rPr>
          <w:rStyle w:val="element-citation"/>
          <w:shd w:val="clear" w:color="auto" w:fill="FFFFFF"/>
        </w:rPr>
        <w:t xml:space="preserve"> </w:t>
      </w:r>
      <w:r w:rsidR="009133E6" w:rsidRPr="00A85AA1">
        <w:rPr>
          <w:rFonts w:cs="Arial"/>
          <w:shd w:val="clear" w:color="auto" w:fill="FFFFFF"/>
        </w:rPr>
        <w:t>doi: 10.1136/annrheumdis-2013-204763</w:t>
      </w:r>
    </w:p>
    <w:p w14:paraId="6DCE0C08" w14:textId="77777777" w:rsidR="005E76F7" w:rsidRPr="00A85AA1" w:rsidRDefault="005E76F7" w:rsidP="00A85AA1">
      <w:pPr>
        <w:spacing w:after="240"/>
        <w:rPr>
          <w:rStyle w:val="element-citation"/>
          <w:shd w:val="clear" w:color="auto" w:fill="FFFFFF"/>
        </w:rPr>
      </w:pPr>
    </w:p>
    <w:p w14:paraId="65F537B2" w14:textId="22C7E3E2" w:rsidR="009133E6" w:rsidRPr="00A85AA1" w:rsidRDefault="00BB65B4" w:rsidP="00A85AA1">
      <w:pPr>
        <w:shd w:val="clear" w:color="auto" w:fill="FFFFFF"/>
        <w:rPr>
          <w:rFonts w:cs="Arial"/>
        </w:rPr>
      </w:pPr>
      <w:r w:rsidRPr="00A85AA1">
        <w:rPr>
          <w:rFonts w:cs="Arial"/>
        </w:rPr>
        <w:t>Duncan</w:t>
      </w:r>
      <w:r w:rsidR="0065331B">
        <w:rPr>
          <w:rFonts w:cs="Arial"/>
        </w:rPr>
        <w:t>,</w:t>
      </w:r>
      <w:r w:rsidRPr="00A85AA1">
        <w:rPr>
          <w:rFonts w:cs="Arial"/>
        </w:rPr>
        <w:t xml:space="preserve"> R</w:t>
      </w:r>
      <w:r w:rsidR="0065331B">
        <w:rPr>
          <w:rFonts w:cs="Arial"/>
        </w:rPr>
        <w:t>.</w:t>
      </w:r>
      <w:r w:rsidRPr="00A85AA1">
        <w:rPr>
          <w:rFonts w:cs="Arial"/>
        </w:rPr>
        <w:t>C</w:t>
      </w:r>
      <w:r w:rsidR="0065331B">
        <w:rPr>
          <w:rFonts w:cs="Arial"/>
        </w:rPr>
        <w:t>.</w:t>
      </w:r>
      <w:r w:rsidRPr="00A85AA1">
        <w:rPr>
          <w:rFonts w:cs="Arial"/>
        </w:rPr>
        <w:t>, Hay</w:t>
      </w:r>
      <w:r w:rsidR="0065331B">
        <w:rPr>
          <w:rFonts w:cs="Arial"/>
        </w:rPr>
        <w:t>,</w:t>
      </w:r>
      <w:r w:rsidRPr="00A85AA1">
        <w:rPr>
          <w:rFonts w:cs="Arial"/>
        </w:rPr>
        <w:t xml:space="preserve"> E</w:t>
      </w:r>
      <w:r w:rsidR="0065331B">
        <w:rPr>
          <w:rFonts w:cs="Arial"/>
        </w:rPr>
        <w:t>.</w:t>
      </w:r>
      <w:r w:rsidRPr="00A85AA1">
        <w:rPr>
          <w:rFonts w:cs="Arial"/>
        </w:rPr>
        <w:t>M</w:t>
      </w:r>
      <w:r w:rsidR="0065331B">
        <w:rPr>
          <w:rFonts w:cs="Arial"/>
        </w:rPr>
        <w:t>.</w:t>
      </w:r>
      <w:r w:rsidRPr="00A85AA1">
        <w:rPr>
          <w:rFonts w:cs="Arial"/>
        </w:rPr>
        <w:t>, Saklatvala</w:t>
      </w:r>
      <w:r w:rsidR="0065331B">
        <w:rPr>
          <w:rFonts w:cs="Arial"/>
        </w:rPr>
        <w:t>,</w:t>
      </w:r>
      <w:r w:rsidRPr="00A85AA1">
        <w:rPr>
          <w:rFonts w:cs="Arial"/>
        </w:rPr>
        <w:t xml:space="preserve"> J</w:t>
      </w:r>
      <w:r w:rsidR="0065331B">
        <w:rPr>
          <w:rFonts w:cs="Arial"/>
        </w:rPr>
        <w:t>.</w:t>
      </w:r>
      <w:r w:rsidRPr="00A85AA1">
        <w:rPr>
          <w:rFonts w:cs="Arial"/>
        </w:rPr>
        <w:t>, Croft</w:t>
      </w:r>
      <w:r w:rsidR="0065331B">
        <w:rPr>
          <w:rFonts w:cs="Arial"/>
        </w:rPr>
        <w:t>,</w:t>
      </w:r>
      <w:r w:rsidRPr="00A85AA1">
        <w:rPr>
          <w:rFonts w:cs="Arial"/>
        </w:rPr>
        <w:t xml:space="preserve"> P</w:t>
      </w:r>
      <w:r w:rsidR="0065331B">
        <w:rPr>
          <w:rFonts w:cs="Arial"/>
        </w:rPr>
        <w:t>.</w:t>
      </w:r>
      <w:r w:rsidRPr="00A85AA1">
        <w:rPr>
          <w:rFonts w:cs="Arial"/>
        </w:rPr>
        <w:t xml:space="preserve">R. </w:t>
      </w:r>
      <w:r w:rsidR="0065331B">
        <w:rPr>
          <w:rFonts w:cs="Arial"/>
        </w:rPr>
        <w:t xml:space="preserve">(2006) </w:t>
      </w:r>
      <w:r w:rsidRPr="00A85AA1">
        <w:rPr>
          <w:rFonts w:cs="Arial"/>
        </w:rPr>
        <w:t>Prevalence of radiographic osteoarthritis--it all depends on your point</w:t>
      </w:r>
      <w:r w:rsidR="0065331B">
        <w:rPr>
          <w:rFonts w:cs="Arial"/>
        </w:rPr>
        <w:t xml:space="preserve"> of view. Rheumatology (Oxford), 45, </w:t>
      </w:r>
      <w:r w:rsidR="00C36ECC" w:rsidRPr="00A85AA1">
        <w:rPr>
          <w:rFonts w:cs="Arial"/>
        </w:rPr>
        <w:t>757-60</w:t>
      </w:r>
      <w:r w:rsidRPr="00A85AA1">
        <w:rPr>
          <w:rFonts w:cs="Arial"/>
        </w:rPr>
        <w:t>.</w:t>
      </w:r>
      <w:r w:rsidR="008741C2">
        <w:rPr>
          <w:rFonts w:cs="Arial"/>
        </w:rPr>
        <w:t xml:space="preserve"> doi</w:t>
      </w:r>
      <w:r w:rsidR="009133E6" w:rsidRPr="00A85AA1">
        <w:rPr>
          <w:rFonts w:cs="Arial"/>
        </w:rPr>
        <w:t>: 10.1093/rheumatology/kei270</w:t>
      </w:r>
    </w:p>
    <w:p w14:paraId="5FD9AFA2" w14:textId="605F5FF9" w:rsidR="00BB65B4" w:rsidRPr="00A85AA1" w:rsidRDefault="00BB65B4" w:rsidP="00A85AA1">
      <w:pPr>
        <w:shd w:val="clear" w:color="auto" w:fill="FFFFFF"/>
        <w:spacing w:after="240"/>
        <w:rPr>
          <w:rFonts w:cs="Arial"/>
        </w:rPr>
      </w:pPr>
    </w:p>
    <w:p w14:paraId="609AEC0F" w14:textId="089B0185" w:rsidR="009035BF" w:rsidRPr="009035BF" w:rsidRDefault="00CD1D7D" w:rsidP="00A85AA1">
      <w:pPr>
        <w:shd w:val="clear" w:color="auto" w:fill="FFFFFF"/>
        <w:rPr>
          <w:rFonts w:eastAsia="Times New Roman" w:cs="Arial"/>
          <w:lang w:eastAsia="en-GB"/>
        </w:rPr>
      </w:pPr>
      <w:r w:rsidRPr="00A85AA1">
        <w:rPr>
          <w:bCs/>
        </w:rPr>
        <w:t>Egger</w:t>
      </w:r>
      <w:r w:rsidR="0065331B">
        <w:rPr>
          <w:bCs/>
        </w:rPr>
        <w:t>,</w:t>
      </w:r>
      <w:r w:rsidRPr="00A85AA1">
        <w:rPr>
          <w:rStyle w:val="apple-converted-space"/>
          <w:rFonts w:cs="Arial"/>
        </w:rPr>
        <w:t> </w:t>
      </w:r>
      <w:r w:rsidRPr="00A85AA1">
        <w:t>P</w:t>
      </w:r>
      <w:r w:rsidR="0065331B">
        <w:t>.</w:t>
      </w:r>
      <w:r w:rsidRPr="00A85AA1">
        <w:t>,</w:t>
      </w:r>
      <w:r w:rsidRPr="00A85AA1">
        <w:rPr>
          <w:rStyle w:val="apple-converted-space"/>
          <w:rFonts w:cs="Arial"/>
        </w:rPr>
        <w:t> </w:t>
      </w:r>
      <w:r w:rsidRPr="00A85AA1">
        <w:rPr>
          <w:bCs/>
        </w:rPr>
        <w:t>Cooper</w:t>
      </w:r>
      <w:r w:rsidR="0065331B">
        <w:rPr>
          <w:bCs/>
        </w:rPr>
        <w:t>,</w:t>
      </w:r>
      <w:r w:rsidRPr="00A85AA1">
        <w:rPr>
          <w:bCs/>
        </w:rPr>
        <w:t xml:space="preserve"> C</w:t>
      </w:r>
      <w:r w:rsidR="0065331B">
        <w:rPr>
          <w:bCs/>
        </w:rPr>
        <w:t>.</w:t>
      </w:r>
      <w:r w:rsidRPr="00A85AA1">
        <w:t>, Hart</w:t>
      </w:r>
      <w:r w:rsidR="0065331B">
        <w:t>,</w:t>
      </w:r>
      <w:r w:rsidRPr="00A85AA1">
        <w:t xml:space="preserve"> D</w:t>
      </w:r>
      <w:r w:rsidR="0065331B">
        <w:t>.</w:t>
      </w:r>
      <w:r w:rsidRPr="00A85AA1">
        <w:t>J</w:t>
      </w:r>
      <w:r w:rsidR="0065331B">
        <w:t>.</w:t>
      </w:r>
      <w:r w:rsidRPr="00A85AA1">
        <w:t>, Doyle</w:t>
      </w:r>
      <w:r w:rsidR="0065331B">
        <w:t>,</w:t>
      </w:r>
      <w:r w:rsidRPr="00A85AA1">
        <w:t xml:space="preserve"> D</w:t>
      </w:r>
      <w:r w:rsidR="0065331B">
        <w:t>.</w:t>
      </w:r>
      <w:r w:rsidRPr="00A85AA1">
        <w:t>V</w:t>
      </w:r>
      <w:r w:rsidR="0065331B">
        <w:t>.</w:t>
      </w:r>
      <w:r w:rsidRPr="00A85AA1">
        <w:t>, Coggon</w:t>
      </w:r>
      <w:r w:rsidR="0065331B">
        <w:t>,</w:t>
      </w:r>
      <w:r w:rsidRPr="00A85AA1">
        <w:t xml:space="preserve"> D</w:t>
      </w:r>
      <w:r w:rsidR="0065331B">
        <w:t>.</w:t>
      </w:r>
      <w:r w:rsidRPr="00A85AA1">
        <w:t>, Spector</w:t>
      </w:r>
      <w:r w:rsidR="0065331B">
        <w:t>,</w:t>
      </w:r>
      <w:r w:rsidRPr="00A85AA1">
        <w:t xml:space="preserve"> T</w:t>
      </w:r>
      <w:r w:rsidR="0065331B">
        <w:t>.</w:t>
      </w:r>
      <w:r w:rsidRPr="00A85AA1">
        <w:t xml:space="preserve">D. </w:t>
      </w:r>
      <w:r w:rsidR="0065331B">
        <w:t xml:space="preserve">(1995) </w:t>
      </w:r>
      <w:r w:rsidRPr="00A85AA1">
        <w:t>Patterns of joint involvement in osteoarthritis of the</w:t>
      </w:r>
      <w:r w:rsidRPr="00A85AA1">
        <w:rPr>
          <w:rStyle w:val="apple-converted-space"/>
          <w:rFonts w:cs="Arial"/>
          <w:u w:val="single"/>
        </w:rPr>
        <w:t> </w:t>
      </w:r>
      <w:r w:rsidRPr="00A85AA1">
        <w:rPr>
          <w:bCs/>
        </w:rPr>
        <w:t>hand</w:t>
      </w:r>
      <w:r w:rsidRPr="00A85AA1">
        <w:t>: the Chingford Study.</w:t>
      </w:r>
      <w:r w:rsidRPr="00A85AA1">
        <w:rPr>
          <w:rStyle w:val="jrnl"/>
          <w:rFonts w:cs="Arial"/>
        </w:rPr>
        <w:t xml:space="preserve"> J</w:t>
      </w:r>
      <w:r w:rsidR="0065331B">
        <w:rPr>
          <w:rStyle w:val="jrnl"/>
          <w:rFonts w:cs="Arial"/>
        </w:rPr>
        <w:t>ournal of</w:t>
      </w:r>
      <w:r w:rsidRPr="00A85AA1">
        <w:rPr>
          <w:rStyle w:val="jrnl"/>
          <w:rFonts w:cs="Arial"/>
        </w:rPr>
        <w:t xml:space="preserve"> Rheumatol</w:t>
      </w:r>
      <w:r w:rsidR="0065331B">
        <w:t xml:space="preserve">ogy, </w:t>
      </w:r>
      <w:r w:rsidRPr="00A85AA1">
        <w:t>22</w:t>
      </w:r>
      <w:r w:rsidR="0065331B">
        <w:t xml:space="preserve">, </w:t>
      </w:r>
      <w:r w:rsidRPr="00A85AA1">
        <w:t>1509-13.</w:t>
      </w:r>
      <w:r w:rsidR="009035BF" w:rsidRPr="00A85AA1">
        <w:t xml:space="preserve"> </w:t>
      </w:r>
      <w:r w:rsidR="009035BF" w:rsidRPr="00A85AA1">
        <w:rPr>
          <w:rFonts w:eastAsia="Times New Roman" w:cs="Arial"/>
          <w:lang w:eastAsia="en-GB"/>
        </w:rPr>
        <w:t xml:space="preserve">PMID: </w:t>
      </w:r>
      <w:r w:rsidR="009035BF" w:rsidRPr="009035BF">
        <w:rPr>
          <w:rFonts w:eastAsia="Times New Roman" w:cs="Arial"/>
          <w:lang w:eastAsia="en-GB"/>
        </w:rPr>
        <w:t>7473475</w:t>
      </w:r>
    </w:p>
    <w:p w14:paraId="1D789258" w14:textId="319347E5" w:rsidR="008E5298" w:rsidRPr="00A85AA1" w:rsidRDefault="008E5298" w:rsidP="00A85AA1">
      <w:pPr>
        <w:spacing w:after="240"/>
      </w:pPr>
    </w:p>
    <w:p w14:paraId="62A8B55C" w14:textId="2AC2E8E9" w:rsidR="002B1382" w:rsidRPr="00A85AA1" w:rsidRDefault="0036036E" w:rsidP="00A85AA1">
      <w:pPr>
        <w:shd w:val="clear" w:color="auto" w:fill="FFFFFF"/>
        <w:rPr>
          <w:rFonts w:cs="Arial"/>
        </w:rPr>
      </w:pPr>
      <w:r w:rsidRPr="00A85AA1">
        <w:rPr>
          <w:shd w:val="clear" w:color="auto" w:fill="FFFFFF"/>
        </w:rPr>
        <w:t>Ferry</w:t>
      </w:r>
      <w:r w:rsidR="0065331B">
        <w:rPr>
          <w:shd w:val="clear" w:color="auto" w:fill="FFFFFF"/>
        </w:rPr>
        <w:t>,</w:t>
      </w:r>
      <w:r w:rsidRPr="00A85AA1">
        <w:rPr>
          <w:shd w:val="clear" w:color="auto" w:fill="FFFFFF"/>
        </w:rPr>
        <w:t xml:space="preserve"> S</w:t>
      </w:r>
      <w:r w:rsidR="0065331B">
        <w:rPr>
          <w:shd w:val="clear" w:color="auto" w:fill="FFFFFF"/>
        </w:rPr>
        <w:t>.</w:t>
      </w:r>
      <w:r w:rsidRPr="00A85AA1">
        <w:rPr>
          <w:shd w:val="clear" w:color="auto" w:fill="FFFFFF"/>
        </w:rPr>
        <w:t>, Pritchard</w:t>
      </w:r>
      <w:r w:rsidR="0065331B">
        <w:rPr>
          <w:shd w:val="clear" w:color="auto" w:fill="FFFFFF"/>
        </w:rPr>
        <w:t>,</w:t>
      </w:r>
      <w:r w:rsidRPr="00A85AA1">
        <w:rPr>
          <w:shd w:val="clear" w:color="auto" w:fill="FFFFFF"/>
        </w:rPr>
        <w:t xml:space="preserve"> </w:t>
      </w:r>
      <w:r w:rsidR="002B1382" w:rsidRPr="00A85AA1">
        <w:rPr>
          <w:shd w:val="clear" w:color="auto" w:fill="FFFFFF"/>
        </w:rPr>
        <w:t>T</w:t>
      </w:r>
      <w:r w:rsidR="0065331B">
        <w:rPr>
          <w:shd w:val="clear" w:color="auto" w:fill="FFFFFF"/>
        </w:rPr>
        <w:t>.</w:t>
      </w:r>
      <w:r w:rsidR="002B1382" w:rsidRPr="00A85AA1">
        <w:rPr>
          <w:shd w:val="clear" w:color="auto" w:fill="FFFFFF"/>
        </w:rPr>
        <w:t>, Keenan</w:t>
      </w:r>
      <w:r w:rsidR="0065331B">
        <w:rPr>
          <w:shd w:val="clear" w:color="auto" w:fill="FFFFFF"/>
        </w:rPr>
        <w:t>,</w:t>
      </w:r>
      <w:r w:rsidR="002B1382" w:rsidRPr="00A85AA1">
        <w:rPr>
          <w:shd w:val="clear" w:color="auto" w:fill="FFFFFF"/>
        </w:rPr>
        <w:t xml:space="preserve"> J</w:t>
      </w:r>
      <w:r w:rsidR="0065331B">
        <w:rPr>
          <w:shd w:val="clear" w:color="auto" w:fill="FFFFFF"/>
        </w:rPr>
        <w:t>.</w:t>
      </w:r>
      <w:r w:rsidR="002B1382" w:rsidRPr="00A85AA1">
        <w:rPr>
          <w:shd w:val="clear" w:color="auto" w:fill="FFFFFF"/>
        </w:rPr>
        <w:t>, Croft</w:t>
      </w:r>
      <w:r w:rsidR="0065331B">
        <w:rPr>
          <w:shd w:val="clear" w:color="auto" w:fill="FFFFFF"/>
        </w:rPr>
        <w:t>,</w:t>
      </w:r>
      <w:r w:rsidR="002B1382" w:rsidRPr="00A85AA1">
        <w:rPr>
          <w:shd w:val="clear" w:color="auto" w:fill="FFFFFF"/>
        </w:rPr>
        <w:t xml:space="preserve"> P</w:t>
      </w:r>
      <w:r w:rsidR="0065331B">
        <w:rPr>
          <w:shd w:val="clear" w:color="auto" w:fill="FFFFFF"/>
        </w:rPr>
        <w:t>.</w:t>
      </w:r>
      <w:r w:rsidR="002B1382" w:rsidRPr="00A85AA1">
        <w:rPr>
          <w:shd w:val="clear" w:color="auto" w:fill="FFFFFF"/>
        </w:rPr>
        <w:t>, Silman</w:t>
      </w:r>
      <w:r w:rsidR="0065331B">
        <w:rPr>
          <w:shd w:val="clear" w:color="auto" w:fill="FFFFFF"/>
        </w:rPr>
        <w:t>,</w:t>
      </w:r>
      <w:r w:rsidR="002B1382" w:rsidRPr="00A85AA1">
        <w:rPr>
          <w:shd w:val="clear" w:color="auto" w:fill="FFFFFF"/>
        </w:rPr>
        <w:t xml:space="preserve"> A</w:t>
      </w:r>
      <w:r w:rsidR="0065331B">
        <w:rPr>
          <w:shd w:val="clear" w:color="auto" w:fill="FFFFFF"/>
        </w:rPr>
        <w:t>.</w:t>
      </w:r>
      <w:r w:rsidR="002B1382" w:rsidRPr="00A85AA1">
        <w:rPr>
          <w:shd w:val="clear" w:color="auto" w:fill="FFFFFF"/>
        </w:rPr>
        <w:t>J.</w:t>
      </w:r>
      <w:r w:rsidRPr="00A85AA1">
        <w:rPr>
          <w:shd w:val="clear" w:color="auto" w:fill="FFFFFF"/>
        </w:rPr>
        <w:t xml:space="preserve"> </w:t>
      </w:r>
      <w:r w:rsidR="0065331B">
        <w:rPr>
          <w:shd w:val="clear" w:color="auto" w:fill="FFFFFF"/>
        </w:rPr>
        <w:t xml:space="preserve">(1998) </w:t>
      </w:r>
      <w:r w:rsidRPr="00A85AA1">
        <w:rPr>
          <w:shd w:val="clear" w:color="auto" w:fill="FFFFFF"/>
        </w:rPr>
        <w:t>Estimating the prevalence of delayed median nerve conduction in the general population. Br</w:t>
      </w:r>
      <w:r w:rsidR="0065331B">
        <w:rPr>
          <w:shd w:val="clear" w:color="auto" w:fill="FFFFFF"/>
        </w:rPr>
        <w:t>itish</w:t>
      </w:r>
      <w:r w:rsidRPr="00A85AA1">
        <w:rPr>
          <w:shd w:val="clear" w:color="auto" w:fill="FFFFFF"/>
        </w:rPr>
        <w:t xml:space="preserve"> J</w:t>
      </w:r>
      <w:r w:rsidR="0065331B">
        <w:rPr>
          <w:shd w:val="clear" w:color="auto" w:fill="FFFFFF"/>
        </w:rPr>
        <w:t xml:space="preserve">ournal of Rheumatology, 37, </w:t>
      </w:r>
      <w:r w:rsidRPr="00A85AA1">
        <w:rPr>
          <w:shd w:val="clear" w:color="auto" w:fill="FFFFFF"/>
        </w:rPr>
        <w:t>630-635.</w:t>
      </w:r>
      <w:r w:rsidR="002B1382" w:rsidRPr="00A85AA1">
        <w:rPr>
          <w:shd w:val="clear" w:color="auto" w:fill="FFFFFF"/>
        </w:rPr>
        <w:t xml:space="preserve"> </w:t>
      </w:r>
      <w:r w:rsidR="008741C2">
        <w:rPr>
          <w:rFonts w:cs="Arial"/>
        </w:rPr>
        <w:t>doi</w:t>
      </w:r>
      <w:r w:rsidR="002B1382" w:rsidRPr="00A85AA1">
        <w:rPr>
          <w:rFonts w:cs="Arial"/>
        </w:rPr>
        <w:t>: 10.1093/rheumatology/37.6.630</w:t>
      </w:r>
    </w:p>
    <w:p w14:paraId="638FE554" w14:textId="10BC3567" w:rsidR="0036036E" w:rsidRPr="00A85AA1" w:rsidRDefault="0036036E" w:rsidP="00A85AA1">
      <w:pPr>
        <w:spacing w:after="240"/>
        <w:rPr>
          <w:shd w:val="clear" w:color="auto" w:fill="FFFFFF"/>
        </w:rPr>
      </w:pPr>
      <w:r w:rsidRPr="00A85AA1">
        <w:rPr>
          <w:shd w:val="clear" w:color="auto" w:fill="FFFFFF"/>
        </w:rPr>
        <w:t> </w:t>
      </w:r>
    </w:p>
    <w:p w14:paraId="7EA39FDD" w14:textId="223279B0" w:rsidR="002B1382" w:rsidRPr="00A85AA1" w:rsidRDefault="00800C0A" w:rsidP="00A85AA1">
      <w:pPr>
        <w:shd w:val="clear" w:color="auto" w:fill="FFFFFF"/>
        <w:rPr>
          <w:rFonts w:cs="Arial"/>
        </w:rPr>
      </w:pPr>
      <w:r w:rsidRPr="00A85AA1">
        <w:rPr>
          <w:shd w:val="clear" w:color="auto" w:fill="FFFFFF"/>
        </w:rPr>
        <w:t>Garr</w:t>
      </w:r>
      <w:r w:rsidR="002B1382" w:rsidRPr="00A85AA1">
        <w:rPr>
          <w:shd w:val="clear" w:color="auto" w:fill="FFFFFF"/>
        </w:rPr>
        <w:t>ow</w:t>
      </w:r>
      <w:r w:rsidR="0065331B">
        <w:rPr>
          <w:shd w:val="clear" w:color="auto" w:fill="FFFFFF"/>
        </w:rPr>
        <w:t>,</w:t>
      </w:r>
      <w:r w:rsidR="002B1382" w:rsidRPr="00A85AA1">
        <w:rPr>
          <w:shd w:val="clear" w:color="auto" w:fill="FFFFFF"/>
        </w:rPr>
        <w:t xml:space="preserve"> A</w:t>
      </w:r>
      <w:r w:rsidR="0065331B">
        <w:rPr>
          <w:shd w:val="clear" w:color="auto" w:fill="FFFFFF"/>
        </w:rPr>
        <w:t>.</w:t>
      </w:r>
      <w:r w:rsidR="002B1382" w:rsidRPr="00A85AA1">
        <w:rPr>
          <w:shd w:val="clear" w:color="auto" w:fill="FFFFFF"/>
        </w:rPr>
        <w:t>P</w:t>
      </w:r>
      <w:r w:rsidR="0065331B">
        <w:rPr>
          <w:shd w:val="clear" w:color="auto" w:fill="FFFFFF"/>
        </w:rPr>
        <w:t>.</w:t>
      </w:r>
      <w:r w:rsidR="002B1382" w:rsidRPr="00A85AA1">
        <w:rPr>
          <w:shd w:val="clear" w:color="auto" w:fill="FFFFFF"/>
        </w:rPr>
        <w:t>, Silman</w:t>
      </w:r>
      <w:r w:rsidR="0065331B">
        <w:rPr>
          <w:shd w:val="clear" w:color="auto" w:fill="FFFFFF"/>
        </w:rPr>
        <w:t>,</w:t>
      </w:r>
      <w:r w:rsidR="002B1382" w:rsidRPr="00A85AA1">
        <w:rPr>
          <w:shd w:val="clear" w:color="auto" w:fill="FFFFFF"/>
        </w:rPr>
        <w:t xml:space="preserve"> A</w:t>
      </w:r>
      <w:r w:rsidR="0065331B">
        <w:rPr>
          <w:shd w:val="clear" w:color="auto" w:fill="FFFFFF"/>
        </w:rPr>
        <w:t>.</w:t>
      </w:r>
      <w:r w:rsidR="002B1382" w:rsidRPr="00A85AA1">
        <w:rPr>
          <w:shd w:val="clear" w:color="auto" w:fill="FFFFFF"/>
        </w:rPr>
        <w:t>J</w:t>
      </w:r>
      <w:r w:rsidR="0065331B">
        <w:rPr>
          <w:shd w:val="clear" w:color="auto" w:fill="FFFFFF"/>
        </w:rPr>
        <w:t>.</w:t>
      </w:r>
      <w:r w:rsidR="002B1382" w:rsidRPr="00A85AA1">
        <w:rPr>
          <w:shd w:val="clear" w:color="auto" w:fill="FFFFFF"/>
        </w:rPr>
        <w:t>, Macfarlane</w:t>
      </w:r>
      <w:r w:rsidR="0065331B">
        <w:rPr>
          <w:shd w:val="clear" w:color="auto" w:fill="FFFFFF"/>
        </w:rPr>
        <w:t>,</w:t>
      </w:r>
      <w:r w:rsidR="002B1382" w:rsidRPr="00A85AA1">
        <w:rPr>
          <w:shd w:val="clear" w:color="auto" w:fill="FFFFFF"/>
        </w:rPr>
        <w:t xml:space="preserve"> G</w:t>
      </w:r>
      <w:r w:rsidR="0065331B">
        <w:rPr>
          <w:shd w:val="clear" w:color="auto" w:fill="FFFFFF"/>
        </w:rPr>
        <w:t>.</w:t>
      </w:r>
      <w:r w:rsidR="002B1382" w:rsidRPr="00A85AA1">
        <w:rPr>
          <w:shd w:val="clear" w:color="auto" w:fill="FFFFFF"/>
        </w:rPr>
        <w:t>J.</w:t>
      </w:r>
      <w:r w:rsidRPr="00A85AA1">
        <w:rPr>
          <w:shd w:val="clear" w:color="auto" w:fill="FFFFFF"/>
        </w:rPr>
        <w:t xml:space="preserve"> </w:t>
      </w:r>
      <w:r w:rsidR="0065331B">
        <w:rPr>
          <w:shd w:val="clear" w:color="auto" w:fill="FFFFFF"/>
        </w:rPr>
        <w:t xml:space="preserve">(2004) </w:t>
      </w:r>
      <w:r w:rsidRPr="00A85AA1">
        <w:rPr>
          <w:shd w:val="clear" w:color="auto" w:fill="FFFFFF"/>
        </w:rPr>
        <w:t>The Cheshire Foot Pain and Disability Survey: a population survey assessing prevalenc</w:t>
      </w:r>
      <w:r w:rsidR="0065331B">
        <w:rPr>
          <w:shd w:val="clear" w:color="auto" w:fill="FFFFFF"/>
        </w:rPr>
        <w:t xml:space="preserve">e and associations. Pain, 110, </w:t>
      </w:r>
      <w:r w:rsidRPr="00A85AA1">
        <w:rPr>
          <w:shd w:val="clear" w:color="auto" w:fill="FFFFFF"/>
        </w:rPr>
        <w:t>378-384.</w:t>
      </w:r>
      <w:r w:rsidR="002B1382" w:rsidRPr="00A85AA1">
        <w:rPr>
          <w:shd w:val="clear" w:color="auto" w:fill="FFFFFF"/>
        </w:rPr>
        <w:t xml:space="preserve"> </w:t>
      </w:r>
      <w:r w:rsidR="008741C2">
        <w:rPr>
          <w:rFonts w:cs="Arial"/>
        </w:rPr>
        <w:t>doi</w:t>
      </w:r>
      <w:r w:rsidR="002B1382" w:rsidRPr="00A85AA1">
        <w:rPr>
          <w:rFonts w:cs="Arial"/>
        </w:rPr>
        <w:t>: 10.1016/j.</w:t>
      </w:r>
      <w:r w:rsidR="002B1382" w:rsidRPr="00A85AA1">
        <w:rPr>
          <w:rStyle w:val="highlight"/>
          <w:rFonts w:cs="Arial"/>
          <w:u w:val="single"/>
        </w:rPr>
        <w:t>pain</w:t>
      </w:r>
      <w:r w:rsidR="002B1382" w:rsidRPr="00A85AA1">
        <w:rPr>
          <w:rFonts w:cs="Arial"/>
        </w:rPr>
        <w:t>.2004.04.019</w:t>
      </w:r>
    </w:p>
    <w:p w14:paraId="14274F1B" w14:textId="02A1117E" w:rsidR="00800C0A" w:rsidRPr="00A85AA1" w:rsidRDefault="00800C0A" w:rsidP="00A85AA1">
      <w:pPr>
        <w:spacing w:after="240"/>
      </w:pPr>
    </w:p>
    <w:p w14:paraId="565BF5AD" w14:textId="68CF9E19" w:rsidR="008E5298" w:rsidRDefault="008E5298" w:rsidP="00A85AA1">
      <w:pPr>
        <w:spacing w:after="240"/>
        <w:rPr>
          <w:rFonts w:cs="Arial"/>
          <w:shd w:val="clear" w:color="auto" w:fill="FFFFFF"/>
        </w:rPr>
      </w:pPr>
      <w:r w:rsidRPr="00A85AA1">
        <w:rPr>
          <w:rFonts w:cs="Arial"/>
          <w:bCs/>
        </w:rPr>
        <w:lastRenderedPageBreak/>
        <w:t>Kobayashi</w:t>
      </w:r>
      <w:r w:rsidR="00421BE5">
        <w:rPr>
          <w:rFonts w:cs="Arial"/>
          <w:bCs/>
        </w:rPr>
        <w:t>,</w:t>
      </w:r>
      <w:r w:rsidRPr="00A85AA1">
        <w:rPr>
          <w:rFonts w:cs="Arial"/>
        </w:rPr>
        <w:t> S</w:t>
      </w:r>
      <w:r w:rsidR="00421BE5">
        <w:rPr>
          <w:rFonts w:cs="Arial"/>
        </w:rPr>
        <w:t>.</w:t>
      </w:r>
      <w:r w:rsidRPr="00A85AA1">
        <w:rPr>
          <w:rFonts w:cs="Arial"/>
        </w:rPr>
        <w:t>, Pappas</w:t>
      </w:r>
      <w:r w:rsidR="00421BE5">
        <w:rPr>
          <w:rFonts w:cs="Arial"/>
        </w:rPr>
        <w:t>,</w:t>
      </w:r>
      <w:r w:rsidRPr="00A85AA1">
        <w:rPr>
          <w:rFonts w:cs="Arial"/>
        </w:rPr>
        <w:t xml:space="preserve"> E</w:t>
      </w:r>
      <w:r w:rsidR="00421BE5">
        <w:rPr>
          <w:rFonts w:cs="Arial"/>
        </w:rPr>
        <w:t>.</w:t>
      </w:r>
      <w:r w:rsidRPr="00A85AA1">
        <w:rPr>
          <w:rFonts w:cs="Arial"/>
        </w:rPr>
        <w:t>, Fransen</w:t>
      </w:r>
      <w:r w:rsidR="00421BE5">
        <w:rPr>
          <w:rFonts w:cs="Arial"/>
        </w:rPr>
        <w:t>,</w:t>
      </w:r>
      <w:r w:rsidRPr="00A85AA1">
        <w:rPr>
          <w:rFonts w:cs="Arial"/>
        </w:rPr>
        <w:t xml:space="preserve"> M</w:t>
      </w:r>
      <w:r w:rsidR="00421BE5">
        <w:rPr>
          <w:rFonts w:cs="Arial"/>
        </w:rPr>
        <w:t>.</w:t>
      </w:r>
      <w:r w:rsidRPr="00A85AA1">
        <w:rPr>
          <w:rFonts w:cs="Arial"/>
        </w:rPr>
        <w:t>, Refshauge</w:t>
      </w:r>
      <w:r w:rsidR="00421BE5">
        <w:rPr>
          <w:rFonts w:cs="Arial"/>
        </w:rPr>
        <w:t>,</w:t>
      </w:r>
      <w:r w:rsidRPr="00A85AA1">
        <w:rPr>
          <w:rFonts w:cs="Arial"/>
        </w:rPr>
        <w:t xml:space="preserve"> K</w:t>
      </w:r>
      <w:r w:rsidR="00421BE5">
        <w:rPr>
          <w:rFonts w:cs="Arial"/>
        </w:rPr>
        <w:t>.</w:t>
      </w:r>
      <w:r w:rsidRPr="00A85AA1">
        <w:rPr>
          <w:rFonts w:cs="Arial"/>
        </w:rPr>
        <w:t>, Simic</w:t>
      </w:r>
      <w:r w:rsidR="00421BE5">
        <w:rPr>
          <w:rFonts w:cs="Arial"/>
        </w:rPr>
        <w:t>,</w:t>
      </w:r>
      <w:r w:rsidRPr="00A85AA1">
        <w:rPr>
          <w:rFonts w:cs="Arial"/>
        </w:rPr>
        <w:t xml:space="preserve"> M. </w:t>
      </w:r>
      <w:r w:rsidR="00421BE5">
        <w:rPr>
          <w:rFonts w:cs="Arial"/>
        </w:rPr>
        <w:t xml:space="preserve">(2016) </w:t>
      </w:r>
      <w:r w:rsidRPr="00A85AA1">
        <w:rPr>
          <w:rFonts w:cs="Arial"/>
        </w:rPr>
        <w:t>The prevalence of patellofemoral osteoarthritis: a systematic review and meta-analysis.</w:t>
      </w:r>
      <w:r w:rsidRPr="00A85AA1">
        <w:rPr>
          <w:rStyle w:val="jrnl"/>
          <w:rFonts w:cs="Arial"/>
        </w:rPr>
        <w:t xml:space="preserve"> Osteoarthritis </w:t>
      </w:r>
      <w:r w:rsidR="00421BE5">
        <w:rPr>
          <w:rStyle w:val="jrnl"/>
          <w:rFonts w:cs="Arial"/>
        </w:rPr>
        <w:t xml:space="preserve">&amp; </w:t>
      </w:r>
      <w:r w:rsidRPr="00A85AA1">
        <w:rPr>
          <w:rStyle w:val="jrnl"/>
          <w:rFonts w:cs="Arial"/>
        </w:rPr>
        <w:t>Cartilage</w:t>
      </w:r>
      <w:r w:rsidR="00421BE5">
        <w:rPr>
          <w:rFonts w:cs="Arial"/>
        </w:rPr>
        <w:t xml:space="preserve">, 24, </w:t>
      </w:r>
      <w:r w:rsidRPr="00A85AA1">
        <w:rPr>
          <w:rFonts w:cs="Arial"/>
        </w:rPr>
        <w:t>1697-1707.</w:t>
      </w:r>
      <w:r w:rsidR="00074B04" w:rsidRPr="00A85AA1">
        <w:rPr>
          <w:rFonts w:cs="Arial"/>
        </w:rPr>
        <w:t xml:space="preserve"> </w:t>
      </w:r>
      <w:r w:rsidR="00074B04" w:rsidRPr="00A85AA1">
        <w:rPr>
          <w:rFonts w:cs="Arial"/>
          <w:shd w:val="clear" w:color="auto" w:fill="FFFFFF"/>
        </w:rPr>
        <w:t>doi: 10.1016/j.joca.2016.05.011</w:t>
      </w:r>
    </w:p>
    <w:p w14:paraId="1970E1D6" w14:textId="77777777" w:rsidR="00A85AA1" w:rsidRPr="00A85AA1" w:rsidRDefault="00A85AA1" w:rsidP="00A85AA1">
      <w:pPr>
        <w:spacing w:after="240"/>
      </w:pPr>
    </w:p>
    <w:p w14:paraId="0D9B1BB8" w14:textId="0E1F0096" w:rsidR="00CD1D7D" w:rsidRDefault="00CD1D7D" w:rsidP="00A85AA1">
      <w:pPr>
        <w:spacing w:after="240"/>
        <w:rPr>
          <w:rFonts w:cs="Arial"/>
          <w:shd w:val="clear" w:color="auto" w:fill="FFFFFF"/>
        </w:rPr>
      </w:pPr>
      <w:r w:rsidRPr="00A85AA1">
        <w:rPr>
          <w:bCs/>
        </w:rPr>
        <w:t>Marshall</w:t>
      </w:r>
      <w:r w:rsidR="00421BE5">
        <w:rPr>
          <w:bCs/>
        </w:rPr>
        <w:t>,</w:t>
      </w:r>
      <w:r w:rsidRPr="00A85AA1">
        <w:rPr>
          <w:bCs/>
        </w:rPr>
        <w:t xml:space="preserve"> M</w:t>
      </w:r>
      <w:r w:rsidR="00421BE5">
        <w:rPr>
          <w:bCs/>
        </w:rPr>
        <w:t>.</w:t>
      </w:r>
      <w:r w:rsidRPr="00A85AA1">
        <w:t>,</w:t>
      </w:r>
      <w:r w:rsidRPr="00A85AA1">
        <w:rPr>
          <w:rStyle w:val="apple-converted-space"/>
          <w:rFonts w:cs="Arial"/>
        </w:rPr>
        <w:t> </w:t>
      </w:r>
      <w:r w:rsidRPr="00A85AA1">
        <w:rPr>
          <w:bCs/>
        </w:rPr>
        <w:t>Peat</w:t>
      </w:r>
      <w:r w:rsidR="00421BE5">
        <w:rPr>
          <w:bCs/>
        </w:rPr>
        <w:t>,</w:t>
      </w:r>
      <w:r w:rsidRPr="00A85AA1">
        <w:rPr>
          <w:bCs/>
        </w:rPr>
        <w:t xml:space="preserve"> G</w:t>
      </w:r>
      <w:r w:rsidR="00421BE5">
        <w:rPr>
          <w:bCs/>
        </w:rPr>
        <w:t>.</w:t>
      </w:r>
      <w:r w:rsidRPr="00A85AA1">
        <w:t>, Nicholls</w:t>
      </w:r>
      <w:r w:rsidR="00421BE5">
        <w:t>,</w:t>
      </w:r>
      <w:r w:rsidRPr="00A85AA1">
        <w:t xml:space="preserve"> E</w:t>
      </w:r>
      <w:r w:rsidR="00421BE5">
        <w:t>.</w:t>
      </w:r>
      <w:r w:rsidRPr="00A85AA1">
        <w:t>, van der Windt</w:t>
      </w:r>
      <w:r w:rsidR="00421BE5">
        <w:t>,</w:t>
      </w:r>
      <w:r w:rsidRPr="00A85AA1">
        <w:t xml:space="preserve"> D</w:t>
      </w:r>
      <w:r w:rsidR="00421BE5">
        <w:t>.</w:t>
      </w:r>
      <w:r w:rsidRPr="00A85AA1">
        <w:t>, Myers</w:t>
      </w:r>
      <w:r w:rsidR="00421BE5">
        <w:t>,</w:t>
      </w:r>
      <w:r w:rsidRPr="00A85AA1">
        <w:t xml:space="preserve"> H</w:t>
      </w:r>
      <w:r w:rsidR="00421BE5">
        <w:t>.</w:t>
      </w:r>
      <w:r w:rsidRPr="00A85AA1">
        <w:t>, Dziedzic</w:t>
      </w:r>
      <w:r w:rsidR="00421BE5">
        <w:t>,</w:t>
      </w:r>
      <w:r w:rsidRPr="00A85AA1">
        <w:t xml:space="preserve"> K. </w:t>
      </w:r>
      <w:r w:rsidR="00421BE5">
        <w:t xml:space="preserve">(2013) </w:t>
      </w:r>
      <w:r w:rsidRPr="00A85AA1">
        <w:t>Subsets of symptomatic hand osteoarthritis in community-dwelling older adults in the United Kingdom: prevalence, inter-relationships, risk factor profiles and clinical characteristics at baseline and 3-years.</w:t>
      </w:r>
      <w:r w:rsidRPr="00A85AA1">
        <w:rPr>
          <w:rStyle w:val="jrnl"/>
          <w:rFonts w:cs="Arial"/>
        </w:rPr>
        <w:t xml:space="preserve"> Osteoarthritis </w:t>
      </w:r>
      <w:r w:rsidR="00421BE5">
        <w:rPr>
          <w:rStyle w:val="jrnl"/>
          <w:rFonts w:cs="Arial"/>
        </w:rPr>
        <w:t xml:space="preserve">&amp; </w:t>
      </w:r>
      <w:r w:rsidRPr="00A85AA1">
        <w:rPr>
          <w:rStyle w:val="jrnl"/>
          <w:rFonts w:cs="Arial"/>
        </w:rPr>
        <w:t>Cartilage</w:t>
      </w:r>
      <w:r w:rsidR="00421BE5">
        <w:t xml:space="preserve">, </w:t>
      </w:r>
      <w:r w:rsidRPr="00A85AA1">
        <w:t>21</w:t>
      </w:r>
      <w:r w:rsidR="00421BE5">
        <w:t xml:space="preserve">, </w:t>
      </w:r>
      <w:r w:rsidRPr="00A85AA1">
        <w:t>1674-84</w:t>
      </w:r>
      <w:r w:rsidR="00074B04" w:rsidRPr="00A85AA1">
        <w:t xml:space="preserve">. </w:t>
      </w:r>
      <w:r w:rsidR="00074B04" w:rsidRPr="00A85AA1">
        <w:rPr>
          <w:rFonts w:cs="Arial"/>
          <w:shd w:val="clear" w:color="auto" w:fill="FFFFFF"/>
        </w:rPr>
        <w:t>doi: 10.1016/j.joca.2013.08.004</w:t>
      </w:r>
    </w:p>
    <w:p w14:paraId="1A64C6D6" w14:textId="77777777" w:rsidR="005E0F3C" w:rsidRPr="00A85AA1" w:rsidRDefault="005E0F3C" w:rsidP="00A85AA1">
      <w:pPr>
        <w:spacing w:after="240"/>
      </w:pPr>
    </w:p>
    <w:p w14:paraId="3551657F" w14:textId="77C7CD4F" w:rsidR="00074B04" w:rsidRPr="00A85AA1" w:rsidRDefault="00CD1D7D" w:rsidP="00A85AA1">
      <w:pPr>
        <w:shd w:val="clear" w:color="auto" w:fill="FFFFFF"/>
        <w:rPr>
          <w:rFonts w:cs="Arial"/>
        </w:rPr>
      </w:pPr>
      <w:r w:rsidRPr="00A85AA1">
        <w:t>Myers</w:t>
      </w:r>
      <w:r w:rsidR="005E0F3C">
        <w:t>,</w:t>
      </w:r>
      <w:r w:rsidRPr="00A85AA1">
        <w:t xml:space="preserve"> H</w:t>
      </w:r>
      <w:r w:rsidR="005E0F3C">
        <w:t>.</w:t>
      </w:r>
      <w:r w:rsidRPr="00A85AA1">
        <w:t>, Nicholls</w:t>
      </w:r>
      <w:r w:rsidR="005E0F3C">
        <w:t>,</w:t>
      </w:r>
      <w:r w:rsidRPr="00A85AA1">
        <w:t xml:space="preserve"> E</w:t>
      </w:r>
      <w:r w:rsidR="005E0F3C">
        <w:t>.</w:t>
      </w:r>
      <w:r w:rsidRPr="00A85AA1">
        <w:t>,</w:t>
      </w:r>
      <w:r w:rsidRPr="00A85AA1">
        <w:rPr>
          <w:rStyle w:val="apple-converted-space"/>
          <w:rFonts w:cs="Arial"/>
        </w:rPr>
        <w:t> </w:t>
      </w:r>
      <w:r w:rsidRPr="00A85AA1">
        <w:rPr>
          <w:bCs/>
        </w:rPr>
        <w:t>Handy</w:t>
      </w:r>
      <w:r w:rsidR="005E0F3C">
        <w:rPr>
          <w:bCs/>
        </w:rPr>
        <w:t>,</w:t>
      </w:r>
      <w:r w:rsidRPr="00A85AA1">
        <w:rPr>
          <w:bCs/>
        </w:rPr>
        <w:t xml:space="preserve"> J</w:t>
      </w:r>
      <w:r w:rsidR="005E0F3C">
        <w:rPr>
          <w:bCs/>
        </w:rPr>
        <w:t>.</w:t>
      </w:r>
      <w:r w:rsidRPr="00A85AA1">
        <w:t>,</w:t>
      </w:r>
      <w:r w:rsidRPr="00A85AA1">
        <w:rPr>
          <w:rStyle w:val="apple-converted-space"/>
          <w:rFonts w:cs="Arial"/>
        </w:rPr>
        <w:t> </w:t>
      </w:r>
      <w:r w:rsidRPr="00A85AA1">
        <w:rPr>
          <w:bCs/>
        </w:rPr>
        <w:t>Peat</w:t>
      </w:r>
      <w:r w:rsidR="005E0F3C">
        <w:rPr>
          <w:bCs/>
        </w:rPr>
        <w:t>,</w:t>
      </w:r>
      <w:r w:rsidRPr="00A85AA1">
        <w:rPr>
          <w:bCs/>
        </w:rPr>
        <w:t xml:space="preserve"> G</w:t>
      </w:r>
      <w:r w:rsidR="005E0F3C">
        <w:rPr>
          <w:bCs/>
        </w:rPr>
        <w:t>.</w:t>
      </w:r>
      <w:r w:rsidRPr="00A85AA1">
        <w:t>, Thomas</w:t>
      </w:r>
      <w:r w:rsidR="005E0F3C">
        <w:t>,</w:t>
      </w:r>
      <w:r w:rsidRPr="00A85AA1">
        <w:t xml:space="preserve"> E</w:t>
      </w:r>
      <w:r w:rsidR="005E0F3C">
        <w:t>.</w:t>
      </w:r>
      <w:r w:rsidRPr="00A85AA1">
        <w:t>, Duncan</w:t>
      </w:r>
      <w:r w:rsidR="005E0F3C">
        <w:t>,</w:t>
      </w:r>
      <w:r w:rsidRPr="00A85AA1">
        <w:t xml:space="preserve"> R</w:t>
      </w:r>
      <w:r w:rsidR="005E0F3C">
        <w:t>.</w:t>
      </w:r>
      <w:r w:rsidRPr="00A85AA1">
        <w:t>, Wood</w:t>
      </w:r>
      <w:r w:rsidR="005E0F3C">
        <w:t>,</w:t>
      </w:r>
      <w:r w:rsidRPr="00A85AA1">
        <w:t xml:space="preserve"> L</w:t>
      </w:r>
      <w:r w:rsidR="005E0F3C">
        <w:t>.</w:t>
      </w:r>
      <w:r w:rsidRPr="00A85AA1">
        <w:t>, Marshall</w:t>
      </w:r>
      <w:r w:rsidR="005E0F3C">
        <w:t>,</w:t>
      </w:r>
      <w:r w:rsidRPr="00A85AA1">
        <w:t xml:space="preserve"> M</w:t>
      </w:r>
      <w:r w:rsidR="005E0F3C">
        <w:t>.</w:t>
      </w:r>
      <w:r w:rsidRPr="00A85AA1">
        <w:t>, Tyson</w:t>
      </w:r>
      <w:r w:rsidR="005E0F3C">
        <w:t>,</w:t>
      </w:r>
      <w:r w:rsidRPr="00A85AA1">
        <w:t xml:space="preserve"> C</w:t>
      </w:r>
      <w:r w:rsidR="005E0F3C">
        <w:t>.</w:t>
      </w:r>
      <w:r w:rsidRPr="00A85AA1">
        <w:t>, Hay</w:t>
      </w:r>
      <w:r w:rsidR="005E0F3C">
        <w:t>,</w:t>
      </w:r>
      <w:r w:rsidRPr="00A85AA1">
        <w:t xml:space="preserve"> E</w:t>
      </w:r>
      <w:r w:rsidR="005E0F3C">
        <w:t>.</w:t>
      </w:r>
      <w:r w:rsidRPr="00A85AA1">
        <w:t>, Dziedzic</w:t>
      </w:r>
      <w:r w:rsidR="005E0F3C">
        <w:t>,</w:t>
      </w:r>
      <w:r w:rsidRPr="00A85AA1">
        <w:t xml:space="preserve"> K. </w:t>
      </w:r>
      <w:r w:rsidR="005E0F3C">
        <w:t xml:space="preserve">(2007) </w:t>
      </w:r>
      <w:r w:rsidRPr="00A85AA1">
        <w:t>The Clinical Assessment Study of the Hand (CAS-HA): a prospective study of musculoskeletal hand problems in the general population.</w:t>
      </w:r>
      <w:r w:rsidRPr="00A85AA1">
        <w:rPr>
          <w:rStyle w:val="jrnl"/>
          <w:rFonts w:cs="Arial"/>
        </w:rPr>
        <w:t xml:space="preserve"> BMC Musculoskelet</w:t>
      </w:r>
      <w:r w:rsidR="005E0F3C">
        <w:rPr>
          <w:rStyle w:val="jrnl"/>
          <w:rFonts w:cs="Arial"/>
        </w:rPr>
        <w:t>al</w:t>
      </w:r>
      <w:r w:rsidRPr="00A85AA1">
        <w:rPr>
          <w:rStyle w:val="jrnl"/>
          <w:rFonts w:cs="Arial"/>
        </w:rPr>
        <w:t xml:space="preserve"> Disord</w:t>
      </w:r>
      <w:r w:rsidR="005E0F3C">
        <w:rPr>
          <w:rStyle w:val="jrnl"/>
          <w:rFonts w:cs="Arial"/>
        </w:rPr>
        <w:t>ers</w:t>
      </w:r>
      <w:r w:rsidR="005E0F3C">
        <w:t xml:space="preserve">, 8, </w:t>
      </w:r>
      <w:r w:rsidRPr="00A85AA1">
        <w:t>85.</w:t>
      </w:r>
      <w:r w:rsidR="00074B04" w:rsidRPr="00A85AA1">
        <w:t xml:space="preserve"> </w:t>
      </w:r>
      <w:r w:rsidR="008741C2">
        <w:rPr>
          <w:rFonts w:cs="Arial"/>
        </w:rPr>
        <w:t>doi</w:t>
      </w:r>
      <w:r w:rsidR="00074B04" w:rsidRPr="00A85AA1">
        <w:rPr>
          <w:rFonts w:cs="Arial"/>
        </w:rPr>
        <w:t>: 10.1186/1471-2474-8-85</w:t>
      </w:r>
    </w:p>
    <w:p w14:paraId="12830DC1" w14:textId="40C01FD9" w:rsidR="00CD1D7D" w:rsidRPr="00A85AA1" w:rsidRDefault="00CD1D7D" w:rsidP="00A85AA1">
      <w:pPr>
        <w:spacing w:after="240"/>
      </w:pPr>
    </w:p>
    <w:p w14:paraId="74C89C07" w14:textId="35CEFF51" w:rsidR="00F4028B" w:rsidRDefault="00F4028B" w:rsidP="00A85AA1">
      <w:pPr>
        <w:spacing w:after="240"/>
      </w:pPr>
      <w:r w:rsidRPr="00A85AA1">
        <w:t>Nicholls</w:t>
      </w:r>
      <w:r w:rsidR="005E0F3C">
        <w:t>,</w:t>
      </w:r>
      <w:r w:rsidRPr="00A85AA1">
        <w:t xml:space="preserve"> E. </w:t>
      </w:r>
      <w:r w:rsidR="005E0F3C">
        <w:t xml:space="preserve">(2016) </w:t>
      </w:r>
      <w:r w:rsidRPr="00A85AA1">
        <w:t>Severity and progression of hand pain and functional difficulty: a prospective cohort study in community-dwelling older adults with hand pain. Doctoral thesis: Keele Univers</w:t>
      </w:r>
      <w:r w:rsidR="00843C73">
        <w:t>ity, December 2016. Retrieved from</w:t>
      </w:r>
      <w:r w:rsidRPr="00A85AA1">
        <w:t xml:space="preserve">: </w:t>
      </w:r>
      <w:r w:rsidRPr="008741C2">
        <w:rPr>
          <w:rStyle w:val="Hyperlink"/>
          <w:color w:val="auto"/>
        </w:rPr>
        <w:t>http://eprints.keele.ac.uk/2557/1/NichollsPhD2016.pdf</w:t>
      </w:r>
      <w:r w:rsidRPr="00A85AA1">
        <w:t>.</w:t>
      </w:r>
    </w:p>
    <w:p w14:paraId="02373313" w14:textId="77777777" w:rsidR="00A85AA1" w:rsidRPr="00A85AA1" w:rsidRDefault="00A85AA1" w:rsidP="00A85AA1">
      <w:pPr>
        <w:spacing w:after="240"/>
      </w:pPr>
    </w:p>
    <w:p w14:paraId="4D9FF8DC" w14:textId="588574A9" w:rsidR="0037189E" w:rsidRPr="00A85AA1" w:rsidRDefault="00175A7D" w:rsidP="00A85AA1">
      <w:pPr>
        <w:shd w:val="clear" w:color="auto" w:fill="FFFFFF"/>
        <w:rPr>
          <w:rFonts w:cs="Arial"/>
        </w:rPr>
      </w:pPr>
      <w:r w:rsidRPr="00A85AA1">
        <w:rPr>
          <w:bCs/>
        </w:rPr>
        <w:t>Peat</w:t>
      </w:r>
      <w:r w:rsidR="00843C73">
        <w:rPr>
          <w:bCs/>
        </w:rPr>
        <w:t>,</w:t>
      </w:r>
      <w:r w:rsidRPr="00A85AA1">
        <w:rPr>
          <w:bCs/>
        </w:rPr>
        <w:t xml:space="preserve"> G</w:t>
      </w:r>
      <w:r w:rsidR="00843C73">
        <w:rPr>
          <w:bCs/>
        </w:rPr>
        <w:t>.</w:t>
      </w:r>
      <w:r w:rsidRPr="00A85AA1">
        <w:t>, Thomas</w:t>
      </w:r>
      <w:r w:rsidR="00843C73">
        <w:t>,</w:t>
      </w:r>
      <w:r w:rsidRPr="00A85AA1">
        <w:t xml:space="preserve"> E</w:t>
      </w:r>
      <w:r w:rsidR="00843C73">
        <w:t>.</w:t>
      </w:r>
      <w:r w:rsidRPr="00A85AA1">
        <w:t>,</w:t>
      </w:r>
      <w:r w:rsidRPr="00A85AA1">
        <w:rPr>
          <w:rStyle w:val="apple-converted-space"/>
          <w:rFonts w:cs="Arial"/>
        </w:rPr>
        <w:t> </w:t>
      </w:r>
      <w:r w:rsidRPr="00A85AA1">
        <w:rPr>
          <w:bCs/>
        </w:rPr>
        <w:t>Handy</w:t>
      </w:r>
      <w:r w:rsidR="00843C73">
        <w:rPr>
          <w:bCs/>
        </w:rPr>
        <w:t>,</w:t>
      </w:r>
      <w:r w:rsidRPr="00A85AA1">
        <w:rPr>
          <w:bCs/>
        </w:rPr>
        <w:t xml:space="preserve"> J</w:t>
      </w:r>
      <w:r w:rsidR="00843C73">
        <w:rPr>
          <w:bCs/>
        </w:rPr>
        <w:t>.</w:t>
      </w:r>
      <w:r w:rsidRPr="00A85AA1">
        <w:t>, Wood</w:t>
      </w:r>
      <w:r w:rsidR="00843C73">
        <w:t>,</w:t>
      </w:r>
      <w:r w:rsidRPr="00A85AA1">
        <w:t xml:space="preserve"> L</w:t>
      </w:r>
      <w:r w:rsidR="00843C73">
        <w:t>.</w:t>
      </w:r>
      <w:r w:rsidRPr="00A85AA1">
        <w:t>, Dziedzic</w:t>
      </w:r>
      <w:r w:rsidR="00843C73">
        <w:t>,</w:t>
      </w:r>
      <w:r w:rsidRPr="00A85AA1">
        <w:t xml:space="preserve"> K</w:t>
      </w:r>
      <w:r w:rsidR="00843C73">
        <w:t>.</w:t>
      </w:r>
      <w:r w:rsidRPr="00A85AA1">
        <w:t>, Myers</w:t>
      </w:r>
      <w:r w:rsidR="00843C73">
        <w:t>,</w:t>
      </w:r>
      <w:r w:rsidRPr="00A85AA1">
        <w:t xml:space="preserve"> H</w:t>
      </w:r>
      <w:r w:rsidR="00843C73">
        <w:t>.</w:t>
      </w:r>
      <w:r w:rsidRPr="00A85AA1">
        <w:t>, Wilkie</w:t>
      </w:r>
      <w:r w:rsidR="00843C73">
        <w:t>,</w:t>
      </w:r>
      <w:r w:rsidRPr="00A85AA1">
        <w:t xml:space="preserve"> R</w:t>
      </w:r>
      <w:r w:rsidR="00843C73">
        <w:t>.</w:t>
      </w:r>
      <w:r w:rsidRPr="00A85AA1">
        <w:t>, Duncan</w:t>
      </w:r>
      <w:r w:rsidR="00843C73">
        <w:t>,</w:t>
      </w:r>
      <w:r w:rsidRPr="00A85AA1">
        <w:t xml:space="preserve"> R</w:t>
      </w:r>
      <w:r w:rsidR="00843C73">
        <w:t>.</w:t>
      </w:r>
      <w:r w:rsidRPr="00A85AA1">
        <w:t>, Hay</w:t>
      </w:r>
      <w:r w:rsidR="00843C73">
        <w:t>,</w:t>
      </w:r>
      <w:r w:rsidRPr="00A85AA1">
        <w:t xml:space="preserve"> E</w:t>
      </w:r>
      <w:r w:rsidR="00843C73">
        <w:t>.</w:t>
      </w:r>
      <w:r w:rsidRPr="00A85AA1">
        <w:t>, Hill</w:t>
      </w:r>
      <w:r w:rsidR="00843C73">
        <w:t>,</w:t>
      </w:r>
      <w:r w:rsidRPr="00A85AA1">
        <w:t xml:space="preserve"> J</w:t>
      </w:r>
      <w:r w:rsidR="00843C73">
        <w:t>.</w:t>
      </w:r>
      <w:r w:rsidRPr="00A85AA1">
        <w:t>, Croft</w:t>
      </w:r>
      <w:r w:rsidR="00843C73">
        <w:t>,</w:t>
      </w:r>
      <w:r w:rsidRPr="00A85AA1">
        <w:t xml:space="preserve"> P. </w:t>
      </w:r>
      <w:r w:rsidR="00843C73">
        <w:t xml:space="preserve">(2004) </w:t>
      </w:r>
      <w:r w:rsidRPr="00A85AA1">
        <w:t>The Knee Clinical Assessment Study--CAS(K). A prospective study of knee pain and knee osteoarthritis in the general population.</w:t>
      </w:r>
      <w:r w:rsidRPr="00A85AA1">
        <w:rPr>
          <w:rStyle w:val="jrnl"/>
          <w:rFonts w:cs="Arial"/>
        </w:rPr>
        <w:t xml:space="preserve"> BMC Musculoskelet</w:t>
      </w:r>
      <w:r w:rsidR="00843C73">
        <w:rPr>
          <w:rStyle w:val="jrnl"/>
          <w:rFonts w:cs="Arial"/>
        </w:rPr>
        <w:t>al</w:t>
      </w:r>
      <w:r w:rsidRPr="00A85AA1">
        <w:rPr>
          <w:rStyle w:val="jrnl"/>
          <w:rFonts w:cs="Arial"/>
        </w:rPr>
        <w:t xml:space="preserve"> Disord</w:t>
      </w:r>
      <w:r w:rsidR="00843C73">
        <w:t xml:space="preserve">ers, 5, </w:t>
      </w:r>
      <w:r w:rsidRPr="00A85AA1">
        <w:t>4.</w:t>
      </w:r>
      <w:r w:rsidR="0037189E" w:rsidRPr="00A85AA1">
        <w:t xml:space="preserve"> </w:t>
      </w:r>
      <w:r w:rsidR="008741C2">
        <w:rPr>
          <w:rFonts w:cs="Arial"/>
        </w:rPr>
        <w:t>doi</w:t>
      </w:r>
      <w:r w:rsidR="0037189E" w:rsidRPr="00A85AA1">
        <w:rPr>
          <w:rFonts w:cs="Arial"/>
        </w:rPr>
        <w:t>: 10.1186/1471-2474-7-30</w:t>
      </w:r>
    </w:p>
    <w:p w14:paraId="5935D452" w14:textId="7835F889" w:rsidR="00260FA6" w:rsidRPr="00A85AA1" w:rsidRDefault="00260FA6" w:rsidP="00A85AA1">
      <w:pPr>
        <w:spacing w:after="240"/>
      </w:pPr>
    </w:p>
    <w:p w14:paraId="7BC1435D" w14:textId="506D586E" w:rsidR="00C53051" w:rsidRPr="00A85AA1" w:rsidRDefault="00260FA6" w:rsidP="00A85AA1">
      <w:pPr>
        <w:shd w:val="clear" w:color="auto" w:fill="FFFFFF"/>
        <w:rPr>
          <w:rFonts w:cs="Arial"/>
        </w:rPr>
      </w:pPr>
      <w:r w:rsidRPr="00A85AA1">
        <w:rPr>
          <w:rFonts w:cs="Arial"/>
          <w:bCs/>
        </w:rPr>
        <w:t>Peat</w:t>
      </w:r>
      <w:r w:rsidR="00EF75F3">
        <w:rPr>
          <w:rFonts w:cs="Arial"/>
          <w:bCs/>
        </w:rPr>
        <w:t>,</w:t>
      </w:r>
      <w:r w:rsidRPr="00A85AA1">
        <w:rPr>
          <w:rFonts w:cs="Arial"/>
          <w:bCs/>
        </w:rPr>
        <w:t xml:space="preserve"> G</w:t>
      </w:r>
      <w:r w:rsidR="00EF75F3">
        <w:rPr>
          <w:rFonts w:cs="Arial"/>
          <w:bCs/>
        </w:rPr>
        <w:t>.</w:t>
      </w:r>
      <w:r w:rsidRPr="00A85AA1">
        <w:rPr>
          <w:rFonts w:cs="Arial"/>
        </w:rPr>
        <w:t>, Thomas</w:t>
      </w:r>
      <w:r w:rsidR="00EF75F3">
        <w:rPr>
          <w:rFonts w:cs="Arial"/>
        </w:rPr>
        <w:t>,</w:t>
      </w:r>
      <w:r w:rsidRPr="00A85AA1">
        <w:rPr>
          <w:rFonts w:cs="Arial"/>
        </w:rPr>
        <w:t xml:space="preserve"> E</w:t>
      </w:r>
      <w:r w:rsidR="00EF75F3">
        <w:rPr>
          <w:rFonts w:cs="Arial"/>
        </w:rPr>
        <w:t>.</w:t>
      </w:r>
      <w:r w:rsidRPr="00A85AA1">
        <w:rPr>
          <w:rFonts w:cs="Arial"/>
        </w:rPr>
        <w:t>, Handy</w:t>
      </w:r>
      <w:r w:rsidR="00EF75F3">
        <w:rPr>
          <w:rFonts w:cs="Arial"/>
        </w:rPr>
        <w:t>,</w:t>
      </w:r>
      <w:r w:rsidRPr="00A85AA1">
        <w:rPr>
          <w:rFonts w:cs="Arial"/>
        </w:rPr>
        <w:t xml:space="preserve"> J</w:t>
      </w:r>
      <w:r w:rsidR="00EF75F3">
        <w:rPr>
          <w:rFonts w:cs="Arial"/>
        </w:rPr>
        <w:t>.</w:t>
      </w:r>
      <w:r w:rsidRPr="00A85AA1">
        <w:rPr>
          <w:rFonts w:cs="Arial"/>
        </w:rPr>
        <w:t>, Wood</w:t>
      </w:r>
      <w:r w:rsidR="00EF75F3">
        <w:rPr>
          <w:rFonts w:cs="Arial"/>
        </w:rPr>
        <w:t>,</w:t>
      </w:r>
      <w:r w:rsidRPr="00A85AA1">
        <w:rPr>
          <w:rFonts w:cs="Arial"/>
        </w:rPr>
        <w:t xml:space="preserve"> L</w:t>
      </w:r>
      <w:r w:rsidR="00EF75F3">
        <w:rPr>
          <w:rFonts w:cs="Arial"/>
        </w:rPr>
        <w:t>.</w:t>
      </w:r>
      <w:r w:rsidRPr="00A85AA1">
        <w:rPr>
          <w:rFonts w:cs="Arial"/>
        </w:rPr>
        <w:t>, Dziedzic</w:t>
      </w:r>
      <w:r w:rsidR="00EF75F3">
        <w:rPr>
          <w:rFonts w:cs="Arial"/>
        </w:rPr>
        <w:t>,</w:t>
      </w:r>
      <w:r w:rsidRPr="00A85AA1">
        <w:rPr>
          <w:rFonts w:cs="Arial"/>
        </w:rPr>
        <w:t xml:space="preserve"> K</w:t>
      </w:r>
      <w:r w:rsidR="00EF75F3">
        <w:rPr>
          <w:rFonts w:cs="Arial"/>
        </w:rPr>
        <w:t>.</w:t>
      </w:r>
      <w:r w:rsidRPr="00A85AA1">
        <w:rPr>
          <w:rFonts w:cs="Arial"/>
        </w:rPr>
        <w:t>, Myers</w:t>
      </w:r>
      <w:r w:rsidR="00EF75F3">
        <w:rPr>
          <w:rFonts w:cs="Arial"/>
        </w:rPr>
        <w:t>,</w:t>
      </w:r>
      <w:r w:rsidRPr="00A85AA1">
        <w:rPr>
          <w:rFonts w:cs="Arial"/>
        </w:rPr>
        <w:t xml:space="preserve"> H</w:t>
      </w:r>
      <w:r w:rsidR="00EF75F3">
        <w:rPr>
          <w:rFonts w:cs="Arial"/>
        </w:rPr>
        <w:t>.</w:t>
      </w:r>
      <w:r w:rsidRPr="00A85AA1">
        <w:rPr>
          <w:rFonts w:cs="Arial"/>
        </w:rPr>
        <w:t>, Wilkie</w:t>
      </w:r>
      <w:r w:rsidR="00EF75F3">
        <w:rPr>
          <w:rFonts w:cs="Arial"/>
        </w:rPr>
        <w:t>,</w:t>
      </w:r>
      <w:r w:rsidRPr="00A85AA1">
        <w:rPr>
          <w:rFonts w:cs="Arial"/>
        </w:rPr>
        <w:t xml:space="preserve"> R</w:t>
      </w:r>
      <w:r w:rsidR="00EF75F3">
        <w:rPr>
          <w:rFonts w:cs="Arial"/>
        </w:rPr>
        <w:t>.</w:t>
      </w:r>
      <w:r w:rsidRPr="00A85AA1">
        <w:rPr>
          <w:rFonts w:cs="Arial"/>
        </w:rPr>
        <w:t>, Duncan</w:t>
      </w:r>
      <w:r w:rsidR="00EF75F3">
        <w:rPr>
          <w:rFonts w:cs="Arial"/>
        </w:rPr>
        <w:t>,</w:t>
      </w:r>
      <w:r w:rsidRPr="00A85AA1">
        <w:rPr>
          <w:rFonts w:cs="Arial"/>
        </w:rPr>
        <w:t xml:space="preserve"> R</w:t>
      </w:r>
      <w:r w:rsidR="00EF75F3">
        <w:rPr>
          <w:rFonts w:cs="Arial"/>
        </w:rPr>
        <w:t>.</w:t>
      </w:r>
      <w:r w:rsidRPr="00A85AA1">
        <w:rPr>
          <w:rFonts w:cs="Arial"/>
        </w:rPr>
        <w:t>, Hay</w:t>
      </w:r>
      <w:r w:rsidR="00EF75F3">
        <w:rPr>
          <w:rFonts w:cs="Arial"/>
        </w:rPr>
        <w:t>,</w:t>
      </w:r>
      <w:r w:rsidRPr="00A85AA1">
        <w:rPr>
          <w:rFonts w:cs="Arial"/>
        </w:rPr>
        <w:t xml:space="preserve"> E</w:t>
      </w:r>
      <w:r w:rsidR="00EF75F3">
        <w:rPr>
          <w:rFonts w:cs="Arial"/>
        </w:rPr>
        <w:t>.</w:t>
      </w:r>
      <w:r w:rsidRPr="00A85AA1">
        <w:rPr>
          <w:rFonts w:cs="Arial"/>
        </w:rPr>
        <w:t>, Hill</w:t>
      </w:r>
      <w:r w:rsidR="00EF75F3">
        <w:rPr>
          <w:rFonts w:cs="Arial"/>
        </w:rPr>
        <w:t>,</w:t>
      </w:r>
      <w:r w:rsidRPr="00A85AA1">
        <w:rPr>
          <w:rFonts w:cs="Arial"/>
        </w:rPr>
        <w:t xml:space="preserve"> J</w:t>
      </w:r>
      <w:r w:rsidR="00EF75F3">
        <w:rPr>
          <w:rFonts w:cs="Arial"/>
        </w:rPr>
        <w:t>.</w:t>
      </w:r>
      <w:r w:rsidRPr="00A85AA1">
        <w:rPr>
          <w:rFonts w:cs="Arial"/>
        </w:rPr>
        <w:t>, </w:t>
      </w:r>
      <w:r w:rsidRPr="00A85AA1">
        <w:rPr>
          <w:rFonts w:cs="Arial"/>
          <w:bCs/>
        </w:rPr>
        <w:t>Lacey</w:t>
      </w:r>
      <w:r w:rsidR="00EF75F3">
        <w:rPr>
          <w:rFonts w:cs="Arial"/>
          <w:bCs/>
        </w:rPr>
        <w:t>,</w:t>
      </w:r>
      <w:r w:rsidRPr="00A85AA1">
        <w:rPr>
          <w:rFonts w:cs="Arial"/>
          <w:bCs/>
        </w:rPr>
        <w:t xml:space="preserve"> R</w:t>
      </w:r>
      <w:r w:rsidR="00EF75F3">
        <w:rPr>
          <w:rFonts w:cs="Arial"/>
          <w:bCs/>
        </w:rPr>
        <w:t>.</w:t>
      </w:r>
      <w:r w:rsidRPr="00A85AA1">
        <w:rPr>
          <w:rFonts w:cs="Arial"/>
        </w:rPr>
        <w:t>, Croft</w:t>
      </w:r>
      <w:r w:rsidR="00EF75F3">
        <w:rPr>
          <w:rFonts w:cs="Arial"/>
        </w:rPr>
        <w:t>,</w:t>
      </w:r>
      <w:r w:rsidRPr="00A85AA1">
        <w:rPr>
          <w:rFonts w:cs="Arial"/>
        </w:rPr>
        <w:t xml:space="preserve"> P. </w:t>
      </w:r>
      <w:r w:rsidR="00EF75F3">
        <w:rPr>
          <w:rFonts w:cs="Arial"/>
        </w:rPr>
        <w:t xml:space="preserve">(2006) </w:t>
      </w:r>
      <w:r w:rsidRPr="00A85AA1">
        <w:rPr>
          <w:rFonts w:cs="Arial"/>
        </w:rPr>
        <w:t>The Knee Clinical Assessment Study</w:t>
      </w:r>
      <w:r w:rsidR="008741C2">
        <w:rPr>
          <w:rFonts w:cs="Arial"/>
        </w:rPr>
        <w:t xml:space="preserve"> </w:t>
      </w:r>
      <w:r w:rsidRPr="00A85AA1">
        <w:rPr>
          <w:rFonts w:cs="Arial"/>
        </w:rPr>
        <w:t>-</w:t>
      </w:r>
      <w:r w:rsidR="008741C2">
        <w:rPr>
          <w:rFonts w:cs="Arial"/>
        </w:rPr>
        <w:t xml:space="preserve"> </w:t>
      </w:r>
      <w:r w:rsidRPr="00A85AA1">
        <w:rPr>
          <w:rFonts w:cs="Arial"/>
        </w:rPr>
        <w:t xml:space="preserve">CAS(K). A prospective study of knee </w:t>
      </w:r>
      <w:r w:rsidRPr="00A85AA1">
        <w:rPr>
          <w:rFonts w:cs="Arial"/>
        </w:rPr>
        <w:lastRenderedPageBreak/>
        <w:t>pain and knee osteoarthritis in the general population: baseline recruitment and retention at 18 months.</w:t>
      </w:r>
      <w:r w:rsidRPr="00A85AA1">
        <w:rPr>
          <w:rStyle w:val="jrnl"/>
          <w:rFonts w:cs="Arial"/>
        </w:rPr>
        <w:t xml:space="preserve"> BMC Musculoskelet</w:t>
      </w:r>
      <w:r w:rsidR="00EF75F3">
        <w:rPr>
          <w:rStyle w:val="jrnl"/>
          <w:rFonts w:cs="Arial"/>
        </w:rPr>
        <w:t>al</w:t>
      </w:r>
      <w:r w:rsidRPr="00A85AA1">
        <w:rPr>
          <w:rStyle w:val="jrnl"/>
          <w:rFonts w:cs="Arial"/>
        </w:rPr>
        <w:t xml:space="preserve"> Disord</w:t>
      </w:r>
      <w:r w:rsidR="00EF75F3">
        <w:rPr>
          <w:rFonts w:cs="Arial"/>
        </w:rPr>
        <w:t xml:space="preserve">ers, 7, </w:t>
      </w:r>
      <w:r w:rsidRPr="00A85AA1">
        <w:rPr>
          <w:rFonts w:cs="Arial"/>
        </w:rPr>
        <w:t>30.</w:t>
      </w:r>
      <w:r w:rsidR="008741C2">
        <w:rPr>
          <w:rFonts w:cs="Arial"/>
        </w:rPr>
        <w:t xml:space="preserve"> doi</w:t>
      </w:r>
      <w:r w:rsidR="00C53051" w:rsidRPr="00A85AA1">
        <w:rPr>
          <w:rFonts w:cs="Arial"/>
        </w:rPr>
        <w:t>: 10.1186/1471-2474-7-30</w:t>
      </w:r>
    </w:p>
    <w:p w14:paraId="169563AE" w14:textId="5973A397" w:rsidR="00260FA6" w:rsidRPr="00A85AA1" w:rsidRDefault="00260FA6" w:rsidP="00A85AA1">
      <w:pPr>
        <w:spacing w:after="240"/>
      </w:pPr>
    </w:p>
    <w:p w14:paraId="25E40D4D" w14:textId="4A729B96" w:rsidR="00864457" w:rsidRDefault="00864457" w:rsidP="00A85AA1">
      <w:pPr>
        <w:spacing w:after="240"/>
        <w:rPr>
          <w:lang w:eastAsia="en-GB"/>
        </w:rPr>
      </w:pPr>
      <w:r w:rsidRPr="00A85AA1">
        <w:rPr>
          <w:lang w:eastAsia="en-GB"/>
        </w:rPr>
        <w:t>Pereira</w:t>
      </w:r>
      <w:r w:rsidR="00EF75F3">
        <w:rPr>
          <w:lang w:eastAsia="en-GB"/>
        </w:rPr>
        <w:t>,</w:t>
      </w:r>
      <w:r w:rsidR="00D15DE8" w:rsidRPr="00A85AA1">
        <w:rPr>
          <w:lang w:eastAsia="en-GB"/>
        </w:rPr>
        <w:t xml:space="preserve"> D</w:t>
      </w:r>
      <w:r w:rsidR="00EF75F3">
        <w:rPr>
          <w:lang w:eastAsia="en-GB"/>
        </w:rPr>
        <w:t>.</w:t>
      </w:r>
      <w:r w:rsidR="00D15DE8" w:rsidRPr="00A85AA1">
        <w:rPr>
          <w:lang w:eastAsia="en-GB"/>
        </w:rPr>
        <w:t>, Peleteiro</w:t>
      </w:r>
      <w:r w:rsidR="00EF75F3">
        <w:rPr>
          <w:lang w:eastAsia="en-GB"/>
        </w:rPr>
        <w:t>,</w:t>
      </w:r>
      <w:r w:rsidR="00D15DE8" w:rsidRPr="00A85AA1">
        <w:rPr>
          <w:lang w:eastAsia="en-GB"/>
        </w:rPr>
        <w:t xml:space="preserve"> B</w:t>
      </w:r>
      <w:r w:rsidR="00EF75F3">
        <w:rPr>
          <w:lang w:eastAsia="en-GB"/>
        </w:rPr>
        <w:t>.</w:t>
      </w:r>
      <w:r w:rsidR="00D15DE8" w:rsidRPr="00A85AA1">
        <w:rPr>
          <w:lang w:eastAsia="en-GB"/>
        </w:rPr>
        <w:t>, Araújo</w:t>
      </w:r>
      <w:r w:rsidR="00EF75F3">
        <w:rPr>
          <w:lang w:eastAsia="en-GB"/>
        </w:rPr>
        <w:t>,</w:t>
      </w:r>
      <w:r w:rsidR="00D15DE8" w:rsidRPr="00A85AA1">
        <w:rPr>
          <w:lang w:eastAsia="en-GB"/>
        </w:rPr>
        <w:t xml:space="preserve"> J</w:t>
      </w:r>
      <w:r w:rsidR="00EF75F3">
        <w:rPr>
          <w:lang w:eastAsia="en-GB"/>
        </w:rPr>
        <w:t>.</w:t>
      </w:r>
      <w:r w:rsidR="00D15DE8" w:rsidRPr="00A85AA1">
        <w:rPr>
          <w:lang w:eastAsia="en-GB"/>
        </w:rPr>
        <w:t>, Branco</w:t>
      </w:r>
      <w:r w:rsidR="00EF75F3">
        <w:rPr>
          <w:lang w:eastAsia="en-GB"/>
        </w:rPr>
        <w:t>,</w:t>
      </w:r>
      <w:r w:rsidR="00D15DE8" w:rsidRPr="00A85AA1">
        <w:rPr>
          <w:lang w:eastAsia="en-GB"/>
        </w:rPr>
        <w:t xml:space="preserve"> J</w:t>
      </w:r>
      <w:r w:rsidR="00EF75F3">
        <w:rPr>
          <w:lang w:eastAsia="en-GB"/>
        </w:rPr>
        <w:t>.</w:t>
      </w:r>
      <w:r w:rsidR="00D15DE8" w:rsidRPr="00A85AA1">
        <w:rPr>
          <w:lang w:eastAsia="en-GB"/>
        </w:rPr>
        <w:t>, Santos</w:t>
      </w:r>
      <w:r w:rsidR="00EF75F3">
        <w:rPr>
          <w:lang w:eastAsia="en-GB"/>
        </w:rPr>
        <w:t>,</w:t>
      </w:r>
      <w:r w:rsidR="00D15DE8" w:rsidRPr="00A85AA1">
        <w:rPr>
          <w:lang w:eastAsia="en-GB"/>
        </w:rPr>
        <w:t xml:space="preserve"> R</w:t>
      </w:r>
      <w:r w:rsidR="00EF75F3">
        <w:rPr>
          <w:lang w:eastAsia="en-GB"/>
        </w:rPr>
        <w:t>.</w:t>
      </w:r>
      <w:r w:rsidR="00D15DE8" w:rsidRPr="00A85AA1">
        <w:rPr>
          <w:lang w:eastAsia="en-GB"/>
        </w:rPr>
        <w:t>A</w:t>
      </w:r>
      <w:r w:rsidR="00EF75F3">
        <w:rPr>
          <w:lang w:eastAsia="en-GB"/>
        </w:rPr>
        <w:t>.</w:t>
      </w:r>
      <w:r w:rsidR="00D15DE8" w:rsidRPr="00A85AA1">
        <w:rPr>
          <w:lang w:eastAsia="en-GB"/>
        </w:rPr>
        <w:t>, Ramos</w:t>
      </w:r>
      <w:r w:rsidR="00EF75F3">
        <w:rPr>
          <w:lang w:eastAsia="en-GB"/>
        </w:rPr>
        <w:t>,</w:t>
      </w:r>
      <w:r w:rsidR="00D15DE8" w:rsidRPr="00A85AA1">
        <w:rPr>
          <w:lang w:eastAsia="en-GB"/>
        </w:rPr>
        <w:t xml:space="preserve"> E. </w:t>
      </w:r>
      <w:r w:rsidR="00EF75F3">
        <w:rPr>
          <w:lang w:eastAsia="en-GB"/>
        </w:rPr>
        <w:t xml:space="preserve">(2011) </w:t>
      </w:r>
      <w:r w:rsidR="00D15DE8" w:rsidRPr="00A85AA1">
        <w:rPr>
          <w:lang w:eastAsia="en-GB"/>
        </w:rPr>
        <w:t xml:space="preserve">The effect of osteoarthritis definition on prevalence and incidence estimates: a systematic review. Osteoarthritis </w:t>
      </w:r>
      <w:r w:rsidR="00EF75F3">
        <w:rPr>
          <w:lang w:eastAsia="en-GB"/>
        </w:rPr>
        <w:t xml:space="preserve">&amp; Cartilage, 19, </w:t>
      </w:r>
      <w:r w:rsidR="00D15DE8" w:rsidRPr="00A85AA1">
        <w:rPr>
          <w:lang w:eastAsia="en-GB"/>
        </w:rPr>
        <w:t xml:space="preserve">1270-1285. </w:t>
      </w:r>
      <w:r w:rsidR="00C53051" w:rsidRPr="00A85AA1">
        <w:rPr>
          <w:rFonts w:cs="Arial"/>
          <w:shd w:val="clear" w:color="auto" w:fill="FFFFFF"/>
        </w:rPr>
        <w:t>doi: 10.1016/j.joca.2011.08.009</w:t>
      </w:r>
      <w:r w:rsidR="00D15DE8" w:rsidRPr="00A85AA1">
        <w:rPr>
          <w:lang w:eastAsia="en-GB"/>
        </w:rPr>
        <w:t xml:space="preserve"> </w:t>
      </w:r>
    </w:p>
    <w:p w14:paraId="284CB2E7" w14:textId="77777777" w:rsidR="00A85AA1" w:rsidRPr="00A85AA1" w:rsidRDefault="00A85AA1" w:rsidP="00A85AA1">
      <w:pPr>
        <w:spacing w:after="240"/>
        <w:rPr>
          <w:lang w:eastAsia="en-GB"/>
        </w:rPr>
      </w:pPr>
    </w:p>
    <w:p w14:paraId="38DF11B9" w14:textId="370912D8" w:rsidR="00CD1D7D" w:rsidRPr="00A85AA1" w:rsidRDefault="00927615" w:rsidP="00A85AA1">
      <w:pPr>
        <w:spacing w:after="240"/>
        <w:rPr>
          <w:lang w:eastAsia="en-GB"/>
        </w:rPr>
      </w:pPr>
      <w:hyperlink r:id="rId23" w:history="1">
        <w:r w:rsidR="00CD1D7D" w:rsidRPr="00A85AA1">
          <w:rPr>
            <w:lang w:eastAsia="en-GB"/>
          </w:rPr>
          <w:t>Reynard</w:t>
        </w:r>
        <w:r w:rsidR="00EF75F3">
          <w:rPr>
            <w:lang w:eastAsia="en-GB"/>
          </w:rPr>
          <w:t>,</w:t>
        </w:r>
        <w:r w:rsidR="00CD1D7D" w:rsidRPr="00A85AA1">
          <w:rPr>
            <w:lang w:eastAsia="en-GB"/>
          </w:rPr>
          <w:t> L</w:t>
        </w:r>
        <w:r w:rsidR="00EF75F3">
          <w:rPr>
            <w:lang w:eastAsia="en-GB"/>
          </w:rPr>
          <w:t>.</w:t>
        </w:r>
        <w:r w:rsidR="00CD1D7D" w:rsidRPr="00A85AA1">
          <w:rPr>
            <w:lang w:eastAsia="en-GB"/>
          </w:rPr>
          <w:t>N</w:t>
        </w:r>
      </w:hyperlink>
      <w:r w:rsidR="00EF75F3">
        <w:rPr>
          <w:lang w:eastAsia="en-GB"/>
        </w:rPr>
        <w:t>.</w:t>
      </w:r>
      <w:r w:rsidR="00CD1D7D" w:rsidRPr="00A85AA1">
        <w:rPr>
          <w:lang w:eastAsia="en-GB"/>
        </w:rPr>
        <w:t>, </w:t>
      </w:r>
      <w:hyperlink r:id="rId24" w:history="1">
        <w:r w:rsidR="00CD1D7D" w:rsidRPr="00A85AA1">
          <w:rPr>
            <w:lang w:eastAsia="en-GB"/>
          </w:rPr>
          <w:t>Loughlin</w:t>
        </w:r>
        <w:r w:rsidR="00EF75F3">
          <w:rPr>
            <w:lang w:eastAsia="en-GB"/>
          </w:rPr>
          <w:t>,</w:t>
        </w:r>
        <w:r w:rsidR="00CD1D7D" w:rsidRPr="00A85AA1">
          <w:rPr>
            <w:lang w:eastAsia="en-GB"/>
          </w:rPr>
          <w:t> J</w:t>
        </w:r>
      </w:hyperlink>
      <w:r w:rsidR="00CD1D7D" w:rsidRPr="00A85AA1">
        <w:rPr>
          <w:lang w:eastAsia="en-GB"/>
        </w:rPr>
        <w:t xml:space="preserve">. </w:t>
      </w:r>
      <w:r w:rsidR="00EF75F3">
        <w:rPr>
          <w:lang w:eastAsia="en-GB"/>
        </w:rPr>
        <w:t xml:space="preserve">(2013) </w:t>
      </w:r>
      <w:r w:rsidR="00CD1D7D" w:rsidRPr="00A85AA1">
        <w:rPr>
          <w:bCs/>
          <w:kern w:val="36"/>
          <w:lang w:eastAsia="en-GB"/>
        </w:rPr>
        <w:t>The genetics and functional analysis of primary osteoarthritis susceptibility.</w:t>
      </w:r>
      <w:r w:rsidR="00CD1D7D" w:rsidRPr="00A85AA1">
        <w:rPr>
          <w:lang w:eastAsia="en-GB"/>
        </w:rPr>
        <w:t xml:space="preserve"> </w:t>
      </w:r>
      <w:hyperlink r:id="rId25" w:tooltip="Expert reviews in molecular medicine." w:history="1">
        <w:r w:rsidR="00CD1D7D" w:rsidRPr="00A85AA1">
          <w:rPr>
            <w:lang w:eastAsia="en-GB"/>
          </w:rPr>
          <w:t>Expert Rev</w:t>
        </w:r>
        <w:r w:rsidR="00EF75F3">
          <w:rPr>
            <w:lang w:eastAsia="en-GB"/>
          </w:rPr>
          <w:t>iews in</w:t>
        </w:r>
        <w:r w:rsidR="00CD1D7D" w:rsidRPr="00A85AA1">
          <w:rPr>
            <w:lang w:eastAsia="en-GB"/>
          </w:rPr>
          <w:t xml:space="preserve"> Mol</w:t>
        </w:r>
        <w:r w:rsidR="00EF75F3">
          <w:rPr>
            <w:lang w:eastAsia="en-GB"/>
          </w:rPr>
          <w:t>ecular</w:t>
        </w:r>
        <w:r w:rsidR="00CD1D7D" w:rsidRPr="00A85AA1">
          <w:rPr>
            <w:lang w:eastAsia="en-GB"/>
          </w:rPr>
          <w:t xml:space="preserve"> Med</w:t>
        </w:r>
        <w:r w:rsidR="00EF75F3">
          <w:rPr>
            <w:lang w:eastAsia="en-GB"/>
          </w:rPr>
          <w:t xml:space="preserve">icine, </w:t>
        </w:r>
      </w:hyperlink>
      <w:r w:rsidR="0020654A">
        <w:rPr>
          <w:lang w:eastAsia="en-GB"/>
        </w:rPr>
        <w:t xml:space="preserve">15, </w:t>
      </w:r>
      <w:r w:rsidR="00CD1D7D" w:rsidRPr="00A85AA1">
        <w:rPr>
          <w:lang w:eastAsia="en-GB"/>
        </w:rPr>
        <w:t>e2.</w:t>
      </w:r>
      <w:r w:rsidR="00C53051" w:rsidRPr="00A85AA1">
        <w:rPr>
          <w:lang w:eastAsia="en-GB"/>
        </w:rPr>
        <w:t xml:space="preserve"> </w:t>
      </w:r>
      <w:r w:rsidR="00C53051" w:rsidRPr="00A85AA1">
        <w:rPr>
          <w:rFonts w:cs="Arial"/>
          <w:shd w:val="clear" w:color="auto" w:fill="FFFFFF"/>
        </w:rPr>
        <w:t>doi: 10.1017/erm.2013.4</w:t>
      </w:r>
    </w:p>
    <w:p w14:paraId="7224AA67" w14:textId="77777777" w:rsidR="0020654A" w:rsidRDefault="0020654A" w:rsidP="00A85AA1">
      <w:pPr>
        <w:spacing w:after="240"/>
        <w:rPr>
          <w:bCs/>
        </w:rPr>
      </w:pPr>
    </w:p>
    <w:p w14:paraId="2178188B" w14:textId="5D39B730" w:rsidR="00A85AA1" w:rsidRDefault="00175A7D" w:rsidP="00A85AA1">
      <w:pPr>
        <w:spacing w:after="240"/>
      </w:pPr>
      <w:r w:rsidRPr="00A85AA1">
        <w:rPr>
          <w:bCs/>
        </w:rPr>
        <w:t>Roddy</w:t>
      </w:r>
      <w:r w:rsidR="0020654A">
        <w:rPr>
          <w:bCs/>
        </w:rPr>
        <w:t>,</w:t>
      </w:r>
      <w:r w:rsidRPr="00A85AA1">
        <w:rPr>
          <w:bCs/>
        </w:rPr>
        <w:t xml:space="preserve"> E</w:t>
      </w:r>
      <w:r w:rsidR="0020654A">
        <w:rPr>
          <w:bCs/>
        </w:rPr>
        <w:t>.</w:t>
      </w:r>
      <w:r w:rsidRPr="00A85AA1">
        <w:t>, Myers</w:t>
      </w:r>
      <w:r w:rsidR="0020654A">
        <w:t>,</w:t>
      </w:r>
      <w:r w:rsidRPr="00A85AA1">
        <w:t xml:space="preserve"> H</w:t>
      </w:r>
      <w:r w:rsidR="0020654A">
        <w:t>.</w:t>
      </w:r>
      <w:r w:rsidRPr="00A85AA1">
        <w:t>, Thomas</w:t>
      </w:r>
      <w:r w:rsidR="0020654A">
        <w:t>,</w:t>
      </w:r>
      <w:r w:rsidRPr="00A85AA1">
        <w:t xml:space="preserve"> M</w:t>
      </w:r>
      <w:r w:rsidR="0020654A">
        <w:t>.</w:t>
      </w:r>
      <w:r w:rsidRPr="00A85AA1">
        <w:t>J</w:t>
      </w:r>
      <w:r w:rsidR="0020654A">
        <w:t>.</w:t>
      </w:r>
      <w:r w:rsidRPr="00A85AA1">
        <w:t>, Marshall</w:t>
      </w:r>
      <w:r w:rsidR="0020654A">
        <w:t>,</w:t>
      </w:r>
      <w:r w:rsidRPr="00A85AA1">
        <w:t xml:space="preserve"> M</w:t>
      </w:r>
      <w:r w:rsidR="0020654A">
        <w:t>.</w:t>
      </w:r>
      <w:r w:rsidRPr="00A85AA1">
        <w:t>, D'Cruz</w:t>
      </w:r>
      <w:r w:rsidR="0020654A">
        <w:t>,</w:t>
      </w:r>
      <w:r w:rsidRPr="00A85AA1">
        <w:t xml:space="preserve"> D</w:t>
      </w:r>
      <w:r w:rsidR="0020654A">
        <w:t>.</w:t>
      </w:r>
      <w:r w:rsidRPr="00A85AA1">
        <w:t>, Menz</w:t>
      </w:r>
      <w:r w:rsidR="0020654A">
        <w:t>,</w:t>
      </w:r>
      <w:r w:rsidRPr="00A85AA1">
        <w:t xml:space="preserve"> H</w:t>
      </w:r>
      <w:r w:rsidR="0020654A">
        <w:t>.</w:t>
      </w:r>
      <w:r w:rsidRPr="00A85AA1">
        <w:t>B</w:t>
      </w:r>
      <w:r w:rsidR="0020654A">
        <w:t>.</w:t>
      </w:r>
      <w:r w:rsidRPr="00A85AA1">
        <w:t>, Belcher</w:t>
      </w:r>
      <w:r w:rsidR="0020654A">
        <w:t>,</w:t>
      </w:r>
      <w:r w:rsidRPr="00A85AA1">
        <w:t xml:space="preserve"> J</w:t>
      </w:r>
      <w:r w:rsidR="0020654A">
        <w:t>.</w:t>
      </w:r>
      <w:r w:rsidRPr="00A85AA1">
        <w:t>, Muller</w:t>
      </w:r>
      <w:r w:rsidR="0020654A">
        <w:t>,</w:t>
      </w:r>
      <w:r w:rsidRPr="00A85AA1">
        <w:t xml:space="preserve"> S</w:t>
      </w:r>
      <w:r w:rsidR="0020654A">
        <w:t>.</w:t>
      </w:r>
      <w:r w:rsidRPr="00A85AA1">
        <w:t>,</w:t>
      </w:r>
      <w:r w:rsidRPr="00A85AA1">
        <w:rPr>
          <w:rStyle w:val="apple-converted-space"/>
          <w:rFonts w:cs="Arial"/>
        </w:rPr>
        <w:t> </w:t>
      </w:r>
      <w:r w:rsidRPr="00A85AA1">
        <w:rPr>
          <w:bCs/>
        </w:rPr>
        <w:t>Peat</w:t>
      </w:r>
      <w:r w:rsidR="0020654A">
        <w:rPr>
          <w:bCs/>
        </w:rPr>
        <w:t>,</w:t>
      </w:r>
      <w:r w:rsidRPr="00A85AA1">
        <w:rPr>
          <w:bCs/>
        </w:rPr>
        <w:t xml:space="preserve"> G</w:t>
      </w:r>
      <w:r w:rsidRPr="00A85AA1">
        <w:t xml:space="preserve">. </w:t>
      </w:r>
      <w:r w:rsidR="0020654A">
        <w:t xml:space="preserve">(2011) </w:t>
      </w:r>
      <w:r w:rsidRPr="00A85AA1">
        <w:t>The clinical assessment study of the foot (CASF): study protocol for a prospective observational study of foot pain and foot osteoarthritis in the general population.</w:t>
      </w:r>
      <w:r w:rsidRPr="00A85AA1">
        <w:rPr>
          <w:rStyle w:val="jrnl"/>
          <w:rFonts w:cs="Arial"/>
        </w:rPr>
        <w:t xml:space="preserve"> J</w:t>
      </w:r>
      <w:r w:rsidR="0020654A">
        <w:rPr>
          <w:rStyle w:val="jrnl"/>
          <w:rFonts w:cs="Arial"/>
        </w:rPr>
        <w:t>ournal of</w:t>
      </w:r>
      <w:r w:rsidRPr="00A85AA1">
        <w:rPr>
          <w:rStyle w:val="jrnl"/>
          <w:rFonts w:cs="Arial"/>
        </w:rPr>
        <w:t xml:space="preserve"> Foot </w:t>
      </w:r>
      <w:r w:rsidR="0020654A">
        <w:rPr>
          <w:rStyle w:val="jrnl"/>
          <w:rFonts w:cs="Arial"/>
        </w:rPr>
        <w:t xml:space="preserve">&amp; </w:t>
      </w:r>
      <w:r w:rsidRPr="00A85AA1">
        <w:rPr>
          <w:rStyle w:val="jrnl"/>
          <w:rFonts w:cs="Arial"/>
        </w:rPr>
        <w:t>Ankle Res</w:t>
      </w:r>
      <w:r w:rsidR="0020654A">
        <w:t xml:space="preserve">earch, 4, </w:t>
      </w:r>
      <w:r w:rsidRPr="00A85AA1">
        <w:t>22.</w:t>
      </w:r>
      <w:r w:rsidR="00C60D75" w:rsidRPr="00A85AA1">
        <w:t xml:space="preserve"> </w:t>
      </w:r>
      <w:r w:rsidR="00C60D75" w:rsidRPr="00A85AA1">
        <w:rPr>
          <w:rFonts w:cs="Arial"/>
          <w:shd w:val="clear" w:color="auto" w:fill="FFFFFF"/>
        </w:rPr>
        <w:t>doi: 10.1186/1757-1146-4-22</w:t>
      </w:r>
    </w:p>
    <w:p w14:paraId="62F571B1" w14:textId="77777777" w:rsidR="00A85AA1" w:rsidRPr="00A85AA1" w:rsidRDefault="00A85AA1" w:rsidP="00A85AA1">
      <w:pPr>
        <w:spacing w:after="240"/>
      </w:pPr>
    </w:p>
    <w:p w14:paraId="20ED4D6C" w14:textId="65658584" w:rsidR="001402B8" w:rsidRPr="00A85AA1" w:rsidRDefault="00175A7D" w:rsidP="00A85AA1">
      <w:pPr>
        <w:spacing w:after="240"/>
      </w:pPr>
      <w:r w:rsidRPr="00A85AA1">
        <w:rPr>
          <w:bCs/>
        </w:rPr>
        <w:t>Roddy</w:t>
      </w:r>
      <w:r w:rsidR="0020654A">
        <w:rPr>
          <w:bCs/>
        </w:rPr>
        <w:t>,</w:t>
      </w:r>
      <w:r w:rsidRPr="00A85AA1">
        <w:rPr>
          <w:bCs/>
        </w:rPr>
        <w:t xml:space="preserve"> E</w:t>
      </w:r>
      <w:r w:rsidR="0020654A">
        <w:rPr>
          <w:bCs/>
        </w:rPr>
        <w:t>.</w:t>
      </w:r>
      <w:r w:rsidRPr="00A85AA1">
        <w:t>, Thomas</w:t>
      </w:r>
      <w:r w:rsidR="0020654A">
        <w:t>,</w:t>
      </w:r>
      <w:r w:rsidRPr="00A85AA1">
        <w:t xml:space="preserve"> M</w:t>
      </w:r>
      <w:r w:rsidR="0020654A">
        <w:t>.</w:t>
      </w:r>
      <w:r w:rsidRPr="00A85AA1">
        <w:t>J</w:t>
      </w:r>
      <w:r w:rsidR="0020654A">
        <w:t>.</w:t>
      </w:r>
      <w:r w:rsidRPr="00A85AA1">
        <w:t>, Marshall</w:t>
      </w:r>
      <w:r w:rsidR="0020654A">
        <w:t>,</w:t>
      </w:r>
      <w:r w:rsidRPr="00A85AA1">
        <w:t xml:space="preserve"> M</w:t>
      </w:r>
      <w:r w:rsidR="0020654A">
        <w:t>.</w:t>
      </w:r>
      <w:r w:rsidRPr="00A85AA1">
        <w:t>, Rathod</w:t>
      </w:r>
      <w:r w:rsidR="0020654A">
        <w:t>,</w:t>
      </w:r>
      <w:r w:rsidRPr="00A85AA1">
        <w:t xml:space="preserve"> T</w:t>
      </w:r>
      <w:r w:rsidR="0020654A">
        <w:t>.</w:t>
      </w:r>
      <w:r w:rsidRPr="00A85AA1">
        <w:t>, Myers</w:t>
      </w:r>
      <w:r w:rsidR="0020654A">
        <w:t>,</w:t>
      </w:r>
      <w:r w:rsidRPr="00A85AA1">
        <w:t xml:space="preserve"> H</w:t>
      </w:r>
      <w:r w:rsidR="0020654A">
        <w:t>.</w:t>
      </w:r>
      <w:r w:rsidRPr="00A85AA1">
        <w:t>, Menz</w:t>
      </w:r>
      <w:r w:rsidR="0020654A">
        <w:t>,</w:t>
      </w:r>
      <w:r w:rsidRPr="00A85AA1">
        <w:t xml:space="preserve"> H</w:t>
      </w:r>
      <w:r w:rsidR="0020654A">
        <w:t>.</w:t>
      </w:r>
      <w:r w:rsidRPr="00A85AA1">
        <w:t>B</w:t>
      </w:r>
      <w:r w:rsidR="0020654A">
        <w:t>.</w:t>
      </w:r>
      <w:r w:rsidRPr="00A85AA1">
        <w:t>, Thomas</w:t>
      </w:r>
      <w:r w:rsidR="0020654A">
        <w:t>,</w:t>
      </w:r>
      <w:r w:rsidRPr="00A85AA1">
        <w:t xml:space="preserve"> E</w:t>
      </w:r>
      <w:r w:rsidR="0020654A">
        <w:t>.</w:t>
      </w:r>
      <w:r w:rsidRPr="00A85AA1">
        <w:t>,</w:t>
      </w:r>
      <w:r w:rsidRPr="00A85AA1">
        <w:rPr>
          <w:rStyle w:val="apple-converted-space"/>
          <w:rFonts w:cs="Arial"/>
        </w:rPr>
        <w:t> </w:t>
      </w:r>
      <w:r w:rsidRPr="00A85AA1">
        <w:rPr>
          <w:bCs/>
        </w:rPr>
        <w:t>Peat</w:t>
      </w:r>
      <w:r w:rsidR="0020654A">
        <w:rPr>
          <w:bCs/>
        </w:rPr>
        <w:t>,</w:t>
      </w:r>
      <w:r w:rsidRPr="00A85AA1">
        <w:rPr>
          <w:bCs/>
        </w:rPr>
        <w:t xml:space="preserve"> G</w:t>
      </w:r>
      <w:r w:rsidRPr="00A85AA1">
        <w:t xml:space="preserve">. </w:t>
      </w:r>
      <w:r w:rsidR="0020654A">
        <w:t xml:space="preserve">(2015) </w:t>
      </w:r>
      <w:r w:rsidRPr="00A85AA1">
        <w:t>The population prevalence of symptomatic radiographic foot osteoarthritis in community-dwelling older adults: cross-sectional findings from the Clinical Assessment Study of the Foot.</w:t>
      </w:r>
      <w:r w:rsidRPr="00A85AA1">
        <w:rPr>
          <w:rStyle w:val="jrnl"/>
          <w:rFonts w:cs="Arial"/>
        </w:rPr>
        <w:t xml:space="preserve"> Ann</w:t>
      </w:r>
      <w:r w:rsidR="0020654A">
        <w:rPr>
          <w:rStyle w:val="jrnl"/>
          <w:rFonts w:cs="Arial"/>
        </w:rPr>
        <w:t>als of the</w:t>
      </w:r>
      <w:r w:rsidRPr="00A85AA1">
        <w:rPr>
          <w:rStyle w:val="jrnl"/>
          <w:rFonts w:cs="Arial"/>
        </w:rPr>
        <w:t xml:space="preserve"> Rheum</w:t>
      </w:r>
      <w:r w:rsidR="0020654A">
        <w:rPr>
          <w:rStyle w:val="jrnl"/>
          <w:rFonts w:cs="Arial"/>
        </w:rPr>
        <w:t>atic</w:t>
      </w:r>
      <w:r w:rsidRPr="00A85AA1">
        <w:rPr>
          <w:rStyle w:val="jrnl"/>
          <w:rFonts w:cs="Arial"/>
        </w:rPr>
        <w:t xml:space="preserve"> Dis</w:t>
      </w:r>
      <w:r w:rsidR="0020654A">
        <w:rPr>
          <w:rStyle w:val="jrnl"/>
          <w:rFonts w:cs="Arial"/>
        </w:rPr>
        <w:t>eases</w:t>
      </w:r>
      <w:r w:rsidR="0020654A">
        <w:t xml:space="preserve">, </w:t>
      </w:r>
      <w:r w:rsidR="0020654A">
        <w:rPr>
          <w:rFonts w:cs="Arial"/>
          <w:shd w:val="clear" w:color="auto" w:fill="FFFFFF"/>
        </w:rPr>
        <w:t xml:space="preserve">74, </w:t>
      </w:r>
      <w:r w:rsidR="003A704E" w:rsidRPr="00A85AA1">
        <w:rPr>
          <w:rFonts w:cs="Arial"/>
          <w:shd w:val="clear" w:color="auto" w:fill="FFFFFF"/>
        </w:rPr>
        <w:t>156-63</w:t>
      </w:r>
      <w:r w:rsidR="0021133A" w:rsidRPr="00A85AA1">
        <w:t>.</w:t>
      </w:r>
      <w:r w:rsidR="00C60D75" w:rsidRPr="00A85AA1">
        <w:t xml:space="preserve"> </w:t>
      </w:r>
      <w:r w:rsidR="00C60D75" w:rsidRPr="00A85AA1">
        <w:rPr>
          <w:rFonts w:cs="Arial"/>
          <w:shd w:val="clear" w:color="auto" w:fill="FFFFFF"/>
        </w:rPr>
        <w:t>doi: 10.1136/annrheumdis-2013-203804</w:t>
      </w:r>
    </w:p>
    <w:p w14:paraId="7D17881C" w14:textId="77777777" w:rsidR="00A85AA1" w:rsidRDefault="00A85AA1" w:rsidP="00A85AA1">
      <w:pPr>
        <w:shd w:val="clear" w:color="auto" w:fill="FFFFFF"/>
        <w:spacing w:after="240"/>
        <w:rPr>
          <w:rFonts w:eastAsia="Times New Roman" w:cs="Times New Roman"/>
          <w:lang w:eastAsia="en-GB"/>
        </w:rPr>
      </w:pPr>
    </w:p>
    <w:p w14:paraId="03C2845F" w14:textId="3D8E2CC5" w:rsidR="000979B3" w:rsidRPr="00A85AA1" w:rsidRDefault="001402B8" w:rsidP="00A85AA1">
      <w:pPr>
        <w:shd w:val="clear" w:color="auto" w:fill="FFFFFF"/>
        <w:spacing w:after="240"/>
      </w:pPr>
      <w:r w:rsidRPr="00A85AA1">
        <w:rPr>
          <w:rFonts w:eastAsia="Times New Roman" w:cs="Times New Roman"/>
          <w:lang w:eastAsia="en-GB"/>
        </w:rPr>
        <w:t>Rubin</w:t>
      </w:r>
      <w:r w:rsidR="00BF1B9A">
        <w:rPr>
          <w:rFonts w:eastAsia="Times New Roman" w:cs="Times New Roman"/>
          <w:lang w:eastAsia="en-GB"/>
        </w:rPr>
        <w:t>,</w:t>
      </w:r>
      <w:r w:rsidRPr="00A85AA1">
        <w:rPr>
          <w:rFonts w:eastAsia="Times New Roman" w:cs="Times New Roman"/>
          <w:lang w:eastAsia="en-GB"/>
        </w:rPr>
        <w:t> D</w:t>
      </w:r>
      <w:r w:rsidR="00BF1B9A">
        <w:rPr>
          <w:rFonts w:eastAsia="Times New Roman" w:cs="Times New Roman"/>
          <w:lang w:eastAsia="en-GB"/>
        </w:rPr>
        <w:t>.</w:t>
      </w:r>
      <w:r w:rsidRPr="00A85AA1">
        <w:rPr>
          <w:rFonts w:eastAsia="Times New Roman" w:cs="Times New Roman"/>
          <w:lang w:eastAsia="en-GB"/>
        </w:rPr>
        <w:t xml:space="preserve">B. </w:t>
      </w:r>
      <w:r w:rsidR="00BF1B9A">
        <w:rPr>
          <w:rFonts w:eastAsia="Times New Roman" w:cs="Times New Roman"/>
          <w:lang w:eastAsia="en-GB"/>
        </w:rPr>
        <w:t xml:space="preserve">(1987) </w:t>
      </w:r>
      <w:r w:rsidR="00A748F9">
        <w:rPr>
          <w:rFonts w:eastAsia="Times New Roman" w:cs="Times New Roman"/>
          <w:i/>
          <w:iCs/>
          <w:shd w:val="clear" w:color="auto" w:fill="FFFFFF"/>
          <w:lang w:eastAsia="en-GB"/>
        </w:rPr>
        <w:t>Multiple Imputation for Nonresponse in S</w:t>
      </w:r>
      <w:r w:rsidRPr="00A85AA1">
        <w:rPr>
          <w:rFonts w:eastAsia="Times New Roman" w:cs="Times New Roman"/>
          <w:i/>
          <w:iCs/>
          <w:shd w:val="clear" w:color="auto" w:fill="FFFFFF"/>
          <w:lang w:eastAsia="en-GB"/>
        </w:rPr>
        <w:t>urveys</w:t>
      </w:r>
      <w:r w:rsidR="00BF1B9A">
        <w:rPr>
          <w:rFonts w:eastAsia="Times New Roman" w:cs="Times New Roman"/>
          <w:shd w:val="clear" w:color="auto" w:fill="FFFFFF"/>
          <w:lang w:eastAsia="en-GB"/>
        </w:rPr>
        <w:t>. Wiley, </w:t>
      </w:r>
      <w:r w:rsidR="00A748F9">
        <w:rPr>
          <w:rFonts w:eastAsia="Times New Roman" w:cs="Times New Roman"/>
          <w:shd w:val="clear" w:color="auto" w:fill="FFFFFF"/>
          <w:lang w:eastAsia="en-GB"/>
        </w:rPr>
        <w:t>New York</w:t>
      </w:r>
      <w:r w:rsidR="00472F27" w:rsidRPr="00A85AA1">
        <w:rPr>
          <w:rFonts w:eastAsia="Times New Roman" w:cs="Times New Roman"/>
          <w:shd w:val="clear" w:color="auto" w:fill="FFFFFF"/>
          <w:lang w:eastAsia="en-GB"/>
        </w:rPr>
        <w:t>.</w:t>
      </w:r>
    </w:p>
    <w:p w14:paraId="729995B5" w14:textId="77777777" w:rsidR="00A85AA1" w:rsidRDefault="00A85AA1" w:rsidP="00A85AA1">
      <w:pPr>
        <w:shd w:val="clear" w:color="auto" w:fill="FFFFFF"/>
        <w:rPr>
          <w:rFonts w:cs="Arial"/>
          <w:bCs/>
        </w:rPr>
      </w:pPr>
    </w:p>
    <w:p w14:paraId="6A2B80F7" w14:textId="57D0794F" w:rsidR="0045428C" w:rsidRPr="00A85AA1" w:rsidRDefault="000979B3" w:rsidP="00A85AA1">
      <w:pPr>
        <w:shd w:val="clear" w:color="auto" w:fill="FFFFFF"/>
        <w:rPr>
          <w:rFonts w:cs="Arial"/>
        </w:rPr>
      </w:pPr>
      <w:r w:rsidRPr="00A85AA1">
        <w:rPr>
          <w:rFonts w:cs="Arial"/>
          <w:bCs/>
        </w:rPr>
        <w:lastRenderedPageBreak/>
        <w:t>Srikanth</w:t>
      </w:r>
      <w:r w:rsidR="00BF1B9A">
        <w:rPr>
          <w:rFonts w:cs="Arial"/>
          <w:bCs/>
        </w:rPr>
        <w:t>,</w:t>
      </w:r>
      <w:r w:rsidRPr="00A85AA1">
        <w:rPr>
          <w:rFonts w:cs="Arial"/>
        </w:rPr>
        <w:t> V</w:t>
      </w:r>
      <w:r w:rsidR="00BF1B9A">
        <w:rPr>
          <w:rFonts w:cs="Arial"/>
        </w:rPr>
        <w:t>.</w:t>
      </w:r>
      <w:r w:rsidRPr="00A85AA1">
        <w:rPr>
          <w:rFonts w:cs="Arial"/>
        </w:rPr>
        <w:t>K</w:t>
      </w:r>
      <w:r w:rsidR="00BF1B9A">
        <w:rPr>
          <w:rFonts w:cs="Arial"/>
        </w:rPr>
        <w:t>.</w:t>
      </w:r>
      <w:r w:rsidRPr="00A85AA1">
        <w:rPr>
          <w:rFonts w:cs="Arial"/>
        </w:rPr>
        <w:t>, Fryer</w:t>
      </w:r>
      <w:r w:rsidR="00BF1B9A">
        <w:rPr>
          <w:rFonts w:cs="Arial"/>
        </w:rPr>
        <w:t>,</w:t>
      </w:r>
      <w:r w:rsidRPr="00A85AA1">
        <w:rPr>
          <w:rFonts w:cs="Arial"/>
        </w:rPr>
        <w:t xml:space="preserve"> J</w:t>
      </w:r>
      <w:r w:rsidR="00BF1B9A">
        <w:rPr>
          <w:rFonts w:cs="Arial"/>
        </w:rPr>
        <w:t>.</w:t>
      </w:r>
      <w:r w:rsidRPr="00A85AA1">
        <w:rPr>
          <w:rFonts w:cs="Arial"/>
        </w:rPr>
        <w:t>L</w:t>
      </w:r>
      <w:r w:rsidR="00BF1B9A">
        <w:rPr>
          <w:rFonts w:cs="Arial"/>
        </w:rPr>
        <w:t>.</w:t>
      </w:r>
      <w:r w:rsidRPr="00A85AA1">
        <w:rPr>
          <w:rFonts w:cs="Arial"/>
        </w:rPr>
        <w:t>, Zhai</w:t>
      </w:r>
      <w:r w:rsidR="00BF1B9A">
        <w:rPr>
          <w:rFonts w:cs="Arial"/>
        </w:rPr>
        <w:t>,</w:t>
      </w:r>
      <w:r w:rsidRPr="00A85AA1">
        <w:rPr>
          <w:rFonts w:cs="Arial"/>
        </w:rPr>
        <w:t xml:space="preserve"> G</w:t>
      </w:r>
      <w:r w:rsidR="00BF1B9A">
        <w:rPr>
          <w:rFonts w:cs="Arial"/>
        </w:rPr>
        <w:t>.</w:t>
      </w:r>
      <w:r w:rsidRPr="00A85AA1">
        <w:rPr>
          <w:rFonts w:cs="Arial"/>
        </w:rPr>
        <w:t>, Winzenberg</w:t>
      </w:r>
      <w:r w:rsidR="00BF1B9A">
        <w:rPr>
          <w:rFonts w:cs="Arial"/>
        </w:rPr>
        <w:t>,</w:t>
      </w:r>
      <w:r w:rsidRPr="00A85AA1">
        <w:rPr>
          <w:rFonts w:cs="Arial"/>
        </w:rPr>
        <w:t xml:space="preserve"> T</w:t>
      </w:r>
      <w:r w:rsidR="00BF1B9A">
        <w:rPr>
          <w:rFonts w:cs="Arial"/>
        </w:rPr>
        <w:t>.</w:t>
      </w:r>
      <w:r w:rsidRPr="00A85AA1">
        <w:rPr>
          <w:rFonts w:cs="Arial"/>
        </w:rPr>
        <w:t>M</w:t>
      </w:r>
      <w:r w:rsidR="00BF1B9A">
        <w:rPr>
          <w:rFonts w:cs="Arial"/>
        </w:rPr>
        <w:t>.</w:t>
      </w:r>
      <w:r w:rsidRPr="00A85AA1">
        <w:rPr>
          <w:rFonts w:cs="Arial"/>
        </w:rPr>
        <w:t>, Hosmer</w:t>
      </w:r>
      <w:r w:rsidR="00BF1B9A">
        <w:rPr>
          <w:rFonts w:cs="Arial"/>
        </w:rPr>
        <w:t>,</w:t>
      </w:r>
      <w:r w:rsidRPr="00A85AA1">
        <w:rPr>
          <w:rFonts w:cs="Arial"/>
        </w:rPr>
        <w:t xml:space="preserve"> D</w:t>
      </w:r>
      <w:r w:rsidR="00BF1B9A">
        <w:rPr>
          <w:rFonts w:cs="Arial"/>
        </w:rPr>
        <w:t>.</w:t>
      </w:r>
      <w:r w:rsidRPr="00A85AA1">
        <w:rPr>
          <w:rFonts w:cs="Arial"/>
        </w:rPr>
        <w:t>, Jones</w:t>
      </w:r>
      <w:r w:rsidR="00BF1B9A">
        <w:rPr>
          <w:rFonts w:cs="Arial"/>
        </w:rPr>
        <w:t>,</w:t>
      </w:r>
      <w:r w:rsidRPr="00A85AA1">
        <w:rPr>
          <w:rFonts w:cs="Arial"/>
        </w:rPr>
        <w:t xml:space="preserve"> G. </w:t>
      </w:r>
      <w:r w:rsidR="00BF1B9A">
        <w:rPr>
          <w:rFonts w:cs="Arial"/>
        </w:rPr>
        <w:t xml:space="preserve">(2005) </w:t>
      </w:r>
      <w:r w:rsidRPr="00A85AA1">
        <w:rPr>
          <w:rFonts w:cs="Arial"/>
        </w:rPr>
        <w:t>A meta-analysis of sex differences prevalence, incidence and severity of </w:t>
      </w:r>
      <w:r w:rsidRPr="00A85AA1">
        <w:rPr>
          <w:rFonts w:cs="Arial"/>
          <w:bCs/>
        </w:rPr>
        <w:t>osteoarthritis</w:t>
      </w:r>
      <w:r w:rsidRPr="00A85AA1">
        <w:rPr>
          <w:rFonts w:cs="Arial"/>
        </w:rPr>
        <w:t>.</w:t>
      </w:r>
      <w:r w:rsidRPr="00A85AA1">
        <w:rPr>
          <w:rStyle w:val="jrnl"/>
          <w:rFonts w:cs="Arial"/>
          <w:bCs/>
        </w:rPr>
        <w:t xml:space="preserve"> Osteoarthritis</w:t>
      </w:r>
      <w:r w:rsidRPr="00A85AA1">
        <w:rPr>
          <w:rStyle w:val="jrnl"/>
          <w:rFonts w:cs="Arial"/>
        </w:rPr>
        <w:t> </w:t>
      </w:r>
      <w:r w:rsidR="00BF1B9A">
        <w:rPr>
          <w:rStyle w:val="jrnl"/>
          <w:rFonts w:cs="Arial"/>
        </w:rPr>
        <w:t xml:space="preserve">&amp; </w:t>
      </w:r>
      <w:r w:rsidRPr="00A85AA1">
        <w:rPr>
          <w:rStyle w:val="jrnl"/>
          <w:rFonts w:cs="Arial"/>
        </w:rPr>
        <w:t>Cartilage</w:t>
      </w:r>
      <w:r w:rsidR="00BF1B9A">
        <w:rPr>
          <w:rFonts w:cs="Arial"/>
        </w:rPr>
        <w:t xml:space="preserve">, </w:t>
      </w:r>
      <w:r w:rsidR="0033393F" w:rsidRPr="00A85AA1">
        <w:rPr>
          <w:rFonts w:cs="Arial"/>
        </w:rPr>
        <w:t>13</w:t>
      </w:r>
      <w:r w:rsidR="00BF1B9A">
        <w:rPr>
          <w:rFonts w:cs="Arial"/>
        </w:rPr>
        <w:t xml:space="preserve">, </w:t>
      </w:r>
      <w:r w:rsidRPr="00A85AA1">
        <w:rPr>
          <w:rFonts w:cs="Arial"/>
        </w:rPr>
        <w:t>769-81.</w:t>
      </w:r>
      <w:r w:rsidR="00A748F9">
        <w:rPr>
          <w:rFonts w:cs="Arial"/>
        </w:rPr>
        <w:t xml:space="preserve"> doi</w:t>
      </w:r>
      <w:r w:rsidR="0045428C" w:rsidRPr="00A85AA1">
        <w:rPr>
          <w:rFonts w:cs="Arial"/>
        </w:rPr>
        <w:t>: 10.1016/j.joca.2005.04.014</w:t>
      </w:r>
    </w:p>
    <w:p w14:paraId="585CEDA7" w14:textId="007A1A7C" w:rsidR="00864457" w:rsidRPr="00A85AA1" w:rsidRDefault="00864457" w:rsidP="00A85AA1">
      <w:pPr>
        <w:spacing w:after="240"/>
      </w:pPr>
    </w:p>
    <w:p w14:paraId="001601E7" w14:textId="495C26CA" w:rsidR="00864457" w:rsidRDefault="00864457" w:rsidP="00A85AA1">
      <w:pPr>
        <w:spacing w:after="240"/>
        <w:rPr>
          <w:rFonts w:cs="Arial"/>
          <w:shd w:val="clear" w:color="auto" w:fill="FFFFFF"/>
        </w:rPr>
      </w:pPr>
      <w:r w:rsidRPr="00A85AA1">
        <w:rPr>
          <w:rFonts w:cs="Arial"/>
        </w:rPr>
        <w:t>Trivedi</w:t>
      </w:r>
      <w:r w:rsidR="00BF1B9A">
        <w:rPr>
          <w:rFonts w:cs="Arial"/>
        </w:rPr>
        <w:t>,</w:t>
      </w:r>
      <w:r w:rsidR="00D15DE8" w:rsidRPr="00A85AA1">
        <w:rPr>
          <w:rFonts w:cs="Arial"/>
        </w:rPr>
        <w:t xml:space="preserve"> B</w:t>
      </w:r>
      <w:r w:rsidR="00BF1B9A">
        <w:rPr>
          <w:rFonts w:cs="Arial"/>
        </w:rPr>
        <w:t>.</w:t>
      </w:r>
      <w:r w:rsidR="00D15DE8" w:rsidRPr="00A85AA1">
        <w:rPr>
          <w:rFonts w:cs="Arial"/>
        </w:rPr>
        <w:t>, Marshall</w:t>
      </w:r>
      <w:r w:rsidR="00BF1B9A">
        <w:rPr>
          <w:rFonts w:cs="Arial"/>
        </w:rPr>
        <w:t>,</w:t>
      </w:r>
      <w:r w:rsidR="00D15DE8" w:rsidRPr="00A85AA1">
        <w:rPr>
          <w:rFonts w:cs="Arial"/>
        </w:rPr>
        <w:t xml:space="preserve"> M</w:t>
      </w:r>
      <w:r w:rsidR="00BF1B9A">
        <w:rPr>
          <w:rFonts w:cs="Arial"/>
        </w:rPr>
        <w:t>.</w:t>
      </w:r>
      <w:r w:rsidR="00D15DE8" w:rsidRPr="00A85AA1">
        <w:rPr>
          <w:rFonts w:cs="Arial"/>
        </w:rPr>
        <w:t>, Belcher</w:t>
      </w:r>
      <w:r w:rsidR="00BF1B9A">
        <w:rPr>
          <w:rFonts w:cs="Arial"/>
        </w:rPr>
        <w:t>,</w:t>
      </w:r>
      <w:r w:rsidR="00D15DE8" w:rsidRPr="00A85AA1">
        <w:rPr>
          <w:rFonts w:cs="Arial"/>
        </w:rPr>
        <w:t xml:space="preserve"> J</w:t>
      </w:r>
      <w:r w:rsidR="00BF1B9A">
        <w:rPr>
          <w:rFonts w:cs="Arial"/>
        </w:rPr>
        <w:t>.</w:t>
      </w:r>
      <w:r w:rsidR="00D15DE8" w:rsidRPr="00A85AA1">
        <w:rPr>
          <w:rFonts w:cs="Arial"/>
        </w:rPr>
        <w:t>, Roddy</w:t>
      </w:r>
      <w:r w:rsidR="00BF1B9A">
        <w:rPr>
          <w:rFonts w:cs="Arial"/>
        </w:rPr>
        <w:t>,</w:t>
      </w:r>
      <w:r w:rsidR="00D15DE8" w:rsidRPr="00A85AA1">
        <w:rPr>
          <w:rFonts w:cs="Arial"/>
        </w:rPr>
        <w:t xml:space="preserve"> E. </w:t>
      </w:r>
      <w:r w:rsidR="00BF1B9A">
        <w:rPr>
          <w:rFonts w:cs="Arial"/>
        </w:rPr>
        <w:t xml:space="preserve">(2010) </w:t>
      </w:r>
      <w:r w:rsidR="00D15DE8" w:rsidRPr="00A85AA1">
        <w:rPr>
          <w:rFonts w:cs="Arial"/>
        </w:rPr>
        <w:t xml:space="preserve">A systematic review of radiographic definitions of foot osteoarthritis in population-based studies. Osteoarthritis </w:t>
      </w:r>
      <w:r w:rsidR="00BF1B9A">
        <w:rPr>
          <w:rFonts w:cs="Arial"/>
        </w:rPr>
        <w:t xml:space="preserve">&amp; Cartilage, 18, </w:t>
      </w:r>
      <w:r w:rsidR="00D15DE8" w:rsidRPr="00A85AA1">
        <w:rPr>
          <w:rFonts w:cs="Arial"/>
        </w:rPr>
        <w:t xml:space="preserve">1027-1035. </w:t>
      </w:r>
      <w:r w:rsidR="0045428C" w:rsidRPr="00A85AA1">
        <w:rPr>
          <w:rFonts w:cs="Arial"/>
          <w:shd w:val="clear" w:color="auto" w:fill="FFFFFF"/>
        </w:rPr>
        <w:t>doi: 10.1016/j.joca.2010.05.005</w:t>
      </w:r>
    </w:p>
    <w:p w14:paraId="4C61EF7D" w14:textId="77777777" w:rsidR="00A85AA1" w:rsidRPr="00A85AA1" w:rsidRDefault="00A85AA1" w:rsidP="00A85AA1">
      <w:pPr>
        <w:spacing w:after="240"/>
      </w:pPr>
    </w:p>
    <w:p w14:paraId="47B4EAE2" w14:textId="0FF87B38" w:rsidR="00A85AA1" w:rsidRPr="00A85AA1" w:rsidRDefault="001F1E21" w:rsidP="00A85AA1">
      <w:pPr>
        <w:shd w:val="clear" w:color="auto" w:fill="FFFFFF"/>
        <w:rPr>
          <w:rFonts w:cs="Arial"/>
        </w:rPr>
      </w:pPr>
      <w:r w:rsidRPr="00A85AA1">
        <w:t>Warner</w:t>
      </w:r>
      <w:r w:rsidR="00BF1B9A">
        <w:t>,</w:t>
      </w:r>
      <w:r w:rsidRPr="00A85AA1">
        <w:t xml:space="preserve"> S</w:t>
      </w:r>
      <w:r w:rsidR="00BF1B9A">
        <w:t>.</w:t>
      </w:r>
      <w:r w:rsidRPr="00A85AA1">
        <w:t>C</w:t>
      </w:r>
      <w:r w:rsidR="00BF1B9A">
        <w:t>.</w:t>
      </w:r>
      <w:r w:rsidRPr="00A85AA1">
        <w:t>, Valdes</w:t>
      </w:r>
      <w:r w:rsidR="00BF1B9A">
        <w:t>,</w:t>
      </w:r>
      <w:r w:rsidRPr="00A85AA1">
        <w:t xml:space="preserve"> A</w:t>
      </w:r>
      <w:r w:rsidR="00BF1B9A">
        <w:t>.</w:t>
      </w:r>
      <w:r w:rsidRPr="00A85AA1">
        <w:t xml:space="preserve">M. </w:t>
      </w:r>
      <w:r w:rsidR="00BF1B9A">
        <w:t xml:space="preserve">(2017) </w:t>
      </w:r>
      <w:r w:rsidRPr="00A85AA1">
        <w:t>Genetic association studies in osteoarthritis: is it fairytale? Curr</w:t>
      </w:r>
      <w:r w:rsidR="00BF1B9A">
        <w:t>ent</w:t>
      </w:r>
      <w:r w:rsidRPr="00A85AA1">
        <w:t xml:space="preserve"> Opin</w:t>
      </w:r>
      <w:r w:rsidR="00BF1B9A">
        <w:t>ion in</w:t>
      </w:r>
      <w:r w:rsidRPr="00A85AA1">
        <w:t xml:space="preserve"> Rheumatol</w:t>
      </w:r>
      <w:r w:rsidR="00BF1B9A">
        <w:t xml:space="preserve">ogy, 29, </w:t>
      </w:r>
      <w:r w:rsidRPr="00A85AA1">
        <w:t>103-109.</w:t>
      </w:r>
      <w:r w:rsidR="00A85AA1" w:rsidRPr="00A85AA1">
        <w:t xml:space="preserve"> </w:t>
      </w:r>
      <w:r w:rsidR="00A748F9">
        <w:rPr>
          <w:rFonts w:cs="Arial"/>
        </w:rPr>
        <w:t>doi</w:t>
      </w:r>
      <w:r w:rsidR="00A85AA1" w:rsidRPr="00A85AA1">
        <w:rPr>
          <w:rFonts w:cs="Arial"/>
        </w:rPr>
        <w:t>: 10.1097/BOR.0000000000000352</w:t>
      </w:r>
    </w:p>
    <w:p w14:paraId="6753B369" w14:textId="18938C7C" w:rsidR="00D241C4" w:rsidRDefault="00991EB0" w:rsidP="007D1958">
      <w:pPr>
        <w:spacing w:after="240"/>
      </w:pPr>
      <w:r>
        <w:br w:type="page"/>
      </w:r>
    </w:p>
    <w:p w14:paraId="1116C1B4" w14:textId="49ACC8F5" w:rsidR="0027155B" w:rsidRPr="0027155B" w:rsidRDefault="0027155B" w:rsidP="0027155B">
      <w:pPr>
        <w:spacing w:after="120" w:line="240" w:lineRule="auto"/>
      </w:pPr>
      <w:r w:rsidRPr="00CB2F97">
        <w:rPr>
          <w:b/>
        </w:rPr>
        <w:lastRenderedPageBreak/>
        <w:t xml:space="preserve">Table 1. Comparative prevalence of symptomatic radiographic OA </w:t>
      </w:r>
      <w:r>
        <w:rPr>
          <w:b/>
        </w:rPr>
        <w:t xml:space="preserve">(sROA) </w:t>
      </w:r>
      <w:r w:rsidR="00A847F7">
        <w:rPr>
          <w:b/>
        </w:rPr>
        <w:t>sub</w:t>
      </w:r>
      <w:r w:rsidRPr="00CB2F97">
        <w:rPr>
          <w:b/>
        </w:rPr>
        <w:t>types at the knee, hand, and foot in adults aged over 50 years: North Staffordshire, 2002-2011</w:t>
      </w:r>
    </w:p>
    <w:tbl>
      <w:tblPr>
        <w:tblStyle w:val="TableGrid"/>
        <w:tblW w:w="10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679"/>
        <w:gridCol w:w="1376"/>
        <w:gridCol w:w="98"/>
        <w:gridCol w:w="679"/>
        <w:gridCol w:w="1278"/>
        <w:gridCol w:w="196"/>
        <w:gridCol w:w="679"/>
        <w:gridCol w:w="1253"/>
        <w:gridCol w:w="221"/>
      </w:tblGrid>
      <w:tr w:rsidR="0027155B" w:rsidRPr="007650B8" w14:paraId="43F1879D" w14:textId="77777777" w:rsidTr="004E77AD">
        <w:trPr>
          <w:gridAfter w:val="1"/>
          <w:wAfter w:w="221" w:type="dxa"/>
        </w:trPr>
        <w:tc>
          <w:tcPr>
            <w:tcW w:w="4074" w:type="dxa"/>
            <w:tcBorders>
              <w:top w:val="single" w:sz="4" w:space="0" w:color="auto"/>
            </w:tcBorders>
          </w:tcPr>
          <w:p w14:paraId="3111CF7D" w14:textId="77777777" w:rsidR="0027155B" w:rsidRPr="007650B8" w:rsidRDefault="0027155B" w:rsidP="003D20A4">
            <w:pPr>
              <w:spacing w:before="60" w:after="60" w:line="276" w:lineRule="auto"/>
            </w:pPr>
          </w:p>
        </w:tc>
        <w:tc>
          <w:tcPr>
            <w:tcW w:w="2055" w:type="dxa"/>
            <w:gridSpan w:val="2"/>
            <w:tcBorders>
              <w:top w:val="single" w:sz="4" w:space="0" w:color="auto"/>
            </w:tcBorders>
          </w:tcPr>
          <w:p w14:paraId="1351B1A0" w14:textId="77777777" w:rsidR="0027155B" w:rsidRPr="007650B8" w:rsidRDefault="0027155B" w:rsidP="003D20A4">
            <w:pPr>
              <w:spacing w:before="60" w:after="60" w:line="276" w:lineRule="auto"/>
              <w:jc w:val="center"/>
            </w:pPr>
            <w:r>
              <w:t>Both sexes</w:t>
            </w:r>
          </w:p>
        </w:tc>
        <w:tc>
          <w:tcPr>
            <w:tcW w:w="2055" w:type="dxa"/>
            <w:gridSpan w:val="3"/>
            <w:tcBorders>
              <w:top w:val="single" w:sz="4" w:space="0" w:color="auto"/>
            </w:tcBorders>
          </w:tcPr>
          <w:p w14:paraId="4017F7FB" w14:textId="77777777" w:rsidR="0027155B" w:rsidRPr="007650B8" w:rsidRDefault="0027155B" w:rsidP="003D20A4">
            <w:pPr>
              <w:spacing w:before="60" w:after="60" w:line="276" w:lineRule="auto"/>
              <w:jc w:val="center"/>
            </w:pPr>
            <w:r w:rsidRPr="007650B8">
              <w:t>Male</w:t>
            </w:r>
          </w:p>
        </w:tc>
        <w:tc>
          <w:tcPr>
            <w:tcW w:w="2128" w:type="dxa"/>
            <w:gridSpan w:val="3"/>
            <w:tcBorders>
              <w:top w:val="single" w:sz="4" w:space="0" w:color="auto"/>
            </w:tcBorders>
          </w:tcPr>
          <w:p w14:paraId="72911C24" w14:textId="77777777" w:rsidR="0027155B" w:rsidRPr="007650B8" w:rsidRDefault="0027155B" w:rsidP="003D20A4">
            <w:pPr>
              <w:tabs>
                <w:tab w:val="center" w:pos="912"/>
              </w:tabs>
              <w:spacing w:before="60" w:after="60" w:line="276" w:lineRule="auto"/>
            </w:pPr>
            <w:r>
              <w:tab/>
            </w:r>
            <w:r w:rsidRPr="007650B8">
              <w:t>Female</w:t>
            </w:r>
          </w:p>
        </w:tc>
      </w:tr>
      <w:tr w:rsidR="0027155B" w:rsidRPr="007650B8" w14:paraId="04E370B6" w14:textId="77777777" w:rsidTr="004E77AD">
        <w:tc>
          <w:tcPr>
            <w:tcW w:w="4074" w:type="dxa"/>
            <w:tcBorders>
              <w:bottom w:val="single" w:sz="4" w:space="0" w:color="auto"/>
            </w:tcBorders>
          </w:tcPr>
          <w:p w14:paraId="23EC79AA" w14:textId="77777777" w:rsidR="0027155B" w:rsidRPr="007650B8" w:rsidRDefault="0027155B" w:rsidP="003D20A4">
            <w:pPr>
              <w:spacing w:before="60" w:after="60" w:line="276" w:lineRule="auto"/>
              <w:ind w:firstLine="720"/>
            </w:pPr>
          </w:p>
        </w:tc>
        <w:tc>
          <w:tcPr>
            <w:tcW w:w="679" w:type="dxa"/>
            <w:tcBorders>
              <w:bottom w:val="single" w:sz="4" w:space="0" w:color="auto"/>
            </w:tcBorders>
          </w:tcPr>
          <w:p w14:paraId="42042A40" w14:textId="77777777" w:rsidR="0027155B" w:rsidRPr="007650B8" w:rsidRDefault="0027155B" w:rsidP="003D20A4">
            <w:pPr>
              <w:spacing w:before="60" w:after="60" w:line="276" w:lineRule="auto"/>
              <w:jc w:val="right"/>
            </w:pPr>
            <w:r>
              <w:t>%</w:t>
            </w:r>
          </w:p>
        </w:tc>
        <w:tc>
          <w:tcPr>
            <w:tcW w:w="1474" w:type="dxa"/>
            <w:gridSpan w:val="2"/>
            <w:tcBorders>
              <w:bottom w:val="single" w:sz="4" w:space="0" w:color="auto"/>
            </w:tcBorders>
          </w:tcPr>
          <w:p w14:paraId="34D5BBA2" w14:textId="77777777" w:rsidR="0027155B" w:rsidRPr="007650B8" w:rsidRDefault="0027155B" w:rsidP="003D20A4">
            <w:pPr>
              <w:spacing w:before="60" w:after="60" w:line="276" w:lineRule="auto"/>
            </w:pPr>
            <w:r>
              <w:t>95%CI</w:t>
            </w:r>
          </w:p>
        </w:tc>
        <w:tc>
          <w:tcPr>
            <w:tcW w:w="679" w:type="dxa"/>
            <w:tcBorders>
              <w:bottom w:val="single" w:sz="4" w:space="0" w:color="auto"/>
            </w:tcBorders>
          </w:tcPr>
          <w:p w14:paraId="068BFC4A" w14:textId="77777777" w:rsidR="0027155B" w:rsidRPr="007650B8" w:rsidRDefault="0027155B" w:rsidP="003D20A4">
            <w:pPr>
              <w:spacing w:before="60" w:after="60" w:line="276" w:lineRule="auto"/>
              <w:jc w:val="right"/>
            </w:pPr>
            <w:r>
              <w:t>%</w:t>
            </w:r>
          </w:p>
        </w:tc>
        <w:tc>
          <w:tcPr>
            <w:tcW w:w="1474" w:type="dxa"/>
            <w:gridSpan w:val="2"/>
            <w:tcBorders>
              <w:bottom w:val="single" w:sz="4" w:space="0" w:color="auto"/>
            </w:tcBorders>
          </w:tcPr>
          <w:p w14:paraId="435A4C78" w14:textId="77777777" w:rsidR="0027155B" w:rsidRPr="007650B8" w:rsidRDefault="0027155B" w:rsidP="003D20A4">
            <w:pPr>
              <w:spacing w:before="60" w:after="60" w:line="276" w:lineRule="auto"/>
            </w:pPr>
            <w:r>
              <w:t>95%CI</w:t>
            </w:r>
          </w:p>
        </w:tc>
        <w:tc>
          <w:tcPr>
            <w:tcW w:w="679" w:type="dxa"/>
            <w:tcBorders>
              <w:bottom w:val="single" w:sz="4" w:space="0" w:color="auto"/>
            </w:tcBorders>
          </w:tcPr>
          <w:p w14:paraId="7A346A29" w14:textId="77777777" w:rsidR="0027155B" w:rsidRPr="007650B8" w:rsidRDefault="0027155B" w:rsidP="003D20A4">
            <w:pPr>
              <w:spacing w:before="60" w:after="60" w:line="276" w:lineRule="auto"/>
              <w:jc w:val="right"/>
            </w:pPr>
            <w:r>
              <w:t>%</w:t>
            </w:r>
          </w:p>
        </w:tc>
        <w:tc>
          <w:tcPr>
            <w:tcW w:w="1474" w:type="dxa"/>
            <w:gridSpan w:val="2"/>
            <w:tcBorders>
              <w:bottom w:val="single" w:sz="4" w:space="0" w:color="auto"/>
            </w:tcBorders>
          </w:tcPr>
          <w:p w14:paraId="47D9AD8A" w14:textId="77777777" w:rsidR="0027155B" w:rsidRPr="007650B8" w:rsidRDefault="0027155B" w:rsidP="003D20A4">
            <w:pPr>
              <w:spacing w:before="60" w:after="60" w:line="276" w:lineRule="auto"/>
            </w:pPr>
            <w:r>
              <w:t>95%CI</w:t>
            </w:r>
          </w:p>
        </w:tc>
      </w:tr>
      <w:tr w:rsidR="0027155B" w:rsidRPr="007650B8" w14:paraId="34A25A91" w14:textId="77777777" w:rsidTr="004E77AD">
        <w:tc>
          <w:tcPr>
            <w:tcW w:w="4074" w:type="dxa"/>
            <w:tcBorders>
              <w:top w:val="single" w:sz="4" w:space="0" w:color="auto"/>
            </w:tcBorders>
          </w:tcPr>
          <w:p w14:paraId="2467A6F9" w14:textId="703AD933" w:rsidR="0027155B" w:rsidRPr="007650B8" w:rsidRDefault="00162A3F" w:rsidP="003D20A4">
            <w:pPr>
              <w:spacing w:before="60" w:after="60" w:line="276" w:lineRule="auto"/>
            </w:pPr>
            <w:r>
              <w:t xml:space="preserve"> </w:t>
            </w:r>
            <w:r w:rsidR="0027155B" w:rsidRPr="007650B8">
              <w:t xml:space="preserve">Medial tibiofemoral joint </w:t>
            </w:r>
            <w:r w:rsidR="0027155B">
              <w:t>sR</w:t>
            </w:r>
            <w:r w:rsidR="0027155B" w:rsidRPr="007650B8">
              <w:t>OA</w:t>
            </w:r>
          </w:p>
        </w:tc>
        <w:tc>
          <w:tcPr>
            <w:tcW w:w="679" w:type="dxa"/>
            <w:tcBorders>
              <w:top w:val="single" w:sz="4" w:space="0" w:color="auto"/>
            </w:tcBorders>
          </w:tcPr>
          <w:p w14:paraId="377D626B" w14:textId="418A691E" w:rsidR="0027155B" w:rsidRPr="007650B8" w:rsidRDefault="00C4448A" w:rsidP="003D20A4">
            <w:pPr>
              <w:spacing w:before="60" w:after="60" w:line="276" w:lineRule="auto"/>
              <w:jc w:val="right"/>
            </w:pPr>
            <w:r>
              <w:t>9.8</w:t>
            </w:r>
            <w:r w:rsidR="0027155B" w:rsidRPr="007650B8">
              <w:t xml:space="preserve"> </w:t>
            </w:r>
          </w:p>
        </w:tc>
        <w:tc>
          <w:tcPr>
            <w:tcW w:w="1474" w:type="dxa"/>
            <w:gridSpan w:val="2"/>
            <w:tcBorders>
              <w:top w:val="single" w:sz="4" w:space="0" w:color="auto"/>
            </w:tcBorders>
          </w:tcPr>
          <w:p w14:paraId="6035730B" w14:textId="7F0DF4F5" w:rsidR="0027155B" w:rsidRPr="007650B8" w:rsidRDefault="00C4448A" w:rsidP="003D20A4">
            <w:pPr>
              <w:spacing w:before="60" w:after="60" w:line="276" w:lineRule="auto"/>
            </w:pPr>
            <w:r>
              <w:t>(8.6, 11</w:t>
            </w:r>
            <w:r w:rsidR="0027155B" w:rsidRPr="007650B8">
              <w:t>.1)</w:t>
            </w:r>
          </w:p>
        </w:tc>
        <w:tc>
          <w:tcPr>
            <w:tcW w:w="679" w:type="dxa"/>
            <w:tcBorders>
              <w:top w:val="single" w:sz="4" w:space="0" w:color="auto"/>
            </w:tcBorders>
          </w:tcPr>
          <w:p w14:paraId="7D8B5478" w14:textId="7A49BC45" w:rsidR="0027155B" w:rsidRPr="007650B8" w:rsidRDefault="00C4448A" w:rsidP="003D20A4">
            <w:pPr>
              <w:spacing w:before="60" w:after="60" w:line="276" w:lineRule="auto"/>
              <w:jc w:val="right"/>
            </w:pPr>
            <w:r>
              <w:t>9.7</w:t>
            </w:r>
            <w:r w:rsidR="0027155B" w:rsidRPr="007650B8">
              <w:t xml:space="preserve"> </w:t>
            </w:r>
          </w:p>
        </w:tc>
        <w:tc>
          <w:tcPr>
            <w:tcW w:w="1474" w:type="dxa"/>
            <w:gridSpan w:val="2"/>
            <w:tcBorders>
              <w:top w:val="single" w:sz="4" w:space="0" w:color="auto"/>
            </w:tcBorders>
          </w:tcPr>
          <w:p w14:paraId="653479E0" w14:textId="53A03E01" w:rsidR="0027155B" w:rsidRPr="007650B8" w:rsidRDefault="00C4448A" w:rsidP="003D20A4">
            <w:pPr>
              <w:spacing w:before="60" w:after="60" w:line="276" w:lineRule="auto"/>
            </w:pPr>
            <w:r>
              <w:t>(8.0, 11.4</w:t>
            </w:r>
            <w:r w:rsidR="0027155B" w:rsidRPr="007650B8">
              <w:t>)</w:t>
            </w:r>
          </w:p>
        </w:tc>
        <w:tc>
          <w:tcPr>
            <w:tcW w:w="679" w:type="dxa"/>
            <w:tcBorders>
              <w:top w:val="single" w:sz="4" w:space="0" w:color="auto"/>
            </w:tcBorders>
          </w:tcPr>
          <w:p w14:paraId="29347100" w14:textId="16F99855" w:rsidR="0027155B" w:rsidRPr="007650B8" w:rsidRDefault="00C4448A" w:rsidP="003D20A4">
            <w:pPr>
              <w:spacing w:before="60" w:after="60" w:line="276" w:lineRule="auto"/>
              <w:jc w:val="right"/>
            </w:pPr>
            <w:r>
              <w:t>9.9</w:t>
            </w:r>
            <w:r w:rsidR="0027155B" w:rsidRPr="007650B8">
              <w:t xml:space="preserve"> </w:t>
            </w:r>
          </w:p>
        </w:tc>
        <w:tc>
          <w:tcPr>
            <w:tcW w:w="1474" w:type="dxa"/>
            <w:gridSpan w:val="2"/>
            <w:tcBorders>
              <w:top w:val="single" w:sz="4" w:space="0" w:color="auto"/>
            </w:tcBorders>
          </w:tcPr>
          <w:p w14:paraId="5BDFD2AF" w14:textId="07232046" w:rsidR="0027155B" w:rsidRPr="007650B8" w:rsidRDefault="00C4448A" w:rsidP="003D20A4">
            <w:pPr>
              <w:spacing w:before="60" w:after="60" w:line="276" w:lineRule="auto"/>
            </w:pPr>
            <w:r>
              <w:t>(8.3, 11</w:t>
            </w:r>
            <w:r w:rsidR="0027155B" w:rsidRPr="007650B8">
              <w:t>.5</w:t>
            </w:r>
            <w:r>
              <w:t>6</w:t>
            </w:r>
            <w:r w:rsidR="0027155B" w:rsidRPr="007650B8">
              <w:t>)</w:t>
            </w:r>
          </w:p>
        </w:tc>
      </w:tr>
      <w:tr w:rsidR="0027155B" w:rsidRPr="007650B8" w14:paraId="464D6661" w14:textId="77777777" w:rsidTr="004E77AD">
        <w:tc>
          <w:tcPr>
            <w:tcW w:w="4074" w:type="dxa"/>
          </w:tcPr>
          <w:p w14:paraId="53794218" w14:textId="474E64A2" w:rsidR="0027155B" w:rsidRPr="007650B8" w:rsidRDefault="00162A3F" w:rsidP="003D20A4">
            <w:pPr>
              <w:spacing w:before="60" w:after="60" w:line="276" w:lineRule="auto"/>
            </w:pPr>
            <w:r>
              <w:t xml:space="preserve"> </w:t>
            </w:r>
            <w:r w:rsidR="0027155B" w:rsidRPr="007650B8">
              <w:t xml:space="preserve">Lateral tibiofemoral joint </w:t>
            </w:r>
            <w:r w:rsidR="0027155B">
              <w:t>sR</w:t>
            </w:r>
            <w:r w:rsidR="0027155B" w:rsidRPr="007650B8">
              <w:t>OA</w:t>
            </w:r>
          </w:p>
        </w:tc>
        <w:tc>
          <w:tcPr>
            <w:tcW w:w="679" w:type="dxa"/>
          </w:tcPr>
          <w:p w14:paraId="6DE96F41" w14:textId="4FECC38D" w:rsidR="0027155B" w:rsidRPr="007650B8" w:rsidRDefault="00C4448A" w:rsidP="003D20A4">
            <w:pPr>
              <w:spacing w:before="60" w:after="60" w:line="276" w:lineRule="auto"/>
              <w:jc w:val="right"/>
            </w:pPr>
            <w:r>
              <w:t>6.7</w:t>
            </w:r>
            <w:r w:rsidR="0027155B" w:rsidRPr="007650B8">
              <w:t xml:space="preserve"> </w:t>
            </w:r>
          </w:p>
        </w:tc>
        <w:tc>
          <w:tcPr>
            <w:tcW w:w="1474" w:type="dxa"/>
            <w:gridSpan w:val="2"/>
          </w:tcPr>
          <w:p w14:paraId="2F5DF6F7" w14:textId="44A388DE" w:rsidR="0027155B" w:rsidRPr="007650B8" w:rsidRDefault="00C4448A" w:rsidP="003D20A4">
            <w:pPr>
              <w:spacing w:before="60" w:after="60" w:line="276" w:lineRule="auto"/>
            </w:pPr>
            <w:r>
              <w:t>(5.6, 7.7</w:t>
            </w:r>
            <w:r w:rsidR="0027155B" w:rsidRPr="007650B8">
              <w:t>)</w:t>
            </w:r>
          </w:p>
        </w:tc>
        <w:tc>
          <w:tcPr>
            <w:tcW w:w="679" w:type="dxa"/>
          </w:tcPr>
          <w:p w14:paraId="42D8405D" w14:textId="1AACC838" w:rsidR="0027155B" w:rsidRPr="007650B8" w:rsidRDefault="00AE3775" w:rsidP="003D20A4">
            <w:pPr>
              <w:spacing w:before="60" w:after="60" w:line="276" w:lineRule="auto"/>
              <w:jc w:val="right"/>
            </w:pPr>
            <w:r>
              <w:t>5.9</w:t>
            </w:r>
            <w:r w:rsidR="0027155B" w:rsidRPr="007650B8">
              <w:t xml:space="preserve"> </w:t>
            </w:r>
          </w:p>
        </w:tc>
        <w:tc>
          <w:tcPr>
            <w:tcW w:w="1474" w:type="dxa"/>
            <w:gridSpan w:val="2"/>
          </w:tcPr>
          <w:p w14:paraId="7D2A196E" w14:textId="0A4A6D85" w:rsidR="0027155B" w:rsidRPr="007650B8" w:rsidRDefault="00AE3775" w:rsidP="003D20A4">
            <w:pPr>
              <w:spacing w:before="60" w:after="60" w:line="276" w:lineRule="auto"/>
            </w:pPr>
            <w:r>
              <w:t>(4.5, 7.3</w:t>
            </w:r>
            <w:r w:rsidR="0027155B" w:rsidRPr="007650B8">
              <w:t>)</w:t>
            </w:r>
          </w:p>
        </w:tc>
        <w:tc>
          <w:tcPr>
            <w:tcW w:w="679" w:type="dxa"/>
          </w:tcPr>
          <w:p w14:paraId="531E9582" w14:textId="2A07B612" w:rsidR="0027155B" w:rsidRPr="007650B8" w:rsidRDefault="00AE3775" w:rsidP="003D20A4">
            <w:pPr>
              <w:spacing w:before="60" w:after="60" w:line="276" w:lineRule="auto"/>
              <w:jc w:val="right"/>
            </w:pPr>
            <w:r>
              <w:t>7.3</w:t>
            </w:r>
            <w:r w:rsidR="0027155B" w:rsidRPr="007650B8">
              <w:t xml:space="preserve"> </w:t>
            </w:r>
          </w:p>
        </w:tc>
        <w:tc>
          <w:tcPr>
            <w:tcW w:w="1474" w:type="dxa"/>
            <w:gridSpan w:val="2"/>
          </w:tcPr>
          <w:p w14:paraId="575A8281" w14:textId="2FD20A10" w:rsidR="0027155B" w:rsidRPr="007650B8" w:rsidRDefault="00AE3775" w:rsidP="003D20A4">
            <w:pPr>
              <w:spacing w:before="60" w:after="60" w:line="276" w:lineRule="auto"/>
            </w:pPr>
            <w:r>
              <w:t>(5.8, 8.8</w:t>
            </w:r>
            <w:r w:rsidR="0027155B" w:rsidRPr="007650B8">
              <w:t>)</w:t>
            </w:r>
          </w:p>
        </w:tc>
      </w:tr>
      <w:tr w:rsidR="0027155B" w:rsidRPr="007650B8" w14:paraId="3B068144" w14:textId="77777777" w:rsidTr="004E77AD">
        <w:tc>
          <w:tcPr>
            <w:tcW w:w="4074" w:type="dxa"/>
          </w:tcPr>
          <w:p w14:paraId="225D7713" w14:textId="65849813" w:rsidR="0027155B" w:rsidRPr="007650B8" w:rsidRDefault="0027155B" w:rsidP="003D20A4">
            <w:pPr>
              <w:spacing w:before="60" w:after="60" w:line="276" w:lineRule="auto"/>
            </w:pPr>
            <w:r w:rsidRPr="007650B8">
              <w:t xml:space="preserve">Tibiofemoral joint </w:t>
            </w:r>
            <w:r>
              <w:t>sR</w:t>
            </w:r>
            <w:r w:rsidRPr="007650B8">
              <w:t>OA</w:t>
            </w:r>
          </w:p>
        </w:tc>
        <w:tc>
          <w:tcPr>
            <w:tcW w:w="679" w:type="dxa"/>
          </w:tcPr>
          <w:p w14:paraId="76ADD397" w14:textId="6C55CD3E" w:rsidR="0027155B" w:rsidRPr="007650B8" w:rsidRDefault="00AE3775" w:rsidP="003D20A4">
            <w:pPr>
              <w:spacing w:before="60" w:after="60" w:line="276" w:lineRule="auto"/>
              <w:jc w:val="right"/>
            </w:pPr>
            <w:r>
              <w:t>12.8</w:t>
            </w:r>
            <w:r w:rsidR="0027155B" w:rsidRPr="007650B8">
              <w:t xml:space="preserve"> </w:t>
            </w:r>
          </w:p>
        </w:tc>
        <w:tc>
          <w:tcPr>
            <w:tcW w:w="1474" w:type="dxa"/>
            <w:gridSpan w:val="2"/>
          </w:tcPr>
          <w:p w14:paraId="059B30D5" w14:textId="60C9EF4D" w:rsidR="0027155B" w:rsidRPr="007650B8" w:rsidRDefault="00AE3775" w:rsidP="003D20A4">
            <w:pPr>
              <w:spacing w:before="60" w:after="60" w:line="276" w:lineRule="auto"/>
            </w:pPr>
            <w:r>
              <w:t>(11.4, 14.1</w:t>
            </w:r>
            <w:r w:rsidR="0027155B" w:rsidRPr="007650B8">
              <w:t>)</w:t>
            </w:r>
          </w:p>
        </w:tc>
        <w:tc>
          <w:tcPr>
            <w:tcW w:w="679" w:type="dxa"/>
          </w:tcPr>
          <w:p w14:paraId="2DAD214A" w14:textId="3BE1F48D" w:rsidR="0027155B" w:rsidRPr="007650B8" w:rsidRDefault="00C631A3" w:rsidP="003D20A4">
            <w:pPr>
              <w:spacing w:before="60" w:after="60" w:line="276" w:lineRule="auto"/>
              <w:jc w:val="right"/>
            </w:pPr>
            <w:r>
              <w:t>12.1</w:t>
            </w:r>
            <w:r w:rsidR="0027155B" w:rsidRPr="007650B8">
              <w:t xml:space="preserve"> </w:t>
            </w:r>
          </w:p>
        </w:tc>
        <w:tc>
          <w:tcPr>
            <w:tcW w:w="1474" w:type="dxa"/>
            <w:gridSpan w:val="2"/>
          </w:tcPr>
          <w:p w14:paraId="65E2D96A" w14:textId="41C8D480" w:rsidR="0027155B" w:rsidRPr="007650B8" w:rsidRDefault="00C631A3" w:rsidP="003D20A4">
            <w:pPr>
              <w:spacing w:before="60" w:after="60" w:line="276" w:lineRule="auto"/>
            </w:pPr>
            <w:r>
              <w:t>(10.4, 13.9</w:t>
            </w:r>
            <w:r w:rsidR="0027155B" w:rsidRPr="007650B8">
              <w:t>)</w:t>
            </w:r>
          </w:p>
        </w:tc>
        <w:tc>
          <w:tcPr>
            <w:tcW w:w="679" w:type="dxa"/>
          </w:tcPr>
          <w:p w14:paraId="4ABBA6ED" w14:textId="4B25798C" w:rsidR="0027155B" w:rsidRPr="007650B8" w:rsidRDefault="00C631A3" w:rsidP="003D20A4">
            <w:pPr>
              <w:spacing w:before="60" w:after="60" w:line="276" w:lineRule="auto"/>
              <w:jc w:val="right"/>
            </w:pPr>
            <w:r>
              <w:t>13.3</w:t>
            </w:r>
            <w:r w:rsidR="0027155B" w:rsidRPr="007650B8">
              <w:t xml:space="preserve"> </w:t>
            </w:r>
          </w:p>
        </w:tc>
        <w:tc>
          <w:tcPr>
            <w:tcW w:w="1474" w:type="dxa"/>
            <w:gridSpan w:val="2"/>
          </w:tcPr>
          <w:p w14:paraId="1BFFAFC3" w14:textId="5529C303" w:rsidR="0027155B" w:rsidRPr="007650B8" w:rsidRDefault="00C631A3" w:rsidP="003D20A4">
            <w:pPr>
              <w:spacing w:before="60" w:after="60" w:line="276" w:lineRule="auto"/>
            </w:pPr>
            <w:r>
              <w:t>(11.4, 15.1</w:t>
            </w:r>
            <w:r w:rsidR="0027155B" w:rsidRPr="007650B8">
              <w:t>)</w:t>
            </w:r>
          </w:p>
        </w:tc>
      </w:tr>
      <w:tr w:rsidR="0027155B" w:rsidRPr="007650B8" w14:paraId="1425851D" w14:textId="77777777" w:rsidTr="004E77AD">
        <w:tc>
          <w:tcPr>
            <w:tcW w:w="4074" w:type="dxa"/>
          </w:tcPr>
          <w:p w14:paraId="0399D4BD" w14:textId="23B56670" w:rsidR="0027155B" w:rsidRPr="007650B8" w:rsidRDefault="0027155B" w:rsidP="003D20A4">
            <w:pPr>
              <w:spacing w:before="60" w:after="60" w:line="276" w:lineRule="auto"/>
            </w:pPr>
            <w:r w:rsidRPr="007650B8">
              <w:t xml:space="preserve">Patellofemoral joint </w:t>
            </w:r>
            <w:r>
              <w:t>sR</w:t>
            </w:r>
            <w:r w:rsidRPr="007650B8">
              <w:t>OA</w:t>
            </w:r>
          </w:p>
        </w:tc>
        <w:tc>
          <w:tcPr>
            <w:tcW w:w="679" w:type="dxa"/>
          </w:tcPr>
          <w:p w14:paraId="3F8311A1" w14:textId="77777777" w:rsidR="0027155B" w:rsidRPr="007650B8" w:rsidRDefault="0027155B" w:rsidP="003D20A4">
            <w:pPr>
              <w:spacing w:before="60" w:after="60" w:line="276" w:lineRule="auto"/>
              <w:jc w:val="right"/>
            </w:pPr>
            <w:r w:rsidRPr="007650B8">
              <w:t xml:space="preserve">13.2 </w:t>
            </w:r>
          </w:p>
        </w:tc>
        <w:tc>
          <w:tcPr>
            <w:tcW w:w="1474" w:type="dxa"/>
            <w:gridSpan w:val="2"/>
          </w:tcPr>
          <w:p w14:paraId="22482575" w14:textId="3D53E84A" w:rsidR="0027155B" w:rsidRPr="007650B8" w:rsidRDefault="00C631A3" w:rsidP="003D20A4">
            <w:pPr>
              <w:spacing w:before="60" w:after="60" w:line="276" w:lineRule="auto"/>
            </w:pPr>
            <w:r>
              <w:t>(11.9, 14.6</w:t>
            </w:r>
            <w:r w:rsidR="0027155B" w:rsidRPr="007650B8">
              <w:t>)</w:t>
            </w:r>
          </w:p>
        </w:tc>
        <w:tc>
          <w:tcPr>
            <w:tcW w:w="679" w:type="dxa"/>
          </w:tcPr>
          <w:p w14:paraId="44D1B66C" w14:textId="77777777" w:rsidR="0027155B" w:rsidRPr="007650B8" w:rsidRDefault="0027155B" w:rsidP="003D20A4">
            <w:pPr>
              <w:spacing w:before="60" w:after="60" w:line="276" w:lineRule="auto"/>
              <w:jc w:val="right"/>
            </w:pPr>
            <w:r w:rsidRPr="007650B8">
              <w:t xml:space="preserve">11.3 </w:t>
            </w:r>
          </w:p>
        </w:tc>
        <w:tc>
          <w:tcPr>
            <w:tcW w:w="1474" w:type="dxa"/>
            <w:gridSpan w:val="2"/>
          </w:tcPr>
          <w:p w14:paraId="3C501A90" w14:textId="566E6E1E" w:rsidR="0027155B" w:rsidRPr="007650B8" w:rsidRDefault="00C631A3" w:rsidP="003D20A4">
            <w:pPr>
              <w:spacing w:before="60" w:after="60" w:line="276" w:lineRule="auto"/>
            </w:pPr>
            <w:r>
              <w:t>(9.5, 13.1</w:t>
            </w:r>
            <w:r w:rsidR="0027155B" w:rsidRPr="007650B8">
              <w:t>)</w:t>
            </w:r>
          </w:p>
        </w:tc>
        <w:tc>
          <w:tcPr>
            <w:tcW w:w="679" w:type="dxa"/>
          </w:tcPr>
          <w:p w14:paraId="6817CB2B" w14:textId="7B844267" w:rsidR="0027155B" w:rsidRPr="007650B8" w:rsidRDefault="00C631A3" w:rsidP="003D20A4">
            <w:pPr>
              <w:spacing w:before="60" w:after="60" w:line="276" w:lineRule="auto"/>
              <w:jc w:val="right"/>
            </w:pPr>
            <w:r>
              <w:t>14.8</w:t>
            </w:r>
            <w:r w:rsidR="0027155B" w:rsidRPr="007650B8">
              <w:t xml:space="preserve"> </w:t>
            </w:r>
          </w:p>
        </w:tc>
        <w:tc>
          <w:tcPr>
            <w:tcW w:w="1474" w:type="dxa"/>
            <w:gridSpan w:val="2"/>
          </w:tcPr>
          <w:p w14:paraId="73DA2E0C" w14:textId="1ADB4339" w:rsidR="0027155B" w:rsidRPr="007650B8" w:rsidRDefault="00C631A3" w:rsidP="003D20A4">
            <w:pPr>
              <w:spacing w:before="60" w:after="60" w:line="276" w:lineRule="auto"/>
            </w:pPr>
            <w:r>
              <w:t>(12.9, 16.7</w:t>
            </w:r>
            <w:r w:rsidR="0027155B" w:rsidRPr="007650B8">
              <w:t>)</w:t>
            </w:r>
          </w:p>
        </w:tc>
      </w:tr>
      <w:tr w:rsidR="0027155B" w:rsidRPr="007650B8" w14:paraId="1B41AA0B" w14:textId="77777777" w:rsidTr="004E77AD">
        <w:tc>
          <w:tcPr>
            <w:tcW w:w="4074" w:type="dxa"/>
          </w:tcPr>
          <w:p w14:paraId="7E705BA9" w14:textId="77777777" w:rsidR="0027155B" w:rsidRPr="007650B8" w:rsidRDefault="0027155B" w:rsidP="003D20A4">
            <w:pPr>
              <w:spacing w:before="60" w:after="240" w:line="276" w:lineRule="auto"/>
            </w:pPr>
            <w:r w:rsidRPr="007650B8">
              <w:rPr>
                <w:b/>
              </w:rPr>
              <w:t xml:space="preserve">Knee </w:t>
            </w:r>
            <w:r>
              <w:rPr>
                <w:b/>
              </w:rPr>
              <w:t>sR</w:t>
            </w:r>
            <w:r w:rsidRPr="007650B8">
              <w:rPr>
                <w:b/>
              </w:rPr>
              <w:t>OA (any)</w:t>
            </w:r>
          </w:p>
        </w:tc>
        <w:tc>
          <w:tcPr>
            <w:tcW w:w="679" w:type="dxa"/>
          </w:tcPr>
          <w:p w14:paraId="37795017" w14:textId="0FA61AD5" w:rsidR="0027155B" w:rsidRPr="007650B8" w:rsidRDefault="00C631A3" w:rsidP="003D20A4">
            <w:pPr>
              <w:spacing w:before="60" w:after="240" w:line="276" w:lineRule="auto"/>
              <w:jc w:val="right"/>
            </w:pPr>
            <w:r>
              <w:rPr>
                <w:b/>
              </w:rPr>
              <w:t>17.7</w:t>
            </w:r>
            <w:r w:rsidR="0027155B" w:rsidRPr="007650B8">
              <w:rPr>
                <w:b/>
              </w:rPr>
              <w:t xml:space="preserve"> </w:t>
            </w:r>
          </w:p>
        </w:tc>
        <w:tc>
          <w:tcPr>
            <w:tcW w:w="1474" w:type="dxa"/>
            <w:gridSpan w:val="2"/>
          </w:tcPr>
          <w:p w14:paraId="44025933" w14:textId="1FF2ACA6" w:rsidR="0027155B" w:rsidRPr="007650B8" w:rsidRDefault="00C631A3" w:rsidP="003D20A4">
            <w:pPr>
              <w:spacing w:before="60" w:after="240" w:line="276" w:lineRule="auto"/>
            </w:pPr>
            <w:r>
              <w:rPr>
                <w:b/>
              </w:rPr>
              <w:t>(16.3, 19.1</w:t>
            </w:r>
            <w:r w:rsidR="0027155B" w:rsidRPr="007650B8">
              <w:rPr>
                <w:b/>
              </w:rPr>
              <w:t>)</w:t>
            </w:r>
          </w:p>
        </w:tc>
        <w:tc>
          <w:tcPr>
            <w:tcW w:w="679" w:type="dxa"/>
          </w:tcPr>
          <w:p w14:paraId="2924C103" w14:textId="4B5B6266" w:rsidR="0027155B" w:rsidRPr="007650B8" w:rsidRDefault="008E45BD" w:rsidP="003D20A4">
            <w:pPr>
              <w:spacing w:before="60" w:after="240" w:line="276" w:lineRule="auto"/>
              <w:jc w:val="right"/>
            </w:pPr>
            <w:r>
              <w:rPr>
                <w:b/>
              </w:rPr>
              <w:t>16.0</w:t>
            </w:r>
            <w:r w:rsidR="0027155B" w:rsidRPr="007650B8">
              <w:rPr>
                <w:b/>
              </w:rPr>
              <w:t xml:space="preserve"> </w:t>
            </w:r>
          </w:p>
        </w:tc>
        <w:tc>
          <w:tcPr>
            <w:tcW w:w="1474" w:type="dxa"/>
            <w:gridSpan w:val="2"/>
          </w:tcPr>
          <w:p w14:paraId="020D4E82" w14:textId="507BD27D" w:rsidR="0027155B" w:rsidRPr="007650B8" w:rsidRDefault="008E45BD" w:rsidP="003D20A4">
            <w:pPr>
              <w:spacing w:before="60" w:after="240" w:line="276" w:lineRule="auto"/>
            </w:pPr>
            <w:r>
              <w:rPr>
                <w:b/>
              </w:rPr>
              <w:t>(14.0, 17.9</w:t>
            </w:r>
            <w:r w:rsidR="0027155B" w:rsidRPr="007650B8">
              <w:rPr>
                <w:b/>
              </w:rPr>
              <w:t>)</w:t>
            </w:r>
          </w:p>
        </w:tc>
        <w:tc>
          <w:tcPr>
            <w:tcW w:w="679" w:type="dxa"/>
          </w:tcPr>
          <w:p w14:paraId="53899077" w14:textId="6DDBA9BB" w:rsidR="0027155B" w:rsidRPr="007650B8" w:rsidRDefault="008E45BD" w:rsidP="003D20A4">
            <w:pPr>
              <w:spacing w:before="60" w:after="240" w:line="276" w:lineRule="auto"/>
              <w:jc w:val="right"/>
            </w:pPr>
            <w:r>
              <w:rPr>
                <w:b/>
              </w:rPr>
              <w:t>19.2</w:t>
            </w:r>
            <w:r w:rsidR="0027155B" w:rsidRPr="007650B8">
              <w:rPr>
                <w:b/>
              </w:rPr>
              <w:t xml:space="preserve"> </w:t>
            </w:r>
          </w:p>
        </w:tc>
        <w:tc>
          <w:tcPr>
            <w:tcW w:w="1474" w:type="dxa"/>
            <w:gridSpan w:val="2"/>
          </w:tcPr>
          <w:p w14:paraId="5F780AC2" w14:textId="2889A031" w:rsidR="0027155B" w:rsidRPr="007650B8" w:rsidRDefault="008E45BD" w:rsidP="003D20A4">
            <w:pPr>
              <w:spacing w:before="60" w:after="240" w:line="276" w:lineRule="auto"/>
            </w:pPr>
            <w:r>
              <w:rPr>
                <w:b/>
              </w:rPr>
              <w:t>(17.3, 21</w:t>
            </w:r>
            <w:r w:rsidR="0027155B" w:rsidRPr="007650B8">
              <w:rPr>
                <w:b/>
              </w:rPr>
              <w:t>.1)</w:t>
            </w:r>
          </w:p>
        </w:tc>
      </w:tr>
      <w:tr w:rsidR="0027155B" w:rsidRPr="007650B8" w14:paraId="65130ED7" w14:textId="77777777" w:rsidTr="004E77AD">
        <w:tc>
          <w:tcPr>
            <w:tcW w:w="4074" w:type="dxa"/>
          </w:tcPr>
          <w:p w14:paraId="41251B3F" w14:textId="191EF14E" w:rsidR="0027155B" w:rsidRPr="007650B8" w:rsidRDefault="0027155B" w:rsidP="003D20A4">
            <w:pPr>
              <w:spacing w:before="60" w:after="60" w:line="276" w:lineRule="auto"/>
            </w:pPr>
            <w:r w:rsidRPr="007650B8">
              <w:t>1</w:t>
            </w:r>
            <w:r w:rsidRPr="007650B8">
              <w:rPr>
                <w:vertAlign w:val="superscript"/>
              </w:rPr>
              <w:t>st</w:t>
            </w:r>
            <w:r w:rsidRPr="007650B8">
              <w:t xml:space="preserve"> carpometacarpal joint </w:t>
            </w:r>
            <w:r>
              <w:t>sR</w:t>
            </w:r>
            <w:r w:rsidRPr="007650B8">
              <w:t>OA</w:t>
            </w:r>
          </w:p>
        </w:tc>
        <w:tc>
          <w:tcPr>
            <w:tcW w:w="679" w:type="dxa"/>
          </w:tcPr>
          <w:p w14:paraId="47932304" w14:textId="3C43DC8A" w:rsidR="0027155B" w:rsidRPr="007650B8" w:rsidRDefault="008E45BD" w:rsidP="003D20A4">
            <w:pPr>
              <w:spacing w:before="60" w:after="60" w:line="276" w:lineRule="auto"/>
              <w:jc w:val="right"/>
            </w:pPr>
            <w:r>
              <w:rPr>
                <w:rFonts w:cs="Calibri"/>
              </w:rPr>
              <w:t>15.8</w:t>
            </w:r>
            <w:r w:rsidR="0027155B" w:rsidRPr="007650B8">
              <w:rPr>
                <w:rFonts w:cs="Calibri"/>
              </w:rPr>
              <w:t xml:space="preserve"> </w:t>
            </w:r>
          </w:p>
        </w:tc>
        <w:tc>
          <w:tcPr>
            <w:tcW w:w="1474" w:type="dxa"/>
            <w:gridSpan w:val="2"/>
          </w:tcPr>
          <w:p w14:paraId="72B33634" w14:textId="40719A01" w:rsidR="0027155B" w:rsidRPr="007650B8" w:rsidRDefault="008E45BD" w:rsidP="003D20A4">
            <w:pPr>
              <w:spacing w:before="60" w:after="60" w:line="276" w:lineRule="auto"/>
            </w:pPr>
            <w:r>
              <w:rPr>
                <w:rFonts w:cs="Calibri"/>
              </w:rPr>
              <w:t>(14.2, 17.5</w:t>
            </w:r>
            <w:r w:rsidR="0027155B" w:rsidRPr="007650B8">
              <w:rPr>
                <w:rFonts w:cs="Calibri"/>
              </w:rPr>
              <w:t>)</w:t>
            </w:r>
          </w:p>
        </w:tc>
        <w:tc>
          <w:tcPr>
            <w:tcW w:w="679" w:type="dxa"/>
          </w:tcPr>
          <w:p w14:paraId="60335C5A" w14:textId="7926C3CF" w:rsidR="0027155B" w:rsidRPr="007650B8" w:rsidRDefault="008E647C" w:rsidP="003D20A4">
            <w:pPr>
              <w:spacing w:before="60" w:after="60" w:line="276" w:lineRule="auto"/>
              <w:jc w:val="right"/>
            </w:pPr>
            <w:r>
              <w:rPr>
                <w:rFonts w:cs="Calibri"/>
              </w:rPr>
              <w:t>11.0</w:t>
            </w:r>
            <w:r w:rsidR="0027155B" w:rsidRPr="007650B8">
              <w:rPr>
                <w:rFonts w:cs="Calibri"/>
              </w:rPr>
              <w:t xml:space="preserve"> </w:t>
            </w:r>
          </w:p>
        </w:tc>
        <w:tc>
          <w:tcPr>
            <w:tcW w:w="1474" w:type="dxa"/>
            <w:gridSpan w:val="2"/>
          </w:tcPr>
          <w:p w14:paraId="2D6AE574" w14:textId="13628797" w:rsidR="0027155B" w:rsidRPr="007650B8" w:rsidRDefault="008E647C" w:rsidP="003D20A4">
            <w:pPr>
              <w:spacing w:before="60" w:after="60" w:line="276" w:lineRule="auto"/>
            </w:pPr>
            <w:r>
              <w:rPr>
                <w:rFonts w:cs="Calibri"/>
              </w:rPr>
              <w:t>(9.0, 13.1</w:t>
            </w:r>
            <w:r w:rsidR="0027155B" w:rsidRPr="007650B8">
              <w:rPr>
                <w:rFonts w:cs="Calibri"/>
              </w:rPr>
              <w:t>)</w:t>
            </w:r>
          </w:p>
        </w:tc>
        <w:tc>
          <w:tcPr>
            <w:tcW w:w="679" w:type="dxa"/>
          </w:tcPr>
          <w:p w14:paraId="78F1572C" w14:textId="65BBE8D5" w:rsidR="0027155B" w:rsidRPr="007650B8" w:rsidRDefault="008E647C" w:rsidP="003D20A4">
            <w:pPr>
              <w:spacing w:before="60" w:after="60" w:line="276" w:lineRule="auto"/>
              <w:jc w:val="right"/>
            </w:pPr>
            <w:r>
              <w:rPr>
                <w:rFonts w:cs="Calibri"/>
              </w:rPr>
              <w:t>20.1</w:t>
            </w:r>
            <w:r w:rsidR="0027155B" w:rsidRPr="007650B8">
              <w:rPr>
                <w:rFonts w:cs="Calibri"/>
              </w:rPr>
              <w:t xml:space="preserve"> </w:t>
            </w:r>
          </w:p>
        </w:tc>
        <w:tc>
          <w:tcPr>
            <w:tcW w:w="1474" w:type="dxa"/>
            <w:gridSpan w:val="2"/>
          </w:tcPr>
          <w:p w14:paraId="5DAA307D" w14:textId="61A7D484" w:rsidR="0027155B" w:rsidRPr="007650B8" w:rsidRDefault="008E647C" w:rsidP="003D20A4">
            <w:pPr>
              <w:spacing w:before="60" w:after="60" w:line="276" w:lineRule="auto"/>
            </w:pPr>
            <w:r>
              <w:rPr>
                <w:rFonts w:cs="Calibri"/>
              </w:rPr>
              <w:t>(17.8, 22.5</w:t>
            </w:r>
            <w:r w:rsidR="0027155B" w:rsidRPr="007650B8">
              <w:rPr>
                <w:rFonts w:cs="Calibri"/>
              </w:rPr>
              <w:t>)</w:t>
            </w:r>
          </w:p>
        </w:tc>
      </w:tr>
      <w:tr w:rsidR="0027155B" w:rsidRPr="007650B8" w14:paraId="4D24D7AB" w14:textId="77777777" w:rsidTr="004E77AD">
        <w:tc>
          <w:tcPr>
            <w:tcW w:w="4074" w:type="dxa"/>
          </w:tcPr>
          <w:p w14:paraId="272D295F" w14:textId="1B7A0C33" w:rsidR="0027155B" w:rsidRPr="007650B8" w:rsidRDefault="00426AF8" w:rsidP="003D20A4">
            <w:pPr>
              <w:spacing w:before="60" w:after="60" w:line="276" w:lineRule="auto"/>
            </w:pPr>
            <w:r>
              <w:t xml:space="preserve"> </w:t>
            </w:r>
            <w:r w:rsidR="0027155B" w:rsidRPr="007650B8">
              <w:t xml:space="preserve">Nodal interphalangeal joint </w:t>
            </w:r>
            <w:r w:rsidR="0027155B">
              <w:t>sR</w:t>
            </w:r>
            <w:r w:rsidR="0027155B" w:rsidRPr="007650B8">
              <w:t>OA</w:t>
            </w:r>
          </w:p>
        </w:tc>
        <w:tc>
          <w:tcPr>
            <w:tcW w:w="679" w:type="dxa"/>
          </w:tcPr>
          <w:p w14:paraId="0A98DE22" w14:textId="05A9DF89" w:rsidR="0027155B" w:rsidRPr="007650B8" w:rsidRDefault="008E647C" w:rsidP="003D20A4">
            <w:pPr>
              <w:spacing w:before="60" w:after="60" w:line="276" w:lineRule="auto"/>
              <w:jc w:val="right"/>
            </w:pPr>
            <w:r>
              <w:rPr>
                <w:rFonts w:cs="Calibri"/>
              </w:rPr>
              <w:t>10.7</w:t>
            </w:r>
            <w:r w:rsidR="0027155B" w:rsidRPr="007650B8">
              <w:rPr>
                <w:rFonts w:cs="Calibri"/>
              </w:rPr>
              <w:t xml:space="preserve"> </w:t>
            </w:r>
          </w:p>
        </w:tc>
        <w:tc>
          <w:tcPr>
            <w:tcW w:w="1474" w:type="dxa"/>
            <w:gridSpan w:val="2"/>
          </w:tcPr>
          <w:p w14:paraId="258E6FCE" w14:textId="04EBD86F" w:rsidR="0027155B" w:rsidRPr="007650B8" w:rsidRDefault="008E647C" w:rsidP="003D20A4">
            <w:pPr>
              <w:spacing w:before="60" w:after="60" w:line="276" w:lineRule="auto"/>
            </w:pPr>
            <w:r>
              <w:rPr>
                <w:rFonts w:cs="Calibri"/>
              </w:rPr>
              <w:t>(9.2, 12.1</w:t>
            </w:r>
            <w:r w:rsidR="0027155B" w:rsidRPr="007650B8">
              <w:rPr>
                <w:rFonts w:cs="Calibri"/>
              </w:rPr>
              <w:t>)</w:t>
            </w:r>
          </w:p>
        </w:tc>
        <w:tc>
          <w:tcPr>
            <w:tcW w:w="679" w:type="dxa"/>
          </w:tcPr>
          <w:p w14:paraId="6464072D" w14:textId="2AC8FA63" w:rsidR="0027155B" w:rsidRPr="007650B8" w:rsidRDefault="008E65D7" w:rsidP="003D20A4">
            <w:pPr>
              <w:spacing w:before="60" w:after="60" w:line="276" w:lineRule="auto"/>
              <w:jc w:val="right"/>
            </w:pPr>
            <w:r>
              <w:rPr>
                <w:rFonts w:cs="Calibri"/>
              </w:rPr>
              <w:t>6.0</w:t>
            </w:r>
            <w:r w:rsidR="0027155B" w:rsidRPr="007650B8">
              <w:rPr>
                <w:rFonts w:cs="Calibri"/>
              </w:rPr>
              <w:t xml:space="preserve"> </w:t>
            </w:r>
          </w:p>
        </w:tc>
        <w:tc>
          <w:tcPr>
            <w:tcW w:w="1474" w:type="dxa"/>
            <w:gridSpan w:val="2"/>
          </w:tcPr>
          <w:p w14:paraId="6C744547" w14:textId="1F1D5508" w:rsidR="0027155B" w:rsidRPr="007650B8" w:rsidRDefault="008E65D7" w:rsidP="003D20A4">
            <w:pPr>
              <w:spacing w:before="60" w:after="60" w:line="276" w:lineRule="auto"/>
            </w:pPr>
            <w:r>
              <w:rPr>
                <w:rFonts w:cs="Calibri"/>
              </w:rPr>
              <w:t>(4.3</w:t>
            </w:r>
            <w:r w:rsidR="0027155B" w:rsidRPr="007650B8">
              <w:rPr>
                <w:rFonts w:cs="Calibri"/>
              </w:rPr>
              <w:t>, 7.6)</w:t>
            </w:r>
          </w:p>
        </w:tc>
        <w:tc>
          <w:tcPr>
            <w:tcW w:w="679" w:type="dxa"/>
          </w:tcPr>
          <w:p w14:paraId="43929F44" w14:textId="7EEABF26" w:rsidR="0027155B" w:rsidRPr="007650B8" w:rsidRDefault="008E65D7" w:rsidP="003D20A4">
            <w:pPr>
              <w:spacing w:before="60" w:after="60" w:line="276" w:lineRule="auto"/>
              <w:jc w:val="right"/>
            </w:pPr>
            <w:r>
              <w:rPr>
                <w:rFonts w:cs="Calibri"/>
              </w:rPr>
              <w:t>14.8</w:t>
            </w:r>
            <w:r w:rsidR="0027155B" w:rsidRPr="007650B8">
              <w:rPr>
                <w:rFonts w:cs="Calibri"/>
              </w:rPr>
              <w:t xml:space="preserve"> </w:t>
            </w:r>
          </w:p>
        </w:tc>
        <w:tc>
          <w:tcPr>
            <w:tcW w:w="1474" w:type="dxa"/>
            <w:gridSpan w:val="2"/>
          </w:tcPr>
          <w:p w14:paraId="6AF4D1E3" w14:textId="5A60312D" w:rsidR="0027155B" w:rsidRPr="007650B8" w:rsidRDefault="008E65D7" w:rsidP="003D20A4">
            <w:pPr>
              <w:spacing w:before="60" w:after="60" w:line="276" w:lineRule="auto"/>
            </w:pPr>
            <w:r>
              <w:rPr>
                <w:rFonts w:cs="Calibri"/>
              </w:rPr>
              <w:t>(12.8, 16.9</w:t>
            </w:r>
            <w:r w:rsidR="0027155B" w:rsidRPr="007650B8">
              <w:rPr>
                <w:rFonts w:cs="Calibri"/>
              </w:rPr>
              <w:t>)</w:t>
            </w:r>
          </w:p>
        </w:tc>
      </w:tr>
      <w:tr w:rsidR="0027155B" w:rsidRPr="007650B8" w14:paraId="51BC4CDC" w14:textId="77777777" w:rsidTr="004E77AD">
        <w:tc>
          <w:tcPr>
            <w:tcW w:w="4074" w:type="dxa"/>
          </w:tcPr>
          <w:p w14:paraId="19728BAC" w14:textId="4F697353" w:rsidR="0027155B" w:rsidRPr="007650B8" w:rsidRDefault="0027155B" w:rsidP="003D20A4">
            <w:pPr>
              <w:spacing w:before="60" w:after="60" w:line="276" w:lineRule="auto"/>
            </w:pPr>
            <w:r w:rsidRPr="007650B8">
              <w:t xml:space="preserve"> Non-nodal interphalangeal joint </w:t>
            </w:r>
            <w:r>
              <w:t>sR</w:t>
            </w:r>
            <w:r w:rsidRPr="007650B8">
              <w:t>OA</w:t>
            </w:r>
          </w:p>
        </w:tc>
        <w:tc>
          <w:tcPr>
            <w:tcW w:w="679" w:type="dxa"/>
          </w:tcPr>
          <w:p w14:paraId="5A650313" w14:textId="1692BF46" w:rsidR="0027155B" w:rsidRPr="007650B8" w:rsidRDefault="008E65D7" w:rsidP="003D20A4">
            <w:pPr>
              <w:spacing w:before="60" w:after="60" w:line="276" w:lineRule="auto"/>
              <w:jc w:val="right"/>
            </w:pPr>
            <w:r>
              <w:rPr>
                <w:rFonts w:cs="Calibri"/>
              </w:rPr>
              <w:t>3.0</w:t>
            </w:r>
            <w:r w:rsidR="0027155B" w:rsidRPr="007650B8">
              <w:rPr>
                <w:rFonts w:cs="Calibri"/>
              </w:rPr>
              <w:t xml:space="preserve"> </w:t>
            </w:r>
          </w:p>
        </w:tc>
        <w:tc>
          <w:tcPr>
            <w:tcW w:w="1474" w:type="dxa"/>
            <w:gridSpan w:val="2"/>
          </w:tcPr>
          <w:p w14:paraId="7033D594" w14:textId="4E8E922F" w:rsidR="0027155B" w:rsidRPr="007650B8" w:rsidRDefault="008E65D7" w:rsidP="003D20A4">
            <w:pPr>
              <w:spacing w:before="60" w:after="60" w:line="276" w:lineRule="auto"/>
            </w:pPr>
            <w:r>
              <w:rPr>
                <w:rFonts w:cs="Calibri"/>
              </w:rPr>
              <w:t>(2.0, 4.0</w:t>
            </w:r>
            <w:r w:rsidR="0027155B" w:rsidRPr="007650B8">
              <w:rPr>
                <w:rFonts w:cs="Calibri"/>
              </w:rPr>
              <w:t>)</w:t>
            </w:r>
          </w:p>
        </w:tc>
        <w:tc>
          <w:tcPr>
            <w:tcW w:w="679" w:type="dxa"/>
          </w:tcPr>
          <w:p w14:paraId="0F957B44" w14:textId="51C0E6C2" w:rsidR="0027155B" w:rsidRPr="007650B8" w:rsidRDefault="008E65D7" w:rsidP="003D20A4">
            <w:pPr>
              <w:spacing w:before="60" w:after="60" w:line="276" w:lineRule="auto"/>
              <w:jc w:val="right"/>
            </w:pPr>
            <w:r>
              <w:rPr>
                <w:rFonts w:cs="Calibri"/>
              </w:rPr>
              <w:t>2.9</w:t>
            </w:r>
            <w:r w:rsidR="0027155B" w:rsidRPr="007650B8">
              <w:rPr>
                <w:rFonts w:cs="Calibri"/>
              </w:rPr>
              <w:t xml:space="preserve"> </w:t>
            </w:r>
          </w:p>
        </w:tc>
        <w:tc>
          <w:tcPr>
            <w:tcW w:w="1474" w:type="dxa"/>
            <w:gridSpan w:val="2"/>
          </w:tcPr>
          <w:p w14:paraId="74A693C7" w14:textId="54157AF2" w:rsidR="0027155B" w:rsidRPr="007650B8" w:rsidRDefault="008E65D7" w:rsidP="003D20A4">
            <w:pPr>
              <w:spacing w:before="60" w:after="60" w:line="276" w:lineRule="auto"/>
            </w:pPr>
            <w:r>
              <w:rPr>
                <w:rFonts w:cs="Calibri"/>
              </w:rPr>
              <w:t>(1.7, 4.2</w:t>
            </w:r>
            <w:r w:rsidR="0027155B" w:rsidRPr="007650B8">
              <w:rPr>
                <w:rFonts w:cs="Calibri"/>
              </w:rPr>
              <w:t>)</w:t>
            </w:r>
          </w:p>
        </w:tc>
        <w:tc>
          <w:tcPr>
            <w:tcW w:w="679" w:type="dxa"/>
          </w:tcPr>
          <w:p w14:paraId="35801C59" w14:textId="34004F92" w:rsidR="0027155B" w:rsidRPr="007650B8" w:rsidRDefault="008E65D7" w:rsidP="003D20A4">
            <w:pPr>
              <w:spacing w:before="60" w:after="60" w:line="276" w:lineRule="auto"/>
              <w:jc w:val="right"/>
            </w:pPr>
            <w:r>
              <w:rPr>
                <w:rFonts w:cs="Calibri"/>
              </w:rPr>
              <w:t>3.1</w:t>
            </w:r>
            <w:r w:rsidR="0027155B" w:rsidRPr="007650B8">
              <w:rPr>
                <w:rFonts w:cs="Calibri"/>
              </w:rPr>
              <w:t xml:space="preserve"> </w:t>
            </w:r>
          </w:p>
        </w:tc>
        <w:tc>
          <w:tcPr>
            <w:tcW w:w="1474" w:type="dxa"/>
            <w:gridSpan w:val="2"/>
          </w:tcPr>
          <w:p w14:paraId="0ECC6145" w14:textId="2B0F8260" w:rsidR="0027155B" w:rsidRPr="007650B8" w:rsidRDefault="008E65D7" w:rsidP="003D20A4">
            <w:pPr>
              <w:spacing w:before="60" w:after="60" w:line="276" w:lineRule="auto"/>
            </w:pPr>
            <w:r>
              <w:rPr>
                <w:rFonts w:cs="Calibri"/>
              </w:rPr>
              <w:t>(1.7, 4.4</w:t>
            </w:r>
            <w:r w:rsidR="0027155B" w:rsidRPr="007650B8">
              <w:rPr>
                <w:rFonts w:cs="Calibri"/>
              </w:rPr>
              <w:t>)</w:t>
            </w:r>
          </w:p>
        </w:tc>
      </w:tr>
      <w:tr w:rsidR="0027155B" w:rsidRPr="007650B8" w14:paraId="2E8066E5" w14:textId="77777777" w:rsidTr="004E77AD">
        <w:tc>
          <w:tcPr>
            <w:tcW w:w="4074" w:type="dxa"/>
          </w:tcPr>
          <w:p w14:paraId="3FDD87FC" w14:textId="531BF395" w:rsidR="0027155B" w:rsidRPr="007650B8" w:rsidRDefault="0027155B" w:rsidP="003D20A4">
            <w:pPr>
              <w:spacing w:before="60" w:after="60" w:line="276" w:lineRule="auto"/>
            </w:pPr>
            <w:r w:rsidRPr="007650B8">
              <w:t xml:space="preserve">Interphalangeal joint </w:t>
            </w:r>
            <w:r>
              <w:t>sR</w:t>
            </w:r>
            <w:r w:rsidRPr="007650B8">
              <w:t>OA</w:t>
            </w:r>
          </w:p>
        </w:tc>
        <w:tc>
          <w:tcPr>
            <w:tcW w:w="679" w:type="dxa"/>
          </w:tcPr>
          <w:p w14:paraId="30B6B640" w14:textId="554F1C51" w:rsidR="0027155B" w:rsidRPr="007650B8" w:rsidRDefault="00A7206A" w:rsidP="003D20A4">
            <w:pPr>
              <w:spacing w:before="60" w:after="60" w:line="276" w:lineRule="auto"/>
              <w:jc w:val="right"/>
              <w:rPr>
                <w:rFonts w:cs="Calibri"/>
              </w:rPr>
            </w:pPr>
            <w:r>
              <w:rPr>
                <w:rFonts w:cs="Calibri"/>
              </w:rPr>
              <w:t>13.2</w:t>
            </w:r>
            <w:r w:rsidR="0027155B" w:rsidRPr="007650B8">
              <w:rPr>
                <w:rFonts w:cs="Calibri"/>
              </w:rPr>
              <w:t xml:space="preserve"> </w:t>
            </w:r>
          </w:p>
        </w:tc>
        <w:tc>
          <w:tcPr>
            <w:tcW w:w="1474" w:type="dxa"/>
            <w:gridSpan w:val="2"/>
          </w:tcPr>
          <w:p w14:paraId="6C7A77B6" w14:textId="23346D2C" w:rsidR="0027155B" w:rsidRPr="007650B8" w:rsidRDefault="00A7206A" w:rsidP="003D20A4">
            <w:pPr>
              <w:spacing w:before="60" w:after="60" w:line="276" w:lineRule="auto"/>
              <w:rPr>
                <w:rFonts w:cs="Calibri"/>
              </w:rPr>
            </w:pPr>
            <w:r>
              <w:rPr>
                <w:rFonts w:cs="Calibri"/>
              </w:rPr>
              <w:t>(11.9, 14.6</w:t>
            </w:r>
            <w:r w:rsidR="0027155B" w:rsidRPr="007650B8">
              <w:rPr>
                <w:rFonts w:cs="Calibri"/>
              </w:rPr>
              <w:t>)</w:t>
            </w:r>
          </w:p>
        </w:tc>
        <w:tc>
          <w:tcPr>
            <w:tcW w:w="679" w:type="dxa"/>
          </w:tcPr>
          <w:p w14:paraId="314F5F61" w14:textId="12E42FD8" w:rsidR="0027155B" w:rsidRPr="007650B8" w:rsidRDefault="00A7206A" w:rsidP="003D20A4">
            <w:pPr>
              <w:spacing w:before="60" w:after="60" w:line="276" w:lineRule="auto"/>
              <w:jc w:val="right"/>
              <w:rPr>
                <w:rFonts w:cs="Calibri"/>
              </w:rPr>
            </w:pPr>
            <w:r>
              <w:rPr>
                <w:rFonts w:cs="Calibri"/>
              </w:rPr>
              <w:t>8.6</w:t>
            </w:r>
            <w:r w:rsidR="0027155B" w:rsidRPr="007650B8">
              <w:rPr>
                <w:rFonts w:cs="Calibri"/>
              </w:rPr>
              <w:t xml:space="preserve"> </w:t>
            </w:r>
          </w:p>
        </w:tc>
        <w:tc>
          <w:tcPr>
            <w:tcW w:w="1474" w:type="dxa"/>
            <w:gridSpan w:val="2"/>
          </w:tcPr>
          <w:p w14:paraId="4D0AD332" w14:textId="0B30E437" w:rsidR="0027155B" w:rsidRPr="007650B8" w:rsidRDefault="00A7206A" w:rsidP="003D20A4">
            <w:pPr>
              <w:spacing w:before="60" w:after="60" w:line="276" w:lineRule="auto"/>
              <w:rPr>
                <w:rFonts w:cs="Calibri"/>
              </w:rPr>
            </w:pPr>
            <w:r>
              <w:rPr>
                <w:rFonts w:cs="Calibri"/>
              </w:rPr>
              <w:t>(6</w:t>
            </w:r>
            <w:r w:rsidR="0027155B" w:rsidRPr="007650B8">
              <w:rPr>
                <w:rFonts w:cs="Calibri"/>
              </w:rPr>
              <w:t>.9, 10.4)</w:t>
            </w:r>
          </w:p>
        </w:tc>
        <w:tc>
          <w:tcPr>
            <w:tcW w:w="679" w:type="dxa"/>
          </w:tcPr>
          <w:p w14:paraId="3354FF87" w14:textId="0AE38EEE" w:rsidR="0027155B" w:rsidRPr="007650B8" w:rsidRDefault="00A7206A" w:rsidP="003D20A4">
            <w:pPr>
              <w:spacing w:before="60" w:after="60" w:line="276" w:lineRule="auto"/>
              <w:jc w:val="right"/>
              <w:rPr>
                <w:rFonts w:cs="Calibri"/>
              </w:rPr>
            </w:pPr>
            <w:r>
              <w:rPr>
                <w:rFonts w:cs="Calibri"/>
              </w:rPr>
              <w:t>17.3</w:t>
            </w:r>
            <w:r w:rsidR="0027155B" w:rsidRPr="007650B8">
              <w:rPr>
                <w:rFonts w:cs="Calibri"/>
              </w:rPr>
              <w:t xml:space="preserve"> </w:t>
            </w:r>
          </w:p>
        </w:tc>
        <w:tc>
          <w:tcPr>
            <w:tcW w:w="1474" w:type="dxa"/>
            <w:gridSpan w:val="2"/>
          </w:tcPr>
          <w:p w14:paraId="5EDBBA21" w14:textId="38546A3D" w:rsidR="0027155B" w:rsidRPr="007650B8" w:rsidRDefault="00A7206A" w:rsidP="003D20A4">
            <w:pPr>
              <w:spacing w:before="60" w:after="60" w:line="276" w:lineRule="auto"/>
              <w:rPr>
                <w:rFonts w:cs="Calibri"/>
              </w:rPr>
            </w:pPr>
            <w:r>
              <w:rPr>
                <w:rFonts w:cs="Calibri"/>
              </w:rPr>
              <w:t>(15.4, 19.2</w:t>
            </w:r>
            <w:r w:rsidR="0027155B" w:rsidRPr="007650B8">
              <w:rPr>
                <w:rFonts w:cs="Calibri"/>
              </w:rPr>
              <w:t>)</w:t>
            </w:r>
          </w:p>
        </w:tc>
      </w:tr>
      <w:tr w:rsidR="0027155B" w:rsidRPr="007650B8" w14:paraId="4A8D4FC1" w14:textId="77777777" w:rsidTr="004E77AD">
        <w:tc>
          <w:tcPr>
            <w:tcW w:w="4074" w:type="dxa"/>
          </w:tcPr>
          <w:p w14:paraId="0EF8300B" w14:textId="725C8872" w:rsidR="0027155B" w:rsidRPr="007650B8" w:rsidRDefault="0027155B" w:rsidP="003D20A4">
            <w:pPr>
              <w:spacing w:before="60" w:after="60" w:line="276" w:lineRule="auto"/>
            </w:pPr>
            <w:r w:rsidRPr="007650B8">
              <w:t xml:space="preserve">Generalised hand </w:t>
            </w:r>
            <w:r>
              <w:t>sR</w:t>
            </w:r>
            <w:r w:rsidRPr="007650B8">
              <w:t>OA</w:t>
            </w:r>
          </w:p>
        </w:tc>
        <w:tc>
          <w:tcPr>
            <w:tcW w:w="679" w:type="dxa"/>
          </w:tcPr>
          <w:p w14:paraId="6257C918" w14:textId="7CB85A58" w:rsidR="0027155B" w:rsidRPr="007650B8" w:rsidRDefault="00A7206A" w:rsidP="003D20A4">
            <w:pPr>
              <w:spacing w:before="60" w:after="60" w:line="276" w:lineRule="auto"/>
              <w:jc w:val="right"/>
            </w:pPr>
            <w:r>
              <w:rPr>
                <w:rFonts w:cs="Calibri"/>
              </w:rPr>
              <w:t>5.2</w:t>
            </w:r>
            <w:r w:rsidR="0027155B" w:rsidRPr="007650B8">
              <w:rPr>
                <w:rFonts w:cs="Calibri"/>
              </w:rPr>
              <w:t xml:space="preserve"> </w:t>
            </w:r>
          </w:p>
        </w:tc>
        <w:tc>
          <w:tcPr>
            <w:tcW w:w="1474" w:type="dxa"/>
            <w:gridSpan w:val="2"/>
          </w:tcPr>
          <w:p w14:paraId="5CCA9946" w14:textId="34E24FE9" w:rsidR="0027155B" w:rsidRPr="007650B8" w:rsidRDefault="00A7206A" w:rsidP="003D20A4">
            <w:pPr>
              <w:spacing w:before="60" w:after="60" w:line="276" w:lineRule="auto"/>
            </w:pPr>
            <w:r>
              <w:rPr>
                <w:rFonts w:cs="Calibri"/>
              </w:rPr>
              <w:t>(4.2, 6</w:t>
            </w:r>
            <w:r w:rsidR="0027155B" w:rsidRPr="007650B8">
              <w:rPr>
                <w:rFonts w:cs="Calibri"/>
              </w:rPr>
              <w:t>.3)</w:t>
            </w:r>
          </w:p>
        </w:tc>
        <w:tc>
          <w:tcPr>
            <w:tcW w:w="679" w:type="dxa"/>
          </w:tcPr>
          <w:p w14:paraId="6367006C" w14:textId="1D2D2660" w:rsidR="0027155B" w:rsidRPr="007650B8" w:rsidRDefault="00A7206A" w:rsidP="003D20A4">
            <w:pPr>
              <w:spacing w:before="60" w:after="60" w:line="276" w:lineRule="auto"/>
              <w:jc w:val="right"/>
            </w:pPr>
            <w:r>
              <w:rPr>
                <w:rFonts w:cs="Calibri"/>
              </w:rPr>
              <w:t>2.6</w:t>
            </w:r>
            <w:r w:rsidR="0027155B" w:rsidRPr="007650B8">
              <w:rPr>
                <w:rFonts w:cs="Calibri"/>
              </w:rPr>
              <w:t xml:space="preserve"> </w:t>
            </w:r>
          </w:p>
        </w:tc>
        <w:tc>
          <w:tcPr>
            <w:tcW w:w="1474" w:type="dxa"/>
            <w:gridSpan w:val="2"/>
          </w:tcPr>
          <w:p w14:paraId="018821F4" w14:textId="6B32C99B" w:rsidR="0027155B" w:rsidRPr="007650B8" w:rsidRDefault="00A7206A" w:rsidP="003D20A4">
            <w:pPr>
              <w:spacing w:before="60" w:after="60" w:line="276" w:lineRule="auto"/>
            </w:pPr>
            <w:r>
              <w:rPr>
                <w:rFonts w:cs="Calibri"/>
              </w:rPr>
              <w:t>(1.5</w:t>
            </w:r>
            <w:r w:rsidR="003D0C7E">
              <w:rPr>
                <w:rFonts w:cs="Calibri"/>
              </w:rPr>
              <w:t>, 3.7</w:t>
            </w:r>
            <w:r w:rsidR="0027155B" w:rsidRPr="007650B8">
              <w:rPr>
                <w:rFonts w:cs="Calibri"/>
              </w:rPr>
              <w:t>)</w:t>
            </w:r>
          </w:p>
        </w:tc>
        <w:tc>
          <w:tcPr>
            <w:tcW w:w="679" w:type="dxa"/>
          </w:tcPr>
          <w:p w14:paraId="5E8B44A3" w14:textId="771C227D" w:rsidR="0027155B" w:rsidRPr="007650B8" w:rsidRDefault="003D0C7E" w:rsidP="003D20A4">
            <w:pPr>
              <w:spacing w:before="60" w:after="60" w:line="276" w:lineRule="auto"/>
              <w:jc w:val="right"/>
            </w:pPr>
            <w:r>
              <w:rPr>
                <w:rFonts w:cs="Calibri"/>
              </w:rPr>
              <w:t>7.6</w:t>
            </w:r>
            <w:r w:rsidR="0027155B" w:rsidRPr="007650B8">
              <w:rPr>
                <w:rFonts w:cs="Calibri"/>
              </w:rPr>
              <w:t xml:space="preserve"> </w:t>
            </w:r>
          </w:p>
        </w:tc>
        <w:tc>
          <w:tcPr>
            <w:tcW w:w="1474" w:type="dxa"/>
            <w:gridSpan w:val="2"/>
          </w:tcPr>
          <w:p w14:paraId="1FD5077F" w14:textId="3A423B72" w:rsidR="0027155B" w:rsidRPr="007650B8" w:rsidRDefault="003D0C7E" w:rsidP="003D20A4">
            <w:pPr>
              <w:spacing w:before="60" w:after="60" w:line="276" w:lineRule="auto"/>
            </w:pPr>
            <w:r>
              <w:rPr>
                <w:rFonts w:cs="Calibri"/>
              </w:rPr>
              <w:t>(6.0, 9.1</w:t>
            </w:r>
            <w:r w:rsidR="0027155B" w:rsidRPr="007650B8">
              <w:rPr>
                <w:rFonts w:cs="Calibri"/>
              </w:rPr>
              <w:t>)</w:t>
            </w:r>
          </w:p>
        </w:tc>
      </w:tr>
      <w:tr w:rsidR="0027155B" w:rsidRPr="007650B8" w14:paraId="3D97B71B" w14:textId="77777777" w:rsidTr="004E77AD">
        <w:tc>
          <w:tcPr>
            <w:tcW w:w="4074" w:type="dxa"/>
          </w:tcPr>
          <w:p w14:paraId="2A3976EE" w14:textId="62EB7E24" w:rsidR="0027155B" w:rsidRPr="007650B8" w:rsidRDefault="0027155B" w:rsidP="003D20A4">
            <w:pPr>
              <w:spacing w:before="60" w:after="60" w:line="276" w:lineRule="auto"/>
            </w:pPr>
            <w:r w:rsidRPr="007650B8">
              <w:t xml:space="preserve">Erosive hand </w:t>
            </w:r>
            <w:r>
              <w:t>sR</w:t>
            </w:r>
            <w:r w:rsidRPr="007650B8">
              <w:t>OA</w:t>
            </w:r>
          </w:p>
        </w:tc>
        <w:tc>
          <w:tcPr>
            <w:tcW w:w="679" w:type="dxa"/>
          </w:tcPr>
          <w:p w14:paraId="79945DCD" w14:textId="0F55F169" w:rsidR="0027155B" w:rsidRPr="007650B8" w:rsidRDefault="003D0C7E" w:rsidP="003D20A4">
            <w:pPr>
              <w:spacing w:before="60" w:after="60" w:line="276" w:lineRule="auto"/>
              <w:jc w:val="right"/>
            </w:pPr>
            <w:r>
              <w:rPr>
                <w:rFonts w:cs="Calibri"/>
              </w:rPr>
              <w:t>2.0</w:t>
            </w:r>
            <w:r w:rsidR="0027155B" w:rsidRPr="007650B8">
              <w:rPr>
                <w:rFonts w:cs="Calibri"/>
              </w:rPr>
              <w:t xml:space="preserve"> </w:t>
            </w:r>
          </w:p>
        </w:tc>
        <w:tc>
          <w:tcPr>
            <w:tcW w:w="1474" w:type="dxa"/>
            <w:gridSpan w:val="2"/>
          </w:tcPr>
          <w:p w14:paraId="4BDF7D67" w14:textId="365D8A31" w:rsidR="0027155B" w:rsidRPr="007650B8" w:rsidRDefault="003D0C7E" w:rsidP="003D20A4">
            <w:pPr>
              <w:spacing w:before="60" w:after="60" w:line="276" w:lineRule="auto"/>
            </w:pPr>
            <w:r>
              <w:rPr>
                <w:rFonts w:cs="Calibri"/>
              </w:rPr>
              <w:t>(1.2</w:t>
            </w:r>
            <w:r w:rsidR="0027155B" w:rsidRPr="007650B8">
              <w:rPr>
                <w:rFonts w:cs="Calibri"/>
              </w:rPr>
              <w:t>, 2.8)</w:t>
            </w:r>
          </w:p>
        </w:tc>
        <w:tc>
          <w:tcPr>
            <w:tcW w:w="679" w:type="dxa"/>
          </w:tcPr>
          <w:p w14:paraId="57DAC30A" w14:textId="22DE45BB" w:rsidR="0027155B" w:rsidRPr="007650B8" w:rsidRDefault="003D0C7E" w:rsidP="003D20A4">
            <w:pPr>
              <w:spacing w:before="60" w:after="60" w:line="276" w:lineRule="auto"/>
              <w:jc w:val="right"/>
            </w:pPr>
            <w:r>
              <w:rPr>
                <w:rFonts w:cs="Calibri"/>
              </w:rPr>
              <w:t>0.6</w:t>
            </w:r>
            <w:r w:rsidR="0027155B" w:rsidRPr="007650B8">
              <w:rPr>
                <w:rFonts w:cs="Calibri"/>
              </w:rPr>
              <w:t xml:space="preserve"> </w:t>
            </w:r>
          </w:p>
        </w:tc>
        <w:tc>
          <w:tcPr>
            <w:tcW w:w="1474" w:type="dxa"/>
            <w:gridSpan w:val="2"/>
          </w:tcPr>
          <w:p w14:paraId="7E7942AD" w14:textId="6F8B5769" w:rsidR="0027155B" w:rsidRPr="007650B8" w:rsidRDefault="003D0C7E" w:rsidP="003D20A4">
            <w:pPr>
              <w:spacing w:before="60" w:after="60" w:line="276" w:lineRule="auto"/>
            </w:pPr>
            <w:r>
              <w:rPr>
                <w:rFonts w:cs="Calibri"/>
              </w:rPr>
              <w:t>(0.0, 1.2</w:t>
            </w:r>
            <w:r w:rsidR="0027155B" w:rsidRPr="007650B8">
              <w:rPr>
                <w:rFonts w:cs="Calibri"/>
              </w:rPr>
              <w:t>)</w:t>
            </w:r>
          </w:p>
        </w:tc>
        <w:tc>
          <w:tcPr>
            <w:tcW w:w="679" w:type="dxa"/>
          </w:tcPr>
          <w:p w14:paraId="0CFFE435" w14:textId="328B9AEE" w:rsidR="0027155B" w:rsidRPr="007650B8" w:rsidRDefault="003D0C7E" w:rsidP="003D20A4">
            <w:pPr>
              <w:spacing w:before="60" w:after="60" w:line="276" w:lineRule="auto"/>
              <w:jc w:val="right"/>
            </w:pPr>
            <w:r>
              <w:rPr>
                <w:rFonts w:cs="Calibri"/>
              </w:rPr>
              <w:t>3.3</w:t>
            </w:r>
            <w:r w:rsidR="0027155B" w:rsidRPr="007650B8">
              <w:rPr>
                <w:rFonts w:cs="Calibri"/>
              </w:rPr>
              <w:t xml:space="preserve"> </w:t>
            </w:r>
          </w:p>
        </w:tc>
        <w:tc>
          <w:tcPr>
            <w:tcW w:w="1474" w:type="dxa"/>
            <w:gridSpan w:val="2"/>
          </w:tcPr>
          <w:p w14:paraId="4FE27462" w14:textId="5FBDF7D0" w:rsidR="0027155B" w:rsidRPr="007650B8" w:rsidRDefault="003D0C7E" w:rsidP="003D20A4">
            <w:pPr>
              <w:spacing w:before="60" w:after="60" w:line="276" w:lineRule="auto"/>
            </w:pPr>
            <w:r>
              <w:rPr>
                <w:rFonts w:cs="Calibri"/>
              </w:rPr>
              <w:t>(2.0, 4.5</w:t>
            </w:r>
            <w:r w:rsidR="0027155B" w:rsidRPr="007650B8">
              <w:rPr>
                <w:rFonts w:cs="Calibri"/>
              </w:rPr>
              <w:t>)</w:t>
            </w:r>
          </w:p>
        </w:tc>
      </w:tr>
      <w:tr w:rsidR="0027155B" w:rsidRPr="007650B8" w14:paraId="5F808342" w14:textId="77777777" w:rsidTr="004E77AD">
        <w:tc>
          <w:tcPr>
            <w:tcW w:w="4074" w:type="dxa"/>
          </w:tcPr>
          <w:p w14:paraId="0058690B" w14:textId="77777777" w:rsidR="0027155B" w:rsidRPr="007650B8" w:rsidRDefault="0027155B" w:rsidP="003D20A4">
            <w:pPr>
              <w:spacing w:before="60" w:after="240" w:line="276" w:lineRule="auto"/>
            </w:pPr>
            <w:r w:rsidRPr="007650B8">
              <w:rPr>
                <w:b/>
              </w:rPr>
              <w:t xml:space="preserve">Hand </w:t>
            </w:r>
            <w:r>
              <w:rPr>
                <w:b/>
              </w:rPr>
              <w:t>sR</w:t>
            </w:r>
            <w:r w:rsidRPr="007650B8">
              <w:rPr>
                <w:b/>
              </w:rPr>
              <w:t>OA (any)</w:t>
            </w:r>
          </w:p>
        </w:tc>
        <w:tc>
          <w:tcPr>
            <w:tcW w:w="679" w:type="dxa"/>
          </w:tcPr>
          <w:p w14:paraId="5AC2837E" w14:textId="77777777" w:rsidR="0027155B" w:rsidRPr="007650B8" w:rsidRDefault="0027155B" w:rsidP="003D20A4">
            <w:pPr>
              <w:spacing w:before="60" w:after="240" w:line="276" w:lineRule="auto"/>
              <w:jc w:val="right"/>
              <w:rPr>
                <w:rFonts w:cs="Calibri"/>
              </w:rPr>
            </w:pPr>
            <w:r w:rsidRPr="007650B8">
              <w:rPr>
                <w:rFonts w:cs="Calibri"/>
                <w:b/>
              </w:rPr>
              <w:t xml:space="preserve">22.4 </w:t>
            </w:r>
          </w:p>
        </w:tc>
        <w:tc>
          <w:tcPr>
            <w:tcW w:w="1474" w:type="dxa"/>
            <w:gridSpan w:val="2"/>
          </w:tcPr>
          <w:p w14:paraId="733B50F6" w14:textId="37E0BD69" w:rsidR="0027155B" w:rsidRPr="007650B8" w:rsidRDefault="00AB4338" w:rsidP="003D20A4">
            <w:pPr>
              <w:spacing w:before="60" w:after="240" w:line="276" w:lineRule="auto"/>
              <w:rPr>
                <w:rFonts w:cs="Calibri"/>
              </w:rPr>
            </w:pPr>
            <w:r>
              <w:rPr>
                <w:rFonts w:cs="Calibri"/>
                <w:b/>
              </w:rPr>
              <w:t>(20.8, 24.0</w:t>
            </w:r>
            <w:r w:rsidR="0027155B" w:rsidRPr="007650B8">
              <w:rPr>
                <w:rFonts w:cs="Calibri"/>
                <w:b/>
              </w:rPr>
              <w:t>)</w:t>
            </w:r>
          </w:p>
        </w:tc>
        <w:tc>
          <w:tcPr>
            <w:tcW w:w="679" w:type="dxa"/>
          </w:tcPr>
          <w:p w14:paraId="459DF3F0" w14:textId="012BB5A9" w:rsidR="0027155B" w:rsidRPr="007650B8" w:rsidRDefault="00AB4338" w:rsidP="003D20A4">
            <w:pPr>
              <w:spacing w:before="60" w:after="240" w:line="276" w:lineRule="auto"/>
              <w:jc w:val="right"/>
              <w:rPr>
                <w:rFonts w:cs="Calibri"/>
              </w:rPr>
            </w:pPr>
            <w:r>
              <w:rPr>
                <w:rFonts w:cs="Calibri"/>
                <w:b/>
              </w:rPr>
              <w:t>16.1</w:t>
            </w:r>
            <w:r w:rsidR="0027155B" w:rsidRPr="007650B8">
              <w:rPr>
                <w:rFonts w:cs="Calibri"/>
                <w:b/>
              </w:rPr>
              <w:t xml:space="preserve"> </w:t>
            </w:r>
          </w:p>
        </w:tc>
        <w:tc>
          <w:tcPr>
            <w:tcW w:w="1474" w:type="dxa"/>
            <w:gridSpan w:val="2"/>
          </w:tcPr>
          <w:p w14:paraId="57A420B8" w14:textId="59F3CF3E" w:rsidR="0027155B" w:rsidRPr="007650B8" w:rsidRDefault="00AB4338" w:rsidP="003D20A4">
            <w:pPr>
              <w:spacing w:before="60" w:after="240" w:line="276" w:lineRule="auto"/>
              <w:rPr>
                <w:rFonts w:cs="Calibri"/>
              </w:rPr>
            </w:pPr>
            <w:r>
              <w:rPr>
                <w:rFonts w:cs="Calibri"/>
                <w:b/>
              </w:rPr>
              <w:t>(14</w:t>
            </w:r>
            <w:r w:rsidR="0027155B" w:rsidRPr="007650B8">
              <w:rPr>
                <w:rFonts w:cs="Calibri"/>
                <w:b/>
              </w:rPr>
              <w:t>.0, 18.3)</w:t>
            </w:r>
          </w:p>
        </w:tc>
        <w:tc>
          <w:tcPr>
            <w:tcW w:w="679" w:type="dxa"/>
          </w:tcPr>
          <w:p w14:paraId="4E880736" w14:textId="48885AD8" w:rsidR="0027155B" w:rsidRPr="007650B8" w:rsidRDefault="00AB4338" w:rsidP="003D20A4">
            <w:pPr>
              <w:spacing w:before="60" w:after="240" w:line="276" w:lineRule="auto"/>
              <w:jc w:val="right"/>
              <w:rPr>
                <w:rFonts w:cs="Calibri"/>
              </w:rPr>
            </w:pPr>
            <w:r>
              <w:rPr>
                <w:rFonts w:cs="Calibri"/>
                <w:b/>
              </w:rPr>
              <w:t>28.0</w:t>
            </w:r>
            <w:r w:rsidR="0027155B" w:rsidRPr="007650B8">
              <w:rPr>
                <w:rFonts w:cs="Calibri"/>
                <w:b/>
              </w:rPr>
              <w:t xml:space="preserve"> </w:t>
            </w:r>
          </w:p>
        </w:tc>
        <w:tc>
          <w:tcPr>
            <w:tcW w:w="1474" w:type="dxa"/>
            <w:gridSpan w:val="2"/>
          </w:tcPr>
          <w:p w14:paraId="538990B0" w14:textId="2145DEBE" w:rsidR="0027155B" w:rsidRPr="007650B8" w:rsidRDefault="00AB4338" w:rsidP="003D20A4">
            <w:pPr>
              <w:spacing w:before="60" w:after="240" w:line="276" w:lineRule="auto"/>
              <w:rPr>
                <w:rFonts w:cs="Calibri"/>
              </w:rPr>
            </w:pPr>
            <w:r>
              <w:rPr>
                <w:rFonts w:cs="Calibri"/>
                <w:b/>
              </w:rPr>
              <w:t>(25.6, 30</w:t>
            </w:r>
            <w:r w:rsidR="0027155B" w:rsidRPr="007650B8">
              <w:rPr>
                <w:rFonts w:cs="Calibri"/>
                <w:b/>
              </w:rPr>
              <w:t>.3)</w:t>
            </w:r>
          </w:p>
        </w:tc>
      </w:tr>
      <w:tr w:rsidR="0027155B" w:rsidRPr="007650B8" w14:paraId="305F1189" w14:textId="77777777" w:rsidTr="004E77AD">
        <w:tc>
          <w:tcPr>
            <w:tcW w:w="4074" w:type="dxa"/>
          </w:tcPr>
          <w:p w14:paraId="60385437" w14:textId="7F530750" w:rsidR="0027155B" w:rsidRPr="007650B8" w:rsidRDefault="0027155B" w:rsidP="003D20A4">
            <w:pPr>
              <w:spacing w:before="60" w:after="60" w:line="276" w:lineRule="auto"/>
            </w:pPr>
            <w:r w:rsidRPr="007650B8">
              <w:t>1</w:t>
            </w:r>
            <w:r w:rsidRPr="007650B8">
              <w:rPr>
                <w:vertAlign w:val="superscript"/>
              </w:rPr>
              <w:t>st</w:t>
            </w:r>
            <w:r w:rsidRPr="007650B8">
              <w:t xml:space="preserve"> metatarsophalangeal joint </w:t>
            </w:r>
            <w:r>
              <w:t>sR</w:t>
            </w:r>
            <w:r w:rsidRPr="007650B8">
              <w:t>OA</w:t>
            </w:r>
          </w:p>
        </w:tc>
        <w:tc>
          <w:tcPr>
            <w:tcW w:w="679" w:type="dxa"/>
          </w:tcPr>
          <w:p w14:paraId="6C03A8A1" w14:textId="54F1F97C" w:rsidR="0027155B" w:rsidRPr="007650B8" w:rsidRDefault="00AB4338" w:rsidP="003D20A4">
            <w:pPr>
              <w:spacing w:before="60" w:after="60" w:line="276" w:lineRule="auto"/>
              <w:jc w:val="right"/>
              <w:rPr>
                <w:rFonts w:cs="Calibri"/>
              </w:rPr>
            </w:pPr>
            <w:r>
              <w:rPr>
                <w:rFonts w:cstheme="majorHAnsi"/>
              </w:rPr>
              <w:t>8.0</w:t>
            </w:r>
            <w:r w:rsidR="0027155B" w:rsidRPr="007650B8">
              <w:rPr>
                <w:rFonts w:cstheme="majorHAnsi"/>
              </w:rPr>
              <w:t xml:space="preserve"> </w:t>
            </w:r>
          </w:p>
        </w:tc>
        <w:tc>
          <w:tcPr>
            <w:tcW w:w="1474" w:type="dxa"/>
            <w:gridSpan w:val="2"/>
          </w:tcPr>
          <w:p w14:paraId="636922D8" w14:textId="10C30B1C" w:rsidR="0027155B" w:rsidRPr="007650B8" w:rsidRDefault="00AB4338" w:rsidP="003D20A4">
            <w:pPr>
              <w:spacing w:before="60" w:after="60" w:line="276" w:lineRule="auto"/>
              <w:rPr>
                <w:rFonts w:cs="Calibri"/>
              </w:rPr>
            </w:pPr>
            <w:r>
              <w:rPr>
                <w:rFonts w:cstheme="majorHAnsi"/>
              </w:rPr>
              <w:t>(6.7, 9.2</w:t>
            </w:r>
            <w:r w:rsidR="0027155B" w:rsidRPr="007650B8">
              <w:rPr>
                <w:rFonts w:cstheme="majorHAnsi"/>
              </w:rPr>
              <w:t>)</w:t>
            </w:r>
          </w:p>
        </w:tc>
        <w:tc>
          <w:tcPr>
            <w:tcW w:w="679" w:type="dxa"/>
          </w:tcPr>
          <w:p w14:paraId="536AAA22" w14:textId="52AB81E5" w:rsidR="0027155B" w:rsidRPr="007650B8" w:rsidRDefault="00AB4338" w:rsidP="003D20A4">
            <w:pPr>
              <w:spacing w:before="60" w:after="60" w:line="276" w:lineRule="auto"/>
              <w:jc w:val="right"/>
              <w:rPr>
                <w:rFonts w:cs="Calibri"/>
              </w:rPr>
            </w:pPr>
            <w:r>
              <w:rPr>
                <w:rFonts w:cstheme="majorHAnsi"/>
              </w:rPr>
              <w:t>6.8</w:t>
            </w:r>
            <w:r w:rsidR="0027155B" w:rsidRPr="007650B8">
              <w:rPr>
                <w:rFonts w:cstheme="majorHAnsi"/>
              </w:rPr>
              <w:t xml:space="preserve"> </w:t>
            </w:r>
          </w:p>
        </w:tc>
        <w:tc>
          <w:tcPr>
            <w:tcW w:w="1474" w:type="dxa"/>
            <w:gridSpan w:val="2"/>
          </w:tcPr>
          <w:p w14:paraId="3E0DC93F" w14:textId="4BE97595" w:rsidR="0027155B" w:rsidRPr="007650B8" w:rsidRDefault="00AB4338" w:rsidP="003D20A4">
            <w:pPr>
              <w:spacing w:before="60" w:after="60" w:line="276" w:lineRule="auto"/>
              <w:rPr>
                <w:rFonts w:cs="Calibri"/>
              </w:rPr>
            </w:pPr>
            <w:r>
              <w:rPr>
                <w:rFonts w:cstheme="majorHAnsi"/>
              </w:rPr>
              <w:t>(5.4, 8.2</w:t>
            </w:r>
            <w:r w:rsidR="0027155B" w:rsidRPr="007650B8">
              <w:rPr>
                <w:rFonts w:cstheme="majorHAnsi"/>
              </w:rPr>
              <w:t>)</w:t>
            </w:r>
          </w:p>
        </w:tc>
        <w:tc>
          <w:tcPr>
            <w:tcW w:w="679" w:type="dxa"/>
          </w:tcPr>
          <w:p w14:paraId="31EE4922" w14:textId="1E576286" w:rsidR="0027155B" w:rsidRPr="007650B8" w:rsidRDefault="00AB4338" w:rsidP="003D20A4">
            <w:pPr>
              <w:spacing w:before="60" w:after="60" w:line="276" w:lineRule="auto"/>
              <w:jc w:val="right"/>
              <w:rPr>
                <w:rFonts w:cs="Calibri"/>
              </w:rPr>
            </w:pPr>
            <w:r>
              <w:rPr>
                <w:rFonts w:cstheme="majorHAnsi"/>
              </w:rPr>
              <w:t>9.1</w:t>
            </w:r>
            <w:r w:rsidR="0027155B" w:rsidRPr="007650B8">
              <w:rPr>
                <w:rFonts w:cstheme="majorHAnsi"/>
              </w:rPr>
              <w:t xml:space="preserve"> </w:t>
            </w:r>
          </w:p>
        </w:tc>
        <w:tc>
          <w:tcPr>
            <w:tcW w:w="1474" w:type="dxa"/>
            <w:gridSpan w:val="2"/>
          </w:tcPr>
          <w:p w14:paraId="1D786FA0" w14:textId="0EBEDF1B" w:rsidR="0027155B" w:rsidRPr="007650B8" w:rsidRDefault="00AB4338" w:rsidP="003D20A4">
            <w:pPr>
              <w:spacing w:before="60" w:after="60" w:line="276" w:lineRule="auto"/>
              <w:rPr>
                <w:rFonts w:cs="Calibri"/>
              </w:rPr>
            </w:pPr>
            <w:r>
              <w:rPr>
                <w:rFonts w:cstheme="majorHAnsi"/>
              </w:rPr>
              <w:t>(7.3, 10.9</w:t>
            </w:r>
            <w:r w:rsidR="0027155B" w:rsidRPr="007650B8">
              <w:rPr>
                <w:rFonts w:cstheme="majorHAnsi"/>
              </w:rPr>
              <w:t>)</w:t>
            </w:r>
          </w:p>
        </w:tc>
      </w:tr>
      <w:tr w:rsidR="0027155B" w:rsidRPr="007650B8" w14:paraId="6190BFCC" w14:textId="77777777" w:rsidTr="004E77AD">
        <w:tc>
          <w:tcPr>
            <w:tcW w:w="4074" w:type="dxa"/>
          </w:tcPr>
          <w:p w14:paraId="4A308864" w14:textId="2F4C78E8" w:rsidR="0027155B" w:rsidRPr="007650B8" w:rsidRDefault="0027155B" w:rsidP="003D20A4">
            <w:pPr>
              <w:spacing w:before="60" w:after="60" w:line="276" w:lineRule="auto"/>
            </w:pPr>
            <w:r w:rsidRPr="007650B8">
              <w:t xml:space="preserve">Midfoot </w:t>
            </w:r>
            <w:r>
              <w:t>sR</w:t>
            </w:r>
            <w:r w:rsidRPr="007650B8">
              <w:t>OA</w:t>
            </w:r>
          </w:p>
        </w:tc>
        <w:tc>
          <w:tcPr>
            <w:tcW w:w="679" w:type="dxa"/>
          </w:tcPr>
          <w:p w14:paraId="42ED3314" w14:textId="5DDE71C1" w:rsidR="0027155B" w:rsidRPr="007650B8" w:rsidRDefault="003C6ACC" w:rsidP="003D20A4">
            <w:pPr>
              <w:spacing w:before="60" w:after="60" w:line="276" w:lineRule="auto"/>
              <w:jc w:val="right"/>
              <w:rPr>
                <w:rFonts w:cs="Calibri"/>
              </w:rPr>
            </w:pPr>
            <w:r>
              <w:rPr>
                <w:rFonts w:cstheme="majorHAnsi"/>
              </w:rPr>
              <w:t>10</w:t>
            </w:r>
            <w:r w:rsidR="0027155B" w:rsidRPr="007650B8">
              <w:rPr>
                <w:rFonts w:cstheme="majorHAnsi"/>
              </w:rPr>
              <w:t xml:space="preserve">.6 </w:t>
            </w:r>
          </w:p>
        </w:tc>
        <w:tc>
          <w:tcPr>
            <w:tcW w:w="1474" w:type="dxa"/>
            <w:gridSpan w:val="2"/>
          </w:tcPr>
          <w:p w14:paraId="20CD5C6F" w14:textId="75B19074" w:rsidR="0027155B" w:rsidRPr="007650B8" w:rsidRDefault="003C6ACC" w:rsidP="003D20A4">
            <w:pPr>
              <w:spacing w:before="60" w:after="60" w:line="276" w:lineRule="auto"/>
              <w:rPr>
                <w:rFonts w:cs="Calibri"/>
              </w:rPr>
            </w:pPr>
            <w:r>
              <w:rPr>
                <w:rFonts w:cstheme="majorHAnsi"/>
              </w:rPr>
              <w:t>(9.1, 12.1</w:t>
            </w:r>
            <w:r w:rsidR="0027155B" w:rsidRPr="007650B8">
              <w:rPr>
                <w:rFonts w:cstheme="majorHAnsi"/>
              </w:rPr>
              <w:t>)</w:t>
            </w:r>
          </w:p>
        </w:tc>
        <w:tc>
          <w:tcPr>
            <w:tcW w:w="679" w:type="dxa"/>
          </w:tcPr>
          <w:p w14:paraId="015FE3D2" w14:textId="423FD40A" w:rsidR="0027155B" w:rsidRPr="007650B8" w:rsidRDefault="003C6ACC" w:rsidP="003D20A4">
            <w:pPr>
              <w:spacing w:before="60" w:after="60" w:line="276" w:lineRule="auto"/>
              <w:jc w:val="right"/>
              <w:rPr>
                <w:rFonts w:cs="Calibri"/>
              </w:rPr>
            </w:pPr>
            <w:r>
              <w:rPr>
                <w:rFonts w:cstheme="majorHAnsi"/>
              </w:rPr>
              <w:t>8.7</w:t>
            </w:r>
            <w:r w:rsidR="0027155B" w:rsidRPr="007650B8">
              <w:rPr>
                <w:rFonts w:cstheme="majorHAnsi"/>
              </w:rPr>
              <w:t xml:space="preserve"> </w:t>
            </w:r>
          </w:p>
        </w:tc>
        <w:tc>
          <w:tcPr>
            <w:tcW w:w="1474" w:type="dxa"/>
            <w:gridSpan w:val="2"/>
          </w:tcPr>
          <w:p w14:paraId="56B3AC6E" w14:textId="1492261C" w:rsidR="0027155B" w:rsidRPr="007650B8" w:rsidRDefault="003C6ACC" w:rsidP="003D20A4">
            <w:pPr>
              <w:spacing w:before="60" w:after="60" w:line="276" w:lineRule="auto"/>
              <w:rPr>
                <w:rFonts w:cs="Calibri"/>
              </w:rPr>
            </w:pPr>
            <w:r>
              <w:rPr>
                <w:rFonts w:cstheme="majorHAnsi"/>
              </w:rPr>
              <w:t>(6.9, 10.4</w:t>
            </w:r>
            <w:r w:rsidR="0027155B" w:rsidRPr="007650B8">
              <w:rPr>
                <w:rFonts w:cstheme="majorHAnsi"/>
              </w:rPr>
              <w:t>)</w:t>
            </w:r>
          </w:p>
        </w:tc>
        <w:tc>
          <w:tcPr>
            <w:tcW w:w="679" w:type="dxa"/>
          </w:tcPr>
          <w:p w14:paraId="45EADA31" w14:textId="697B14BC" w:rsidR="0027155B" w:rsidRPr="007650B8" w:rsidRDefault="003C6ACC" w:rsidP="003D20A4">
            <w:pPr>
              <w:spacing w:before="60" w:after="60" w:line="276" w:lineRule="auto"/>
              <w:jc w:val="right"/>
              <w:rPr>
                <w:rFonts w:cs="Calibri"/>
              </w:rPr>
            </w:pPr>
            <w:r>
              <w:rPr>
                <w:rFonts w:cstheme="majorHAnsi"/>
              </w:rPr>
              <w:t>12.5</w:t>
            </w:r>
            <w:r w:rsidR="0027155B" w:rsidRPr="007650B8">
              <w:rPr>
                <w:rFonts w:cstheme="majorHAnsi"/>
              </w:rPr>
              <w:t xml:space="preserve"> </w:t>
            </w:r>
          </w:p>
        </w:tc>
        <w:tc>
          <w:tcPr>
            <w:tcW w:w="1474" w:type="dxa"/>
            <w:gridSpan w:val="2"/>
          </w:tcPr>
          <w:p w14:paraId="5DC1741F" w14:textId="5F050934" w:rsidR="0027155B" w:rsidRPr="007650B8" w:rsidRDefault="003C6ACC" w:rsidP="003D20A4">
            <w:pPr>
              <w:spacing w:before="60" w:after="60" w:line="276" w:lineRule="auto"/>
              <w:rPr>
                <w:rFonts w:cs="Calibri"/>
              </w:rPr>
            </w:pPr>
            <w:r>
              <w:rPr>
                <w:rFonts w:cstheme="majorHAnsi"/>
              </w:rPr>
              <w:t>(10.6, 14.5</w:t>
            </w:r>
            <w:r w:rsidR="0027155B" w:rsidRPr="007650B8">
              <w:rPr>
                <w:rFonts w:cstheme="majorHAnsi"/>
              </w:rPr>
              <w:t>)</w:t>
            </w:r>
          </w:p>
        </w:tc>
      </w:tr>
      <w:tr w:rsidR="0027155B" w:rsidRPr="007650B8" w14:paraId="20A51459" w14:textId="77777777" w:rsidTr="004E77AD">
        <w:tc>
          <w:tcPr>
            <w:tcW w:w="4074" w:type="dxa"/>
            <w:tcBorders>
              <w:bottom w:val="single" w:sz="4" w:space="0" w:color="auto"/>
            </w:tcBorders>
          </w:tcPr>
          <w:p w14:paraId="091ADC97" w14:textId="77777777" w:rsidR="0027155B" w:rsidRPr="007650B8" w:rsidRDefault="0027155B" w:rsidP="003D20A4">
            <w:pPr>
              <w:spacing w:before="60" w:after="240" w:line="276" w:lineRule="auto"/>
            </w:pPr>
            <w:r w:rsidRPr="007650B8">
              <w:rPr>
                <w:b/>
              </w:rPr>
              <w:t xml:space="preserve">Foot </w:t>
            </w:r>
            <w:r>
              <w:rPr>
                <w:b/>
              </w:rPr>
              <w:t>sR</w:t>
            </w:r>
            <w:r w:rsidRPr="007650B8">
              <w:rPr>
                <w:b/>
              </w:rPr>
              <w:t>OA (any)</w:t>
            </w:r>
          </w:p>
        </w:tc>
        <w:tc>
          <w:tcPr>
            <w:tcW w:w="679" w:type="dxa"/>
            <w:tcBorders>
              <w:bottom w:val="single" w:sz="4" w:space="0" w:color="auto"/>
            </w:tcBorders>
          </w:tcPr>
          <w:p w14:paraId="668D3A69" w14:textId="493083E7" w:rsidR="0027155B" w:rsidRPr="007650B8" w:rsidRDefault="003C6ACC" w:rsidP="003D20A4">
            <w:pPr>
              <w:spacing w:before="60" w:after="240" w:line="276" w:lineRule="auto"/>
              <w:jc w:val="right"/>
              <w:rPr>
                <w:rFonts w:cstheme="majorHAnsi"/>
              </w:rPr>
            </w:pPr>
            <w:r>
              <w:rPr>
                <w:rFonts w:cstheme="majorHAnsi"/>
                <w:b/>
              </w:rPr>
              <w:t>15.9</w:t>
            </w:r>
            <w:r w:rsidR="0027155B" w:rsidRPr="007650B8">
              <w:rPr>
                <w:rFonts w:cstheme="majorHAnsi"/>
                <w:b/>
              </w:rPr>
              <w:t xml:space="preserve"> </w:t>
            </w:r>
          </w:p>
        </w:tc>
        <w:tc>
          <w:tcPr>
            <w:tcW w:w="1474" w:type="dxa"/>
            <w:gridSpan w:val="2"/>
            <w:tcBorders>
              <w:bottom w:val="single" w:sz="4" w:space="0" w:color="auto"/>
            </w:tcBorders>
          </w:tcPr>
          <w:p w14:paraId="5306B8C4" w14:textId="6FAB30B4" w:rsidR="0027155B" w:rsidRPr="007650B8" w:rsidRDefault="003C6ACC" w:rsidP="003D20A4">
            <w:pPr>
              <w:spacing w:before="60" w:after="240" w:line="276" w:lineRule="auto"/>
              <w:rPr>
                <w:rFonts w:cstheme="majorHAnsi"/>
              </w:rPr>
            </w:pPr>
            <w:r>
              <w:rPr>
                <w:rFonts w:cstheme="majorHAnsi"/>
                <w:b/>
              </w:rPr>
              <w:t>(14.3, 17.5</w:t>
            </w:r>
            <w:r w:rsidR="0027155B" w:rsidRPr="007650B8">
              <w:rPr>
                <w:rFonts w:cstheme="majorHAnsi"/>
                <w:b/>
              </w:rPr>
              <w:t>)</w:t>
            </w:r>
          </w:p>
        </w:tc>
        <w:tc>
          <w:tcPr>
            <w:tcW w:w="679" w:type="dxa"/>
            <w:tcBorders>
              <w:bottom w:val="single" w:sz="4" w:space="0" w:color="auto"/>
            </w:tcBorders>
          </w:tcPr>
          <w:p w14:paraId="43EB2340" w14:textId="37B7775E" w:rsidR="0027155B" w:rsidRPr="007650B8" w:rsidRDefault="00441087" w:rsidP="003D20A4">
            <w:pPr>
              <w:spacing w:before="60" w:after="240" w:line="276" w:lineRule="auto"/>
              <w:jc w:val="right"/>
              <w:rPr>
                <w:rFonts w:cstheme="majorHAnsi"/>
              </w:rPr>
            </w:pPr>
            <w:r>
              <w:rPr>
                <w:rFonts w:cstheme="majorHAnsi"/>
                <w:b/>
              </w:rPr>
              <w:t>13.4</w:t>
            </w:r>
            <w:r w:rsidR="0027155B" w:rsidRPr="007650B8">
              <w:rPr>
                <w:rFonts w:cstheme="majorHAnsi"/>
                <w:b/>
              </w:rPr>
              <w:t xml:space="preserve"> </w:t>
            </w:r>
          </w:p>
        </w:tc>
        <w:tc>
          <w:tcPr>
            <w:tcW w:w="1474" w:type="dxa"/>
            <w:gridSpan w:val="2"/>
            <w:tcBorders>
              <w:bottom w:val="single" w:sz="4" w:space="0" w:color="auto"/>
            </w:tcBorders>
          </w:tcPr>
          <w:p w14:paraId="2EB4253E" w14:textId="78B0F3CC" w:rsidR="0027155B" w:rsidRPr="007650B8" w:rsidRDefault="00441087" w:rsidP="003D20A4">
            <w:pPr>
              <w:spacing w:before="60" w:after="240" w:line="276" w:lineRule="auto"/>
              <w:rPr>
                <w:rFonts w:cstheme="majorHAnsi"/>
              </w:rPr>
            </w:pPr>
            <w:r>
              <w:rPr>
                <w:rFonts w:cstheme="majorHAnsi"/>
                <w:b/>
              </w:rPr>
              <w:t>(11.5, 15.2</w:t>
            </w:r>
            <w:r w:rsidR="0027155B" w:rsidRPr="007650B8">
              <w:rPr>
                <w:rFonts w:cstheme="majorHAnsi"/>
                <w:b/>
              </w:rPr>
              <w:t>)</w:t>
            </w:r>
          </w:p>
        </w:tc>
        <w:tc>
          <w:tcPr>
            <w:tcW w:w="679" w:type="dxa"/>
            <w:tcBorders>
              <w:bottom w:val="single" w:sz="4" w:space="0" w:color="auto"/>
            </w:tcBorders>
          </w:tcPr>
          <w:p w14:paraId="500590F1" w14:textId="25A97B55" w:rsidR="0027155B" w:rsidRPr="007650B8" w:rsidRDefault="00441087" w:rsidP="003D20A4">
            <w:pPr>
              <w:spacing w:before="60" w:after="240" w:line="276" w:lineRule="auto"/>
              <w:jc w:val="right"/>
              <w:rPr>
                <w:rFonts w:cstheme="majorHAnsi"/>
              </w:rPr>
            </w:pPr>
            <w:r>
              <w:rPr>
                <w:rFonts w:cstheme="majorHAnsi"/>
                <w:b/>
              </w:rPr>
              <w:t>18.3</w:t>
            </w:r>
            <w:r w:rsidR="0027155B" w:rsidRPr="007650B8">
              <w:rPr>
                <w:rFonts w:cstheme="majorHAnsi"/>
                <w:b/>
              </w:rPr>
              <w:t xml:space="preserve"> </w:t>
            </w:r>
          </w:p>
        </w:tc>
        <w:tc>
          <w:tcPr>
            <w:tcW w:w="1474" w:type="dxa"/>
            <w:gridSpan w:val="2"/>
            <w:tcBorders>
              <w:bottom w:val="single" w:sz="4" w:space="0" w:color="auto"/>
            </w:tcBorders>
          </w:tcPr>
          <w:p w14:paraId="00964A17" w14:textId="7636C0DA" w:rsidR="0027155B" w:rsidRPr="007650B8" w:rsidRDefault="00441087" w:rsidP="003D20A4">
            <w:pPr>
              <w:spacing w:before="60" w:after="240" w:line="276" w:lineRule="auto"/>
              <w:rPr>
                <w:rFonts w:cstheme="majorHAnsi"/>
              </w:rPr>
            </w:pPr>
            <w:r>
              <w:rPr>
                <w:rFonts w:cstheme="majorHAnsi"/>
                <w:b/>
              </w:rPr>
              <w:t>(16.1, 20.6</w:t>
            </w:r>
            <w:r w:rsidR="0027155B" w:rsidRPr="007650B8">
              <w:rPr>
                <w:rFonts w:cstheme="majorHAnsi"/>
                <w:b/>
              </w:rPr>
              <w:t>)</w:t>
            </w:r>
          </w:p>
        </w:tc>
      </w:tr>
    </w:tbl>
    <w:p w14:paraId="780A5274" w14:textId="77777777" w:rsidR="0027155B" w:rsidRDefault="0027155B" w:rsidP="0027155B">
      <w:pPr>
        <w:spacing w:after="200" w:line="276" w:lineRule="auto"/>
      </w:pPr>
    </w:p>
    <w:p w14:paraId="3F0A135B" w14:textId="77777777" w:rsidR="006446F5" w:rsidRDefault="006446F5">
      <w:pPr>
        <w:spacing w:after="200" w:line="276" w:lineRule="auto"/>
        <w:rPr>
          <w:b/>
        </w:rPr>
      </w:pPr>
      <w:r>
        <w:rPr>
          <w:b/>
        </w:rPr>
        <w:br w:type="page"/>
      </w:r>
    </w:p>
    <w:p w14:paraId="009558D0" w14:textId="77777777" w:rsidR="006446F5" w:rsidRDefault="006446F5" w:rsidP="00B40EAA">
      <w:pPr>
        <w:spacing w:after="120" w:line="240" w:lineRule="auto"/>
        <w:rPr>
          <w:b/>
        </w:rPr>
      </w:pPr>
      <w:r>
        <w:rPr>
          <w:b/>
        </w:rPr>
        <w:lastRenderedPageBreak/>
        <w:t>FIGURE LEGENDS</w:t>
      </w:r>
    </w:p>
    <w:p w14:paraId="7C7CD35D" w14:textId="2958A803" w:rsidR="00D241C4" w:rsidRDefault="006446F5" w:rsidP="00B40EAA">
      <w:pPr>
        <w:spacing w:after="120" w:line="240" w:lineRule="auto"/>
        <w:rPr>
          <w:b/>
        </w:rPr>
      </w:pPr>
      <w:r>
        <w:rPr>
          <w:b/>
        </w:rPr>
        <w:t>Figure 1</w:t>
      </w:r>
      <w:r w:rsidRPr="00150EB8">
        <w:rPr>
          <w:b/>
        </w:rPr>
        <w:t xml:space="preserve">. </w:t>
      </w:r>
      <w:r>
        <w:rPr>
          <w:b/>
        </w:rPr>
        <w:t>P</w:t>
      </w:r>
      <w:r w:rsidRPr="00150EB8">
        <w:rPr>
          <w:b/>
        </w:rPr>
        <w:t>attern of cross-sectional associati</w:t>
      </w:r>
      <w:r w:rsidR="00A847F7">
        <w:rPr>
          <w:b/>
        </w:rPr>
        <w:t xml:space="preserve">ons between symptomatic </w:t>
      </w:r>
      <w:r w:rsidR="005719A6">
        <w:rPr>
          <w:b/>
        </w:rPr>
        <w:t xml:space="preserve">radiographic </w:t>
      </w:r>
      <w:r w:rsidR="00A847F7">
        <w:rPr>
          <w:b/>
        </w:rPr>
        <w:t>OA sub</w:t>
      </w:r>
      <w:r w:rsidRPr="00150EB8">
        <w:rPr>
          <w:b/>
        </w:rPr>
        <w:t>types at the knee, hand, and foot, and selected risk factors</w:t>
      </w:r>
    </w:p>
    <w:p w14:paraId="5BC592A4" w14:textId="77777777" w:rsidR="006446F5" w:rsidRDefault="006446F5" w:rsidP="00B40EAA">
      <w:pPr>
        <w:spacing w:after="120" w:line="240" w:lineRule="auto"/>
      </w:pPr>
    </w:p>
    <w:p w14:paraId="45978CB2" w14:textId="2FD724B6" w:rsidR="006446F5" w:rsidRDefault="006446F5">
      <w:pPr>
        <w:spacing w:after="200" w:line="276" w:lineRule="auto"/>
        <w:rPr>
          <w:b/>
        </w:rPr>
      </w:pPr>
    </w:p>
    <w:sectPr w:rsidR="006446F5" w:rsidSect="00B24783">
      <w:pgSz w:w="11906" w:h="16838"/>
      <w:pgMar w:top="567" w:right="720" w:bottom="567"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20628" w16cid:durableId="21668FB1"/>
  <w16cid:commentId w16cid:paraId="3819CAF7" w16cid:durableId="21668FB2"/>
  <w16cid:commentId w16cid:paraId="0ED3682F" w16cid:durableId="216690FD"/>
  <w16cid:commentId w16cid:paraId="1152E7CD" w16cid:durableId="21668FB3"/>
  <w16cid:commentId w16cid:paraId="349370F3" w16cid:durableId="21668FB4"/>
  <w16cid:commentId w16cid:paraId="38F6288C" w16cid:durableId="21668FB5"/>
  <w16cid:commentId w16cid:paraId="1BAE63DF" w16cid:durableId="21668FB6"/>
  <w16cid:commentId w16cid:paraId="766AE594" w16cid:durableId="21669163"/>
  <w16cid:commentId w16cid:paraId="567E60AB" w16cid:durableId="21668FB7"/>
  <w16cid:commentId w16cid:paraId="428CDC93" w16cid:durableId="216691F5"/>
  <w16cid:commentId w16cid:paraId="494F69D8" w16cid:durableId="21668FB8"/>
  <w16cid:commentId w16cid:paraId="069C68A0" w16cid:durableId="21668FB9"/>
  <w16cid:commentId w16cid:paraId="201A907F" w16cid:durableId="21668FBA"/>
  <w16cid:commentId w16cid:paraId="39667DD8" w16cid:durableId="21668FBB"/>
  <w16cid:commentId w16cid:paraId="2BF69865" w16cid:durableId="21668FBC"/>
  <w16cid:commentId w16cid:paraId="2E4114C3" w16cid:durableId="21668FBD"/>
  <w16cid:commentId w16cid:paraId="5710B7AA" w16cid:durableId="21668FBE"/>
  <w16cid:commentId w16cid:paraId="11C64DEA" w16cid:durableId="21668F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48E0" w14:textId="77777777" w:rsidR="00927615" w:rsidRDefault="00927615" w:rsidP="005A3677">
      <w:r>
        <w:separator/>
      </w:r>
    </w:p>
  </w:endnote>
  <w:endnote w:type="continuationSeparator" w:id="0">
    <w:p w14:paraId="5CE2058A" w14:textId="77777777" w:rsidR="00927615" w:rsidRDefault="00927615" w:rsidP="005A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1DEB7" w14:textId="77777777" w:rsidR="00927615" w:rsidRDefault="00927615" w:rsidP="005A3677">
      <w:r>
        <w:separator/>
      </w:r>
    </w:p>
  </w:footnote>
  <w:footnote w:type="continuationSeparator" w:id="0">
    <w:p w14:paraId="36E26EDA" w14:textId="77777777" w:rsidR="00927615" w:rsidRDefault="00927615" w:rsidP="005A3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A0920"/>
    <w:multiLevelType w:val="hybridMultilevel"/>
    <w:tmpl w:val="5F70B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B63A8"/>
    <w:multiLevelType w:val="hybridMultilevel"/>
    <w:tmpl w:val="A3928FAC"/>
    <w:lvl w:ilvl="0" w:tplc="E4D2E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21164D"/>
    <w:multiLevelType w:val="hybridMultilevel"/>
    <w:tmpl w:val="57EA3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B1209E"/>
    <w:multiLevelType w:val="hybridMultilevel"/>
    <w:tmpl w:val="7E5E4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A80BC8"/>
    <w:multiLevelType w:val="hybridMultilevel"/>
    <w:tmpl w:val="7E5E4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F71BF"/>
    <w:multiLevelType w:val="hybridMultilevel"/>
    <w:tmpl w:val="1B68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MDYzMjA3NLEwMjNX0lEKTi0uzszPAykwrAUAbrn4KSwAAAA="/>
  </w:docVars>
  <w:rsids>
    <w:rsidRoot w:val="00103DB3"/>
    <w:rsid w:val="00000C76"/>
    <w:rsid w:val="000027F8"/>
    <w:rsid w:val="00002BF3"/>
    <w:rsid w:val="000051D1"/>
    <w:rsid w:val="00005AEA"/>
    <w:rsid w:val="00006175"/>
    <w:rsid w:val="00006E66"/>
    <w:rsid w:val="00011C2B"/>
    <w:rsid w:val="00011C87"/>
    <w:rsid w:val="00016234"/>
    <w:rsid w:val="0001640E"/>
    <w:rsid w:val="000164DB"/>
    <w:rsid w:val="00016CA7"/>
    <w:rsid w:val="00017EAC"/>
    <w:rsid w:val="00021613"/>
    <w:rsid w:val="00022526"/>
    <w:rsid w:val="000226B3"/>
    <w:rsid w:val="00022F4B"/>
    <w:rsid w:val="00023D78"/>
    <w:rsid w:val="00025830"/>
    <w:rsid w:val="00036209"/>
    <w:rsid w:val="00042C68"/>
    <w:rsid w:val="000432BA"/>
    <w:rsid w:val="0004412A"/>
    <w:rsid w:val="00045D6A"/>
    <w:rsid w:val="00050F14"/>
    <w:rsid w:val="00051F09"/>
    <w:rsid w:val="00052ECD"/>
    <w:rsid w:val="00056CCC"/>
    <w:rsid w:val="00060121"/>
    <w:rsid w:val="00074B04"/>
    <w:rsid w:val="00074C66"/>
    <w:rsid w:val="00076F0C"/>
    <w:rsid w:val="00080CF8"/>
    <w:rsid w:val="00083EBB"/>
    <w:rsid w:val="00083F63"/>
    <w:rsid w:val="00084B7E"/>
    <w:rsid w:val="0008774D"/>
    <w:rsid w:val="00087A34"/>
    <w:rsid w:val="00091509"/>
    <w:rsid w:val="00092322"/>
    <w:rsid w:val="000939DE"/>
    <w:rsid w:val="0009646D"/>
    <w:rsid w:val="000979B3"/>
    <w:rsid w:val="00097DAA"/>
    <w:rsid w:val="000A0D7E"/>
    <w:rsid w:val="000A4459"/>
    <w:rsid w:val="000A581C"/>
    <w:rsid w:val="000A5A34"/>
    <w:rsid w:val="000B28BB"/>
    <w:rsid w:val="000B5A17"/>
    <w:rsid w:val="000B6844"/>
    <w:rsid w:val="000B7514"/>
    <w:rsid w:val="000C6C3C"/>
    <w:rsid w:val="000C7A59"/>
    <w:rsid w:val="000C7E74"/>
    <w:rsid w:val="000D4B0B"/>
    <w:rsid w:val="000D5792"/>
    <w:rsid w:val="000E2EBE"/>
    <w:rsid w:val="000E3C4C"/>
    <w:rsid w:val="000E4491"/>
    <w:rsid w:val="000E5395"/>
    <w:rsid w:val="000E666F"/>
    <w:rsid w:val="000E730D"/>
    <w:rsid w:val="000F15BE"/>
    <w:rsid w:val="000F44BB"/>
    <w:rsid w:val="00100082"/>
    <w:rsid w:val="00100565"/>
    <w:rsid w:val="0010375C"/>
    <w:rsid w:val="00103DB3"/>
    <w:rsid w:val="0010543D"/>
    <w:rsid w:val="00106056"/>
    <w:rsid w:val="001060BD"/>
    <w:rsid w:val="00106933"/>
    <w:rsid w:val="001069AF"/>
    <w:rsid w:val="00111264"/>
    <w:rsid w:val="0011242D"/>
    <w:rsid w:val="00112681"/>
    <w:rsid w:val="00112C2A"/>
    <w:rsid w:val="0011443F"/>
    <w:rsid w:val="0011634E"/>
    <w:rsid w:val="001235EA"/>
    <w:rsid w:val="00123B62"/>
    <w:rsid w:val="00123EC9"/>
    <w:rsid w:val="001257F4"/>
    <w:rsid w:val="00126C64"/>
    <w:rsid w:val="00127437"/>
    <w:rsid w:val="001278C4"/>
    <w:rsid w:val="00133420"/>
    <w:rsid w:val="00133721"/>
    <w:rsid w:val="00135AEB"/>
    <w:rsid w:val="00136C80"/>
    <w:rsid w:val="00137AB1"/>
    <w:rsid w:val="001402B8"/>
    <w:rsid w:val="001404A2"/>
    <w:rsid w:val="00140B99"/>
    <w:rsid w:val="00150786"/>
    <w:rsid w:val="00150EB8"/>
    <w:rsid w:val="0015236D"/>
    <w:rsid w:val="00154C4F"/>
    <w:rsid w:val="00157062"/>
    <w:rsid w:val="00160F98"/>
    <w:rsid w:val="00161350"/>
    <w:rsid w:val="00161B6C"/>
    <w:rsid w:val="00161F6E"/>
    <w:rsid w:val="001620EF"/>
    <w:rsid w:val="00162A3F"/>
    <w:rsid w:val="0016372E"/>
    <w:rsid w:val="001643A2"/>
    <w:rsid w:val="0016468B"/>
    <w:rsid w:val="00167024"/>
    <w:rsid w:val="00170A94"/>
    <w:rsid w:val="0017124B"/>
    <w:rsid w:val="0017344D"/>
    <w:rsid w:val="00175A7D"/>
    <w:rsid w:val="001761F5"/>
    <w:rsid w:val="0017668A"/>
    <w:rsid w:val="00176AE5"/>
    <w:rsid w:val="00181F8D"/>
    <w:rsid w:val="00183829"/>
    <w:rsid w:val="0018492A"/>
    <w:rsid w:val="001861CE"/>
    <w:rsid w:val="0018765A"/>
    <w:rsid w:val="00187D3D"/>
    <w:rsid w:val="001946C0"/>
    <w:rsid w:val="001A3900"/>
    <w:rsid w:val="001A45D4"/>
    <w:rsid w:val="001A7E1B"/>
    <w:rsid w:val="001B0DE9"/>
    <w:rsid w:val="001B55EC"/>
    <w:rsid w:val="001B79FF"/>
    <w:rsid w:val="001C7F90"/>
    <w:rsid w:val="001D0979"/>
    <w:rsid w:val="001D0F6A"/>
    <w:rsid w:val="001D277D"/>
    <w:rsid w:val="001D3D71"/>
    <w:rsid w:val="001E12E4"/>
    <w:rsid w:val="001E298A"/>
    <w:rsid w:val="001E4C58"/>
    <w:rsid w:val="001E7B16"/>
    <w:rsid w:val="001F1E21"/>
    <w:rsid w:val="001F2D89"/>
    <w:rsid w:val="001F4364"/>
    <w:rsid w:val="001F7C8C"/>
    <w:rsid w:val="00201516"/>
    <w:rsid w:val="0020543D"/>
    <w:rsid w:val="0020654A"/>
    <w:rsid w:val="0020743D"/>
    <w:rsid w:val="0021133A"/>
    <w:rsid w:val="00212270"/>
    <w:rsid w:val="002124F3"/>
    <w:rsid w:val="002135F6"/>
    <w:rsid w:val="00213A74"/>
    <w:rsid w:val="002169BC"/>
    <w:rsid w:val="00220657"/>
    <w:rsid w:val="00224103"/>
    <w:rsid w:val="00224793"/>
    <w:rsid w:val="00226027"/>
    <w:rsid w:val="0022645A"/>
    <w:rsid w:val="00227E27"/>
    <w:rsid w:val="0023007B"/>
    <w:rsid w:val="00233DAF"/>
    <w:rsid w:val="00234ED1"/>
    <w:rsid w:val="00236D77"/>
    <w:rsid w:val="00242A6B"/>
    <w:rsid w:val="0024373C"/>
    <w:rsid w:val="00250256"/>
    <w:rsid w:val="0025410B"/>
    <w:rsid w:val="00255B98"/>
    <w:rsid w:val="00260FA6"/>
    <w:rsid w:val="00261167"/>
    <w:rsid w:val="002616CE"/>
    <w:rsid w:val="00266475"/>
    <w:rsid w:val="00266EBC"/>
    <w:rsid w:val="00267908"/>
    <w:rsid w:val="00270EB2"/>
    <w:rsid w:val="0027155B"/>
    <w:rsid w:val="002774F0"/>
    <w:rsid w:val="00281AB9"/>
    <w:rsid w:val="00281D74"/>
    <w:rsid w:val="00284E0F"/>
    <w:rsid w:val="0028657E"/>
    <w:rsid w:val="00287BAA"/>
    <w:rsid w:val="0029187C"/>
    <w:rsid w:val="00292330"/>
    <w:rsid w:val="00297307"/>
    <w:rsid w:val="002A17F9"/>
    <w:rsid w:val="002A4577"/>
    <w:rsid w:val="002B0283"/>
    <w:rsid w:val="002B1382"/>
    <w:rsid w:val="002B1F83"/>
    <w:rsid w:val="002B4D46"/>
    <w:rsid w:val="002B639E"/>
    <w:rsid w:val="002B6DB5"/>
    <w:rsid w:val="002C056D"/>
    <w:rsid w:val="002D0091"/>
    <w:rsid w:val="002D6B2E"/>
    <w:rsid w:val="002E18B7"/>
    <w:rsid w:val="002F105C"/>
    <w:rsid w:val="002F1705"/>
    <w:rsid w:val="002F26C0"/>
    <w:rsid w:val="002F4334"/>
    <w:rsid w:val="00301FCF"/>
    <w:rsid w:val="0030203A"/>
    <w:rsid w:val="00303DC7"/>
    <w:rsid w:val="00306D33"/>
    <w:rsid w:val="00310270"/>
    <w:rsid w:val="00310CDB"/>
    <w:rsid w:val="00314898"/>
    <w:rsid w:val="003165A3"/>
    <w:rsid w:val="0032327A"/>
    <w:rsid w:val="003242B0"/>
    <w:rsid w:val="003255ED"/>
    <w:rsid w:val="0032562D"/>
    <w:rsid w:val="00325D9D"/>
    <w:rsid w:val="00331C63"/>
    <w:rsid w:val="00331D23"/>
    <w:rsid w:val="0033393F"/>
    <w:rsid w:val="00334D25"/>
    <w:rsid w:val="00336012"/>
    <w:rsid w:val="0034579B"/>
    <w:rsid w:val="0035156A"/>
    <w:rsid w:val="003571CD"/>
    <w:rsid w:val="0036036E"/>
    <w:rsid w:val="00360CA3"/>
    <w:rsid w:val="0036454D"/>
    <w:rsid w:val="0037189E"/>
    <w:rsid w:val="00372D44"/>
    <w:rsid w:val="003731AE"/>
    <w:rsid w:val="00374EC4"/>
    <w:rsid w:val="00375D69"/>
    <w:rsid w:val="00376B08"/>
    <w:rsid w:val="0037777F"/>
    <w:rsid w:val="00381C33"/>
    <w:rsid w:val="00381CCC"/>
    <w:rsid w:val="003875C6"/>
    <w:rsid w:val="003902C5"/>
    <w:rsid w:val="00391C24"/>
    <w:rsid w:val="003928FA"/>
    <w:rsid w:val="00392E07"/>
    <w:rsid w:val="00396182"/>
    <w:rsid w:val="003A1549"/>
    <w:rsid w:val="003A2A4C"/>
    <w:rsid w:val="003A3C31"/>
    <w:rsid w:val="003A704E"/>
    <w:rsid w:val="003B0652"/>
    <w:rsid w:val="003B2587"/>
    <w:rsid w:val="003B3C80"/>
    <w:rsid w:val="003B57FE"/>
    <w:rsid w:val="003C2B87"/>
    <w:rsid w:val="003C2D7B"/>
    <w:rsid w:val="003C3E83"/>
    <w:rsid w:val="003C4DD0"/>
    <w:rsid w:val="003C6700"/>
    <w:rsid w:val="003C6ACC"/>
    <w:rsid w:val="003C732E"/>
    <w:rsid w:val="003C78E3"/>
    <w:rsid w:val="003D0C7E"/>
    <w:rsid w:val="003D113D"/>
    <w:rsid w:val="003D20A4"/>
    <w:rsid w:val="003D2B4E"/>
    <w:rsid w:val="003D4256"/>
    <w:rsid w:val="003F31A6"/>
    <w:rsid w:val="003F38FE"/>
    <w:rsid w:val="003F57C8"/>
    <w:rsid w:val="00400186"/>
    <w:rsid w:val="00401B99"/>
    <w:rsid w:val="004026A5"/>
    <w:rsid w:val="004031CF"/>
    <w:rsid w:val="004063F9"/>
    <w:rsid w:val="00410C84"/>
    <w:rsid w:val="00414E7C"/>
    <w:rsid w:val="0041674F"/>
    <w:rsid w:val="0041766F"/>
    <w:rsid w:val="00421BE5"/>
    <w:rsid w:val="00421EB7"/>
    <w:rsid w:val="0042269C"/>
    <w:rsid w:val="00422EB4"/>
    <w:rsid w:val="00425D59"/>
    <w:rsid w:val="00426366"/>
    <w:rsid w:val="00426AF8"/>
    <w:rsid w:val="00427F61"/>
    <w:rsid w:val="0043114B"/>
    <w:rsid w:val="004333D6"/>
    <w:rsid w:val="00433B89"/>
    <w:rsid w:val="00435B4C"/>
    <w:rsid w:val="00440AAA"/>
    <w:rsid w:val="00441087"/>
    <w:rsid w:val="004417A0"/>
    <w:rsid w:val="00443963"/>
    <w:rsid w:val="0044417C"/>
    <w:rsid w:val="00444FB2"/>
    <w:rsid w:val="00451B77"/>
    <w:rsid w:val="004534B5"/>
    <w:rsid w:val="0045428C"/>
    <w:rsid w:val="00454D9B"/>
    <w:rsid w:val="00456D4E"/>
    <w:rsid w:val="00457A3D"/>
    <w:rsid w:val="0046176B"/>
    <w:rsid w:val="00465FDF"/>
    <w:rsid w:val="004661ED"/>
    <w:rsid w:val="004702A1"/>
    <w:rsid w:val="004709A4"/>
    <w:rsid w:val="00472F27"/>
    <w:rsid w:val="00472F5B"/>
    <w:rsid w:val="00490AF4"/>
    <w:rsid w:val="00491D3F"/>
    <w:rsid w:val="00491DAE"/>
    <w:rsid w:val="00492B93"/>
    <w:rsid w:val="00492E8C"/>
    <w:rsid w:val="00493714"/>
    <w:rsid w:val="00494A4C"/>
    <w:rsid w:val="004A06A0"/>
    <w:rsid w:val="004A0B54"/>
    <w:rsid w:val="004B40F4"/>
    <w:rsid w:val="004B44C3"/>
    <w:rsid w:val="004C166E"/>
    <w:rsid w:val="004C22E0"/>
    <w:rsid w:val="004C5EE7"/>
    <w:rsid w:val="004E5475"/>
    <w:rsid w:val="004E77AD"/>
    <w:rsid w:val="004F6371"/>
    <w:rsid w:val="005010B8"/>
    <w:rsid w:val="0050311A"/>
    <w:rsid w:val="00504A7A"/>
    <w:rsid w:val="00506296"/>
    <w:rsid w:val="00506CA9"/>
    <w:rsid w:val="0050713C"/>
    <w:rsid w:val="00512036"/>
    <w:rsid w:val="005163FB"/>
    <w:rsid w:val="005206F8"/>
    <w:rsid w:val="005225AA"/>
    <w:rsid w:val="0052506B"/>
    <w:rsid w:val="00526EA6"/>
    <w:rsid w:val="005275B7"/>
    <w:rsid w:val="00527E19"/>
    <w:rsid w:val="00531133"/>
    <w:rsid w:val="00535094"/>
    <w:rsid w:val="005350C3"/>
    <w:rsid w:val="00536A1D"/>
    <w:rsid w:val="0053769F"/>
    <w:rsid w:val="00544FDA"/>
    <w:rsid w:val="00551FE6"/>
    <w:rsid w:val="00554D3D"/>
    <w:rsid w:val="0055535F"/>
    <w:rsid w:val="005575BC"/>
    <w:rsid w:val="00557D93"/>
    <w:rsid w:val="00560540"/>
    <w:rsid w:val="00560B53"/>
    <w:rsid w:val="00565C18"/>
    <w:rsid w:val="00565CB2"/>
    <w:rsid w:val="00566E97"/>
    <w:rsid w:val="00570F82"/>
    <w:rsid w:val="005719A6"/>
    <w:rsid w:val="0057484A"/>
    <w:rsid w:val="00577289"/>
    <w:rsid w:val="005775EA"/>
    <w:rsid w:val="00581904"/>
    <w:rsid w:val="00582A32"/>
    <w:rsid w:val="00585194"/>
    <w:rsid w:val="00591979"/>
    <w:rsid w:val="00592323"/>
    <w:rsid w:val="005939E3"/>
    <w:rsid w:val="00596C5C"/>
    <w:rsid w:val="005A3677"/>
    <w:rsid w:val="005A4E91"/>
    <w:rsid w:val="005A750F"/>
    <w:rsid w:val="005B0778"/>
    <w:rsid w:val="005B27A3"/>
    <w:rsid w:val="005B7F51"/>
    <w:rsid w:val="005C2060"/>
    <w:rsid w:val="005C3F62"/>
    <w:rsid w:val="005C5C89"/>
    <w:rsid w:val="005C5FC9"/>
    <w:rsid w:val="005C6642"/>
    <w:rsid w:val="005C6A51"/>
    <w:rsid w:val="005D5435"/>
    <w:rsid w:val="005D6950"/>
    <w:rsid w:val="005D717B"/>
    <w:rsid w:val="005E0123"/>
    <w:rsid w:val="005E08F7"/>
    <w:rsid w:val="005E0F3C"/>
    <w:rsid w:val="005E1B90"/>
    <w:rsid w:val="005E20FA"/>
    <w:rsid w:val="005E2396"/>
    <w:rsid w:val="005E32F9"/>
    <w:rsid w:val="005E5EF6"/>
    <w:rsid w:val="005E696A"/>
    <w:rsid w:val="005E6C6E"/>
    <w:rsid w:val="005E76F7"/>
    <w:rsid w:val="005F3505"/>
    <w:rsid w:val="005F59AD"/>
    <w:rsid w:val="00600F1B"/>
    <w:rsid w:val="0060111B"/>
    <w:rsid w:val="00611A5F"/>
    <w:rsid w:val="0061321A"/>
    <w:rsid w:val="006169CC"/>
    <w:rsid w:val="00616C29"/>
    <w:rsid w:val="00616F5B"/>
    <w:rsid w:val="006209D5"/>
    <w:rsid w:val="00622071"/>
    <w:rsid w:val="006279CE"/>
    <w:rsid w:val="00636A72"/>
    <w:rsid w:val="00637EF7"/>
    <w:rsid w:val="006433AD"/>
    <w:rsid w:val="006446F5"/>
    <w:rsid w:val="00650B2A"/>
    <w:rsid w:val="006517DC"/>
    <w:rsid w:val="0065331B"/>
    <w:rsid w:val="00654C17"/>
    <w:rsid w:val="00663EDF"/>
    <w:rsid w:val="00664141"/>
    <w:rsid w:val="00664F6D"/>
    <w:rsid w:val="006651BF"/>
    <w:rsid w:val="00665527"/>
    <w:rsid w:val="006700C5"/>
    <w:rsid w:val="006722C5"/>
    <w:rsid w:val="00674188"/>
    <w:rsid w:val="00677326"/>
    <w:rsid w:val="00684BBB"/>
    <w:rsid w:val="00687C3E"/>
    <w:rsid w:val="00690620"/>
    <w:rsid w:val="0069112C"/>
    <w:rsid w:val="006913C8"/>
    <w:rsid w:val="00696742"/>
    <w:rsid w:val="00696B29"/>
    <w:rsid w:val="006A01A9"/>
    <w:rsid w:val="006A0636"/>
    <w:rsid w:val="006A1958"/>
    <w:rsid w:val="006A2AD3"/>
    <w:rsid w:val="006A69F8"/>
    <w:rsid w:val="006A7AE0"/>
    <w:rsid w:val="006B106D"/>
    <w:rsid w:val="006B282D"/>
    <w:rsid w:val="006B2EF8"/>
    <w:rsid w:val="006B5301"/>
    <w:rsid w:val="006B7EFB"/>
    <w:rsid w:val="006C2507"/>
    <w:rsid w:val="006C2A62"/>
    <w:rsid w:val="006C5608"/>
    <w:rsid w:val="006C5CF0"/>
    <w:rsid w:val="006C7F5C"/>
    <w:rsid w:val="006E0F8B"/>
    <w:rsid w:val="006E17BB"/>
    <w:rsid w:val="006E1DAC"/>
    <w:rsid w:val="006E23F3"/>
    <w:rsid w:val="006E4171"/>
    <w:rsid w:val="006E4750"/>
    <w:rsid w:val="006E4E20"/>
    <w:rsid w:val="006F07C8"/>
    <w:rsid w:val="006F3BD6"/>
    <w:rsid w:val="006F460D"/>
    <w:rsid w:val="007000AF"/>
    <w:rsid w:val="007109A2"/>
    <w:rsid w:val="00711C85"/>
    <w:rsid w:val="00713AA4"/>
    <w:rsid w:val="00713F40"/>
    <w:rsid w:val="007168E1"/>
    <w:rsid w:val="00721F55"/>
    <w:rsid w:val="00722CFD"/>
    <w:rsid w:val="00733090"/>
    <w:rsid w:val="0073420B"/>
    <w:rsid w:val="00734596"/>
    <w:rsid w:val="00735E64"/>
    <w:rsid w:val="00736305"/>
    <w:rsid w:val="007429A2"/>
    <w:rsid w:val="00742C1B"/>
    <w:rsid w:val="00751161"/>
    <w:rsid w:val="007539BE"/>
    <w:rsid w:val="00754CFF"/>
    <w:rsid w:val="00763782"/>
    <w:rsid w:val="00763B23"/>
    <w:rsid w:val="00764F5D"/>
    <w:rsid w:val="007650B8"/>
    <w:rsid w:val="00770978"/>
    <w:rsid w:val="00775C72"/>
    <w:rsid w:val="0078129B"/>
    <w:rsid w:val="00784DA8"/>
    <w:rsid w:val="00787310"/>
    <w:rsid w:val="0078766B"/>
    <w:rsid w:val="00791149"/>
    <w:rsid w:val="00793CD6"/>
    <w:rsid w:val="007960BF"/>
    <w:rsid w:val="007A143E"/>
    <w:rsid w:val="007A37F8"/>
    <w:rsid w:val="007A5C47"/>
    <w:rsid w:val="007A6AF8"/>
    <w:rsid w:val="007A78F5"/>
    <w:rsid w:val="007A7A7A"/>
    <w:rsid w:val="007B25D2"/>
    <w:rsid w:val="007B64EB"/>
    <w:rsid w:val="007B7B60"/>
    <w:rsid w:val="007C2FCB"/>
    <w:rsid w:val="007C351A"/>
    <w:rsid w:val="007C76E5"/>
    <w:rsid w:val="007D1958"/>
    <w:rsid w:val="007D4CAA"/>
    <w:rsid w:val="007D5E8F"/>
    <w:rsid w:val="007E03AB"/>
    <w:rsid w:val="007E097B"/>
    <w:rsid w:val="007E304A"/>
    <w:rsid w:val="007E38AB"/>
    <w:rsid w:val="007E45D9"/>
    <w:rsid w:val="007E660B"/>
    <w:rsid w:val="007E6829"/>
    <w:rsid w:val="007F2729"/>
    <w:rsid w:val="007F77AC"/>
    <w:rsid w:val="00800C0A"/>
    <w:rsid w:val="00803205"/>
    <w:rsid w:val="008053F0"/>
    <w:rsid w:val="00807A12"/>
    <w:rsid w:val="00811EB0"/>
    <w:rsid w:val="00813DCF"/>
    <w:rsid w:val="008158FC"/>
    <w:rsid w:val="00815C93"/>
    <w:rsid w:val="00815ED7"/>
    <w:rsid w:val="00820982"/>
    <w:rsid w:val="00821E5F"/>
    <w:rsid w:val="00825305"/>
    <w:rsid w:val="008260FB"/>
    <w:rsid w:val="00826416"/>
    <w:rsid w:val="00830987"/>
    <w:rsid w:val="0083260B"/>
    <w:rsid w:val="00842C7E"/>
    <w:rsid w:val="00843C73"/>
    <w:rsid w:val="008455F7"/>
    <w:rsid w:val="00851D81"/>
    <w:rsid w:val="00855BDA"/>
    <w:rsid w:val="00856949"/>
    <w:rsid w:val="008579D2"/>
    <w:rsid w:val="00863408"/>
    <w:rsid w:val="00864457"/>
    <w:rsid w:val="00865731"/>
    <w:rsid w:val="00865D2D"/>
    <w:rsid w:val="008741C2"/>
    <w:rsid w:val="00874549"/>
    <w:rsid w:val="00882716"/>
    <w:rsid w:val="00883EB3"/>
    <w:rsid w:val="008840A4"/>
    <w:rsid w:val="0089440B"/>
    <w:rsid w:val="00897B67"/>
    <w:rsid w:val="008A0B44"/>
    <w:rsid w:val="008A1347"/>
    <w:rsid w:val="008A5C26"/>
    <w:rsid w:val="008A7036"/>
    <w:rsid w:val="008B10AF"/>
    <w:rsid w:val="008B14E3"/>
    <w:rsid w:val="008B1A9E"/>
    <w:rsid w:val="008B1C95"/>
    <w:rsid w:val="008B1CCB"/>
    <w:rsid w:val="008B3EE9"/>
    <w:rsid w:val="008B72FA"/>
    <w:rsid w:val="008C0C91"/>
    <w:rsid w:val="008C4F45"/>
    <w:rsid w:val="008C5641"/>
    <w:rsid w:val="008D0BAB"/>
    <w:rsid w:val="008D489F"/>
    <w:rsid w:val="008D7DC9"/>
    <w:rsid w:val="008E3E0B"/>
    <w:rsid w:val="008E45BD"/>
    <w:rsid w:val="008E5298"/>
    <w:rsid w:val="008E647C"/>
    <w:rsid w:val="008E65D7"/>
    <w:rsid w:val="008E7187"/>
    <w:rsid w:val="008E75F9"/>
    <w:rsid w:val="008F22FB"/>
    <w:rsid w:val="008F50E2"/>
    <w:rsid w:val="008F585F"/>
    <w:rsid w:val="008F735F"/>
    <w:rsid w:val="009035BF"/>
    <w:rsid w:val="009048DE"/>
    <w:rsid w:val="00904C9D"/>
    <w:rsid w:val="009133E6"/>
    <w:rsid w:val="009150B6"/>
    <w:rsid w:val="00920BED"/>
    <w:rsid w:val="00921279"/>
    <w:rsid w:val="00924018"/>
    <w:rsid w:val="00926322"/>
    <w:rsid w:val="00926CAB"/>
    <w:rsid w:val="00927615"/>
    <w:rsid w:val="0093019F"/>
    <w:rsid w:val="00931F6A"/>
    <w:rsid w:val="00932529"/>
    <w:rsid w:val="00934315"/>
    <w:rsid w:val="00936400"/>
    <w:rsid w:val="00937044"/>
    <w:rsid w:val="00937D00"/>
    <w:rsid w:val="00942CE2"/>
    <w:rsid w:val="00943808"/>
    <w:rsid w:val="00944744"/>
    <w:rsid w:val="00944E59"/>
    <w:rsid w:val="00946FDA"/>
    <w:rsid w:val="0094734A"/>
    <w:rsid w:val="00947EE2"/>
    <w:rsid w:val="00947FE9"/>
    <w:rsid w:val="00951F01"/>
    <w:rsid w:val="00955374"/>
    <w:rsid w:val="00960AEC"/>
    <w:rsid w:val="00960DF2"/>
    <w:rsid w:val="00964205"/>
    <w:rsid w:val="00964E00"/>
    <w:rsid w:val="009670E2"/>
    <w:rsid w:val="009703A6"/>
    <w:rsid w:val="00972FBB"/>
    <w:rsid w:val="009738B1"/>
    <w:rsid w:val="00973A45"/>
    <w:rsid w:val="00973B37"/>
    <w:rsid w:val="009748E8"/>
    <w:rsid w:val="00974BE8"/>
    <w:rsid w:val="00982B2A"/>
    <w:rsid w:val="00984BC2"/>
    <w:rsid w:val="00985798"/>
    <w:rsid w:val="0098700E"/>
    <w:rsid w:val="009909D2"/>
    <w:rsid w:val="00990B38"/>
    <w:rsid w:val="00991CE0"/>
    <w:rsid w:val="00991EB0"/>
    <w:rsid w:val="00992001"/>
    <w:rsid w:val="009922D2"/>
    <w:rsid w:val="00994D27"/>
    <w:rsid w:val="00995EE7"/>
    <w:rsid w:val="009965C5"/>
    <w:rsid w:val="009A050F"/>
    <w:rsid w:val="009A2895"/>
    <w:rsid w:val="009A6DD1"/>
    <w:rsid w:val="009B12E9"/>
    <w:rsid w:val="009B4D18"/>
    <w:rsid w:val="009B52CB"/>
    <w:rsid w:val="009B7CFA"/>
    <w:rsid w:val="009C4FD5"/>
    <w:rsid w:val="009D1463"/>
    <w:rsid w:val="009D70E1"/>
    <w:rsid w:val="009E1FF6"/>
    <w:rsid w:val="009E4085"/>
    <w:rsid w:val="009F2B5A"/>
    <w:rsid w:val="009F367A"/>
    <w:rsid w:val="009F4D49"/>
    <w:rsid w:val="009F60F0"/>
    <w:rsid w:val="00A02088"/>
    <w:rsid w:val="00A0319B"/>
    <w:rsid w:val="00A033ED"/>
    <w:rsid w:val="00A05D86"/>
    <w:rsid w:val="00A07799"/>
    <w:rsid w:val="00A07B2E"/>
    <w:rsid w:val="00A10BEB"/>
    <w:rsid w:val="00A10EFF"/>
    <w:rsid w:val="00A1321F"/>
    <w:rsid w:val="00A2170D"/>
    <w:rsid w:val="00A2340E"/>
    <w:rsid w:val="00A251F8"/>
    <w:rsid w:val="00A25AC2"/>
    <w:rsid w:val="00A27DAE"/>
    <w:rsid w:val="00A32B78"/>
    <w:rsid w:val="00A333A6"/>
    <w:rsid w:val="00A34980"/>
    <w:rsid w:val="00A3624D"/>
    <w:rsid w:val="00A3661F"/>
    <w:rsid w:val="00A36EC7"/>
    <w:rsid w:val="00A40EE5"/>
    <w:rsid w:val="00A42975"/>
    <w:rsid w:val="00A43AE2"/>
    <w:rsid w:val="00A449C4"/>
    <w:rsid w:val="00A45EA6"/>
    <w:rsid w:val="00A5011E"/>
    <w:rsid w:val="00A51E64"/>
    <w:rsid w:val="00A56A38"/>
    <w:rsid w:val="00A56CB5"/>
    <w:rsid w:val="00A6097F"/>
    <w:rsid w:val="00A611C0"/>
    <w:rsid w:val="00A67F7C"/>
    <w:rsid w:val="00A7206A"/>
    <w:rsid w:val="00A72579"/>
    <w:rsid w:val="00A748F9"/>
    <w:rsid w:val="00A75C49"/>
    <w:rsid w:val="00A75E93"/>
    <w:rsid w:val="00A76EAB"/>
    <w:rsid w:val="00A77014"/>
    <w:rsid w:val="00A8331D"/>
    <w:rsid w:val="00A847F7"/>
    <w:rsid w:val="00A85AA1"/>
    <w:rsid w:val="00A85FA0"/>
    <w:rsid w:val="00A877EC"/>
    <w:rsid w:val="00A90D34"/>
    <w:rsid w:val="00A91558"/>
    <w:rsid w:val="00A95A9E"/>
    <w:rsid w:val="00A97917"/>
    <w:rsid w:val="00A97C88"/>
    <w:rsid w:val="00AA03E4"/>
    <w:rsid w:val="00AA080C"/>
    <w:rsid w:val="00AA5C62"/>
    <w:rsid w:val="00AA7438"/>
    <w:rsid w:val="00AB1122"/>
    <w:rsid w:val="00AB2F6B"/>
    <w:rsid w:val="00AB3577"/>
    <w:rsid w:val="00AB4338"/>
    <w:rsid w:val="00AC67B7"/>
    <w:rsid w:val="00AC7B86"/>
    <w:rsid w:val="00AD4E71"/>
    <w:rsid w:val="00AD5323"/>
    <w:rsid w:val="00AE3775"/>
    <w:rsid w:val="00AE3B1D"/>
    <w:rsid w:val="00AF1316"/>
    <w:rsid w:val="00AF52AE"/>
    <w:rsid w:val="00B002AB"/>
    <w:rsid w:val="00B02F58"/>
    <w:rsid w:val="00B05710"/>
    <w:rsid w:val="00B111BB"/>
    <w:rsid w:val="00B14AD9"/>
    <w:rsid w:val="00B15409"/>
    <w:rsid w:val="00B159EE"/>
    <w:rsid w:val="00B2088A"/>
    <w:rsid w:val="00B244BA"/>
    <w:rsid w:val="00B24783"/>
    <w:rsid w:val="00B2573A"/>
    <w:rsid w:val="00B26D2C"/>
    <w:rsid w:val="00B273F4"/>
    <w:rsid w:val="00B338E1"/>
    <w:rsid w:val="00B3450B"/>
    <w:rsid w:val="00B40EAA"/>
    <w:rsid w:val="00B4322C"/>
    <w:rsid w:val="00B43CD1"/>
    <w:rsid w:val="00B44438"/>
    <w:rsid w:val="00B45C9B"/>
    <w:rsid w:val="00B53255"/>
    <w:rsid w:val="00B5361E"/>
    <w:rsid w:val="00B54EAD"/>
    <w:rsid w:val="00B55666"/>
    <w:rsid w:val="00B564F7"/>
    <w:rsid w:val="00B6466E"/>
    <w:rsid w:val="00B647B5"/>
    <w:rsid w:val="00B65696"/>
    <w:rsid w:val="00B70D60"/>
    <w:rsid w:val="00B712D1"/>
    <w:rsid w:val="00B74F21"/>
    <w:rsid w:val="00B80032"/>
    <w:rsid w:val="00B80AA3"/>
    <w:rsid w:val="00B80C37"/>
    <w:rsid w:val="00B87C14"/>
    <w:rsid w:val="00B91361"/>
    <w:rsid w:val="00B91D4C"/>
    <w:rsid w:val="00BA05FF"/>
    <w:rsid w:val="00BA3BC8"/>
    <w:rsid w:val="00BA4B1A"/>
    <w:rsid w:val="00BA5291"/>
    <w:rsid w:val="00BA7B54"/>
    <w:rsid w:val="00BA7F28"/>
    <w:rsid w:val="00BB07C2"/>
    <w:rsid w:val="00BB0A1D"/>
    <w:rsid w:val="00BB3249"/>
    <w:rsid w:val="00BB39BC"/>
    <w:rsid w:val="00BB3BCB"/>
    <w:rsid w:val="00BB65B4"/>
    <w:rsid w:val="00BD14D5"/>
    <w:rsid w:val="00BD399A"/>
    <w:rsid w:val="00BD5B02"/>
    <w:rsid w:val="00BE010B"/>
    <w:rsid w:val="00BE5BB1"/>
    <w:rsid w:val="00BF0F47"/>
    <w:rsid w:val="00BF1782"/>
    <w:rsid w:val="00BF1B9A"/>
    <w:rsid w:val="00BF4361"/>
    <w:rsid w:val="00C0399E"/>
    <w:rsid w:val="00C06153"/>
    <w:rsid w:val="00C0617B"/>
    <w:rsid w:val="00C10426"/>
    <w:rsid w:val="00C104C3"/>
    <w:rsid w:val="00C10D29"/>
    <w:rsid w:val="00C11BC1"/>
    <w:rsid w:val="00C12FEA"/>
    <w:rsid w:val="00C21EB0"/>
    <w:rsid w:val="00C2518C"/>
    <w:rsid w:val="00C25392"/>
    <w:rsid w:val="00C2690D"/>
    <w:rsid w:val="00C27AF4"/>
    <w:rsid w:val="00C3645C"/>
    <w:rsid w:val="00C36ECC"/>
    <w:rsid w:val="00C402B2"/>
    <w:rsid w:val="00C402CE"/>
    <w:rsid w:val="00C436C6"/>
    <w:rsid w:val="00C4448A"/>
    <w:rsid w:val="00C4455B"/>
    <w:rsid w:val="00C44DFD"/>
    <w:rsid w:val="00C4653B"/>
    <w:rsid w:val="00C47E07"/>
    <w:rsid w:val="00C52607"/>
    <w:rsid w:val="00C526FA"/>
    <w:rsid w:val="00C52AAF"/>
    <w:rsid w:val="00C53051"/>
    <w:rsid w:val="00C538DD"/>
    <w:rsid w:val="00C53F34"/>
    <w:rsid w:val="00C542B4"/>
    <w:rsid w:val="00C5631A"/>
    <w:rsid w:val="00C60D75"/>
    <w:rsid w:val="00C631A3"/>
    <w:rsid w:val="00C634AC"/>
    <w:rsid w:val="00C63E49"/>
    <w:rsid w:val="00C64839"/>
    <w:rsid w:val="00C674CF"/>
    <w:rsid w:val="00C67DE7"/>
    <w:rsid w:val="00C71DB1"/>
    <w:rsid w:val="00C77A1B"/>
    <w:rsid w:val="00C902E3"/>
    <w:rsid w:val="00C90C24"/>
    <w:rsid w:val="00C91A79"/>
    <w:rsid w:val="00C93709"/>
    <w:rsid w:val="00C95E65"/>
    <w:rsid w:val="00C97087"/>
    <w:rsid w:val="00CA21FD"/>
    <w:rsid w:val="00CA7AAA"/>
    <w:rsid w:val="00CB2F97"/>
    <w:rsid w:val="00CC1FCE"/>
    <w:rsid w:val="00CC289B"/>
    <w:rsid w:val="00CC2CDA"/>
    <w:rsid w:val="00CC3C59"/>
    <w:rsid w:val="00CC3E19"/>
    <w:rsid w:val="00CC41BE"/>
    <w:rsid w:val="00CD1D7D"/>
    <w:rsid w:val="00CD23B6"/>
    <w:rsid w:val="00CD6397"/>
    <w:rsid w:val="00CD70E2"/>
    <w:rsid w:val="00CD7EFE"/>
    <w:rsid w:val="00CE049F"/>
    <w:rsid w:val="00CE2FF0"/>
    <w:rsid w:val="00CE607B"/>
    <w:rsid w:val="00CF7059"/>
    <w:rsid w:val="00D0137D"/>
    <w:rsid w:val="00D0154C"/>
    <w:rsid w:val="00D016CD"/>
    <w:rsid w:val="00D15DE8"/>
    <w:rsid w:val="00D2134F"/>
    <w:rsid w:val="00D2159A"/>
    <w:rsid w:val="00D239C4"/>
    <w:rsid w:val="00D241C4"/>
    <w:rsid w:val="00D3145C"/>
    <w:rsid w:val="00D317AC"/>
    <w:rsid w:val="00D4171E"/>
    <w:rsid w:val="00D4186D"/>
    <w:rsid w:val="00D418AE"/>
    <w:rsid w:val="00D41BB2"/>
    <w:rsid w:val="00D41D45"/>
    <w:rsid w:val="00D42CEA"/>
    <w:rsid w:val="00D43A58"/>
    <w:rsid w:val="00D44F09"/>
    <w:rsid w:val="00D45130"/>
    <w:rsid w:val="00D459EB"/>
    <w:rsid w:val="00D54F48"/>
    <w:rsid w:val="00D611B3"/>
    <w:rsid w:val="00D6316A"/>
    <w:rsid w:val="00D63F24"/>
    <w:rsid w:val="00D67112"/>
    <w:rsid w:val="00D70AB8"/>
    <w:rsid w:val="00D71B47"/>
    <w:rsid w:val="00D83DC9"/>
    <w:rsid w:val="00D83E88"/>
    <w:rsid w:val="00D84420"/>
    <w:rsid w:val="00D93953"/>
    <w:rsid w:val="00DA04EE"/>
    <w:rsid w:val="00DA0CE5"/>
    <w:rsid w:val="00DA1EB8"/>
    <w:rsid w:val="00DA6DBD"/>
    <w:rsid w:val="00DB0F66"/>
    <w:rsid w:val="00DB328C"/>
    <w:rsid w:val="00DB4F18"/>
    <w:rsid w:val="00DC1913"/>
    <w:rsid w:val="00DC3B38"/>
    <w:rsid w:val="00DC6442"/>
    <w:rsid w:val="00DC77C7"/>
    <w:rsid w:val="00DD26B5"/>
    <w:rsid w:val="00DE7D56"/>
    <w:rsid w:val="00DF1847"/>
    <w:rsid w:val="00DF7C03"/>
    <w:rsid w:val="00E01E5A"/>
    <w:rsid w:val="00E01E9F"/>
    <w:rsid w:val="00E056C2"/>
    <w:rsid w:val="00E116B1"/>
    <w:rsid w:val="00E20571"/>
    <w:rsid w:val="00E33537"/>
    <w:rsid w:val="00E360C6"/>
    <w:rsid w:val="00E36654"/>
    <w:rsid w:val="00E366BD"/>
    <w:rsid w:val="00E37BA5"/>
    <w:rsid w:val="00E42B5E"/>
    <w:rsid w:val="00E443FD"/>
    <w:rsid w:val="00E44933"/>
    <w:rsid w:val="00E473BC"/>
    <w:rsid w:val="00E505D9"/>
    <w:rsid w:val="00E507B4"/>
    <w:rsid w:val="00E50C32"/>
    <w:rsid w:val="00E55404"/>
    <w:rsid w:val="00E5590B"/>
    <w:rsid w:val="00E55973"/>
    <w:rsid w:val="00E5642B"/>
    <w:rsid w:val="00E6187F"/>
    <w:rsid w:val="00E626C5"/>
    <w:rsid w:val="00E62730"/>
    <w:rsid w:val="00E64A30"/>
    <w:rsid w:val="00E67551"/>
    <w:rsid w:val="00E7178C"/>
    <w:rsid w:val="00E744F6"/>
    <w:rsid w:val="00E766A1"/>
    <w:rsid w:val="00E84C65"/>
    <w:rsid w:val="00E85924"/>
    <w:rsid w:val="00E85FC8"/>
    <w:rsid w:val="00E86C71"/>
    <w:rsid w:val="00E872F8"/>
    <w:rsid w:val="00E90559"/>
    <w:rsid w:val="00E92851"/>
    <w:rsid w:val="00E96197"/>
    <w:rsid w:val="00EA3FD0"/>
    <w:rsid w:val="00EA7B8C"/>
    <w:rsid w:val="00EB2E1B"/>
    <w:rsid w:val="00EB56C8"/>
    <w:rsid w:val="00EB5C7E"/>
    <w:rsid w:val="00EB5E20"/>
    <w:rsid w:val="00EB5FF7"/>
    <w:rsid w:val="00EB7947"/>
    <w:rsid w:val="00EC09F6"/>
    <w:rsid w:val="00EC1B0C"/>
    <w:rsid w:val="00EC1B33"/>
    <w:rsid w:val="00EC3834"/>
    <w:rsid w:val="00EC52D1"/>
    <w:rsid w:val="00EC7017"/>
    <w:rsid w:val="00EC7FE8"/>
    <w:rsid w:val="00ED04A9"/>
    <w:rsid w:val="00ED3B18"/>
    <w:rsid w:val="00EE3E86"/>
    <w:rsid w:val="00EE4E1F"/>
    <w:rsid w:val="00EF2A69"/>
    <w:rsid w:val="00EF3598"/>
    <w:rsid w:val="00EF42A1"/>
    <w:rsid w:val="00EF75F3"/>
    <w:rsid w:val="00F028A2"/>
    <w:rsid w:val="00F04090"/>
    <w:rsid w:val="00F05DAC"/>
    <w:rsid w:val="00F0722B"/>
    <w:rsid w:val="00F1070C"/>
    <w:rsid w:val="00F10FB7"/>
    <w:rsid w:val="00F11CEA"/>
    <w:rsid w:val="00F14C5B"/>
    <w:rsid w:val="00F15E8D"/>
    <w:rsid w:val="00F21837"/>
    <w:rsid w:val="00F23C94"/>
    <w:rsid w:val="00F2605D"/>
    <w:rsid w:val="00F2621B"/>
    <w:rsid w:val="00F26A0D"/>
    <w:rsid w:val="00F275A9"/>
    <w:rsid w:val="00F32405"/>
    <w:rsid w:val="00F32DBC"/>
    <w:rsid w:val="00F33B5C"/>
    <w:rsid w:val="00F33EF1"/>
    <w:rsid w:val="00F4028B"/>
    <w:rsid w:val="00F4455B"/>
    <w:rsid w:val="00F46E5B"/>
    <w:rsid w:val="00F47D63"/>
    <w:rsid w:val="00F47EA4"/>
    <w:rsid w:val="00F50966"/>
    <w:rsid w:val="00F51FBB"/>
    <w:rsid w:val="00F56EBE"/>
    <w:rsid w:val="00F61127"/>
    <w:rsid w:val="00F62328"/>
    <w:rsid w:val="00F62892"/>
    <w:rsid w:val="00F6339E"/>
    <w:rsid w:val="00F6493E"/>
    <w:rsid w:val="00F660F6"/>
    <w:rsid w:val="00F67132"/>
    <w:rsid w:val="00F67D2D"/>
    <w:rsid w:val="00F70088"/>
    <w:rsid w:val="00F7036B"/>
    <w:rsid w:val="00F71CF0"/>
    <w:rsid w:val="00F73DA5"/>
    <w:rsid w:val="00F75F23"/>
    <w:rsid w:val="00F80B46"/>
    <w:rsid w:val="00F82B15"/>
    <w:rsid w:val="00F82C37"/>
    <w:rsid w:val="00F865FF"/>
    <w:rsid w:val="00F90923"/>
    <w:rsid w:val="00F90ED6"/>
    <w:rsid w:val="00F924AA"/>
    <w:rsid w:val="00F925EF"/>
    <w:rsid w:val="00F944F9"/>
    <w:rsid w:val="00F94634"/>
    <w:rsid w:val="00F95915"/>
    <w:rsid w:val="00F9640F"/>
    <w:rsid w:val="00F968B7"/>
    <w:rsid w:val="00F96EEF"/>
    <w:rsid w:val="00F97309"/>
    <w:rsid w:val="00F974E6"/>
    <w:rsid w:val="00FA1A4B"/>
    <w:rsid w:val="00FA3F55"/>
    <w:rsid w:val="00FB1FCC"/>
    <w:rsid w:val="00FB3FB1"/>
    <w:rsid w:val="00FC202C"/>
    <w:rsid w:val="00FC4946"/>
    <w:rsid w:val="00FC7B30"/>
    <w:rsid w:val="00FD2C6C"/>
    <w:rsid w:val="00FD3376"/>
    <w:rsid w:val="00FD4FE2"/>
    <w:rsid w:val="00FE3D97"/>
    <w:rsid w:val="00FE59B0"/>
    <w:rsid w:val="00FE7A9D"/>
    <w:rsid w:val="00FE7B4B"/>
    <w:rsid w:val="00FF306A"/>
    <w:rsid w:val="00FF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4CC2"/>
  <w15:docId w15:val="{717591D3-B552-4FF1-B630-09B2F2EA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7"/>
    <w:pPr>
      <w:spacing w:after="0" w:line="480" w:lineRule="auto"/>
    </w:pPr>
    <w:rPr>
      <w:rFonts w:ascii="Gill Sans MT" w:hAnsi="Gill Sans MT"/>
      <w:sz w:val="24"/>
      <w:szCs w:val="24"/>
    </w:rPr>
  </w:style>
  <w:style w:type="paragraph" w:styleId="Heading1">
    <w:name w:val="heading 1"/>
    <w:basedOn w:val="Normal"/>
    <w:link w:val="Heading1Char"/>
    <w:uiPriority w:val="9"/>
    <w:qFormat/>
    <w:rsid w:val="00E96197"/>
    <w:pPr>
      <w:spacing w:before="100" w:beforeAutospacing="1" w:after="100" w:afterAutospacing="1" w:line="240" w:lineRule="auto"/>
      <w:outlineLvl w:val="0"/>
    </w:pPr>
    <w:rPr>
      <w:rFonts w:eastAsia="Times New Roman" w:cs="Times New Roman"/>
      <w:b/>
      <w:bCs/>
      <w:smallCaps/>
      <w:kern w:val="36"/>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C59"/>
    <w:pPr>
      <w:ind w:left="720"/>
      <w:contextualSpacing/>
    </w:pPr>
  </w:style>
  <w:style w:type="character" w:styleId="CommentReference">
    <w:name w:val="annotation reference"/>
    <w:basedOn w:val="DefaultParagraphFont"/>
    <w:uiPriority w:val="99"/>
    <w:semiHidden/>
    <w:unhideWhenUsed/>
    <w:rsid w:val="00B65696"/>
    <w:rPr>
      <w:sz w:val="16"/>
      <w:szCs w:val="16"/>
    </w:rPr>
  </w:style>
  <w:style w:type="paragraph" w:styleId="CommentText">
    <w:name w:val="annotation text"/>
    <w:basedOn w:val="Normal"/>
    <w:link w:val="CommentTextChar"/>
    <w:uiPriority w:val="99"/>
    <w:unhideWhenUsed/>
    <w:rsid w:val="00B65696"/>
    <w:pPr>
      <w:spacing w:line="240" w:lineRule="auto"/>
    </w:pPr>
    <w:rPr>
      <w:sz w:val="20"/>
      <w:szCs w:val="20"/>
    </w:rPr>
  </w:style>
  <w:style w:type="character" w:customStyle="1" w:styleId="CommentTextChar">
    <w:name w:val="Comment Text Char"/>
    <w:basedOn w:val="DefaultParagraphFont"/>
    <w:link w:val="CommentText"/>
    <w:uiPriority w:val="99"/>
    <w:rsid w:val="00B65696"/>
    <w:rPr>
      <w:sz w:val="20"/>
      <w:szCs w:val="20"/>
    </w:rPr>
  </w:style>
  <w:style w:type="paragraph" w:styleId="CommentSubject">
    <w:name w:val="annotation subject"/>
    <w:basedOn w:val="CommentText"/>
    <w:next w:val="CommentText"/>
    <w:link w:val="CommentSubjectChar"/>
    <w:uiPriority w:val="99"/>
    <w:semiHidden/>
    <w:unhideWhenUsed/>
    <w:rsid w:val="00B65696"/>
    <w:rPr>
      <w:b/>
      <w:bCs/>
    </w:rPr>
  </w:style>
  <w:style w:type="character" w:customStyle="1" w:styleId="CommentSubjectChar">
    <w:name w:val="Comment Subject Char"/>
    <w:basedOn w:val="CommentTextChar"/>
    <w:link w:val="CommentSubject"/>
    <w:uiPriority w:val="99"/>
    <w:semiHidden/>
    <w:rsid w:val="00B65696"/>
    <w:rPr>
      <w:b/>
      <w:bCs/>
      <w:sz w:val="20"/>
      <w:szCs w:val="20"/>
    </w:rPr>
  </w:style>
  <w:style w:type="paragraph" w:styleId="BalloonText">
    <w:name w:val="Balloon Text"/>
    <w:basedOn w:val="Normal"/>
    <w:link w:val="BalloonTextChar"/>
    <w:uiPriority w:val="99"/>
    <w:semiHidden/>
    <w:unhideWhenUsed/>
    <w:rsid w:val="00B656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696"/>
    <w:rPr>
      <w:rFonts w:ascii="Tahoma" w:hAnsi="Tahoma" w:cs="Tahoma"/>
      <w:sz w:val="16"/>
      <w:szCs w:val="16"/>
    </w:rPr>
  </w:style>
  <w:style w:type="character" w:customStyle="1" w:styleId="Heading1Char">
    <w:name w:val="Heading 1 Char"/>
    <w:basedOn w:val="DefaultParagraphFont"/>
    <w:link w:val="Heading1"/>
    <w:uiPriority w:val="9"/>
    <w:rsid w:val="00E96197"/>
    <w:rPr>
      <w:rFonts w:ascii="Gill Sans MT" w:eastAsia="Times New Roman" w:hAnsi="Gill Sans MT" w:cs="Times New Roman"/>
      <w:b/>
      <w:bCs/>
      <w:smallCaps/>
      <w:kern w:val="36"/>
      <w:sz w:val="24"/>
      <w:szCs w:val="32"/>
      <w:lang w:eastAsia="en-GB"/>
    </w:rPr>
  </w:style>
  <w:style w:type="character" w:styleId="Hyperlink">
    <w:name w:val="Hyperlink"/>
    <w:basedOn w:val="DefaultParagraphFont"/>
    <w:uiPriority w:val="99"/>
    <w:unhideWhenUsed/>
    <w:rsid w:val="00106056"/>
    <w:rPr>
      <w:color w:val="0000FF"/>
      <w:u w:val="single"/>
    </w:rPr>
  </w:style>
  <w:style w:type="character" w:customStyle="1" w:styleId="apple-converted-space">
    <w:name w:val="apple-converted-space"/>
    <w:basedOn w:val="DefaultParagraphFont"/>
    <w:rsid w:val="00106056"/>
  </w:style>
  <w:style w:type="character" w:customStyle="1" w:styleId="highlight">
    <w:name w:val="highlight"/>
    <w:basedOn w:val="DefaultParagraphFont"/>
    <w:rsid w:val="00106056"/>
  </w:style>
  <w:style w:type="paragraph" w:customStyle="1" w:styleId="Title1">
    <w:name w:val="Title1"/>
    <w:basedOn w:val="Normal"/>
    <w:rsid w:val="00175A7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sc">
    <w:name w:val="desc"/>
    <w:basedOn w:val="Normal"/>
    <w:rsid w:val="00175A7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tails">
    <w:name w:val="details"/>
    <w:basedOn w:val="Normal"/>
    <w:rsid w:val="00175A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jrnl">
    <w:name w:val="jrnl"/>
    <w:basedOn w:val="DefaultParagraphFont"/>
    <w:rsid w:val="00175A7D"/>
  </w:style>
  <w:style w:type="paragraph" w:styleId="Header">
    <w:name w:val="header"/>
    <w:basedOn w:val="Normal"/>
    <w:link w:val="HeaderChar"/>
    <w:uiPriority w:val="99"/>
    <w:unhideWhenUsed/>
    <w:rsid w:val="00BE5BB1"/>
    <w:pPr>
      <w:tabs>
        <w:tab w:val="center" w:pos="4513"/>
        <w:tab w:val="right" w:pos="9026"/>
      </w:tabs>
      <w:spacing w:line="240" w:lineRule="auto"/>
    </w:pPr>
  </w:style>
  <w:style w:type="character" w:customStyle="1" w:styleId="HeaderChar">
    <w:name w:val="Header Char"/>
    <w:basedOn w:val="DefaultParagraphFont"/>
    <w:link w:val="Header"/>
    <w:uiPriority w:val="99"/>
    <w:rsid w:val="00BE5BB1"/>
  </w:style>
  <w:style w:type="paragraph" w:styleId="Footer">
    <w:name w:val="footer"/>
    <w:basedOn w:val="Normal"/>
    <w:link w:val="FooterChar"/>
    <w:uiPriority w:val="99"/>
    <w:unhideWhenUsed/>
    <w:rsid w:val="00BE5BB1"/>
    <w:pPr>
      <w:tabs>
        <w:tab w:val="center" w:pos="4513"/>
        <w:tab w:val="right" w:pos="9026"/>
      </w:tabs>
      <w:spacing w:line="240" w:lineRule="auto"/>
    </w:pPr>
  </w:style>
  <w:style w:type="character" w:customStyle="1" w:styleId="FooterChar">
    <w:name w:val="Footer Char"/>
    <w:basedOn w:val="DefaultParagraphFont"/>
    <w:link w:val="Footer"/>
    <w:uiPriority w:val="99"/>
    <w:rsid w:val="00BE5BB1"/>
  </w:style>
  <w:style w:type="paragraph" w:styleId="Title">
    <w:name w:val="Title"/>
    <w:basedOn w:val="Normal"/>
    <w:next w:val="Normal"/>
    <w:link w:val="TitleChar"/>
    <w:uiPriority w:val="10"/>
    <w:qFormat/>
    <w:rsid w:val="005A3677"/>
    <w:pPr>
      <w:spacing w:after="240" w:line="240" w:lineRule="auto"/>
      <w:contextualSpacing/>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5A3677"/>
    <w:rPr>
      <w:rFonts w:ascii="Gill Sans MT" w:eastAsiaTheme="majorEastAsia" w:hAnsi="Gill Sans MT" w:cstheme="majorBidi"/>
      <w:spacing w:val="-10"/>
      <w:kern w:val="28"/>
      <w:sz w:val="44"/>
      <w:szCs w:val="44"/>
    </w:rPr>
  </w:style>
  <w:style w:type="paragraph" w:customStyle="1" w:styleId="EndNoteBibliography">
    <w:name w:val="EndNote Bibliography"/>
    <w:basedOn w:val="Normal"/>
    <w:link w:val="EndNoteBibliographyChar"/>
    <w:autoRedefine/>
    <w:rsid w:val="00A72579"/>
    <w:pPr>
      <w:widowControl w:val="0"/>
      <w:tabs>
        <w:tab w:val="left" w:pos="142"/>
      </w:tabs>
      <w:spacing w:line="240" w:lineRule="auto"/>
    </w:pPr>
    <w:rPr>
      <w:rFonts w:asciiTheme="minorHAnsi" w:eastAsia="Times New Roman" w:hAnsiTheme="minorHAnsi" w:cstheme="minorHAnsi"/>
      <w:noProof/>
      <w:sz w:val="22"/>
      <w:szCs w:val="22"/>
      <w:lang w:val="en-AU"/>
    </w:rPr>
  </w:style>
  <w:style w:type="character" w:customStyle="1" w:styleId="EndNoteBibliographyChar">
    <w:name w:val="EndNote Bibliography Char"/>
    <w:link w:val="EndNoteBibliography"/>
    <w:rsid w:val="00A72579"/>
    <w:rPr>
      <w:rFonts w:eastAsia="Times New Roman" w:cstheme="minorHAnsi"/>
      <w:noProof/>
      <w:lang w:val="en-AU"/>
    </w:rPr>
  </w:style>
  <w:style w:type="character" w:customStyle="1" w:styleId="orcid-id-https">
    <w:name w:val="orcid-id-https"/>
    <w:basedOn w:val="DefaultParagraphFont"/>
    <w:rsid w:val="00A07B2E"/>
  </w:style>
  <w:style w:type="character" w:customStyle="1" w:styleId="ref-journal">
    <w:name w:val="ref-journal"/>
    <w:basedOn w:val="DefaultParagraphFont"/>
    <w:rsid w:val="00396182"/>
  </w:style>
  <w:style w:type="character" w:customStyle="1" w:styleId="ref-vol">
    <w:name w:val="ref-vol"/>
    <w:basedOn w:val="DefaultParagraphFont"/>
    <w:rsid w:val="00396182"/>
  </w:style>
  <w:style w:type="paragraph" w:customStyle="1" w:styleId="Title2">
    <w:name w:val="Title2"/>
    <w:basedOn w:val="Normal"/>
    <w:rsid w:val="000979B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lement-citation">
    <w:name w:val="element-citation"/>
    <w:basedOn w:val="DefaultParagraphFont"/>
    <w:rsid w:val="007E304A"/>
  </w:style>
  <w:style w:type="character" w:customStyle="1" w:styleId="personname">
    <w:name w:val="person_name"/>
    <w:basedOn w:val="DefaultParagraphFont"/>
    <w:rsid w:val="006209D5"/>
  </w:style>
  <w:style w:type="character" w:styleId="Emphasis">
    <w:name w:val="Emphasis"/>
    <w:basedOn w:val="DefaultParagraphFont"/>
    <w:uiPriority w:val="20"/>
    <w:qFormat/>
    <w:rsid w:val="006209D5"/>
    <w:rPr>
      <w:i/>
      <w:iCs/>
    </w:rPr>
  </w:style>
  <w:style w:type="paragraph" w:customStyle="1" w:styleId="Title3">
    <w:name w:val="Title3"/>
    <w:basedOn w:val="Normal"/>
    <w:rsid w:val="008E5298"/>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C77A1B"/>
    <w:pPr>
      <w:spacing w:after="0" w:line="240" w:lineRule="auto"/>
    </w:pPr>
    <w:rPr>
      <w:rFonts w:ascii="Gill Sans MT"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712">
      <w:bodyDiv w:val="1"/>
      <w:marLeft w:val="0"/>
      <w:marRight w:val="0"/>
      <w:marTop w:val="0"/>
      <w:marBottom w:val="0"/>
      <w:divBdr>
        <w:top w:val="none" w:sz="0" w:space="0" w:color="auto"/>
        <w:left w:val="none" w:sz="0" w:space="0" w:color="auto"/>
        <w:bottom w:val="none" w:sz="0" w:space="0" w:color="auto"/>
        <w:right w:val="none" w:sz="0" w:space="0" w:color="auto"/>
      </w:divBdr>
      <w:divsChild>
        <w:div w:id="1907061207">
          <w:marLeft w:val="0"/>
          <w:marRight w:val="0"/>
          <w:marTop w:val="34"/>
          <w:marBottom w:val="34"/>
          <w:divBdr>
            <w:top w:val="none" w:sz="0" w:space="0" w:color="auto"/>
            <w:left w:val="none" w:sz="0" w:space="0" w:color="auto"/>
            <w:bottom w:val="none" w:sz="0" w:space="0" w:color="auto"/>
            <w:right w:val="none" w:sz="0" w:space="0" w:color="auto"/>
          </w:divBdr>
        </w:div>
      </w:divsChild>
    </w:div>
    <w:div w:id="140004679">
      <w:bodyDiv w:val="1"/>
      <w:marLeft w:val="0"/>
      <w:marRight w:val="0"/>
      <w:marTop w:val="0"/>
      <w:marBottom w:val="0"/>
      <w:divBdr>
        <w:top w:val="none" w:sz="0" w:space="0" w:color="auto"/>
        <w:left w:val="none" w:sz="0" w:space="0" w:color="auto"/>
        <w:bottom w:val="none" w:sz="0" w:space="0" w:color="auto"/>
        <w:right w:val="none" w:sz="0" w:space="0" w:color="auto"/>
      </w:divBdr>
      <w:divsChild>
        <w:div w:id="1673414738">
          <w:marLeft w:val="0"/>
          <w:marRight w:val="0"/>
          <w:marTop w:val="34"/>
          <w:marBottom w:val="34"/>
          <w:divBdr>
            <w:top w:val="none" w:sz="0" w:space="0" w:color="auto"/>
            <w:left w:val="none" w:sz="0" w:space="0" w:color="auto"/>
            <w:bottom w:val="none" w:sz="0" w:space="0" w:color="auto"/>
            <w:right w:val="none" w:sz="0" w:space="0" w:color="auto"/>
          </w:divBdr>
        </w:div>
      </w:divsChild>
    </w:div>
    <w:div w:id="151333484">
      <w:bodyDiv w:val="1"/>
      <w:marLeft w:val="0"/>
      <w:marRight w:val="0"/>
      <w:marTop w:val="0"/>
      <w:marBottom w:val="0"/>
      <w:divBdr>
        <w:top w:val="none" w:sz="0" w:space="0" w:color="auto"/>
        <w:left w:val="none" w:sz="0" w:space="0" w:color="auto"/>
        <w:bottom w:val="none" w:sz="0" w:space="0" w:color="auto"/>
        <w:right w:val="none" w:sz="0" w:space="0" w:color="auto"/>
      </w:divBdr>
    </w:div>
    <w:div w:id="225146255">
      <w:bodyDiv w:val="1"/>
      <w:marLeft w:val="0"/>
      <w:marRight w:val="0"/>
      <w:marTop w:val="0"/>
      <w:marBottom w:val="0"/>
      <w:divBdr>
        <w:top w:val="none" w:sz="0" w:space="0" w:color="auto"/>
        <w:left w:val="none" w:sz="0" w:space="0" w:color="auto"/>
        <w:bottom w:val="none" w:sz="0" w:space="0" w:color="auto"/>
        <w:right w:val="none" w:sz="0" w:space="0" w:color="auto"/>
      </w:divBdr>
    </w:div>
    <w:div w:id="251091489">
      <w:bodyDiv w:val="1"/>
      <w:marLeft w:val="0"/>
      <w:marRight w:val="0"/>
      <w:marTop w:val="0"/>
      <w:marBottom w:val="0"/>
      <w:divBdr>
        <w:top w:val="none" w:sz="0" w:space="0" w:color="auto"/>
        <w:left w:val="none" w:sz="0" w:space="0" w:color="auto"/>
        <w:bottom w:val="none" w:sz="0" w:space="0" w:color="auto"/>
        <w:right w:val="none" w:sz="0" w:space="0" w:color="auto"/>
      </w:divBdr>
      <w:divsChild>
        <w:div w:id="1588686519">
          <w:marLeft w:val="0"/>
          <w:marRight w:val="0"/>
          <w:marTop w:val="34"/>
          <w:marBottom w:val="34"/>
          <w:divBdr>
            <w:top w:val="none" w:sz="0" w:space="0" w:color="auto"/>
            <w:left w:val="none" w:sz="0" w:space="0" w:color="auto"/>
            <w:bottom w:val="none" w:sz="0" w:space="0" w:color="auto"/>
            <w:right w:val="none" w:sz="0" w:space="0" w:color="auto"/>
          </w:divBdr>
        </w:div>
      </w:divsChild>
    </w:div>
    <w:div w:id="335958400">
      <w:bodyDiv w:val="1"/>
      <w:marLeft w:val="0"/>
      <w:marRight w:val="0"/>
      <w:marTop w:val="0"/>
      <w:marBottom w:val="0"/>
      <w:divBdr>
        <w:top w:val="none" w:sz="0" w:space="0" w:color="auto"/>
        <w:left w:val="none" w:sz="0" w:space="0" w:color="auto"/>
        <w:bottom w:val="none" w:sz="0" w:space="0" w:color="auto"/>
        <w:right w:val="none" w:sz="0" w:space="0" w:color="auto"/>
      </w:divBdr>
    </w:div>
    <w:div w:id="352193138">
      <w:bodyDiv w:val="1"/>
      <w:marLeft w:val="0"/>
      <w:marRight w:val="0"/>
      <w:marTop w:val="0"/>
      <w:marBottom w:val="0"/>
      <w:divBdr>
        <w:top w:val="none" w:sz="0" w:space="0" w:color="auto"/>
        <w:left w:val="none" w:sz="0" w:space="0" w:color="auto"/>
        <w:bottom w:val="none" w:sz="0" w:space="0" w:color="auto"/>
        <w:right w:val="none" w:sz="0" w:space="0" w:color="auto"/>
      </w:divBdr>
      <w:divsChild>
        <w:div w:id="1210655130">
          <w:marLeft w:val="0"/>
          <w:marRight w:val="0"/>
          <w:marTop w:val="34"/>
          <w:marBottom w:val="34"/>
          <w:divBdr>
            <w:top w:val="none" w:sz="0" w:space="0" w:color="auto"/>
            <w:left w:val="none" w:sz="0" w:space="0" w:color="auto"/>
            <w:bottom w:val="none" w:sz="0" w:space="0" w:color="auto"/>
            <w:right w:val="none" w:sz="0" w:space="0" w:color="auto"/>
          </w:divBdr>
        </w:div>
      </w:divsChild>
    </w:div>
    <w:div w:id="416555766">
      <w:bodyDiv w:val="1"/>
      <w:marLeft w:val="0"/>
      <w:marRight w:val="0"/>
      <w:marTop w:val="0"/>
      <w:marBottom w:val="0"/>
      <w:divBdr>
        <w:top w:val="none" w:sz="0" w:space="0" w:color="auto"/>
        <w:left w:val="none" w:sz="0" w:space="0" w:color="auto"/>
        <w:bottom w:val="none" w:sz="0" w:space="0" w:color="auto"/>
        <w:right w:val="none" w:sz="0" w:space="0" w:color="auto"/>
      </w:divBdr>
    </w:div>
    <w:div w:id="432554447">
      <w:bodyDiv w:val="1"/>
      <w:marLeft w:val="0"/>
      <w:marRight w:val="0"/>
      <w:marTop w:val="0"/>
      <w:marBottom w:val="0"/>
      <w:divBdr>
        <w:top w:val="none" w:sz="0" w:space="0" w:color="auto"/>
        <w:left w:val="none" w:sz="0" w:space="0" w:color="auto"/>
        <w:bottom w:val="none" w:sz="0" w:space="0" w:color="auto"/>
        <w:right w:val="none" w:sz="0" w:space="0" w:color="auto"/>
      </w:divBdr>
    </w:div>
    <w:div w:id="576598742">
      <w:bodyDiv w:val="1"/>
      <w:marLeft w:val="0"/>
      <w:marRight w:val="0"/>
      <w:marTop w:val="0"/>
      <w:marBottom w:val="0"/>
      <w:divBdr>
        <w:top w:val="none" w:sz="0" w:space="0" w:color="auto"/>
        <w:left w:val="none" w:sz="0" w:space="0" w:color="auto"/>
        <w:bottom w:val="none" w:sz="0" w:space="0" w:color="auto"/>
        <w:right w:val="none" w:sz="0" w:space="0" w:color="auto"/>
      </w:divBdr>
    </w:div>
    <w:div w:id="743380275">
      <w:bodyDiv w:val="1"/>
      <w:marLeft w:val="0"/>
      <w:marRight w:val="0"/>
      <w:marTop w:val="0"/>
      <w:marBottom w:val="0"/>
      <w:divBdr>
        <w:top w:val="none" w:sz="0" w:space="0" w:color="auto"/>
        <w:left w:val="none" w:sz="0" w:space="0" w:color="auto"/>
        <w:bottom w:val="none" w:sz="0" w:space="0" w:color="auto"/>
        <w:right w:val="none" w:sz="0" w:space="0" w:color="auto"/>
      </w:divBdr>
      <w:divsChild>
        <w:div w:id="682317424">
          <w:marLeft w:val="0"/>
          <w:marRight w:val="0"/>
          <w:marTop w:val="34"/>
          <w:marBottom w:val="34"/>
          <w:divBdr>
            <w:top w:val="none" w:sz="0" w:space="0" w:color="auto"/>
            <w:left w:val="none" w:sz="0" w:space="0" w:color="auto"/>
            <w:bottom w:val="none" w:sz="0" w:space="0" w:color="auto"/>
            <w:right w:val="none" w:sz="0" w:space="0" w:color="auto"/>
          </w:divBdr>
        </w:div>
      </w:divsChild>
    </w:div>
    <w:div w:id="782531254">
      <w:bodyDiv w:val="1"/>
      <w:marLeft w:val="0"/>
      <w:marRight w:val="0"/>
      <w:marTop w:val="0"/>
      <w:marBottom w:val="0"/>
      <w:divBdr>
        <w:top w:val="none" w:sz="0" w:space="0" w:color="auto"/>
        <w:left w:val="none" w:sz="0" w:space="0" w:color="auto"/>
        <w:bottom w:val="none" w:sz="0" w:space="0" w:color="auto"/>
        <w:right w:val="none" w:sz="0" w:space="0" w:color="auto"/>
      </w:divBdr>
    </w:div>
    <w:div w:id="809906821">
      <w:bodyDiv w:val="1"/>
      <w:marLeft w:val="0"/>
      <w:marRight w:val="0"/>
      <w:marTop w:val="0"/>
      <w:marBottom w:val="0"/>
      <w:divBdr>
        <w:top w:val="none" w:sz="0" w:space="0" w:color="auto"/>
        <w:left w:val="none" w:sz="0" w:space="0" w:color="auto"/>
        <w:bottom w:val="none" w:sz="0" w:space="0" w:color="auto"/>
        <w:right w:val="none" w:sz="0" w:space="0" w:color="auto"/>
      </w:divBdr>
      <w:divsChild>
        <w:div w:id="446197572">
          <w:marLeft w:val="0"/>
          <w:marRight w:val="0"/>
          <w:marTop w:val="34"/>
          <w:marBottom w:val="34"/>
          <w:divBdr>
            <w:top w:val="none" w:sz="0" w:space="0" w:color="auto"/>
            <w:left w:val="none" w:sz="0" w:space="0" w:color="auto"/>
            <w:bottom w:val="none" w:sz="0" w:space="0" w:color="auto"/>
            <w:right w:val="none" w:sz="0" w:space="0" w:color="auto"/>
          </w:divBdr>
        </w:div>
      </w:divsChild>
    </w:div>
    <w:div w:id="866216735">
      <w:bodyDiv w:val="1"/>
      <w:marLeft w:val="0"/>
      <w:marRight w:val="0"/>
      <w:marTop w:val="0"/>
      <w:marBottom w:val="0"/>
      <w:divBdr>
        <w:top w:val="none" w:sz="0" w:space="0" w:color="auto"/>
        <w:left w:val="none" w:sz="0" w:space="0" w:color="auto"/>
        <w:bottom w:val="none" w:sz="0" w:space="0" w:color="auto"/>
        <w:right w:val="none" w:sz="0" w:space="0" w:color="auto"/>
      </w:divBdr>
      <w:divsChild>
        <w:div w:id="704790297">
          <w:marLeft w:val="0"/>
          <w:marRight w:val="0"/>
          <w:marTop w:val="34"/>
          <w:marBottom w:val="34"/>
          <w:divBdr>
            <w:top w:val="none" w:sz="0" w:space="0" w:color="auto"/>
            <w:left w:val="none" w:sz="0" w:space="0" w:color="auto"/>
            <w:bottom w:val="none" w:sz="0" w:space="0" w:color="auto"/>
            <w:right w:val="none" w:sz="0" w:space="0" w:color="auto"/>
          </w:divBdr>
        </w:div>
      </w:divsChild>
    </w:div>
    <w:div w:id="868420598">
      <w:bodyDiv w:val="1"/>
      <w:marLeft w:val="0"/>
      <w:marRight w:val="0"/>
      <w:marTop w:val="0"/>
      <w:marBottom w:val="0"/>
      <w:divBdr>
        <w:top w:val="none" w:sz="0" w:space="0" w:color="auto"/>
        <w:left w:val="none" w:sz="0" w:space="0" w:color="auto"/>
        <w:bottom w:val="none" w:sz="0" w:space="0" w:color="auto"/>
        <w:right w:val="none" w:sz="0" w:space="0" w:color="auto"/>
      </w:divBdr>
    </w:div>
    <w:div w:id="871578504">
      <w:bodyDiv w:val="1"/>
      <w:marLeft w:val="0"/>
      <w:marRight w:val="0"/>
      <w:marTop w:val="0"/>
      <w:marBottom w:val="0"/>
      <w:divBdr>
        <w:top w:val="none" w:sz="0" w:space="0" w:color="auto"/>
        <w:left w:val="none" w:sz="0" w:space="0" w:color="auto"/>
        <w:bottom w:val="none" w:sz="0" w:space="0" w:color="auto"/>
        <w:right w:val="none" w:sz="0" w:space="0" w:color="auto"/>
      </w:divBdr>
    </w:div>
    <w:div w:id="879047770">
      <w:bodyDiv w:val="1"/>
      <w:marLeft w:val="0"/>
      <w:marRight w:val="0"/>
      <w:marTop w:val="0"/>
      <w:marBottom w:val="0"/>
      <w:divBdr>
        <w:top w:val="none" w:sz="0" w:space="0" w:color="auto"/>
        <w:left w:val="none" w:sz="0" w:space="0" w:color="auto"/>
        <w:bottom w:val="none" w:sz="0" w:space="0" w:color="auto"/>
        <w:right w:val="none" w:sz="0" w:space="0" w:color="auto"/>
      </w:divBdr>
    </w:div>
    <w:div w:id="1135416250">
      <w:bodyDiv w:val="1"/>
      <w:marLeft w:val="0"/>
      <w:marRight w:val="0"/>
      <w:marTop w:val="0"/>
      <w:marBottom w:val="0"/>
      <w:divBdr>
        <w:top w:val="none" w:sz="0" w:space="0" w:color="auto"/>
        <w:left w:val="none" w:sz="0" w:space="0" w:color="auto"/>
        <w:bottom w:val="none" w:sz="0" w:space="0" w:color="auto"/>
        <w:right w:val="none" w:sz="0" w:space="0" w:color="auto"/>
      </w:divBdr>
      <w:divsChild>
        <w:div w:id="1275138848">
          <w:marLeft w:val="0"/>
          <w:marRight w:val="0"/>
          <w:marTop w:val="34"/>
          <w:marBottom w:val="34"/>
          <w:divBdr>
            <w:top w:val="none" w:sz="0" w:space="0" w:color="auto"/>
            <w:left w:val="none" w:sz="0" w:space="0" w:color="auto"/>
            <w:bottom w:val="none" w:sz="0" w:space="0" w:color="auto"/>
            <w:right w:val="none" w:sz="0" w:space="0" w:color="auto"/>
          </w:divBdr>
        </w:div>
      </w:divsChild>
    </w:div>
    <w:div w:id="1197894239">
      <w:bodyDiv w:val="1"/>
      <w:marLeft w:val="0"/>
      <w:marRight w:val="0"/>
      <w:marTop w:val="0"/>
      <w:marBottom w:val="0"/>
      <w:divBdr>
        <w:top w:val="none" w:sz="0" w:space="0" w:color="auto"/>
        <w:left w:val="none" w:sz="0" w:space="0" w:color="auto"/>
        <w:bottom w:val="none" w:sz="0" w:space="0" w:color="auto"/>
        <w:right w:val="none" w:sz="0" w:space="0" w:color="auto"/>
      </w:divBdr>
      <w:divsChild>
        <w:div w:id="1012486645">
          <w:marLeft w:val="0"/>
          <w:marRight w:val="0"/>
          <w:marTop w:val="34"/>
          <w:marBottom w:val="34"/>
          <w:divBdr>
            <w:top w:val="none" w:sz="0" w:space="0" w:color="auto"/>
            <w:left w:val="none" w:sz="0" w:space="0" w:color="auto"/>
            <w:bottom w:val="none" w:sz="0" w:space="0" w:color="auto"/>
            <w:right w:val="none" w:sz="0" w:space="0" w:color="auto"/>
          </w:divBdr>
        </w:div>
      </w:divsChild>
    </w:div>
    <w:div w:id="1379427979">
      <w:bodyDiv w:val="1"/>
      <w:marLeft w:val="0"/>
      <w:marRight w:val="0"/>
      <w:marTop w:val="0"/>
      <w:marBottom w:val="0"/>
      <w:divBdr>
        <w:top w:val="none" w:sz="0" w:space="0" w:color="auto"/>
        <w:left w:val="none" w:sz="0" w:space="0" w:color="auto"/>
        <w:bottom w:val="none" w:sz="0" w:space="0" w:color="auto"/>
        <w:right w:val="none" w:sz="0" w:space="0" w:color="auto"/>
      </w:divBdr>
    </w:div>
    <w:div w:id="1434130528">
      <w:bodyDiv w:val="1"/>
      <w:marLeft w:val="0"/>
      <w:marRight w:val="0"/>
      <w:marTop w:val="0"/>
      <w:marBottom w:val="0"/>
      <w:divBdr>
        <w:top w:val="none" w:sz="0" w:space="0" w:color="auto"/>
        <w:left w:val="none" w:sz="0" w:space="0" w:color="auto"/>
        <w:bottom w:val="none" w:sz="0" w:space="0" w:color="auto"/>
        <w:right w:val="none" w:sz="0" w:space="0" w:color="auto"/>
      </w:divBdr>
    </w:div>
    <w:div w:id="1437141169">
      <w:bodyDiv w:val="1"/>
      <w:marLeft w:val="0"/>
      <w:marRight w:val="0"/>
      <w:marTop w:val="0"/>
      <w:marBottom w:val="0"/>
      <w:divBdr>
        <w:top w:val="none" w:sz="0" w:space="0" w:color="auto"/>
        <w:left w:val="none" w:sz="0" w:space="0" w:color="auto"/>
        <w:bottom w:val="none" w:sz="0" w:space="0" w:color="auto"/>
        <w:right w:val="none" w:sz="0" w:space="0" w:color="auto"/>
      </w:divBdr>
      <w:divsChild>
        <w:div w:id="157383778">
          <w:marLeft w:val="0"/>
          <w:marRight w:val="0"/>
          <w:marTop w:val="34"/>
          <w:marBottom w:val="34"/>
          <w:divBdr>
            <w:top w:val="none" w:sz="0" w:space="0" w:color="auto"/>
            <w:left w:val="none" w:sz="0" w:space="0" w:color="auto"/>
            <w:bottom w:val="none" w:sz="0" w:space="0" w:color="auto"/>
            <w:right w:val="none" w:sz="0" w:space="0" w:color="auto"/>
          </w:divBdr>
        </w:div>
      </w:divsChild>
    </w:div>
    <w:div w:id="1452746201">
      <w:bodyDiv w:val="1"/>
      <w:marLeft w:val="0"/>
      <w:marRight w:val="0"/>
      <w:marTop w:val="0"/>
      <w:marBottom w:val="0"/>
      <w:divBdr>
        <w:top w:val="none" w:sz="0" w:space="0" w:color="auto"/>
        <w:left w:val="none" w:sz="0" w:space="0" w:color="auto"/>
        <w:bottom w:val="none" w:sz="0" w:space="0" w:color="auto"/>
        <w:right w:val="none" w:sz="0" w:space="0" w:color="auto"/>
      </w:divBdr>
    </w:div>
    <w:div w:id="1583486761">
      <w:bodyDiv w:val="1"/>
      <w:marLeft w:val="0"/>
      <w:marRight w:val="0"/>
      <w:marTop w:val="0"/>
      <w:marBottom w:val="0"/>
      <w:divBdr>
        <w:top w:val="none" w:sz="0" w:space="0" w:color="auto"/>
        <w:left w:val="none" w:sz="0" w:space="0" w:color="auto"/>
        <w:bottom w:val="none" w:sz="0" w:space="0" w:color="auto"/>
        <w:right w:val="none" w:sz="0" w:space="0" w:color="auto"/>
      </w:divBdr>
    </w:div>
    <w:div w:id="1698236612">
      <w:bodyDiv w:val="1"/>
      <w:marLeft w:val="0"/>
      <w:marRight w:val="0"/>
      <w:marTop w:val="0"/>
      <w:marBottom w:val="0"/>
      <w:divBdr>
        <w:top w:val="none" w:sz="0" w:space="0" w:color="auto"/>
        <w:left w:val="none" w:sz="0" w:space="0" w:color="auto"/>
        <w:bottom w:val="none" w:sz="0" w:space="0" w:color="auto"/>
        <w:right w:val="none" w:sz="0" w:space="0" w:color="auto"/>
      </w:divBdr>
    </w:div>
    <w:div w:id="1779643678">
      <w:bodyDiv w:val="1"/>
      <w:marLeft w:val="0"/>
      <w:marRight w:val="0"/>
      <w:marTop w:val="0"/>
      <w:marBottom w:val="0"/>
      <w:divBdr>
        <w:top w:val="none" w:sz="0" w:space="0" w:color="auto"/>
        <w:left w:val="none" w:sz="0" w:space="0" w:color="auto"/>
        <w:bottom w:val="none" w:sz="0" w:space="0" w:color="auto"/>
        <w:right w:val="none" w:sz="0" w:space="0" w:color="auto"/>
      </w:divBdr>
    </w:div>
    <w:div w:id="1843399062">
      <w:bodyDiv w:val="1"/>
      <w:marLeft w:val="0"/>
      <w:marRight w:val="0"/>
      <w:marTop w:val="0"/>
      <w:marBottom w:val="0"/>
      <w:divBdr>
        <w:top w:val="none" w:sz="0" w:space="0" w:color="auto"/>
        <w:left w:val="none" w:sz="0" w:space="0" w:color="auto"/>
        <w:bottom w:val="none" w:sz="0" w:space="0" w:color="auto"/>
        <w:right w:val="none" w:sz="0" w:space="0" w:color="auto"/>
      </w:divBdr>
    </w:div>
    <w:div w:id="1850756749">
      <w:bodyDiv w:val="1"/>
      <w:marLeft w:val="0"/>
      <w:marRight w:val="0"/>
      <w:marTop w:val="0"/>
      <w:marBottom w:val="0"/>
      <w:divBdr>
        <w:top w:val="none" w:sz="0" w:space="0" w:color="auto"/>
        <w:left w:val="none" w:sz="0" w:space="0" w:color="auto"/>
        <w:bottom w:val="none" w:sz="0" w:space="0" w:color="auto"/>
        <w:right w:val="none" w:sz="0" w:space="0" w:color="auto"/>
      </w:divBdr>
    </w:div>
    <w:div w:id="1907572367">
      <w:bodyDiv w:val="1"/>
      <w:marLeft w:val="0"/>
      <w:marRight w:val="0"/>
      <w:marTop w:val="0"/>
      <w:marBottom w:val="0"/>
      <w:divBdr>
        <w:top w:val="none" w:sz="0" w:space="0" w:color="auto"/>
        <w:left w:val="none" w:sz="0" w:space="0" w:color="auto"/>
        <w:bottom w:val="none" w:sz="0" w:space="0" w:color="auto"/>
        <w:right w:val="none" w:sz="0" w:space="0" w:color="auto"/>
      </w:divBdr>
    </w:div>
    <w:div w:id="1927183181">
      <w:bodyDiv w:val="1"/>
      <w:marLeft w:val="0"/>
      <w:marRight w:val="0"/>
      <w:marTop w:val="0"/>
      <w:marBottom w:val="0"/>
      <w:divBdr>
        <w:top w:val="none" w:sz="0" w:space="0" w:color="auto"/>
        <w:left w:val="none" w:sz="0" w:space="0" w:color="auto"/>
        <w:bottom w:val="none" w:sz="0" w:space="0" w:color="auto"/>
        <w:right w:val="none" w:sz="0" w:space="0" w:color="auto"/>
      </w:divBdr>
    </w:div>
    <w:div w:id="1956063146">
      <w:bodyDiv w:val="1"/>
      <w:marLeft w:val="0"/>
      <w:marRight w:val="0"/>
      <w:marTop w:val="0"/>
      <w:marBottom w:val="0"/>
      <w:divBdr>
        <w:top w:val="none" w:sz="0" w:space="0" w:color="auto"/>
        <w:left w:val="none" w:sz="0" w:space="0" w:color="auto"/>
        <w:bottom w:val="none" w:sz="0" w:space="0" w:color="auto"/>
        <w:right w:val="none" w:sz="0" w:space="0" w:color="auto"/>
      </w:divBdr>
    </w:div>
    <w:div w:id="20991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olte%20S%5BAuthor%5D&amp;cauthor=true&amp;cauthor_uid=24553908" TargetMode="External"/><Relationship Id="rId13" Type="http://schemas.openxmlformats.org/officeDocument/2006/relationships/hyperlink" Target="https://www.ncbi.nlm.nih.gov/pubmed/?term=Guillemin%20F%5BAuthor%5D&amp;cauthor=true&amp;cauthor_uid=24553908" TargetMode="External"/><Relationship Id="rId18" Type="http://schemas.openxmlformats.org/officeDocument/2006/relationships/hyperlink" Target="https://www.ncbi.nlm.nih.gov/pubmed/?term=Osborne%20R%5BAuthor%5D&amp;cauthor=true&amp;cauthor_uid=245539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Woolf%20A%5BAuthor%5D&amp;cauthor=true&amp;cauthor_uid=24553908" TargetMode="External"/><Relationship Id="rId7" Type="http://schemas.openxmlformats.org/officeDocument/2006/relationships/endnotes" Target="endnotes.xml"/><Relationship Id="rId12" Type="http://schemas.openxmlformats.org/officeDocument/2006/relationships/hyperlink" Target="https://www.ncbi.nlm.nih.gov/pubmed/?term=Williams%20S%5BAuthor%5D&amp;cauthor=true&amp;cauthor_uid=24553908" TargetMode="External"/><Relationship Id="rId17" Type="http://schemas.openxmlformats.org/officeDocument/2006/relationships/hyperlink" Target="https://www.ncbi.nlm.nih.gov/pubmed/?term=Cicuttini%20F%5BAuthor%5D&amp;cauthor=true&amp;cauthor_uid=24553908" TargetMode="External"/><Relationship Id="rId25" Type="http://schemas.openxmlformats.org/officeDocument/2006/relationships/hyperlink" Target="http://www.ncbi.nlm.nih.gov/pubmed/23414786" TargetMode="External"/><Relationship Id="rId2" Type="http://schemas.openxmlformats.org/officeDocument/2006/relationships/numbering" Target="numbering.xml"/><Relationship Id="rId16" Type="http://schemas.openxmlformats.org/officeDocument/2006/relationships/hyperlink" Target="https://www.ncbi.nlm.nih.gov/pubmed/?term=Jones%20G%5BAuthor%5D&amp;cauthor=true&amp;cauthor_uid=24553908" TargetMode="External"/><Relationship Id="rId20" Type="http://schemas.openxmlformats.org/officeDocument/2006/relationships/hyperlink" Target="https://www.ncbi.nlm.nih.gov/pubmed/?term=Buchbinder%20R%5BAuthor%5D&amp;cauthor=true&amp;cauthor_uid=24553908"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Bridgett%20L%5BAuthor%5D&amp;cauthor=true&amp;cauthor_uid=24553908" TargetMode="External"/><Relationship Id="rId24" Type="http://schemas.openxmlformats.org/officeDocument/2006/relationships/hyperlink" Target="http://www.ncbi.nlm.nih.gov/pubmed?term=Loughlin%20J%5BAuthor%5D&amp;cauthor=true&amp;cauthor_uid=23414786" TargetMode="External"/><Relationship Id="rId5" Type="http://schemas.openxmlformats.org/officeDocument/2006/relationships/webSettings" Target="webSettings.xml"/><Relationship Id="rId15" Type="http://schemas.openxmlformats.org/officeDocument/2006/relationships/hyperlink" Target="https://www.ncbi.nlm.nih.gov/pubmed/?term=Laslett%20LL%5BAuthor%5D&amp;cauthor=true&amp;cauthor_uid=24553908" TargetMode="External"/><Relationship Id="rId23" Type="http://schemas.openxmlformats.org/officeDocument/2006/relationships/hyperlink" Target="http://www.ncbi.nlm.nih.gov/pubmed?term=Reynard%20LN%5BAuthor%5D&amp;cauthor=true&amp;cauthor_uid=23414786" TargetMode="External"/><Relationship Id="rId10" Type="http://schemas.openxmlformats.org/officeDocument/2006/relationships/hyperlink" Target="https://www.ncbi.nlm.nih.gov/pubmed/?term=Fransen%20M%5BAuthor%5D&amp;cauthor=true&amp;cauthor_uid=24553908" TargetMode="External"/><Relationship Id="rId19" Type="http://schemas.openxmlformats.org/officeDocument/2006/relationships/hyperlink" Target="https://www.ncbi.nlm.nih.gov/pubmed/?term=Vos%20T%5BAuthor%5D&amp;cauthor=true&amp;cauthor_uid=24553908" TargetMode="External"/><Relationship Id="rId4" Type="http://schemas.openxmlformats.org/officeDocument/2006/relationships/settings" Target="settings.xml"/><Relationship Id="rId9" Type="http://schemas.openxmlformats.org/officeDocument/2006/relationships/hyperlink" Target="https://www.ncbi.nlm.nih.gov/pubmed/?term=Ackerman%20I%5BAuthor%5D&amp;cauthor=true&amp;cauthor_uid=24553908" TargetMode="External"/><Relationship Id="rId14" Type="http://schemas.openxmlformats.org/officeDocument/2006/relationships/hyperlink" Target="https://www.ncbi.nlm.nih.gov/pubmed/?term=Hill%20CL%5BAuthor%5D&amp;cauthor=true&amp;cauthor_uid=24553908" TargetMode="External"/><Relationship Id="rId22" Type="http://schemas.openxmlformats.org/officeDocument/2006/relationships/hyperlink" Target="https://www.ncbi.nlm.nih.gov/pubmed/?term=March%20L%5BAuthor%5D&amp;cauthor=true&amp;cauthor_uid=245539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8CACF-8A48-4B73-BEA3-20C40647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pra08</dc:creator>
  <cp:lastModifiedBy>George Peat</cp:lastModifiedBy>
  <cp:revision>3</cp:revision>
  <dcterms:created xsi:type="dcterms:W3CDTF">2019-12-20T12:10:00Z</dcterms:created>
  <dcterms:modified xsi:type="dcterms:W3CDTF">2019-12-20T13:40:00Z</dcterms:modified>
</cp:coreProperties>
</file>