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29" w:rsidRDefault="003A7229" w:rsidP="003153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Table 2</w:t>
      </w:r>
      <w:r w:rsidRPr="005E35B5">
        <w:rPr>
          <w:rFonts w:ascii="Times New Roman" w:hAnsi="Times New Roman" w:cs="Times New Roman"/>
          <w:sz w:val="24"/>
          <w:szCs w:val="24"/>
        </w:rPr>
        <w:t>. Association between subgroups of hypertensive disorders of pregnancy and adverse outcomes.</w:t>
      </w:r>
    </w:p>
    <w:p w:rsidR="003A7229" w:rsidRPr="005E35B5" w:rsidRDefault="003A7229" w:rsidP="003A7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229" w:rsidRPr="00B2704B" w:rsidRDefault="003A7229" w:rsidP="003A72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04B">
        <w:rPr>
          <w:rFonts w:ascii="Times New Roman" w:hAnsi="Times New Roman" w:cs="Times New Roman"/>
          <w:b/>
          <w:sz w:val="24"/>
          <w:szCs w:val="24"/>
        </w:rPr>
        <w:t>A. Cardiovascular outcomes</w:t>
      </w:r>
    </w:p>
    <w:tbl>
      <w:tblPr>
        <w:tblStyle w:val="PlainTable2"/>
        <w:tblW w:w="9067" w:type="dxa"/>
        <w:tblLayout w:type="fixed"/>
        <w:tblLook w:val="04A0" w:firstRow="1" w:lastRow="0" w:firstColumn="1" w:lastColumn="0" w:noHBand="0" w:noVBand="1"/>
      </w:tblPr>
      <w:tblGrid>
        <w:gridCol w:w="2130"/>
        <w:gridCol w:w="1734"/>
        <w:gridCol w:w="1734"/>
        <w:gridCol w:w="1734"/>
        <w:gridCol w:w="1735"/>
      </w:tblGrid>
      <w:tr w:rsidR="003A7229" w:rsidRPr="005E35B5" w:rsidTr="00466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5E35B5" w:rsidRDefault="003A7229" w:rsidP="006D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Superimposed preeclampsia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Preeclampsia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Gestational HTN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Chronic HTN</w:t>
            </w:r>
          </w:p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3A7229" w:rsidP="006D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Mortality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(10.54, 19.26)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5.93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(4.85, 7.24)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(0.76, 1.81)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(4.15, 7.15)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(6.10, 11.44)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(4.33, 6.54)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(0.77, 1.84)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(2.78, 4.93)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(1.94, 4.57)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(2.02, 3.28)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(0.61, 1.47)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(1.46, 2.91)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14.88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(10.98, 20.17)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(5.00, 7.52)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(0.78, 1.86)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(4.25, 7.32)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(1.49, 3.57)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(2.07, 3.38)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(0.66, 1.57)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(1.20, 2.37)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9842D5" w:rsidP="006D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29" w:rsidRPr="005E35B5">
              <w:rPr>
                <w:rFonts w:ascii="Times New Roman" w:hAnsi="Times New Roman" w:cs="Times New Roman"/>
                <w:sz w:val="24"/>
                <w:szCs w:val="24"/>
              </w:rPr>
              <w:t>Myocardial infarction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30.64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(21.43, 43.81)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(3.97, 7.99)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(0.54, 2.44)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12.19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(8.96, 16.63)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Adjusted for demographics 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(10.76, 23.33)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(3.53, 7.20)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(0.53, 2.38)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(5.17, 10.05)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Adjusted for comorbidities 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(4.98, 13.63)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(2.14, 4.85)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(0.48, 2.17)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(3.03, 7.19)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31.17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(21.56, 45.08)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5.64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(3.97, 8.00)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(0.55, 2.46)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12.31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(8.98, 16.86)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(3.11, 8.69)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(2.02, 4.58)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(0.49, 2.20)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(2.22, 5.14)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3A7229" w:rsidP="006D09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Stroke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17.53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(14.70, 20.90)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(6.60, 8.39)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(1.10, 1.82)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(5.26, 7.27)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Adjusted for demographics 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(10.11, 14.84)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(6.05, 7.78)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(1.09, 1.80)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(4.07, 5.73)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(7.48, 11.48)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5.71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(5.04, 6.48)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(1.05, 1.73)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(3.16, 4.60)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18.21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(15.21, 21.80)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(6.76, 8.63)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(1.11, 1.84)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6.34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(5.38, 7.46)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(6.25, 9.80)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(5.04, 6.54)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(1.08, 1.79)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(2.76, 4.06)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3A7229" w:rsidP="006D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Peripartum cardiomyopathy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26.68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(23.95, 29.71)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7.68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(7.02, 8.40)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(2.00, 2.69)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(13.27, 15.74)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Adjusted for demographics 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(14.29, 18.08)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(6.17, 7.45)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(1.89, 2.56)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(9.03, 10.85)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(4.56, 6.60)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(3.13, 3.89)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(1.50, 2.08)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(4.12, 5.35)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26.58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(23.81, 29.67)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(6.80, 8.16)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(1.99, 2.69)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(13.33, 15.86)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(3.64, 5.26)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(2.94, 3.65)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(1.48, 2.05)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(3.29, 4.32)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3A7229" w:rsidP="006D09A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Arrhythmia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(3.04, 4.65)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(1.25, 1.65)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(0.95, 1.31)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4.96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(4.44, 5.54)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  <w:p w:rsidR="003A7229" w:rsidRPr="005E35B5" w:rsidRDefault="003A7229" w:rsidP="0041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229" w:rsidRPr="005E35B5" w:rsidRDefault="004144DC" w:rsidP="0041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(1.22, 1.67</w:t>
            </w:r>
            <w:r w:rsidR="003A7229"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A7229" w:rsidRPr="005E35B5" w:rsidRDefault="003A7229" w:rsidP="00414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</w:p>
          <w:p w:rsidR="003A7229" w:rsidRPr="005E35B5" w:rsidRDefault="004144DC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(3.09, 4.07</w:t>
            </w:r>
            <w:r w:rsidR="003A7229"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(1.18, 1.92)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(0.85, 1.14)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(0.83, 1.15)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(2.47, 3.17)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(2.93, 4.49)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(1.19, 1.58)</w:t>
            </w:r>
          </w:p>
        </w:tc>
        <w:tc>
          <w:tcPr>
            <w:tcW w:w="1734" w:type="dxa"/>
            <w:noWrap/>
          </w:tcPr>
          <w:p w:rsidR="003A7229" w:rsidRPr="005E35B5" w:rsidRDefault="00FE742A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(0.94, 1.30)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4.87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(4.36, 5.45)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4144DC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  <w:p w:rsidR="003A7229" w:rsidRPr="005E35B5" w:rsidRDefault="003A7229" w:rsidP="0041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  <w:p w:rsidR="003A7229" w:rsidRPr="005E35B5" w:rsidRDefault="003A7229" w:rsidP="0041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(0.8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.98</w:t>
            </w:r>
          </w:p>
          <w:p w:rsidR="003A7229" w:rsidRPr="005E35B5" w:rsidRDefault="004144DC" w:rsidP="0041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(0.81</w:t>
            </w:r>
            <w:r w:rsidR="003A7229" w:rsidRPr="005E3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="003A7229"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A7229" w:rsidRPr="005E35B5" w:rsidRDefault="003A7229" w:rsidP="00414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4D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A7229" w:rsidRPr="005E35B5" w:rsidRDefault="003A7229" w:rsidP="003A7229">
      <w:pPr>
        <w:spacing w:line="240" w:lineRule="auto"/>
        <w:rPr>
          <w:sz w:val="24"/>
          <w:szCs w:val="24"/>
        </w:rPr>
      </w:pPr>
    </w:p>
    <w:p w:rsidR="003A7229" w:rsidRPr="005E35B5" w:rsidRDefault="003A7229" w:rsidP="003A72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5B5">
        <w:rPr>
          <w:rFonts w:ascii="Times New Roman" w:hAnsi="Times New Roman" w:cs="Times New Roman"/>
          <w:b/>
          <w:sz w:val="24"/>
          <w:szCs w:val="24"/>
        </w:rPr>
        <w:t>B. Obstetric outcomes</w:t>
      </w:r>
    </w:p>
    <w:tbl>
      <w:tblPr>
        <w:tblStyle w:val="PlainTable2"/>
        <w:tblW w:w="9067" w:type="dxa"/>
        <w:tblLayout w:type="fixed"/>
        <w:tblLook w:val="04A0" w:firstRow="1" w:lastRow="0" w:firstColumn="1" w:lastColumn="0" w:noHBand="0" w:noVBand="1"/>
      </w:tblPr>
      <w:tblGrid>
        <w:gridCol w:w="2130"/>
        <w:gridCol w:w="1734"/>
        <w:gridCol w:w="1734"/>
        <w:gridCol w:w="1734"/>
        <w:gridCol w:w="1735"/>
      </w:tblGrid>
      <w:tr w:rsidR="003A7229" w:rsidRPr="005E35B5" w:rsidTr="00466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5E35B5" w:rsidRDefault="003A7229" w:rsidP="006D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Superimposed preeclampsia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Preeclampsia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Gestational HTN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Chronic HTN</w:t>
            </w:r>
          </w:p>
          <w:p w:rsidR="003A7229" w:rsidRPr="005E35B5" w:rsidRDefault="003A7229" w:rsidP="006D09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A7229" w:rsidRPr="005E35B5" w:rsidRDefault="003A7229" w:rsidP="006D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Preterm birth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(5.74, 6.15)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(3.60, 3.77)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(0.96, 1.02)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(1.51, 1.57)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(5.07, 5.45)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(3.45, 3.63)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(0.97, 1.03)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(1.41, 1.47)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(5.09, 5.47)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(3.49, 3.65)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(0.95, 1.01)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(1.37, 1.43)</w:t>
            </w:r>
          </w:p>
        </w:tc>
      </w:tr>
      <w:tr w:rsidR="003A7229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(5.36, 5.77)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(3.16, 3.31)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(0.89, 0.94)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  <w:p w:rsidR="003A7229" w:rsidRPr="005E35B5" w:rsidRDefault="003A7229" w:rsidP="006D0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(1.39, 1.45)</w:t>
            </w:r>
          </w:p>
        </w:tc>
      </w:tr>
      <w:tr w:rsidR="003A7229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A7229" w:rsidRPr="00A8440F" w:rsidRDefault="003A7229" w:rsidP="006D09A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(4.48, 4.83)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(2.98, 3.13)</w:t>
            </w:r>
          </w:p>
        </w:tc>
        <w:tc>
          <w:tcPr>
            <w:tcW w:w="1734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(0.91, 0.96)</w:t>
            </w:r>
          </w:p>
        </w:tc>
        <w:tc>
          <w:tcPr>
            <w:tcW w:w="1735" w:type="dxa"/>
            <w:noWrap/>
          </w:tcPr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  <w:p w:rsidR="003A7229" w:rsidRPr="005E35B5" w:rsidRDefault="003A7229" w:rsidP="006D0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(1.23, 1.28)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04C9D" w:rsidRPr="005E35B5" w:rsidRDefault="00304C9D" w:rsidP="0030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Placental abruption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(2.62, 2.93)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(2.40, 2.53)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(1.08, 1.17)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(1.56, 1.68)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(2.26, 2.54)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(2.34, 2.48)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(1.10, 1.18)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(1.42, 1.53)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(2.42, 2.72)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(2.33, 2.46)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(1.08, 1.17)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(1.50, 1.62)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(2.48, 2.78)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(2.28, 2.41)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(1.07, 1.16)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(1.53, 1.66)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(2.09, 2.36)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(2.21, 2.34)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(1.10, 1.19)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(1.38, 1.49)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04C9D" w:rsidRPr="005E35B5" w:rsidRDefault="00304C9D" w:rsidP="00304C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Stillbirth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(2.70, 3.08)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(1.56, 1.68)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(0.57, 0.64)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(2.19, 2.38)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(2.12, 2.42)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(1.46, 1.58)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(0.56, 0.63)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(1.84, 2.01)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(2.08, 2.39)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(1.46, 1.58)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(0.56, 0.63)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(1.86, 2.03)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Adjusted for obstetric factors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(2.51, 2.87)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(1.34, 1.46)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(0.55, 0.63)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(2.15, 2.34)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(1.66, 1.92)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(1.23, 1.33)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(0.54, 0.61)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(1.60, 1.75)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5"/>
            <w:noWrap/>
          </w:tcPr>
          <w:p w:rsidR="00304C9D" w:rsidRPr="005E35B5" w:rsidRDefault="00304C9D" w:rsidP="00304C9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Postpartum hemorrhage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Unadjusted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(1.69, 1.89)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(2.39, 2.56)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(1.41, 1.48)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(1.23, 1.30)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demographics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(1.70, 1.88)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(2.39, 2.54)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(1.46, 1.52)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(1.27, 1.35)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comorbidities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(1.49, 1.69)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(2.22, 2.40)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(1.38, 1.44)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(1.17, 1.24)</w:t>
            </w:r>
          </w:p>
        </w:tc>
      </w:tr>
      <w:tr w:rsidR="00304C9D" w:rsidRPr="005E35B5" w:rsidTr="0046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Adjusted for obstetric factors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(1.70, 1.91)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(2.37, 2.55)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(1.42, 1.49)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  <w:p w:rsidR="00304C9D" w:rsidRPr="005E35B5" w:rsidRDefault="00304C9D" w:rsidP="00304C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(1.23, 1.30)</w:t>
            </w:r>
          </w:p>
        </w:tc>
      </w:tr>
      <w:tr w:rsidR="00304C9D" w:rsidRPr="005E35B5" w:rsidTr="0046662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0" w:type="dxa"/>
            <w:noWrap/>
          </w:tcPr>
          <w:p w:rsidR="00304C9D" w:rsidRPr="00A8440F" w:rsidRDefault="00304C9D" w:rsidP="00304C9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440F">
              <w:rPr>
                <w:rFonts w:ascii="Times New Roman" w:hAnsi="Times New Roman" w:cs="Times New Roman"/>
                <w:b w:val="0"/>
                <w:sz w:val="24"/>
                <w:szCs w:val="24"/>
              </w:rPr>
              <w:t>Fully adjusted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(1.56, 1.74)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(2.24, 2.39)</w:t>
            </w:r>
          </w:p>
        </w:tc>
        <w:tc>
          <w:tcPr>
            <w:tcW w:w="1734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(1.43, 1.50)</w:t>
            </w:r>
          </w:p>
        </w:tc>
        <w:tc>
          <w:tcPr>
            <w:tcW w:w="1735" w:type="dxa"/>
            <w:noWrap/>
          </w:tcPr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  <w:p w:rsidR="00304C9D" w:rsidRPr="005E35B5" w:rsidRDefault="00304C9D" w:rsidP="00304C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5B5">
              <w:rPr>
                <w:rFonts w:ascii="Times New Roman" w:hAnsi="Times New Roman" w:cs="Times New Roman"/>
                <w:sz w:val="24"/>
                <w:szCs w:val="24"/>
              </w:rPr>
              <w:t>(1.23, 1.30)</w:t>
            </w:r>
          </w:p>
        </w:tc>
      </w:tr>
    </w:tbl>
    <w:p w:rsidR="003A7229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B5">
        <w:rPr>
          <w:rFonts w:ascii="Times New Roman" w:hAnsi="Times New Roman" w:cs="Times New Roman"/>
          <w:sz w:val="24"/>
          <w:szCs w:val="24"/>
        </w:rPr>
        <w:t>HTN, hypertension. HIV, human immunodeficiency virus. AIDS, acquired immunodeficiency syndrome.</w:t>
      </w:r>
    </w:p>
    <w:p w:rsidR="003A7229" w:rsidRPr="005E35B5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 w:rsidRPr="005E35B5">
        <w:rPr>
          <w:rFonts w:ascii="Times New Roman" w:hAnsi="Times New Roman" w:cs="Times New Roman"/>
          <w:sz w:val="24"/>
          <w:szCs w:val="24"/>
        </w:rPr>
        <w:t>Data expressed as odds ratios and 95% confidence intervals, reference group is no HDP.</w:t>
      </w:r>
    </w:p>
    <w:p w:rsidR="003A7229" w:rsidRPr="0026772F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5E35B5">
        <w:rPr>
          <w:rFonts w:ascii="Times New Roman" w:hAnsi="Times New Roman" w:cs="Times New Roman"/>
          <w:sz w:val="24"/>
          <w:szCs w:val="24"/>
        </w:rPr>
        <w:t>Adjustment for demographics include</w:t>
      </w:r>
      <w:r w:rsidRPr="0026772F">
        <w:rPr>
          <w:rFonts w:ascii="Times New Roman" w:hAnsi="Times New Roman" w:cs="Times New Roman"/>
          <w:sz w:val="24"/>
          <w:szCs w:val="24"/>
        </w:rPr>
        <w:t>: year of admission, age, weekday/weekend admission, elective admission, primary payer, race/ethnicity, median ZIP code income quartile, hospital region and hospital location / teaching status, and hospital size.</w:t>
      </w:r>
    </w:p>
    <w:p w:rsidR="003A7229" w:rsidRPr="0026772F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2F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26772F">
        <w:rPr>
          <w:rFonts w:ascii="Times New Roman" w:hAnsi="Times New Roman" w:cs="Times New Roman"/>
          <w:sz w:val="24"/>
          <w:szCs w:val="24"/>
        </w:rPr>
        <w:t xml:space="preserve">Adjustment for comorbidities include: smoking, congenital heart disease, dyslipidemia, previous stroke, and selected </w:t>
      </w:r>
      <w:proofErr w:type="spellStart"/>
      <w:r w:rsidRPr="0026772F">
        <w:rPr>
          <w:rFonts w:ascii="Times New Roman" w:hAnsi="Times New Roman" w:cs="Times New Roman"/>
          <w:sz w:val="24"/>
          <w:szCs w:val="24"/>
        </w:rPr>
        <w:t>Elixhauser</w:t>
      </w:r>
      <w:proofErr w:type="spellEnd"/>
      <w:r w:rsidRPr="0026772F">
        <w:rPr>
          <w:rFonts w:ascii="Times New Roman" w:hAnsi="Times New Roman" w:cs="Times New Roman"/>
          <w:sz w:val="24"/>
          <w:szCs w:val="24"/>
        </w:rPr>
        <w:t xml:space="preserve"> comorbidity measures (obesity, heart failure, diabetes, valvular disease, pulmonary circulation disorders, peripheral vascular disease, other neurological disorders, chronic pulmonary disease, hypothyroidism, renal failure, liver disease, HIV and AIDS, rheumatoid arthritis/collagen vascular diseases, fluid and electrolyte disorders, deficiency anemias,  alcohol abuse, drug abuse, depression).</w:t>
      </w:r>
    </w:p>
    <w:p w:rsidR="003A7229" w:rsidRPr="005E35B5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72F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Pr="0026772F">
        <w:rPr>
          <w:rFonts w:ascii="Times New Roman" w:hAnsi="Times New Roman" w:cs="Times New Roman"/>
          <w:sz w:val="24"/>
          <w:szCs w:val="24"/>
        </w:rPr>
        <w:t>Adjustment for obstetric factors include: gestational diabetes, fetal growth restriction, placenta previa, and multiple pregnancy.</w:t>
      </w:r>
    </w:p>
    <w:p w:rsidR="003A7229" w:rsidRDefault="003A7229" w:rsidP="003A72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e </w:t>
      </w:r>
      <w:r w:rsidRPr="005E35B5">
        <w:rPr>
          <w:rFonts w:ascii="Times New Roman" w:hAnsi="Times New Roman" w:cs="Times New Roman"/>
          <w:sz w:val="24"/>
          <w:szCs w:val="24"/>
        </w:rPr>
        <w:t>Full adjustment include demographics, comorbidities and obstetric factors as described above.</w:t>
      </w:r>
    </w:p>
    <w:p w:rsidR="002E374A" w:rsidRDefault="002E374A"/>
    <w:sectPr w:rsidR="002E374A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72F" w:rsidRDefault="0026772F">
      <w:pPr>
        <w:spacing w:after="0" w:line="240" w:lineRule="auto"/>
      </w:pPr>
      <w:r>
        <w:separator/>
      </w:r>
    </w:p>
  </w:endnote>
  <w:endnote w:type="continuationSeparator" w:id="0">
    <w:p w:rsidR="0026772F" w:rsidRDefault="0026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2F" w:rsidRDefault="0026772F">
    <w:pPr>
      <w:pStyle w:val="Footer"/>
      <w:jc w:val="center"/>
    </w:pPr>
  </w:p>
  <w:p w:rsidR="0026772F" w:rsidRDefault="00267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72F" w:rsidRDefault="0026772F">
    <w:pPr>
      <w:pStyle w:val="Footer"/>
      <w:jc w:val="center"/>
    </w:pPr>
  </w:p>
  <w:p w:rsidR="0026772F" w:rsidRDefault="0026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72F" w:rsidRDefault="0026772F">
      <w:pPr>
        <w:spacing w:after="0" w:line="240" w:lineRule="auto"/>
      </w:pPr>
      <w:r>
        <w:separator/>
      </w:r>
    </w:p>
  </w:footnote>
  <w:footnote w:type="continuationSeparator" w:id="0">
    <w:p w:rsidR="0026772F" w:rsidRDefault="0026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502040"/>
      <w:docPartObj>
        <w:docPartGallery w:val="Page Numbers (Top of Page)"/>
        <w:docPartUnique/>
      </w:docPartObj>
    </w:sdtPr>
    <w:sdtEndPr/>
    <w:sdtContent>
      <w:p w:rsidR="0026772F" w:rsidRDefault="0026772F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36" w:rsidRPr="00302C36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26772F" w:rsidRDefault="00267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7E43"/>
    <w:multiLevelType w:val="hybridMultilevel"/>
    <w:tmpl w:val="534CE494"/>
    <w:lvl w:ilvl="0" w:tplc="3FAC2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1B1"/>
    <w:multiLevelType w:val="multilevel"/>
    <w:tmpl w:val="B250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B1F8D"/>
    <w:multiLevelType w:val="hybridMultilevel"/>
    <w:tmpl w:val="2F62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6104"/>
    <w:multiLevelType w:val="hybridMultilevel"/>
    <w:tmpl w:val="B6BA90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F2218"/>
    <w:multiLevelType w:val="hybridMultilevel"/>
    <w:tmpl w:val="6B32DED2"/>
    <w:lvl w:ilvl="0" w:tplc="2E8290F4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A5E6D"/>
    <w:multiLevelType w:val="hybridMultilevel"/>
    <w:tmpl w:val="4ADE9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29"/>
    <w:rsid w:val="001D004B"/>
    <w:rsid w:val="0026772F"/>
    <w:rsid w:val="002E374A"/>
    <w:rsid w:val="00302C36"/>
    <w:rsid w:val="00304C9D"/>
    <w:rsid w:val="00315395"/>
    <w:rsid w:val="00326C98"/>
    <w:rsid w:val="003A7229"/>
    <w:rsid w:val="003C7FC0"/>
    <w:rsid w:val="003F4EB3"/>
    <w:rsid w:val="00411BD1"/>
    <w:rsid w:val="00414369"/>
    <w:rsid w:val="004144DC"/>
    <w:rsid w:val="00466622"/>
    <w:rsid w:val="006D09A1"/>
    <w:rsid w:val="006E0774"/>
    <w:rsid w:val="00721BA7"/>
    <w:rsid w:val="0081104D"/>
    <w:rsid w:val="00962206"/>
    <w:rsid w:val="009842D5"/>
    <w:rsid w:val="00A8440F"/>
    <w:rsid w:val="00AE06D6"/>
    <w:rsid w:val="00B224B8"/>
    <w:rsid w:val="00B417E8"/>
    <w:rsid w:val="00BF3503"/>
    <w:rsid w:val="00C5052C"/>
    <w:rsid w:val="00D22CB5"/>
    <w:rsid w:val="00D75432"/>
    <w:rsid w:val="00EF67A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58C28E"/>
  <w15:chartTrackingRefBased/>
  <w15:docId w15:val="{6D4F493A-BA9C-4B2A-84B1-05A71B85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229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3A72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722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2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22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9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722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7229"/>
    <w:rPr>
      <w:rFonts w:eastAsiaTheme="minorHAnsi"/>
      <w:lang w:eastAsia="en-US"/>
    </w:rPr>
  </w:style>
  <w:style w:type="character" w:customStyle="1" w:styleId="apple-converted-space">
    <w:name w:val="apple-converted-space"/>
    <w:basedOn w:val="DefaultParagraphFont"/>
    <w:rsid w:val="003A7229"/>
  </w:style>
  <w:style w:type="paragraph" w:customStyle="1" w:styleId="EndNoteBibliographyTitle">
    <w:name w:val="EndNote Bibliography Title"/>
    <w:basedOn w:val="Normal"/>
    <w:link w:val="EndNoteBibliographyTitle0"/>
    <w:rsid w:val="003A7229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3A7229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0"/>
    <w:rsid w:val="003A7229"/>
    <w:pPr>
      <w:spacing w:line="240" w:lineRule="auto"/>
      <w:jc w:val="both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元"/>
    <w:basedOn w:val="DefaultParagraphFont"/>
    <w:link w:val="EndNoteBibliography"/>
    <w:rsid w:val="003A7229"/>
    <w:rPr>
      <w:rFonts w:ascii="Calibri" w:hAnsi="Calibri" w:cs="Calibri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3A722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29"/>
    <w:rPr>
      <w:lang w:val="en-US"/>
    </w:rPr>
  </w:style>
  <w:style w:type="paragraph" w:styleId="Revision">
    <w:name w:val="Revision"/>
    <w:hidden/>
    <w:uiPriority w:val="99"/>
    <w:semiHidden/>
    <w:rsid w:val="003A722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inuscar">
    <w:name w:val="minus_car"/>
    <w:basedOn w:val="Normal"/>
    <w:rsid w:val="003A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A7229"/>
    <w:rPr>
      <w:b/>
      <w:bCs/>
    </w:rPr>
  </w:style>
  <w:style w:type="table" w:styleId="TableGrid">
    <w:name w:val="Table Grid"/>
    <w:basedOn w:val="TableNormal"/>
    <w:uiPriority w:val="39"/>
    <w:rsid w:val="003A72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22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A7229"/>
  </w:style>
  <w:style w:type="paragraph" w:styleId="NoSpacing">
    <w:name w:val="No Spacing"/>
    <w:uiPriority w:val="1"/>
    <w:qFormat/>
    <w:rsid w:val="003A7229"/>
    <w:pPr>
      <w:spacing w:after="0" w:line="240" w:lineRule="auto"/>
    </w:pPr>
    <w:rPr>
      <w:rFonts w:eastAsiaTheme="minorHAnsi"/>
      <w:lang w:eastAsia="en-US"/>
    </w:rPr>
  </w:style>
  <w:style w:type="character" w:customStyle="1" w:styleId="order">
    <w:name w:val="order"/>
    <w:basedOn w:val="DefaultParagraphFont"/>
    <w:rsid w:val="003A7229"/>
  </w:style>
  <w:style w:type="table" w:styleId="PlainTable2">
    <w:name w:val="Plain Table 2"/>
    <w:basedOn w:val="TableNormal"/>
    <w:uiPriority w:val="42"/>
    <w:rsid w:val="004666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Pensee</dc:creator>
  <cp:keywords/>
  <dc:description/>
  <cp:lastModifiedBy>Pensee</cp:lastModifiedBy>
  <cp:revision>2</cp:revision>
  <dcterms:created xsi:type="dcterms:W3CDTF">2020-02-04T20:39:00Z</dcterms:created>
  <dcterms:modified xsi:type="dcterms:W3CDTF">2020-02-04T20:39:00Z</dcterms:modified>
</cp:coreProperties>
</file>