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379AA" w14:textId="77777777" w:rsidR="002059A5" w:rsidRPr="00F357E7" w:rsidRDefault="002059A5" w:rsidP="002059A5">
      <w:pPr>
        <w:suppressLineNumbers/>
        <w:spacing w:line="480" w:lineRule="auto"/>
        <w:jc w:val="center"/>
        <w:rPr>
          <w:rFonts w:cstheme="minorHAnsi"/>
        </w:rPr>
      </w:pPr>
      <w:r>
        <w:rPr>
          <w:rFonts w:cstheme="minorHAnsi"/>
          <w:b/>
          <w:sz w:val="36"/>
          <w:szCs w:val="36"/>
        </w:rPr>
        <w:t>E</w:t>
      </w:r>
      <w:r w:rsidRPr="00687F5D">
        <w:rPr>
          <w:rFonts w:cstheme="minorHAnsi"/>
          <w:b/>
          <w:sz w:val="36"/>
          <w:szCs w:val="36"/>
        </w:rPr>
        <w:t>xtend</w:t>
      </w:r>
      <w:r>
        <w:rPr>
          <w:rFonts w:cstheme="minorHAnsi"/>
          <w:b/>
          <w:sz w:val="36"/>
          <w:szCs w:val="36"/>
        </w:rPr>
        <w:t>ing</w:t>
      </w:r>
      <w:r w:rsidRPr="00687F5D">
        <w:rPr>
          <w:rFonts w:cstheme="minorHAnsi"/>
          <w:b/>
          <w:sz w:val="36"/>
          <w:szCs w:val="36"/>
        </w:rPr>
        <w:t xml:space="preserve"> working lives: a systematic review of </w:t>
      </w:r>
      <w:r>
        <w:rPr>
          <w:rFonts w:cstheme="minorHAnsi"/>
          <w:b/>
          <w:sz w:val="36"/>
          <w:szCs w:val="36"/>
        </w:rPr>
        <w:t xml:space="preserve">healthy working life expectancy at </w:t>
      </w:r>
      <w:r w:rsidRPr="00687F5D">
        <w:rPr>
          <w:rFonts w:cstheme="minorHAnsi"/>
          <w:b/>
          <w:sz w:val="36"/>
          <w:szCs w:val="36"/>
        </w:rPr>
        <w:t>age 50</w:t>
      </w:r>
    </w:p>
    <w:p w14:paraId="2E919A56" w14:textId="476FF9A4" w:rsidR="006B5DE1" w:rsidRPr="00072F22" w:rsidRDefault="006B5DE1" w:rsidP="006B5DE1">
      <w:pPr>
        <w:pStyle w:val="Heading1"/>
        <w:spacing w:line="480" w:lineRule="auto"/>
        <w:ind w:left="-5"/>
        <w:jc w:val="both"/>
        <w:rPr>
          <w:rFonts w:asciiTheme="minorHAnsi" w:hAnsiTheme="minorHAnsi" w:cstheme="minorHAnsi"/>
        </w:rPr>
      </w:pPr>
      <w:r w:rsidRPr="00072F22">
        <w:rPr>
          <w:rFonts w:asciiTheme="minorHAnsi" w:hAnsiTheme="minorHAnsi" w:cstheme="minorHAnsi"/>
        </w:rPr>
        <w:t>Abstract</w:t>
      </w:r>
    </w:p>
    <w:p w14:paraId="22DA9E73" w14:textId="77777777" w:rsidR="006B5DE1" w:rsidRPr="00072F22" w:rsidRDefault="006B5DE1" w:rsidP="006B5DE1">
      <w:pPr>
        <w:spacing w:after="0" w:line="480" w:lineRule="auto"/>
        <w:jc w:val="both"/>
        <w:rPr>
          <w:rFonts w:cstheme="minorHAnsi"/>
        </w:rPr>
      </w:pPr>
      <w:r w:rsidRPr="00072F22">
        <w:rPr>
          <w:rFonts w:eastAsia="Cambria" w:cstheme="minorHAnsi"/>
          <w:b/>
        </w:rPr>
        <w:t>Objectives:</w:t>
      </w:r>
    </w:p>
    <w:p w14:paraId="0F65B1A3" w14:textId="2797C707" w:rsidR="006B5DE1" w:rsidRPr="00072F22" w:rsidRDefault="006B5DE1" w:rsidP="006B5DE1">
      <w:pPr>
        <w:spacing w:after="0" w:line="480" w:lineRule="auto"/>
        <w:ind w:left="-5" w:right="347"/>
        <w:rPr>
          <w:rFonts w:cstheme="minorHAnsi"/>
        </w:rPr>
      </w:pPr>
      <w:r w:rsidRPr="00072F22">
        <w:rPr>
          <w:rFonts w:cstheme="minorHAnsi"/>
        </w:rPr>
        <w:t xml:space="preserve">Retirement ages for receipt of state/social pensions are rising in many countries in response to population ageing and increasing life expectancy. However, sickness absence and early retirement for health reasons (especially among adults aged </w:t>
      </w:r>
      <w:r w:rsidRPr="00072F22">
        <w:rPr>
          <w:rFonts w:eastAsia="Cambria" w:cstheme="minorHAnsi"/>
        </w:rPr>
        <w:t>≥</w:t>
      </w:r>
      <w:r w:rsidRPr="00072F22">
        <w:rPr>
          <w:rFonts w:cstheme="minorHAnsi"/>
        </w:rPr>
        <w:t xml:space="preserve">50) present challenges to this. Estimates of the average number of years people are both healthy and in work from age 50 are needed to inform policy making and assess the feasibility of policy changes. A systematic review was carried out to identify existing </w:t>
      </w:r>
      <w:r w:rsidR="00F13146" w:rsidRPr="00072F22">
        <w:rPr>
          <w:rFonts w:cstheme="minorHAnsi"/>
        </w:rPr>
        <w:t>population indicators</w:t>
      </w:r>
      <w:r w:rsidR="00F13146">
        <w:rPr>
          <w:rFonts w:cstheme="minorHAnsi"/>
        </w:rPr>
        <w:t>, and</w:t>
      </w:r>
      <w:r w:rsidR="00F13146" w:rsidRPr="00072F22">
        <w:rPr>
          <w:rFonts w:cstheme="minorHAnsi"/>
        </w:rPr>
        <w:t xml:space="preserve"> </w:t>
      </w:r>
      <w:r w:rsidRPr="00072F22">
        <w:rPr>
          <w:rFonts w:cstheme="minorHAnsi"/>
        </w:rPr>
        <w:t>estimates</w:t>
      </w:r>
      <w:r w:rsidR="00F13146">
        <w:rPr>
          <w:rFonts w:cstheme="minorHAnsi"/>
        </w:rPr>
        <w:t>,</w:t>
      </w:r>
      <w:r w:rsidRPr="00072F22">
        <w:rPr>
          <w:rFonts w:cstheme="minorHAnsi"/>
        </w:rPr>
        <w:t xml:space="preserve"> of life expectancy in health and work.</w:t>
      </w:r>
    </w:p>
    <w:p w14:paraId="4B5C81FF" w14:textId="77777777" w:rsidR="006B5DE1" w:rsidRPr="00072F22" w:rsidRDefault="006B5DE1" w:rsidP="006B5DE1">
      <w:pPr>
        <w:spacing w:after="0" w:line="480" w:lineRule="auto"/>
        <w:ind w:left="10"/>
        <w:jc w:val="both"/>
        <w:rPr>
          <w:rFonts w:cstheme="minorHAnsi"/>
        </w:rPr>
      </w:pPr>
      <w:r w:rsidRPr="00072F22">
        <w:rPr>
          <w:rFonts w:eastAsia="Cambria" w:cstheme="minorHAnsi"/>
          <w:b/>
        </w:rPr>
        <w:t>Methods:</w:t>
      </w:r>
    </w:p>
    <w:p w14:paraId="46FB7237" w14:textId="66C84B11" w:rsidR="006B5DE1" w:rsidRPr="00072F22" w:rsidRDefault="006B5DE1" w:rsidP="006B5DE1">
      <w:pPr>
        <w:spacing w:after="0" w:line="480" w:lineRule="auto"/>
        <w:ind w:left="-5" w:right="347"/>
        <w:rPr>
          <w:rFonts w:cstheme="minorHAnsi"/>
        </w:rPr>
      </w:pPr>
      <w:r w:rsidRPr="00072F22">
        <w:rPr>
          <w:rFonts w:cstheme="minorHAnsi"/>
        </w:rPr>
        <w:t xml:space="preserve">Nine databases were systematically searched on the 30th January 2019. </w:t>
      </w:r>
      <w:r w:rsidR="00F13146">
        <w:rPr>
          <w:rFonts w:cstheme="minorHAnsi"/>
        </w:rPr>
        <w:t>Eligible paper</w:t>
      </w:r>
      <w:r w:rsidR="004B2DD1">
        <w:rPr>
          <w:rFonts w:cstheme="minorHAnsi"/>
        </w:rPr>
        <w:t>s</w:t>
      </w:r>
      <w:r w:rsidR="00F13146">
        <w:rPr>
          <w:rFonts w:cstheme="minorHAnsi"/>
        </w:rPr>
        <w:t xml:space="preserve"> were identified using </w:t>
      </w:r>
      <w:r w:rsidRPr="00072F22">
        <w:rPr>
          <w:rFonts w:cstheme="minorHAnsi"/>
        </w:rPr>
        <w:t>inclusion/exclusion criteria</w:t>
      </w:r>
      <w:r w:rsidR="00F13146">
        <w:rPr>
          <w:rFonts w:cstheme="minorHAnsi"/>
        </w:rPr>
        <w:t>.</w:t>
      </w:r>
      <w:r w:rsidRPr="00072F22">
        <w:rPr>
          <w:rFonts w:cstheme="minorHAnsi"/>
        </w:rPr>
        <w:t xml:space="preserve"> </w:t>
      </w:r>
      <w:r w:rsidR="00F13146">
        <w:rPr>
          <w:rFonts w:cstheme="minorHAnsi"/>
        </w:rPr>
        <w:t>E</w:t>
      </w:r>
      <w:r w:rsidRPr="00072F22">
        <w:rPr>
          <w:rFonts w:cstheme="minorHAnsi"/>
        </w:rPr>
        <w:t>vidence synthesis</w:t>
      </w:r>
      <w:r w:rsidR="00F13146">
        <w:rPr>
          <w:rFonts w:cstheme="minorHAnsi"/>
        </w:rPr>
        <w:t xml:space="preserve"> was undertaken to explore indicators and estimates</w:t>
      </w:r>
      <w:r w:rsidRPr="00072F22">
        <w:rPr>
          <w:rFonts w:cstheme="minorHAnsi"/>
        </w:rPr>
        <w:t>.</w:t>
      </w:r>
    </w:p>
    <w:p w14:paraId="37598F02" w14:textId="77777777" w:rsidR="006B5DE1" w:rsidRPr="00072F22" w:rsidRDefault="006B5DE1" w:rsidP="006B5DE1">
      <w:pPr>
        <w:spacing w:after="0" w:line="480" w:lineRule="auto"/>
        <w:ind w:left="10"/>
        <w:jc w:val="both"/>
        <w:rPr>
          <w:rFonts w:cstheme="minorHAnsi"/>
        </w:rPr>
      </w:pPr>
      <w:r w:rsidRPr="00072F22">
        <w:rPr>
          <w:rFonts w:eastAsia="Cambria" w:cstheme="minorHAnsi"/>
          <w:b/>
        </w:rPr>
        <w:t>Results:</w:t>
      </w:r>
    </w:p>
    <w:p w14:paraId="260A5184" w14:textId="2B707D4A" w:rsidR="006B5DE1" w:rsidRDefault="006B5DE1" w:rsidP="006B5DE1">
      <w:pPr>
        <w:spacing w:after="0" w:line="480" w:lineRule="auto"/>
        <w:ind w:left="-5" w:right="347"/>
        <w:rPr>
          <w:rFonts w:cstheme="minorHAnsi"/>
        </w:rPr>
      </w:pPr>
      <w:r w:rsidRPr="00072F22">
        <w:rPr>
          <w:rFonts w:cstheme="minorHAnsi"/>
        </w:rPr>
        <w:t xml:space="preserve">Four </w:t>
      </w:r>
      <w:r w:rsidR="00F13146">
        <w:rPr>
          <w:rFonts w:cstheme="minorHAnsi"/>
        </w:rPr>
        <w:t xml:space="preserve">studies were included for review from </w:t>
      </w:r>
      <w:r w:rsidRPr="00072F22">
        <w:rPr>
          <w:rFonts w:cstheme="minorHAnsi"/>
        </w:rPr>
        <w:t>1485</w:t>
      </w:r>
      <w:r w:rsidR="00F13146">
        <w:rPr>
          <w:rFonts w:cstheme="minorHAnsi"/>
        </w:rPr>
        <w:t xml:space="preserve"> identified by the</w:t>
      </w:r>
      <w:r w:rsidRPr="00072F22">
        <w:rPr>
          <w:rFonts w:cstheme="minorHAnsi"/>
        </w:rPr>
        <w:t xml:space="preserve"> search. A narrative review was carried out</w:t>
      </w:r>
      <w:r w:rsidR="00000774">
        <w:rPr>
          <w:rFonts w:cstheme="minorHAnsi"/>
        </w:rPr>
        <w:t>; quantitative pooling of the results was not feasible due to</w:t>
      </w:r>
      <w:r w:rsidRPr="00072F22">
        <w:rPr>
          <w:rFonts w:cstheme="minorHAnsi"/>
        </w:rPr>
        <w:t xml:space="preserve"> high heterogeneity between studies. All estimates of the average number of years spent in both health and work from age 50 were below ten years with the exception of a population subgroup of Finnish male executives (11.91 years).</w:t>
      </w:r>
    </w:p>
    <w:p w14:paraId="74E5F863" w14:textId="77777777" w:rsidR="006B5DE1" w:rsidRPr="00072F22" w:rsidRDefault="006B5DE1" w:rsidP="006B5DE1">
      <w:pPr>
        <w:spacing w:after="0" w:line="480" w:lineRule="auto"/>
        <w:ind w:left="-5" w:right="347"/>
        <w:jc w:val="both"/>
        <w:rPr>
          <w:rFonts w:cstheme="minorHAnsi"/>
        </w:rPr>
      </w:pPr>
      <w:r w:rsidRPr="00072F22">
        <w:rPr>
          <w:rFonts w:eastAsia="Cambria" w:cstheme="minorHAnsi"/>
          <w:b/>
        </w:rPr>
        <w:t>Conclusions:</w:t>
      </w:r>
    </w:p>
    <w:p w14:paraId="3576F117" w14:textId="101A3198" w:rsidR="006B5DE1" w:rsidRPr="00072F22" w:rsidRDefault="006B5DE1" w:rsidP="006B5DE1">
      <w:pPr>
        <w:spacing w:line="480" w:lineRule="auto"/>
        <w:ind w:left="-5" w:right="347"/>
        <w:jc w:val="both"/>
        <w:rPr>
          <w:rFonts w:cstheme="minorHAnsi"/>
        </w:rPr>
      </w:pPr>
      <w:r w:rsidRPr="00072F22">
        <w:rPr>
          <w:rFonts w:cstheme="minorHAnsi"/>
        </w:rPr>
        <w:t xml:space="preserve">The review </w:t>
      </w:r>
      <w:r w:rsidR="004B2DD1">
        <w:rPr>
          <w:rFonts w:cstheme="minorHAnsi"/>
        </w:rPr>
        <w:t>indicated</w:t>
      </w:r>
      <w:r w:rsidR="00F13146">
        <w:rPr>
          <w:rFonts w:cstheme="minorHAnsi"/>
        </w:rPr>
        <w:t xml:space="preserve"> that population </w:t>
      </w:r>
      <w:r w:rsidRPr="00072F22">
        <w:rPr>
          <w:rFonts w:cstheme="minorHAnsi"/>
        </w:rPr>
        <w:t>indicator</w:t>
      </w:r>
      <w:r w:rsidR="00F13146">
        <w:rPr>
          <w:rFonts w:cstheme="minorHAnsi"/>
        </w:rPr>
        <w:t>s of health and work which could estimate</w:t>
      </w:r>
      <w:r w:rsidRPr="00072F22">
        <w:rPr>
          <w:rFonts w:cstheme="minorHAnsi"/>
        </w:rPr>
        <w:t xml:space="preserve"> the average number of years people are healthy and in work</w:t>
      </w:r>
      <w:r w:rsidR="00F13146">
        <w:rPr>
          <w:rFonts w:cstheme="minorHAnsi"/>
        </w:rPr>
        <w:t xml:space="preserve"> are rarely used</w:t>
      </w:r>
      <w:r w:rsidRPr="00072F22">
        <w:rPr>
          <w:rFonts w:cstheme="minorHAnsi"/>
        </w:rPr>
        <w:t xml:space="preserve">, and </w:t>
      </w:r>
      <w:r w:rsidR="00F13146">
        <w:rPr>
          <w:rFonts w:cstheme="minorHAnsi"/>
        </w:rPr>
        <w:t xml:space="preserve">that there are </w:t>
      </w:r>
      <w:r w:rsidRPr="00072F22">
        <w:rPr>
          <w:rFonts w:cstheme="minorHAnsi"/>
        </w:rPr>
        <w:t xml:space="preserve">no </w:t>
      </w:r>
      <w:r w:rsidRPr="00072F22">
        <w:rPr>
          <w:rFonts w:cstheme="minorHAnsi"/>
        </w:rPr>
        <w:lastRenderedPageBreak/>
        <w:t>current and reliable estimates. One indicator, Healthy Working Life Expectancy (measuring life expectancy in health and work from age 50)</w:t>
      </w:r>
      <w:r w:rsidR="004B2DD1">
        <w:rPr>
          <w:rFonts w:cstheme="minorHAnsi"/>
        </w:rPr>
        <w:t>,</w:t>
      </w:r>
      <w:r w:rsidRPr="00072F22">
        <w:rPr>
          <w:rFonts w:cstheme="minorHAnsi"/>
        </w:rPr>
        <w:t xml:space="preserve"> offers </w:t>
      </w:r>
      <w:r w:rsidR="00F13146">
        <w:rPr>
          <w:rFonts w:cstheme="minorHAnsi"/>
        </w:rPr>
        <w:t xml:space="preserve">the </w:t>
      </w:r>
      <w:r w:rsidRPr="00072F22">
        <w:rPr>
          <w:rFonts w:cstheme="minorHAnsi"/>
        </w:rPr>
        <w:t>potential</w:t>
      </w:r>
      <w:r w:rsidR="00F13146">
        <w:rPr>
          <w:rFonts w:cstheme="minorHAnsi"/>
        </w:rPr>
        <w:t xml:space="preserve"> to be</w:t>
      </w:r>
      <w:r w:rsidRPr="00072F22">
        <w:rPr>
          <w:rFonts w:cstheme="minorHAnsi"/>
        </w:rPr>
        <w:t xml:space="preserve"> a suitable measure for monitoring life expectancy in health and work.</w:t>
      </w:r>
    </w:p>
    <w:p w14:paraId="2F0BD467" w14:textId="4EAEEC59" w:rsidR="006B5DE1" w:rsidRPr="00072F22" w:rsidRDefault="00106481" w:rsidP="006B5DE1">
      <w:pPr>
        <w:pStyle w:val="Heading1"/>
        <w:spacing w:line="480" w:lineRule="auto"/>
        <w:ind w:left="-5"/>
        <w:jc w:val="both"/>
        <w:rPr>
          <w:rFonts w:asciiTheme="minorHAnsi" w:hAnsiTheme="minorHAnsi" w:cstheme="minorHAnsi"/>
        </w:rPr>
      </w:pPr>
      <w:r>
        <w:rPr>
          <w:rFonts w:asciiTheme="minorHAnsi" w:hAnsiTheme="minorHAnsi" w:cstheme="minorHAnsi"/>
        </w:rPr>
        <w:t xml:space="preserve">1 </w:t>
      </w:r>
      <w:r w:rsidR="006B5DE1" w:rsidRPr="00072F22">
        <w:rPr>
          <w:rFonts w:asciiTheme="minorHAnsi" w:hAnsiTheme="minorHAnsi" w:cstheme="minorHAnsi"/>
        </w:rPr>
        <w:t>Introduction</w:t>
      </w:r>
    </w:p>
    <w:p w14:paraId="73E02D1C" w14:textId="57ED5362" w:rsidR="006B5DE1" w:rsidRDefault="006B5DE1" w:rsidP="006B5DE1">
      <w:pPr>
        <w:spacing w:after="0" w:line="480" w:lineRule="auto"/>
        <w:ind w:left="-5" w:right="347"/>
        <w:jc w:val="both"/>
        <w:rPr>
          <w:rFonts w:cstheme="minorHAnsi"/>
        </w:rPr>
      </w:pPr>
      <w:r w:rsidRPr="00072F22">
        <w:rPr>
          <w:rFonts w:cstheme="minorHAnsi"/>
        </w:rPr>
        <w:t>With increasing life expectancy and population ageing across the globe, worsening dependency ratios are driving extensions to working life through rising retirement ages</w:t>
      </w:r>
      <w:r w:rsidR="00F13146">
        <w:rPr>
          <w:rFonts w:cstheme="minorHAnsi"/>
        </w:rPr>
        <w:t>.</w:t>
      </w:r>
      <w:r w:rsidR="004B2DD1">
        <w:rPr>
          <w:rFonts w:cstheme="minorHAnsi"/>
        </w:rPr>
        <w:t xml:space="preserve"> </w:t>
      </w:r>
      <w:r w:rsidR="00F13146">
        <w:rPr>
          <w:rFonts w:cstheme="minorHAnsi"/>
        </w:rPr>
        <w:t>F</w:t>
      </w:r>
      <w:r w:rsidRPr="00072F22">
        <w:rPr>
          <w:rFonts w:cstheme="minorHAnsi"/>
        </w:rPr>
        <w:t>or example</w:t>
      </w:r>
      <w:r w:rsidR="00F13146">
        <w:rPr>
          <w:rFonts w:cstheme="minorHAnsi"/>
        </w:rPr>
        <w:t>,</w:t>
      </w:r>
      <w:r w:rsidRPr="00072F22">
        <w:rPr>
          <w:rFonts w:cstheme="minorHAnsi"/>
        </w:rPr>
        <w:t xml:space="preserve"> state retirement age in France, Germany and Spain will increase to 67 between 2023 and 2029 and in the United Kingdom to 68 by 2037 </w:t>
      </w:r>
      <w:r w:rsidR="006B77A1">
        <w:rPr>
          <w:rFonts w:cstheme="minorHAnsi"/>
        </w:rPr>
        <w:t>(</w:t>
      </w:r>
      <w:r w:rsidR="006B77A1" w:rsidRPr="006B77A1">
        <w:rPr>
          <w:rFonts w:cstheme="minorHAnsi"/>
        </w:rPr>
        <w:t>Dep</w:t>
      </w:r>
      <w:r w:rsidR="006B77A1">
        <w:rPr>
          <w:rFonts w:cstheme="minorHAnsi"/>
        </w:rPr>
        <w:t xml:space="preserve">artment for Work and Pensions </w:t>
      </w:r>
      <w:r w:rsidR="006B77A1" w:rsidRPr="006B77A1">
        <w:rPr>
          <w:rFonts w:cstheme="minorHAnsi"/>
        </w:rPr>
        <w:t>2017</w:t>
      </w:r>
      <w:r w:rsidR="001F4E60">
        <w:rPr>
          <w:rFonts w:cstheme="minorHAnsi"/>
        </w:rPr>
        <w:t xml:space="preserve">; </w:t>
      </w:r>
      <w:r w:rsidR="001F4E60" w:rsidRPr="006B77A1">
        <w:rPr>
          <w:rFonts w:cstheme="minorHAnsi"/>
        </w:rPr>
        <w:t>European Commission</w:t>
      </w:r>
      <w:r w:rsidR="001F4E60">
        <w:rPr>
          <w:rFonts w:cstheme="minorHAnsi"/>
        </w:rPr>
        <w:t xml:space="preserve"> and Economic Policy Committee </w:t>
      </w:r>
      <w:r w:rsidR="001F4E60" w:rsidRPr="006B77A1">
        <w:rPr>
          <w:rFonts w:cstheme="minorHAnsi"/>
        </w:rPr>
        <w:t>2009</w:t>
      </w:r>
      <w:r w:rsidR="001F4E60">
        <w:rPr>
          <w:rFonts w:cstheme="minorHAnsi"/>
        </w:rPr>
        <w:t>;</w:t>
      </w:r>
      <w:r w:rsidR="001F4E60" w:rsidRPr="001F4E60">
        <w:rPr>
          <w:rFonts w:cstheme="minorHAnsi"/>
        </w:rPr>
        <w:t xml:space="preserve"> </w:t>
      </w:r>
      <w:r w:rsidR="001F4E60">
        <w:rPr>
          <w:rFonts w:cstheme="minorHAnsi"/>
        </w:rPr>
        <w:t>United Nations 2017</w:t>
      </w:r>
      <w:r w:rsidR="00E620DB">
        <w:rPr>
          <w:rFonts w:cstheme="minorHAnsi"/>
        </w:rPr>
        <w:t>).</w:t>
      </w:r>
      <w:r w:rsidRPr="00072F22">
        <w:rPr>
          <w:rFonts w:cstheme="minorHAnsi"/>
        </w:rPr>
        <w:t xml:space="preserve"> However, population morbidity and disability are changing inconsistently with life expectancy </w:t>
      </w:r>
      <w:r w:rsidR="00786E31">
        <w:rPr>
          <w:rFonts w:cstheme="minorHAnsi"/>
        </w:rPr>
        <w:t xml:space="preserve">(Jagger 2015) </w:t>
      </w:r>
      <w:r w:rsidRPr="00072F22">
        <w:rPr>
          <w:rFonts w:cstheme="minorHAnsi"/>
        </w:rPr>
        <w:t>and extensions to working life will prove difficult if adults are expected to work until they are older regardless of health problems and work disability.</w:t>
      </w:r>
    </w:p>
    <w:p w14:paraId="7A2F8620" w14:textId="77777777" w:rsidR="006B5DE1" w:rsidRPr="00072F22" w:rsidRDefault="006B5DE1" w:rsidP="006B5DE1">
      <w:pPr>
        <w:spacing w:after="0" w:line="480" w:lineRule="auto"/>
        <w:ind w:left="-5" w:right="347"/>
        <w:jc w:val="both"/>
        <w:rPr>
          <w:rFonts w:cstheme="minorHAnsi"/>
        </w:rPr>
      </w:pPr>
    </w:p>
    <w:p w14:paraId="0C397CAE" w14:textId="0FFAD234" w:rsidR="006B5DE1" w:rsidRDefault="006B5DE1" w:rsidP="006B5DE1">
      <w:pPr>
        <w:spacing w:after="0" w:line="480" w:lineRule="auto"/>
        <w:ind w:left="-15" w:right="347"/>
        <w:jc w:val="both"/>
        <w:rPr>
          <w:rFonts w:cstheme="minorHAnsi"/>
        </w:rPr>
      </w:pPr>
      <w:r w:rsidRPr="00072F22">
        <w:rPr>
          <w:rFonts w:cstheme="minorHAnsi"/>
        </w:rPr>
        <w:t xml:space="preserve">Premature workforce exit and work absence </w:t>
      </w:r>
      <w:r w:rsidR="00F13146">
        <w:rPr>
          <w:rFonts w:cstheme="minorHAnsi"/>
        </w:rPr>
        <w:t xml:space="preserve">can be </w:t>
      </w:r>
      <w:r w:rsidRPr="00072F22">
        <w:rPr>
          <w:rFonts w:cstheme="minorHAnsi"/>
        </w:rPr>
        <w:t xml:space="preserve">due to functional limitation through physical or mental health conditions, </w:t>
      </w:r>
      <w:r w:rsidR="00F13146">
        <w:rPr>
          <w:rFonts w:cstheme="minorHAnsi"/>
        </w:rPr>
        <w:t>inadequate</w:t>
      </w:r>
      <w:r w:rsidR="00F13146" w:rsidRPr="00072F22">
        <w:rPr>
          <w:rFonts w:cstheme="minorHAnsi"/>
        </w:rPr>
        <w:t xml:space="preserve"> </w:t>
      </w:r>
      <w:r w:rsidRPr="00072F22">
        <w:rPr>
          <w:rFonts w:cstheme="minorHAnsi"/>
        </w:rPr>
        <w:t xml:space="preserve">provision of workplace accommodations, a lack of suitable employment opportunities such as access to jobs with low physical demands, and caring responsibilities </w:t>
      </w:r>
      <w:r w:rsidR="00786E31">
        <w:rPr>
          <w:rFonts w:cstheme="minorHAnsi"/>
        </w:rPr>
        <w:t>(Department for Work and Pensions 2017</w:t>
      </w:r>
      <w:r w:rsidR="00A74303">
        <w:rPr>
          <w:rFonts w:cstheme="minorHAnsi"/>
        </w:rPr>
        <w:t>;</w:t>
      </w:r>
      <w:r w:rsidR="00786E31">
        <w:rPr>
          <w:rFonts w:cstheme="minorHAnsi"/>
        </w:rPr>
        <w:t xml:space="preserve"> Performance And Innovation Unit</w:t>
      </w:r>
      <w:r w:rsidR="00A74303">
        <w:rPr>
          <w:rFonts w:cstheme="minorHAnsi"/>
        </w:rPr>
        <w:t xml:space="preserve"> 2000; </w:t>
      </w:r>
      <w:r w:rsidR="00A74303" w:rsidRPr="00A74303">
        <w:rPr>
          <w:rFonts w:cstheme="minorHAnsi"/>
        </w:rPr>
        <w:t>van den Berg, E</w:t>
      </w:r>
      <w:r w:rsidR="00A74303">
        <w:rPr>
          <w:rFonts w:cstheme="minorHAnsi"/>
        </w:rPr>
        <w:t xml:space="preserve">lders and Burdorf </w:t>
      </w:r>
      <w:r w:rsidR="00A74303" w:rsidRPr="00A74303">
        <w:rPr>
          <w:rFonts w:cstheme="minorHAnsi"/>
        </w:rPr>
        <w:t>2010</w:t>
      </w:r>
      <w:r w:rsidR="00786E31">
        <w:rPr>
          <w:rFonts w:cstheme="minorHAnsi"/>
        </w:rPr>
        <w:t>)</w:t>
      </w:r>
      <w:r w:rsidRPr="00072F22">
        <w:rPr>
          <w:rFonts w:cstheme="minorHAnsi"/>
        </w:rPr>
        <w:t xml:space="preserve">. The effect of health on work participation is especially influential in adults aged 50 years and over and must be </w:t>
      </w:r>
      <w:r w:rsidR="00F13146">
        <w:rPr>
          <w:rFonts w:cstheme="minorHAnsi"/>
        </w:rPr>
        <w:t>considered</w:t>
      </w:r>
      <w:r w:rsidR="00F13146" w:rsidRPr="00072F22">
        <w:rPr>
          <w:rFonts w:cstheme="minorHAnsi"/>
        </w:rPr>
        <w:t xml:space="preserve"> </w:t>
      </w:r>
      <w:r w:rsidRPr="00072F22">
        <w:rPr>
          <w:rFonts w:cstheme="minorHAnsi"/>
        </w:rPr>
        <w:t>if prolonged working lives are to be achieved and be sustainable</w:t>
      </w:r>
      <w:r w:rsidR="00A74303">
        <w:rPr>
          <w:rFonts w:cstheme="minorHAnsi"/>
        </w:rPr>
        <w:t xml:space="preserve"> (Haan and Myc</w:t>
      </w:r>
      <w:r w:rsidR="001F4E60">
        <w:rPr>
          <w:rFonts w:cstheme="minorHAnsi"/>
        </w:rPr>
        <w:t>k</w:t>
      </w:r>
      <w:r w:rsidR="00A74303">
        <w:rPr>
          <w:rFonts w:cstheme="minorHAnsi"/>
        </w:rPr>
        <w:t xml:space="preserve"> 2009)</w:t>
      </w:r>
      <w:r w:rsidRPr="00072F22">
        <w:rPr>
          <w:rFonts w:cstheme="minorHAnsi"/>
        </w:rPr>
        <w:t xml:space="preserve">. Population health is therefore pivotal to the success of retirement-deferring policies, while </w:t>
      </w:r>
      <w:r w:rsidR="00F13146">
        <w:rPr>
          <w:rFonts w:cstheme="minorHAnsi"/>
        </w:rPr>
        <w:t>work factors</w:t>
      </w:r>
      <w:r w:rsidRPr="00072F22">
        <w:rPr>
          <w:rFonts w:cstheme="minorHAnsi"/>
        </w:rPr>
        <w:t xml:space="preserve"> </w:t>
      </w:r>
      <w:r w:rsidR="00F13146">
        <w:rPr>
          <w:rFonts w:cstheme="minorHAnsi"/>
        </w:rPr>
        <w:t>(</w:t>
      </w:r>
      <w:r w:rsidRPr="00072F22">
        <w:rPr>
          <w:rFonts w:cstheme="minorHAnsi"/>
        </w:rPr>
        <w:t>such as access to work, job type and workplace support</w:t>
      </w:r>
      <w:r w:rsidR="00F13146">
        <w:rPr>
          <w:rFonts w:cstheme="minorHAnsi"/>
        </w:rPr>
        <w:t>)</w:t>
      </w:r>
      <w:r w:rsidRPr="00072F22">
        <w:rPr>
          <w:rFonts w:cstheme="minorHAnsi"/>
        </w:rPr>
        <w:t xml:space="preserve"> can determine whether extended working lives are achievable</w:t>
      </w:r>
      <w:r w:rsidR="00995D98">
        <w:rPr>
          <w:rFonts w:cstheme="minorHAnsi"/>
        </w:rPr>
        <w:t xml:space="preserve"> (Wilkie 2012)</w:t>
      </w:r>
      <w:r w:rsidRPr="00072F22">
        <w:rPr>
          <w:rFonts w:cstheme="minorHAnsi"/>
        </w:rPr>
        <w:t>. Informed policy making and planning requires population-level evidence of the number of years that individuals are both health</w:t>
      </w:r>
      <w:r w:rsidR="00F13146">
        <w:rPr>
          <w:rFonts w:cstheme="minorHAnsi"/>
        </w:rPr>
        <w:t>y</w:t>
      </w:r>
      <w:r w:rsidRPr="00072F22">
        <w:rPr>
          <w:rFonts w:cstheme="minorHAnsi"/>
        </w:rPr>
        <w:t xml:space="preserve"> and </w:t>
      </w:r>
      <w:r w:rsidR="00F13146">
        <w:rPr>
          <w:rFonts w:cstheme="minorHAnsi"/>
        </w:rPr>
        <w:t xml:space="preserve">in </w:t>
      </w:r>
      <w:r w:rsidRPr="00072F22">
        <w:rPr>
          <w:rFonts w:cstheme="minorHAnsi"/>
        </w:rPr>
        <w:t xml:space="preserve">work. A population indicator of life expectancy in health and work from age 50 is needed to assess the feasibility of policy changes and guide </w:t>
      </w:r>
      <w:r w:rsidRPr="00072F22">
        <w:rPr>
          <w:rFonts w:cstheme="minorHAnsi"/>
        </w:rPr>
        <w:lastRenderedPageBreak/>
        <w:t>interventions to improve work participation. The numerical estimates of such a metric would help clarify whether populations are in a position to extend working lives.</w:t>
      </w:r>
    </w:p>
    <w:p w14:paraId="1470C6DA" w14:textId="77777777" w:rsidR="006B5DE1" w:rsidRPr="00072F22" w:rsidRDefault="006B5DE1" w:rsidP="006B5DE1">
      <w:pPr>
        <w:spacing w:after="0" w:line="480" w:lineRule="auto"/>
        <w:ind w:left="10" w:right="347" w:hanging="10"/>
        <w:jc w:val="both"/>
        <w:rPr>
          <w:rFonts w:cstheme="minorHAnsi"/>
        </w:rPr>
      </w:pPr>
    </w:p>
    <w:p w14:paraId="4589500B" w14:textId="77777777" w:rsidR="006B5DE1" w:rsidRPr="00072F22" w:rsidRDefault="006B5DE1" w:rsidP="006B5DE1">
      <w:pPr>
        <w:spacing w:after="501" w:line="480" w:lineRule="auto"/>
        <w:ind w:left="-15" w:right="347"/>
        <w:jc w:val="both"/>
        <w:rPr>
          <w:rFonts w:cstheme="minorHAnsi"/>
        </w:rPr>
      </w:pPr>
      <w:r w:rsidRPr="00072F22">
        <w:rPr>
          <w:rFonts w:cstheme="minorHAnsi"/>
        </w:rPr>
        <w:t>A systematic review was carried out to identify estimates of the number of years that adults aged 50 years and over are healthy and participating in paid employment (work). The objectives of this review were to identify and evaluate evidence of estimates of time spent in health and work, how health and work participation has been operationalised, and factors associated with and drivers of reduced health and work participation.</w:t>
      </w:r>
    </w:p>
    <w:p w14:paraId="3FD08E56" w14:textId="0DF9E429" w:rsidR="006B5DE1" w:rsidRPr="00072F22" w:rsidRDefault="00106481" w:rsidP="006B5DE1">
      <w:pPr>
        <w:pStyle w:val="Heading1"/>
        <w:spacing w:line="480" w:lineRule="auto"/>
        <w:ind w:left="-5"/>
        <w:jc w:val="both"/>
        <w:rPr>
          <w:rFonts w:asciiTheme="minorHAnsi" w:hAnsiTheme="minorHAnsi" w:cstheme="minorHAnsi"/>
        </w:rPr>
      </w:pPr>
      <w:r>
        <w:rPr>
          <w:rFonts w:asciiTheme="minorHAnsi" w:hAnsiTheme="minorHAnsi" w:cstheme="minorHAnsi"/>
        </w:rPr>
        <w:t xml:space="preserve">2 </w:t>
      </w:r>
      <w:r w:rsidR="006B5DE1" w:rsidRPr="00072F22">
        <w:rPr>
          <w:rFonts w:asciiTheme="minorHAnsi" w:hAnsiTheme="minorHAnsi" w:cstheme="minorHAnsi"/>
        </w:rPr>
        <w:t>Methods</w:t>
      </w:r>
    </w:p>
    <w:p w14:paraId="3EF15900" w14:textId="77777777" w:rsidR="006B5DE1" w:rsidRPr="00072F22" w:rsidRDefault="006B5DE1" w:rsidP="006B5DE1">
      <w:pPr>
        <w:spacing w:after="396" w:line="480" w:lineRule="auto"/>
        <w:ind w:left="-5" w:right="347"/>
        <w:jc w:val="both"/>
        <w:rPr>
          <w:rFonts w:cstheme="minorHAnsi"/>
        </w:rPr>
      </w:pPr>
      <w:r w:rsidRPr="00072F22">
        <w:rPr>
          <w:rFonts w:cstheme="minorHAnsi"/>
        </w:rPr>
        <w:t>Evidence was identified using a four-stage protocol for searching and filtering results from literature databases: search strategy and identification of studies (stage 1); study selection (stage 2); data extraction and quality assessment (stage 3); and analysis (stage 4). The systematic review protocol was registered with Prospero (CRD42019122189).</w:t>
      </w:r>
    </w:p>
    <w:p w14:paraId="4BF03415" w14:textId="1D3078EE" w:rsidR="006B5DE1" w:rsidRPr="00072F22" w:rsidRDefault="00106481" w:rsidP="006B5DE1">
      <w:pPr>
        <w:pStyle w:val="Heading2"/>
        <w:spacing w:line="480" w:lineRule="auto"/>
        <w:ind w:left="-5"/>
        <w:jc w:val="both"/>
        <w:rPr>
          <w:rFonts w:asciiTheme="minorHAnsi" w:hAnsiTheme="minorHAnsi" w:cstheme="minorHAnsi"/>
        </w:rPr>
      </w:pPr>
      <w:r>
        <w:rPr>
          <w:rFonts w:asciiTheme="minorHAnsi" w:hAnsiTheme="minorHAnsi" w:cstheme="minorHAnsi"/>
        </w:rPr>
        <w:t xml:space="preserve">2.1 </w:t>
      </w:r>
      <w:r w:rsidR="006B5DE1" w:rsidRPr="00072F22">
        <w:rPr>
          <w:rFonts w:asciiTheme="minorHAnsi" w:hAnsiTheme="minorHAnsi" w:cstheme="minorHAnsi"/>
        </w:rPr>
        <w:t>Stage 1: Search strategy and identification of studies</w:t>
      </w:r>
    </w:p>
    <w:p w14:paraId="590AF6B9" w14:textId="424113D5" w:rsidR="006B5DE1" w:rsidRDefault="006B5DE1" w:rsidP="006B5DE1">
      <w:pPr>
        <w:spacing w:after="0" w:line="480" w:lineRule="auto"/>
        <w:ind w:left="-5" w:right="347"/>
        <w:jc w:val="both"/>
        <w:rPr>
          <w:rFonts w:cstheme="minorHAnsi"/>
        </w:rPr>
      </w:pPr>
      <w:r w:rsidRPr="00072F22">
        <w:rPr>
          <w:rFonts w:cstheme="minorHAnsi"/>
        </w:rPr>
        <w:t xml:space="preserve">A comprehensive search was conducted to identify observational studies in working-age populations that have used a population indicator to estimate the number of years adults are healthy and in work. Key databases were searched on the 30th January 2019: Embase [searched using OVID] (1974 to 29th January 2019); Allied and Complementary Medicine Database (AMED) [OVID] (1985 to February 2018); Medline [OVID] (1946 to January week 3 2019); Health Management Information Consortium (HMIC) (1979 to the 30th January 2019); Social Sciences Citation Index and Science Citation Index Expanded (Web of Science) (1970 to 29th January 2019); AgeLine [EBSCO] (1978 to the 30th January 2019, with some coverage from 1966-1977); CINAHL [EBSCO] (1937 to the 30th January 2019); PsycINFO [EBSCO] (1800s to the 30th January 2019); and </w:t>
      </w:r>
      <w:r w:rsidRPr="00072F22">
        <w:rPr>
          <w:rFonts w:cstheme="minorHAnsi"/>
        </w:rPr>
        <w:lastRenderedPageBreak/>
        <w:t xml:space="preserve">Grey literature database Open Grey. Search results matched at least one work-related search term and at least one health expectancy search term. Medline search terms are given in </w:t>
      </w:r>
      <w:r w:rsidR="00264D61">
        <w:rPr>
          <w:rFonts w:cstheme="minorHAnsi"/>
        </w:rPr>
        <w:t xml:space="preserve">the </w:t>
      </w:r>
      <w:r w:rsidRPr="00072F22">
        <w:rPr>
          <w:rFonts w:cstheme="minorHAnsi"/>
        </w:rPr>
        <w:t>appendix.</w:t>
      </w:r>
    </w:p>
    <w:p w14:paraId="14A80308" w14:textId="77777777" w:rsidR="006B5DE1" w:rsidRPr="00072F22" w:rsidRDefault="006B5DE1" w:rsidP="006B5DE1">
      <w:pPr>
        <w:spacing w:after="0" w:line="480" w:lineRule="auto"/>
        <w:ind w:left="-5" w:right="347"/>
        <w:jc w:val="both"/>
        <w:rPr>
          <w:rFonts w:cstheme="minorHAnsi"/>
        </w:rPr>
      </w:pPr>
    </w:p>
    <w:p w14:paraId="0C890BFF" w14:textId="229AFC94" w:rsidR="006B5DE1" w:rsidRPr="00072F22" w:rsidRDefault="006B5DE1" w:rsidP="006B5DE1">
      <w:pPr>
        <w:spacing w:after="396" w:line="480" w:lineRule="auto"/>
        <w:ind w:left="-15" w:right="347"/>
        <w:jc w:val="both"/>
        <w:rPr>
          <w:rFonts w:cstheme="minorHAnsi"/>
        </w:rPr>
      </w:pPr>
      <w:r w:rsidRPr="00072F22">
        <w:rPr>
          <w:rFonts w:cstheme="minorHAnsi"/>
        </w:rPr>
        <w:t xml:space="preserve">Inclusion required population-level estimates of combined health and work statuses, where the population age range included 50 - 60 year olds. Because pension policies are applied to national populations, for study populations to be eligible for the systematic review they </w:t>
      </w:r>
      <w:r w:rsidR="00264D61">
        <w:rPr>
          <w:rFonts w:cstheme="minorHAnsi"/>
        </w:rPr>
        <w:t>were required</w:t>
      </w:r>
      <w:r w:rsidR="00264D61" w:rsidRPr="00072F22">
        <w:rPr>
          <w:rFonts w:cstheme="minorHAnsi"/>
        </w:rPr>
        <w:t xml:space="preserve"> </w:t>
      </w:r>
      <w:r w:rsidRPr="00072F22">
        <w:rPr>
          <w:rFonts w:cstheme="minorHAnsi"/>
        </w:rPr>
        <w:t>to be representative of a general population and not defined by health or work status. Exclusion criteria were</w:t>
      </w:r>
      <w:r w:rsidR="00264D61">
        <w:rPr>
          <w:rFonts w:cstheme="minorHAnsi"/>
        </w:rPr>
        <w:t xml:space="preserve"> that</w:t>
      </w:r>
      <w:r w:rsidRPr="00072F22">
        <w:rPr>
          <w:rFonts w:cstheme="minorHAnsi"/>
        </w:rPr>
        <w:t xml:space="preserve"> the full text was unavailable</w:t>
      </w:r>
      <w:r w:rsidR="00264D61">
        <w:rPr>
          <w:rFonts w:cstheme="minorHAnsi"/>
        </w:rPr>
        <w:t>,</w:t>
      </w:r>
      <w:r w:rsidRPr="00072F22">
        <w:rPr>
          <w:rFonts w:cstheme="minorHAnsi"/>
        </w:rPr>
        <w:t xml:space="preserve"> the publishing language was not English</w:t>
      </w:r>
      <w:r w:rsidR="00264D61">
        <w:rPr>
          <w:rFonts w:cstheme="minorHAnsi"/>
        </w:rPr>
        <w:t>,</w:t>
      </w:r>
      <w:r w:rsidRPr="00072F22">
        <w:rPr>
          <w:rFonts w:cstheme="minorHAnsi"/>
        </w:rPr>
        <w:t xml:space="preserve"> the study was not published as a research article or report</w:t>
      </w:r>
      <w:r w:rsidR="00264D61">
        <w:rPr>
          <w:rFonts w:cstheme="minorHAnsi"/>
        </w:rPr>
        <w:t>,</w:t>
      </w:r>
      <w:r w:rsidRPr="00072F22">
        <w:rPr>
          <w:rFonts w:cstheme="minorHAnsi"/>
        </w:rPr>
        <w:t xml:space="preserve"> no numerical estimate was given for time spent in health and work</w:t>
      </w:r>
      <w:r w:rsidR="00264D61">
        <w:rPr>
          <w:rFonts w:cstheme="minorHAnsi"/>
        </w:rPr>
        <w:t>,</w:t>
      </w:r>
      <w:r w:rsidRPr="00072F22">
        <w:rPr>
          <w:rFonts w:cstheme="minorHAnsi"/>
        </w:rPr>
        <w:t xml:space="preserve"> </w:t>
      </w:r>
      <w:r w:rsidR="00264D61">
        <w:rPr>
          <w:rFonts w:cstheme="minorHAnsi"/>
        </w:rPr>
        <w:t>and</w:t>
      </w:r>
      <w:r w:rsidR="00264D61" w:rsidRPr="00072F22">
        <w:rPr>
          <w:rFonts w:cstheme="minorHAnsi"/>
        </w:rPr>
        <w:t xml:space="preserve"> </w:t>
      </w:r>
      <w:r w:rsidRPr="00072F22">
        <w:rPr>
          <w:rFonts w:cstheme="minorHAnsi"/>
        </w:rPr>
        <w:t>the research did not investigate duration of combined work participation and health statuses.</w:t>
      </w:r>
      <w:r w:rsidR="00264D61" w:rsidRPr="00264D61">
        <w:rPr>
          <w:rFonts w:cstheme="minorHAnsi"/>
        </w:rPr>
        <w:t xml:space="preserve"> </w:t>
      </w:r>
      <w:r w:rsidR="00264D61" w:rsidRPr="00072F22">
        <w:rPr>
          <w:rFonts w:cstheme="minorHAnsi"/>
        </w:rPr>
        <w:t>Studies without abstracts were not excluded in abstract screening.</w:t>
      </w:r>
    </w:p>
    <w:p w14:paraId="009DF10F" w14:textId="7C14B1E6" w:rsidR="006B5DE1" w:rsidRPr="00072F22" w:rsidRDefault="00106481" w:rsidP="006B5DE1">
      <w:pPr>
        <w:pStyle w:val="Heading2"/>
        <w:spacing w:line="480" w:lineRule="auto"/>
        <w:ind w:left="-5"/>
        <w:jc w:val="both"/>
        <w:rPr>
          <w:rFonts w:asciiTheme="minorHAnsi" w:hAnsiTheme="minorHAnsi" w:cstheme="minorHAnsi"/>
        </w:rPr>
      </w:pPr>
      <w:r>
        <w:rPr>
          <w:rFonts w:asciiTheme="minorHAnsi" w:hAnsiTheme="minorHAnsi" w:cstheme="minorHAnsi"/>
        </w:rPr>
        <w:t xml:space="preserve">2.2 </w:t>
      </w:r>
      <w:r w:rsidR="006B5DE1" w:rsidRPr="00072F22">
        <w:rPr>
          <w:rFonts w:asciiTheme="minorHAnsi" w:hAnsiTheme="minorHAnsi" w:cstheme="minorHAnsi"/>
        </w:rPr>
        <w:t>Stage 2: Study selection</w:t>
      </w:r>
    </w:p>
    <w:p w14:paraId="46358180" w14:textId="0F9DA4DF" w:rsidR="006B5DE1" w:rsidRPr="00072F22" w:rsidRDefault="006B5DE1" w:rsidP="006B5DE1">
      <w:pPr>
        <w:spacing w:after="375" w:line="480" w:lineRule="auto"/>
        <w:ind w:left="-5" w:right="347"/>
        <w:jc w:val="both"/>
        <w:rPr>
          <w:rFonts w:cstheme="minorHAnsi"/>
        </w:rPr>
      </w:pPr>
      <w:r w:rsidRPr="00072F22">
        <w:rPr>
          <w:rFonts w:cstheme="minorHAnsi"/>
        </w:rPr>
        <w:t xml:space="preserve">Screening was carried out </w:t>
      </w:r>
      <w:r w:rsidR="006432F8">
        <w:rPr>
          <w:rFonts w:cstheme="minorHAnsi"/>
        </w:rPr>
        <w:t>by the first author initially</w:t>
      </w:r>
      <w:r w:rsidR="006432F8" w:rsidRPr="00072F22">
        <w:rPr>
          <w:rFonts w:cstheme="minorHAnsi"/>
        </w:rPr>
        <w:t xml:space="preserve"> </w:t>
      </w:r>
      <w:r w:rsidRPr="00072F22">
        <w:rPr>
          <w:rFonts w:cstheme="minorHAnsi"/>
        </w:rPr>
        <w:t xml:space="preserve">on titles, then abstracts and finally full texts, retaining studies at each stage that did not clearly meet exclusion criteria. Full texts were assessed for eligibility against </w:t>
      </w:r>
      <w:r w:rsidR="00264D61">
        <w:rPr>
          <w:rFonts w:cstheme="minorHAnsi"/>
        </w:rPr>
        <w:t xml:space="preserve">the same </w:t>
      </w:r>
      <w:r w:rsidRPr="00072F22">
        <w:rPr>
          <w:rFonts w:cstheme="minorHAnsi"/>
        </w:rPr>
        <w:t>inclusion and exclusion criteria</w:t>
      </w:r>
      <w:r w:rsidR="00264D61">
        <w:rPr>
          <w:rFonts w:cstheme="minorHAnsi"/>
        </w:rPr>
        <w:t xml:space="preserve"> described above</w:t>
      </w:r>
      <w:r w:rsidRPr="00072F22">
        <w:rPr>
          <w:rFonts w:cstheme="minorHAnsi"/>
        </w:rPr>
        <w:t>. References of the retained results were then manually screened for any studies missed in the database searches. Finally, studies that were not the primary sources of the relevant evidence were excluded. Remaining studies were deemed eligible and included in the review.</w:t>
      </w:r>
      <w:r w:rsidR="006432F8" w:rsidRPr="006432F8">
        <w:rPr>
          <w:rFonts w:cstheme="minorHAnsi"/>
        </w:rPr>
        <w:t xml:space="preserve"> </w:t>
      </w:r>
      <w:r w:rsidR="006432F8">
        <w:rPr>
          <w:rFonts w:cstheme="minorHAnsi"/>
        </w:rPr>
        <w:t>The senior author was the second reviewer for screening all abstracts and a random sample of 100 titles.</w:t>
      </w:r>
    </w:p>
    <w:p w14:paraId="0DB5D60F" w14:textId="642CDB98" w:rsidR="006B5DE1" w:rsidRPr="00072F22" w:rsidRDefault="00106481" w:rsidP="006B5DE1">
      <w:pPr>
        <w:pStyle w:val="Heading2"/>
        <w:spacing w:line="480" w:lineRule="auto"/>
        <w:ind w:left="-5"/>
        <w:jc w:val="both"/>
        <w:rPr>
          <w:rFonts w:asciiTheme="minorHAnsi" w:hAnsiTheme="minorHAnsi" w:cstheme="minorHAnsi"/>
        </w:rPr>
      </w:pPr>
      <w:r>
        <w:rPr>
          <w:rFonts w:asciiTheme="minorHAnsi" w:hAnsiTheme="minorHAnsi" w:cstheme="minorHAnsi"/>
        </w:rPr>
        <w:t xml:space="preserve">2.3 </w:t>
      </w:r>
      <w:r w:rsidR="006B5DE1" w:rsidRPr="00072F22">
        <w:rPr>
          <w:rFonts w:asciiTheme="minorHAnsi" w:hAnsiTheme="minorHAnsi" w:cstheme="minorHAnsi"/>
        </w:rPr>
        <w:t>Stage 3: Data extraction and quality assessment</w:t>
      </w:r>
    </w:p>
    <w:p w14:paraId="13E1B220" w14:textId="0E6162B8" w:rsidR="006B5DE1" w:rsidRDefault="006432F8" w:rsidP="006B5DE1">
      <w:pPr>
        <w:spacing w:after="0" w:line="480" w:lineRule="auto"/>
        <w:ind w:left="-5" w:right="347"/>
        <w:jc w:val="both"/>
        <w:rPr>
          <w:rFonts w:cstheme="minorHAnsi"/>
        </w:rPr>
      </w:pPr>
      <w:r>
        <w:rPr>
          <w:rFonts w:cstheme="minorHAnsi"/>
        </w:rPr>
        <w:t>Data</w:t>
      </w:r>
      <w:r w:rsidR="006B5DE1" w:rsidRPr="00072F22">
        <w:rPr>
          <w:rFonts w:cstheme="minorHAnsi"/>
        </w:rPr>
        <w:t xml:space="preserve"> extracted from studies included in the systematic review</w:t>
      </w:r>
      <w:r>
        <w:rPr>
          <w:rFonts w:cstheme="minorHAnsi"/>
        </w:rPr>
        <w:t xml:space="preserve"> included</w:t>
      </w:r>
      <w:r w:rsidR="006B5DE1" w:rsidRPr="00072F22">
        <w:rPr>
          <w:rFonts w:cstheme="minorHAnsi"/>
        </w:rPr>
        <w:t xml:space="preserve"> study population</w:t>
      </w:r>
      <w:r>
        <w:rPr>
          <w:rFonts w:cstheme="minorHAnsi"/>
        </w:rPr>
        <w:t>,</w:t>
      </w:r>
      <w:r w:rsidR="006B5DE1" w:rsidRPr="00072F22">
        <w:rPr>
          <w:rFonts w:cstheme="minorHAnsi"/>
        </w:rPr>
        <w:t xml:space="preserve"> study design</w:t>
      </w:r>
      <w:r>
        <w:rPr>
          <w:rFonts w:cstheme="minorHAnsi"/>
        </w:rPr>
        <w:t>,</w:t>
      </w:r>
      <w:r w:rsidR="006B5DE1" w:rsidRPr="00072F22">
        <w:rPr>
          <w:rFonts w:cstheme="minorHAnsi"/>
        </w:rPr>
        <w:t xml:space="preserve"> sample size</w:t>
      </w:r>
      <w:r>
        <w:rPr>
          <w:rFonts w:cstheme="minorHAnsi"/>
        </w:rPr>
        <w:t>,</w:t>
      </w:r>
      <w:r w:rsidR="006B5DE1" w:rsidRPr="00072F22">
        <w:rPr>
          <w:rFonts w:cstheme="minorHAnsi"/>
        </w:rPr>
        <w:t xml:space="preserve"> research aim(s)</w:t>
      </w:r>
      <w:r>
        <w:rPr>
          <w:rFonts w:cstheme="minorHAnsi"/>
        </w:rPr>
        <w:t>,</w:t>
      </w:r>
      <w:r w:rsidR="006B5DE1" w:rsidRPr="00072F22">
        <w:rPr>
          <w:rFonts w:cstheme="minorHAnsi"/>
        </w:rPr>
        <w:t xml:space="preserve"> the population summary indicator used and how it was defined</w:t>
      </w:r>
      <w:r>
        <w:rPr>
          <w:rFonts w:cstheme="minorHAnsi"/>
        </w:rPr>
        <w:t>,</w:t>
      </w:r>
      <w:r w:rsidR="006B5DE1" w:rsidRPr="00072F22">
        <w:rPr>
          <w:rFonts w:cstheme="minorHAnsi"/>
        </w:rPr>
        <w:t xml:space="preserve"> </w:t>
      </w:r>
      <w:r w:rsidR="00F47BBA">
        <w:rPr>
          <w:rFonts w:cstheme="minorHAnsi"/>
        </w:rPr>
        <w:t xml:space="preserve">the </w:t>
      </w:r>
      <w:r w:rsidR="006B5DE1" w:rsidRPr="00072F22">
        <w:rPr>
          <w:rFonts w:cstheme="minorHAnsi"/>
        </w:rPr>
        <w:t>statistical methodology employed to compute results</w:t>
      </w:r>
      <w:r>
        <w:rPr>
          <w:rFonts w:cstheme="minorHAnsi"/>
        </w:rPr>
        <w:t>,</w:t>
      </w:r>
      <w:r w:rsidR="006B5DE1" w:rsidRPr="00072F22">
        <w:rPr>
          <w:rFonts w:cstheme="minorHAnsi"/>
        </w:rPr>
        <w:t xml:space="preserve"> the number of years people </w:t>
      </w:r>
      <w:r w:rsidR="006B5DE1" w:rsidRPr="00072F22">
        <w:rPr>
          <w:rFonts w:cstheme="minorHAnsi"/>
        </w:rPr>
        <w:lastRenderedPageBreak/>
        <w:t>were estimated to be healthy and in work</w:t>
      </w:r>
      <w:r>
        <w:rPr>
          <w:rFonts w:cstheme="minorHAnsi"/>
        </w:rPr>
        <w:t>,</w:t>
      </w:r>
      <w:r w:rsidR="006B5DE1" w:rsidRPr="00072F22">
        <w:rPr>
          <w:rFonts w:cstheme="minorHAnsi"/>
        </w:rPr>
        <w:t xml:space="preserve"> and factors identified as being associated with or predictive of the number of years </w:t>
      </w:r>
      <w:r w:rsidR="00F47BBA">
        <w:rPr>
          <w:rFonts w:cstheme="minorHAnsi"/>
        </w:rPr>
        <w:t xml:space="preserve">spent </w:t>
      </w:r>
      <w:r w:rsidR="006B5DE1" w:rsidRPr="00072F22">
        <w:rPr>
          <w:rFonts w:cstheme="minorHAnsi"/>
        </w:rPr>
        <w:t>health</w:t>
      </w:r>
      <w:r w:rsidR="00F47BBA">
        <w:rPr>
          <w:rFonts w:cstheme="minorHAnsi"/>
        </w:rPr>
        <w:t>y</w:t>
      </w:r>
      <w:r w:rsidR="006B5DE1" w:rsidRPr="00072F22">
        <w:rPr>
          <w:rFonts w:cstheme="minorHAnsi"/>
        </w:rPr>
        <w:t xml:space="preserve"> and </w:t>
      </w:r>
      <w:r w:rsidR="00F47BBA">
        <w:rPr>
          <w:rFonts w:cstheme="minorHAnsi"/>
        </w:rPr>
        <w:t xml:space="preserve">in </w:t>
      </w:r>
      <w:r w:rsidR="006B5DE1" w:rsidRPr="00072F22">
        <w:rPr>
          <w:rFonts w:cstheme="minorHAnsi"/>
        </w:rPr>
        <w:t>work.</w:t>
      </w:r>
    </w:p>
    <w:p w14:paraId="547B43B3" w14:textId="77777777" w:rsidR="006B5DE1" w:rsidRPr="00072F22" w:rsidRDefault="006B5DE1" w:rsidP="006B5DE1">
      <w:pPr>
        <w:spacing w:after="0" w:line="480" w:lineRule="auto"/>
        <w:ind w:left="-5" w:right="347"/>
        <w:jc w:val="both"/>
        <w:rPr>
          <w:rFonts w:cstheme="minorHAnsi"/>
        </w:rPr>
      </w:pPr>
    </w:p>
    <w:p w14:paraId="17E10E36" w14:textId="6A895911" w:rsidR="006B5DE1" w:rsidRPr="00072F22" w:rsidRDefault="006432F8" w:rsidP="006B5DE1">
      <w:pPr>
        <w:spacing w:after="396" w:line="480" w:lineRule="auto"/>
        <w:ind w:left="-15" w:right="347"/>
        <w:jc w:val="both"/>
        <w:rPr>
          <w:rFonts w:cstheme="minorHAnsi"/>
        </w:rPr>
      </w:pPr>
      <w:r>
        <w:rPr>
          <w:rFonts w:cstheme="minorHAnsi"/>
        </w:rPr>
        <w:t xml:space="preserve">Both </w:t>
      </w:r>
      <w:r w:rsidR="00C05FD7">
        <w:rPr>
          <w:rFonts w:cstheme="minorHAnsi"/>
        </w:rPr>
        <w:t xml:space="preserve">reviewers </w:t>
      </w:r>
      <w:r w:rsidR="006B5DE1" w:rsidRPr="00072F22">
        <w:rPr>
          <w:rFonts w:cstheme="minorHAnsi"/>
        </w:rPr>
        <w:t xml:space="preserve">independently carried out quality assessment of the included studies using the QUality In </w:t>
      </w:r>
      <w:r w:rsidR="00E620DB">
        <w:rPr>
          <w:rFonts w:cstheme="minorHAnsi"/>
        </w:rPr>
        <w:t>Prognosis Studies (QUIPS) tool (Hayden, van der Windt</w:t>
      </w:r>
      <w:r w:rsidR="00E620DB" w:rsidRPr="00E620DB">
        <w:rPr>
          <w:rFonts w:cstheme="minorHAnsi"/>
        </w:rPr>
        <w:t>, Car</w:t>
      </w:r>
      <w:r w:rsidR="00E620DB">
        <w:rPr>
          <w:rFonts w:cstheme="minorHAnsi"/>
        </w:rPr>
        <w:t>twright, Côté and Bombardier 2013)</w:t>
      </w:r>
      <w:r w:rsidR="006B5DE1" w:rsidRPr="00072F22">
        <w:rPr>
          <w:rFonts w:cstheme="minorHAnsi"/>
        </w:rPr>
        <w:t>. QUIPS is designed to assess bias in prognostic research but the quality concerns evaluated are appropriate for the non-randomised and non</w:t>
      </w:r>
      <w:r w:rsidR="006B5DE1">
        <w:rPr>
          <w:rFonts w:cstheme="minorHAnsi"/>
        </w:rPr>
        <w:t>-</w:t>
      </w:r>
      <w:r w:rsidR="006B5DE1" w:rsidRPr="00072F22">
        <w:rPr>
          <w:rFonts w:cstheme="minorHAnsi"/>
        </w:rPr>
        <w:t xml:space="preserve">interventional observational studies sought in this review. </w:t>
      </w:r>
      <w:r w:rsidRPr="006432F8">
        <w:rPr>
          <w:rFonts w:cstheme="minorHAnsi"/>
        </w:rPr>
        <w:t>QUIPs contains six sets of questions to assess the presence of six types of bias</w:t>
      </w:r>
      <w:r w:rsidRPr="006432F8" w:rsidDel="006432F8">
        <w:rPr>
          <w:rFonts w:cstheme="minorHAnsi"/>
        </w:rPr>
        <w:t xml:space="preserve"> </w:t>
      </w:r>
      <w:r>
        <w:rPr>
          <w:rFonts w:cstheme="minorHAnsi"/>
        </w:rPr>
        <w:t>(</w:t>
      </w:r>
      <w:r w:rsidR="006B5DE1" w:rsidRPr="00072F22">
        <w:rPr>
          <w:rFonts w:cstheme="minorHAnsi"/>
        </w:rPr>
        <w:t>study participation</w:t>
      </w:r>
      <w:r>
        <w:rPr>
          <w:rFonts w:cstheme="minorHAnsi"/>
        </w:rPr>
        <w:t>,</w:t>
      </w:r>
      <w:r w:rsidR="006B5DE1" w:rsidRPr="00072F22">
        <w:rPr>
          <w:rFonts w:cstheme="minorHAnsi"/>
        </w:rPr>
        <w:t xml:space="preserve"> study attrition</w:t>
      </w:r>
      <w:r>
        <w:rPr>
          <w:rFonts w:cstheme="minorHAnsi"/>
        </w:rPr>
        <w:t>,</w:t>
      </w:r>
      <w:r w:rsidR="006B5DE1" w:rsidRPr="00072F22">
        <w:rPr>
          <w:rFonts w:cstheme="minorHAnsi"/>
        </w:rPr>
        <w:t xml:space="preserve"> the prognostic factor of interest</w:t>
      </w:r>
      <w:r>
        <w:rPr>
          <w:rFonts w:cstheme="minorHAnsi"/>
        </w:rPr>
        <w:t>,</w:t>
      </w:r>
      <w:r w:rsidR="006B5DE1" w:rsidRPr="00072F22">
        <w:rPr>
          <w:rFonts w:cstheme="minorHAnsi"/>
        </w:rPr>
        <w:t xml:space="preserve"> outcome measurement</w:t>
      </w:r>
      <w:r>
        <w:rPr>
          <w:rFonts w:cstheme="minorHAnsi"/>
        </w:rPr>
        <w:t>,</w:t>
      </w:r>
      <w:r w:rsidR="006B5DE1" w:rsidRPr="00072F22">
        <w:rPr>
          <w:rFonts w:cstheme="minorHAnsi"/>
        </w:rPr>
        <w:t xml:space="preserve"> study confounding</w:t>
      </w:r>
      <w:r>
        <w:rPr>
          <w:rFonts w:cstheme="minorHAnsi"/>
        </w:rPr>
        <w:t>,</w:t>
      </w:r>
      <w:r w:rsidR="006B5DE1" w:rsidRPr="00072F22">
        <w:rPr>
          <w:rFonts w:cstheme="minorHAnsi"/>
        </w:rPr>
        <w:t xml:space="preserve"> and statistical analysis and reporting</w:t>
      </w:r>
      <w:r>
        <w:rPr>
          <w:rFonts w:cstheme="minorHAnsi"/>
        </w:rPr>
        <w:t>)</w:t>
      </w:r>
      <w:r w:rsidR="006B5DE1" w:rsidRPr="00072F22">
        <w:rPr>
          <w:rFonts w:cstheme="minorHAnsi"/>
        </w:rPr>
        <w:t xml:space="preserve">. The QUIPS attention to bias related </w:t>
      </w:r>
      <w:r w:rsidR="00F47BBA">
        <w:rPr>
          <w:rFonts w:cstheme="minorHAnsi"/>
        </w:rPr>
        <w:t xml:space="preserve">to </w:t>
      </w:r>
      <w:r w:rsidR="006B5DE1" w:rsidRPr="00072F22">
        <w:rPr>
          <w:rFonts w:cstheme="minorHAnsi"/>
        </w:rPr>
        <w:t xml:space="preserve">prognostic factors of interest was redirected to any exposures measured. Reviewers </w:t>
      </w:r>
      <w:r>
        <w:rPr>
          <w:rFonts w:cstheme="minorHAnsi"/>
        </w:rPr>
        <w:t xml:space="preserve">used the QUIPS tool to </w:t>
      </w:r>
      <w:r w:rsidR="006B5DE1" w:rsidRPr="00072F22">
        <w:rPr>
          <w:rFonts w:cstheme="minorHAnsi"/>
        </w:rPr>
        <w:t>assess whether each type of bias had been convincingly minimised (yes (Y) /partly (P) /no (N) /unclear (U) /not relevant (NA)) in the research identified. Where quality assessments differed, disagreements were either resolved at a consensus meeting or reflected in the results.</w:t>
      </w:r>
    </w:p>
    <w:p w14:paraId="2FEADB7A" w14:textId="322AC6DB" w:rsidR="006B5DE1" w:rsidRPr="00072F22" w:rsidRDefault="00106481" w:rsidP="006B5DE1">
      <w:pPr>
        <w:pStyle w:val="Heading2"/>
        <w:spacing w:line="480" w:lineRule="auto"/>
        <w:ind w:left="-5"/>
        <w:jc w:val="both"/>
        <w:rPr>
          <w:rFonts w:asciiTheme="minorHAnsi" w:hAnsiTheme="minorHAnsi" w:cstheme="minorHAnsi"/>
        </w:rPr>
      </w:pPr>
      <w:r>
        <w:rPr>
          <w:rFonts w:asciiTheme="minorHAnsi" w:hAnsiTheme="minorHAnsi" w:cstheme="minorHAnsi"/>
        </w:rPr>
        <w:t xml:space="preserve">2.4 </w:t>
      </w:r>
      <w:r w:rsidR="006B5DE1" w:rsidRPr="00072F22">
        <w:rPr>
          <w:rFonts w:asciiTheme="minorHAnsi" w:hAnsiTheme="minorHAnsi" w:cstheme="minorHAnsi"/>
        </w:rPr>
        <w:t xml:space="preserve">Stage 4: </w:t>
      </w:r>
      <w:r w:rsidR="00000774">
        <w:rPr>
          <w:rFonts w:asciiTheme="minorHAnsi" w:hAnsiTheme="minorHAnsi" w:cstheme="minorHAnsi"/>
        </w:rPr>
        <w:t>Data synthesis</w:t>
      </w:r>
    </w:p>
    <w:p w14:paraId="5FF29117" w14:textId="276D1AFE" w:rsidR="006B5DE1" w:rsidRPr="00072F22" w:rsidRDefault="00000774" w:rsidP="006B5DE1">
      <w:pPr>
        <w:spacing w:line="480" w:lineRule="auto"/>
        <w:ind w:left="-5" w:right="347"/>
        <w:jc w:val="both"/>
        <w:rPr>
          <w:rFonts w:cstheme="minorHAnsi"/>
        </w:rPr>
      </w:pPr>
      <w:r>
        <w:rPr>
          <w:rFonts w:cstheme="minorHAnsi"/>
        </w:rPr>
        <w:t>It was not feasible to quantitatively pool study findings on estimates of time spent in health and in work from age 50.</w:t>
      </w:r>
      <w:r w:rsidR="006B5DE1" w:rsidRPr="00072F22">
        <w:rPr>
          <w:rFonts w:cstheme="minorHAnsi"/>
        </w:rPr>
        <w:t xml:space="preserve"> </w:t>
      </w:r>
      <w:r>
        <w:rPr>
          <w:rFonts w:cstheme="minorHAnsi"/>
        </w:rPr>
        <w:t>T</w:t>
      </w:r>
      <w:r w:rsidR="005A244E" w:rsidRPr="005A244E">
        <w:rPr>
          <w:rFonts w:cstheme="minorHAnsi"/>
        </w:rPr>
        <w:t>here was a low number of eligible studies and a high level of heterogeneity between them. The four studies used different population indicators, statistical methods, and operationalisations of health and work. Additionally, estimates of time spent in health and work required transformation to be comparable from age 50. For these reasons as well as study population differences, a meta-analysis was not appropriate. Instead, a narrative synthesis of the evidence was carried out using textual descriptions, tabulation and data transformation (for example, estimates of time spent in health and work from age 16 were lowered by 34 years to give an approximation of the result from age 50) (Popay, Roberts, Sowden, Petticrew and Duffy 2006).</w:t>
      </w:r>
    </w:p>
    <w:p w14:paraId="77B4FAEA" w14:textId="1FE00A62" w:rsidR="006B5DE1" w:rsidRPr="00072F22" w:rsidRDefault="00106481" w:rsidP="006B5DE1">
      <w:pPr>
        <w:pStyle w:val="Heading1"/>
        <w:spacing w:after="156" w:line="480" w:lineRule="auto"/>
        <w:ind w:left="-5"/>
        <w:jc w:val="both"/>
        <w:rPr>
          <w:rFonts w:asciiTheme="minorHAnsi" w:hAnsiTheme="minorHAnsi" w:cstheme="minorHAnsi"/>
        </w:rPr>
      </w:pPr>
      <w:r>
        <w:rPr>
          <w:rFonts w:asciiTheme="minorHAnsi" w:hAnsiTheme="minorHAnsi" w:cstheme="minorHAnsi"/>
        </w:rPr>
        <w:lastRenderedPageBreak/>
        <w:t xml:space="preserve">3 </w:t>
      </w:r>
      <w:r w:rsidR="006B5DE1" w:rsidRPr="00072F22">
        <w:rPr>
          <w:rFonts w:asciiTheme="minorHAnsi" w:hAnsiTheme="minorHAnsi" w:cstheme="minorHAnsi"/>
        </w:rPr>
        <w:t>Narrative review</w:t>
      </w:r>
    </w:p>
    <w:p w14:paraId="750AE1DC" w14:textId="79EE4D14" w:rsidR="006B5DE1" w:rsidRPr="00072F22" w:rsidRDefault="00106481" w:rsidP="006B5DE1">
      <w:pPr>
        <w:pStyle w:val="Heading2"/>
        <w:spacing w:line="480" w:lineRule="auto"/>
        <w:ind w:left="-5"/>
        <w:jc w:val="both"/>
        <w:rPr>
          <w:rFonts w:asciiTheme="minorHAnsi" w:hAnsiTheme="minorHAnsi" w:cstheme="minorHAnsi"/>
        </w:rPr>
      </w:pPr>
      <w:r>
        <w:rPr>
          <w:rFonts w:asciiTheme="minorHAnsi" w:hAnsiTheme="minorHAnsi" w:cstheme="minorHAnsi"/>
        </w:rPr>
        <w:t xml:space="preserve">3.1 </w:t>
      </w:r>
      <w:r w:rsidR="006B5DE1" w:rsidRPr="00072F22">
        <w:rPr>
          <w:rFonts w:asciiTheme="minorHAnsi" w:hAnsiTheme="minorHAnsi" w:cstheme="minorHAnsi"/>
        </w:rPr>
        <w:t>Results</w:t>
      </w:r>
    </w:p>
    <w:p w14:paraId="3D87A2B1" w14:textId="0AEE18F8" w:rsidR="006B5DE1" w:rsidRDefault="006B5DE1" w:rsidP="006B5DE1">
      <w:pPr>
        <w:spacing w:after="0" w:line="480" w:lineRule="auto"/>
        <w:ind w:left="-5" w:right="347"/>
        <w:jc w:val="both"/>
        <w:rPr>
          <w:rFonts w:cstheme="minorHAnsi"/>
        </w:rPr>
      </w:pPr>
      <w:r w:rsidRPr="00072F22">
        <w:rPr>
          <w:rFonts w:cstheme="minorHAnsi"/>
        </w:rPr>
        <w:t xml:space="preserve">The search identified 1485 </w:t>
      </w:r>
      <w:r w:rsidR="005A244E">
        <w:rPr>
          <w:rFonts w:cstheme="minorHAnsi"/>
        </w:rPr>
        <w:t>articles</w:t>
      </w:r>
      <w:r w:rsidRPr="00072F22">
        <w:rPr>
          <w:rFonts w:cstheme="minorHAnsi"/>
        </w:rPr>
        <w:t xml:space="preserve">. Prior to title screening, 34 non-English language Open Grey </w:t>
      </w:r>
      <w:r w:rsidR="005A244E">
        <w:rPr>
          <w:rFonts w:cstheme="minorHAnsi"/>
        </w:rPr>
        <w:t>articles</w:t>
      </w:r>
      <w:r w:rsidR="005A244E" w:rsidRPr="00072F22">
        <w:rPr>
          <w:rFonts w:cstheme="minorHAnsi"/>
        </w:rPr>
        <w:t xml:space="preserve"> </w:t>
      </w:r>
      <w:r w:rsidRPr="00072F22">
        <w:rPr>
          <w:rFonts w:cstheme="minorHAnsi"/>
        </w:rPr>
        <w:t xml:space="preserve">were removed as well as 323 </w:t>
      </w:r>
      <w:r w:rsidR="005A244E">
        <w:rPr>
          <w:rFonts w:cstheme="minorHAnsi"/>
        </w:rPr>
        <w:t>articles</w:t>
      </w:r>
      <w:r w:rsidR="005A244E" w:rsidRPr="00072F22">
        <w:rPr>
          <w:rFonts w:cstheme="minorHAnsi"/>
        </w:rPr>
        <w:t xml:space="preserve"> </w:t>
      </w:r>
      <w:r w:rsidRPr="00072F22">
        <w:rPr>
          <w:rFonts w:cstheme="minorHAnsi"/>
        </w:rPr>
        <w:t xml:space="preserve">that were duplicated across databases (Figure 1). Of the remaining 1128 </w:t>
      </w:r>
      <w:r w:rsidR="005A244E">
        <w:rPr>
          <w:rFonts w:cstheme="minorHAnsi"/>
        </w:rPr>
        <w:t>articles</w:t>
      </w:r>
      <w:r w:rsidRPr="00072F22">
        <w:rPr>
          <w:rFonts w:cstheme="minorHAnsi"/>
        </w:rPr>
        <w:t xml:space="preserve">, 729 were excluded in title screening and 349 were excluded in abstract screening. Full text screening for eligibility excluded a further 46 </w:t>
      </w:r>
      <w:r w:rsidR="005A244E">
        <w:rPr>
          <w:rFonts w:cstheme="minorHAnsi"/>
        </w:rPr>
        <w:t>articles</w:t>
      </w:r>
      <w:r w:rsidRPr="00072F22">
        <w:rPr>
          <w:rFonts w:cstheme="minorHAnsi"/>
        </w:rPr>
        <w:t>, leaving four studies for analysis (Table 1).</w:t>
      </w:r>
    </w:p>
    <w:p w14:paraId="17793E30" w14:textId="77777777" w:rsidR="006B5DE1" w:rsidRDefault="006B5DE1" w:rsidP="006B5DE1">
      <w:pPr>
        <w:spacing w:after="5" w:line="480" w:lineRule="auto"/>
        <w:ind w:right="347"/>
        <w:rPr>
          <w:rFonts w:cstheme="minorHAnsi"/>
        </w:rPr>
      </w:pPr>
    </w:p>
    <w:p w14:paraId="215381C5" w14:textId="77777777" w:rsidR="006B5DE1" w:rsidRDefault="006B5DE1" w:rsidP="006B5DE1">
      <w:pPr>
        <w:spacing w:after="5" w:line="480" w:lineRule="auto"/>
        <w:ind w:left="720" w:right="347"/>
        <w:jc w:val="both"/>
        <w:rPr>
          <w:rFonts w:cstheme="minorHAnsi"/>
        </w:rPr>
      </w:pPr>
      <w:r w:rsidRPr="00072F22">
        <w:rPr>
          <w:rFonts w:cstheme="minorHAnsi"/>
        </w:rPr>
        <w:t>Figure 1: Systematic review flow chart</w:t>
      </w:r>
    </w:p>
    <w:p w14:paraId="1BA61D3D" w14:textId="77777777" w:rsidR="006B5DE1" w:rsidRPr="00072F22" w:rsidRDefault="006B5DE1" w:rsidP="006B5DE1">
      <w:pPr>
        <w:spacing w:after="5" w:line="480" w:lineRule="auto"/>
        <w:ind w:right="347"/>
        <w:jc w:val="both"/>
        <w:rPr>
          <w:rFonts w:cstheme="minorHAnsi"/>
        </w:rPr>
      </w:pPr>
    </w:p>
    <w:p w14:paraId="4EBC6941" w14:textId="77777777" w:rsidR="006B5DE1" w:rsidRPr="00072F22" w:rsidRDefault="006B5DE1" w:rsidP="006B5DE1">
      <w:pPr>
        <w:spacing w:after="393" w:line="480" w:lineRule="auto"/>
        <w:ind w:left="730" w:right="347"/>
        <w:jc w:val="both"/>
        <w:rPr>
          <w:rFonts w:cstheme="minorHAnsi"/>
        </w:rPr>
      </w:pPr>
      <w:r w:rsidRPr="00072F22">
        <w:rPr>
          <w:rFonts w:cstheme="minorHAnsi"/>
        </w:rPr>
        <w:t>Table 1: Summary of extracted data</w:t>
      </w:r>
    </w:p>
    <w:p w14:paraId="2D1EB004" w14:textId="4E8F51EE" w:rsidR="006B5DE1" w:rsidRPr="00072F22" w:rsidRDefault="00106481" w:rsidP="006B5DE1">
      <w:pPr>
        <w:pStyle w:val="Heading2"/>
        <w:spacing w:after="110" w:line="480" w:lineRule="auto"/>
        <w:ind w:left="-5"/>
        <w:jc w:val="both"/>
        <w:rPr>
          <w:rFonts w:asciiTheme="minorHAnsi" w:hAnsiTheme="minorHAnsi" w:cstheme="minorHAnsi"/>
        </w:rPr>
      </w:pPr>
      <w:r>
        <w:rPr>
          <w:rFonts w:asciiTheme="minorHAnsi" w:hAnsiTheme="minorHAnsi" w:cstheme="minorHAnsi"/>
        </w:rPr>
        <w:t xml:space="preserve">3.2 </w:t>
      </w:r>
      <w:r w:rsidR="006B5DE1" w:rsidRPr="00072F22">
        <w:rPr>
          <w:rFonts w:asciiTheme="minorHAnsi" w:hAnsiTheme="minorHAnsi" w:cstheme="minorHAnsi"/>
        </w:rPr>
        <w:t>Data quality</w:t>
      </w:r>
    </w:p>
    <w:p w14:paraId="50FB7E1A" w14:textId="6B4094F8" w:rsidR="006B5DE1" w:rsidRDefault="004021E2" w:rsidP="00295D75">
      <w:pPr>
        <w:spacing w:after="30" w:line="480" w:lineRule="auto"/>
        <w:ind w:left="-5"/>
        <w:jc w:val="both"/>
        <w:rPr>
          <w:rFonts w:cstheme="minorHAnsi"/>
        </w:rPr>
      </w:pPr>
      <w:r>
        <w:rPr>
          <w:rFonts w:cstheme="minorHAnsi"/>
        </w:rPr>
        <w:t xml:space="preserve">Mutafova, van de Water, Perenboom, Boshuizen and </w:t>
      </w:r>
      <w:r w:rsidRPr="00B82A8E">
        <w:rPr>
          <w:rFonts w:cstheme="minorHAnsi"/>
        </w:rPr>
        <w:t>Maleshkov</w:t>
      </w:r>
      <w:r>
        <w:rPr>
          <w:rFonts w:cstheme="minorHAnsi"/>
        </w:rPr>
        <w:t xml:space="preserve"> (1996)’s </w:t>
      </w:r>
      <w:r w:rsidR="006B5DE1" w:rsidRPr="00072F22">
        <w:rPr>
          <w:rFonts w:cstheme="minorHAnsi"/>
        </w:rPr>
        <w:t>study of Occupational Handicap-Free Life Expectancy (OHFLE)</w:t>
      </w:r>
      <w:r w:rsidR="00295D75">
        <w:rPr>
          <w:rFonts w:cstheme="minorHAnsi"/>
        </w:rPr>
        <w:t xml:space="preserve"> </w:t>
      </w:r>
      <w:r w:rsidR="006B5DE1" w:rsidRPr="00072F22">
        <w:rPr>
          <w:rFonts w:cstheme="minorHAnsi"/>
        </w:rPr>
        <w:t xml:space="preserve">was found to be of high quality </w:t>
      </w:r>
      <w:r w:rsidR="005A244E">
        <w:rPr>
          <w:rFonts w:cstheme="minorHAnsi"/>
        </w:rPr>
        <w:t xml:space="preserve">using the QUIPs tool described in section 2.3, </w:t>
      </w:r>
      <w:r w:rsidR="006B5DE1" w:rsidRPr="00072F22">
        <w:rPr>
          <w:rFonts w:cstheme="minorHAnsi"/>
        </w:rPr>
        <w:t xml:space="preserve">while the studies </w:t>
      </w:r>
      <w:r w:rsidR="005A244E">
        <w:rPr>
          <w:rFonts w:cstheme="minorHAnsi"/>
        </w:rPr>
        <w:t>of</w:t>
      </w:r>
      <w:r w:rsidR="005A244E" w:rsidRPr="00072F22">
        <w:rPr>
          <w:rFonts w:cstheme="minorHAnsi"/>
        </w:rPr>
        <w:t xml:space="preserve"> </w:t>
      </w:r>
      <w:r w:rsidR="006B5DE1" w:rsidRPr="00072F22">
        <w:rPr>
          <w:rFonts w:cstheme="minorHAnsi"/>
        </w:rPr>
        <w:t>Occupationally Active Life Expectancy (OALE) and work particip</w:t>
      </w:r>
      <w:r w:rsidR="00B82A8E">
        <w:rPr>
          <w:rFonts w:cstheme="minorHAnsi"/>
        </w:rPr>
        <w:t>ation with work ability (Kaprio, Sarna</w:t>
      </w:r>
      <w:r w:rsidR="00B82A8E" w:rsidRPr="00B82A8E">
        <w:rPr>
          <w:rFonts w:cstheme="minorHAnsi"/>
        </w:rPr>
        <w:t xml:space="preserve">, Fogelholm </w:t>
      </w:r>
      <w:r w:rsidR="00B82A8E">
        <w:rPr>
          <w:rFonts w:cstheme="minorHAnsi"/>
        </w:rPr>
        <w:t xml:space="preserve">and </w:t>
      </w:r>
      <w:r w:rsidR="00B82A8E" w:rsidRPr="00B82A8E">
        <w:rPr>
          <w:rFonts w:cstheme="minorHAnsi"/>
        </w:rPr>
        <w:t>Koskenvuo</w:t>
      </w:r>
      <w:r w:rsidR="00B82A8E">
        <w:rPr>
          <w:rFonts w:cstheme="minorHAnsi"/>
        </w:rPr>
        <w:t xml:space="preserve"> (1996) and </w:t>
      </w:r>
      <w:r w:rsidR="00B82A8E" w:rsidRPr="00B82A8E">
        <w:rPr>
          <w:rFonts w:cstheme="minorHAnsi"/>
        </w:rPr>
        <w:t>Nur</w:t>
      </w:r>
      <w:r w:rsidR="00B82A8E">
        <w:rPr>
          <w:rFonts w:cstheme="minorHAnsi"/>
        </w:rPr>
        <w:t>minen, Heathcote and Davis (2004)</w:t>
      </w:r>
      <w:r w:rsidR="006B5DE1" w:rsidRPr="00072F22">
        <w:rPr>
          <w:rFonts w:cstheme="minorHAnsi"/>
        </w:rPr>
        <w:t xml:space="preserve"> respectively) were of acceptable quality (Table 2). The estimation of Healthy Working Life Expectancy in Europe by </w:t>
      </w:r>
      <w:r>
        <w:rPr>
          <w:rFonts w:cstheme="minorHAnsi"/>
        </w:rPr>
        <w:t>Lievre</w:t>
      </w:r>
      <w:r w:rsidRPr="004021E2">
        <w:rPr>
          <w:rFonts w:cstheme="minorHAnsi"/>
        </w:rPr>
        <w:t xml:space="preserve"> et al</w:t>
      </w:r>
      <w:r>
        <w:rPr>
          <w:rFonts w:cstheme="minorHAnsi"/>
        </w:rPr>
        <w:t>. (2007)</w:t>
      </w:r>
      <w:r w:rsidR="006B5DE1" w:rsidRPr="00072F22">
        <w:rPr>
          <w:rFonts w:cstheme="minorHAnsi"/>
        </w:rPr>
        <w:t xml:space="preserve"> was not published with sufficient detail to assess the quality of the research.</w:t>
      </w:r>
      <w:bookmarkStart w:id="0" w:name="_GoBack"/>
      <w:bookmarkEnd w:id="0"/>
    </w:p>
    <w:p w14:paraId="5B218835" w14:textId="77777777" w:rsidR="006B5DE1" w:rsidRPr="00072F22" w:rsidRDefault="006B5DE1" w:rsidP="006B5DE1">
      <w:pPr>
        <w:spacing w:after="7" w:line="480" w:lineRule="auto"/>
        <w:ind w:left="-5" w:right="347"/>
        <w:jc w:val="both"/>
        <w:rPr>
          <w:rFonts w:cstheme="minorHAnsi"/>
        </w:rPr>
      </w:pPr>
    </w:p>
    <w:p w14:paraId="30732E26" w14:textId="55AE4E87" w:rsidR="006B5DE1" w:rsidRPr="00072F22" w:rsidRDefault="006B5DE1" w:rsidP="006B5DE1">
      <w:pPr>
        <w:spacing w:after="396" w:line="480" w:lineRule="auto"/>
        <w:ind w:left="720" w:right="347"/>
        <w:jc w:val="both"/>
        <w:rPr>
          <w:rFonts w:cstheme="minorHAnsi"/>
        </w:rPr>
      </w:pPr>
      <w:r w:rsidRPr="00072F22">
        <w:rPr>
          <w:rFonts w:cstheme="minorHAnsi"/>
        </w:rPr>
        <w:t>Table 2: Summary of quality assessments of studies included in the systematic review. Convincing minimisation (assessment = Y) of different types of bias is indicative of higher quality research.</w:t>
      </w:r>
      <w:r w:rsidR="005A244E">
        <w:rPr>
          <w:rFonts w:cstheme="minorHAnsi"/>
        </w:rPr>
        <w:t xml:space="preserve"> </w:t>
      </w:r>
      <w:r w:rsidR="005A244E" w:rsidRPr="005A244E">
        <w:rPr>
          <w:rFonts w:cstheme="minorHAnsi"/>
        </w:rPr>
        <w:t>(Key: yes (Y) /partly (P) /no (N) /unclear (U) /not relevant (NA))</w:t>
      </w:r>
    </w:p>
    <w:p w14:paraId="4DBE39ED" w14:textId="15C2798C" w:rsidR="006B5DE1" w:rsidRPr="00072F22" w:rsidRDefault="00106481" w:rsidP="006B5DE1">
      <w:pPr>
        <w:pStyle w:val="Heading2"/>
        <w:spacing w:line="480" w:lineRule="auto"/>
        <w:ind w:left="-5"/>
        <w:jc w:val="both"/>
        <w:rPr>
          <w:rFonts w:asciiTheme="minorHAnsi" w:hAnsiTheme="minorHAnsi" w:cstheme="minorHAnsi"/>
        </w:rPr>
      </w:pPr>
      <w:r>
        <w:rPr>
          <w:rFonts w:asciiTheme="minorHAnsi" w:hAnsiTheme="minorHAnsi" w:cstheme="minorHAnsi"/>
        </w:rPr>
        <w:lastRenderedPageBreak/>
        <w:t xml:space="preserve">3.3 </w:t>
      </w:r>
      <w:r w:rsidR="006B5DE1" w:rsidRPr="00072F22">
        <w:rPr>
          <w:rFonts w:asciiTheme="minorHAnsi" w:hAnsiTheme="minorHAnsi" w:cstheme="minorHAnsi"/>
        </w:rPr>
        <w:t>Evidence synthesis: narrative review</w:t>
      </w:r>
    </w:p>
    <w:p w14:paraId="017826F1" w14:textId="7F0241B8" w:rsidR="006B5DE1" w:rsidRDefault="006B5DE1" w:rsidP="006B5DE1">
      <w:pPr>
        <w:spacing w:after="1" w:line="480" w:lineRule="auto"/>
        <w:ind w:left="-15" w:right="347"/>
        <w:jc w:val="both"/>
        <w:rPr>
          <w:rFonts w:cstheme="minorHAnsi"/>
        </w:rPr>
      </w:pPr>
      <w:r w:rsidRPr="00072F22">
        <w:rPr>
          <w:rFonts w:cstheme="minorHAnsi"/>
        </w:rPr>
        <w:t xml:space="preserve">Health was captured by </w:t>
      </w:r>
      <w:r w:rsidR="00F104DC">
        <w:rPr>
          <w:rFonts w:cstheme="minorHAnsi"/>
        </w:rPr>
        <w:t xml:space="preserve">Mutafova, van de Water, Perenboom, Boshuizen and </w:t>
      </w:r>
      <w:r w:rsidR="00F104DC" w:rsidRPr="00B82A8E">
        <w:rPr>
          <w:rFonts w:cstheme="minorHAnsi"/>
        </w:rPr>
        <w:t>Maleshkov</w:t>
      </w:r>
      <w:r w:rsidR="00F104DC">
        <w:rPr>
          <w:rFonts w:cstheme="minorHAnsi"/>
        </w:rPr>
        <w:t xml:space="preserve"> (1996) and Kaprio, Sarna</w:t>
      </w:r>
      <w:r w:rsidR="00F104DC" w:rsidRPr="00B82A8E">
        <w:rPr>
          <w:rFonts w:cstheme="minorHAnsi"/>
        </w:rPr>
        <w:t xml:space="preserve">, Fogelholm </w:t>
      </w:r>
      <w:r w:rsidR="00F104DC">
        <w:rPr>
          <w:rFonts w:cstheme="minorHAnsi"/>
        </w:rPr>
        <w:t xml:space="preserve">and </w:t>
      </w:r>
      <w:r w:rsidR="00F104DC" w:rsidRPr="00B82A8E">
        <w:rPr>
          <w:rFonts w:cstheme="minorHAnsi"/>
        </w:rPr>
        <w:t>Koskenvuo</w:t>
      </w:r>
      <w:r w:rsidR="00F104DC">
        <w:rPr>
          <w:rFonts w:cstheme="minorHAnsi"/>
        </w:rPr>
        <w:t xml:space="preserve"> (1996) </w:t>
      </w:r>
      <w:r w:rsidRPr="00072F22">
        <w:rPr>
          <w:rFonts w:cstheme="minorHAnsi"/>
        </w:rPr>
        <w:t xml:space="preserve">in the objective medical assessment of reduced work capacity. In both study contexts, a national programme assessed work capacity and provided disability pensions to those deemed unable to continue in paid employment. Both studies assume that working-age individuals are in work by default unless in receipt of a disability pension. </w:t>
      </w:r>
      <w:r w:rsidR="00F104DC">
        <w:rPr>
          <w:rFonts w:cstheme="minorHAnsi"/>
        </w:rPr>
        <w:t>Kaprio, Sarna</w:t>
      </w:r>
      <w:r w:rsidR="00F104DC" w:rsidRPr="00B82A8E">
        <w:rPr>
          <w:rFonts w:cstheme="minorHAnsi"/>
        </w:rPr>
        <w:t xml:space="preserve">, Fogelholm </w:t>
      </w:r>
      <w:r w:rsidR="00F104DC">
        <w:rPr>
          <w:rFonts w:cstheme="minorHAnsi"/>
        </w:rPr>
        <w:t xml:space="preserve">and </w:t>
      </w:r>
      <w:r w:rsidR="00F104DC" w:rsidRPr="00B82A8E">
        <w:rPr>
          <w:rFonts w:cstheme="minorHAnsi"/>
        </w:rPr>
        <w:t>Koskenvuo</w:t>
      </w:r>
      <w:r w:rsidR="00F104DC">
        <w:rPr>
          <w:rFonts w:cstheme="minorHAnsi"/>
        </w:rPr>
        <w:t xml:space="preserve"> (1996) </w:t>
      </w:r>
      <w:r w:rsidRPr="00072F22">
        <w:rPr>
          <w:rFonts w:cstheme="minorHAnsi"/>
        </w:rPr>
        <w:t xml:space="preserve">estimated OALE for </w:t>
      </w:r>
      <w:r w:rsidR="005A244E" w:rsidRPr="005A244E">
        <w:rPr>
          <w:rFonts w:cstheme="minorHAnsi"/>
        </w:rPr>
        <w:t>a cohort of men who had been certified as healthy at age 20 through medical examination for eligibility for military service. The outcome was reported as the age at which occupationally active life was expected to end. By subtracting 50 years from OALE results as presented</w:t>
      </w:r>
      <w:r w:rsidRPr="00072F22">
        <w:rPr>
          <w:rFonts w:cstheme="minorHAnsi"/>
        </w:rPr>
        <w:t xml:space="preserve">, estimates ranged from 2.17 to 11.91 years from age 50 according to occupation category. Similarly, relevant analyses by </w:t>
      </w:r>
      <w:r w:rsidR="00F104DC">
        <w:rPr>
          <w:rFonts w:cstheme="minorHAnsi"/>
        </w:rPr>
        <w:t xml:space="preserve">Mutafova, van de Water, Perenboom, Boshuizen and </w:t>
      </w:r>
      <w:r w:rsidR="00F104DC" w:rsidRPr="00B82A8E">
        <w:rPr>
          <w:rFonts w:cstheme="minorHAnsi"/>
        </w:rPr>
        <w:t>Maleshkov</w:t>
      </w:r>
      <w:r w:rsidR="00F104DC">
        <w:rPr>
          <w:rFonts w:cstheme="minorHAnsi"/>
        </w:rPr>
        <w:t xml:space="preserve"> (1996) </w:t>
      </w:r>
      <w:r w:rsidRPr="00072F22">
        <w:rPr>
          <w:rFonts w:cstheme="minorHAnsi"/>
        </w:rPr>
        <w:t>were only available from age 16 (not from age 50) but suggested estimates of 8.9 and 9.5 years of work participation with work capacity (</w:t>
      </w:r>
      <w:r w:rsidR="00F06D2F">
        <w:rPr>
          <w:rFonts w:cstheme="minorHAnsi"/>
        </w:rPr>
        <w:t>‘</w:t>
      </w:r>
      <w:r w:rsidRPr="00072F22">
        <w:rPr>
          <w:rFonts w:cstheme="minorHAnsi"/>
        </w:rPr>
        <w:t>no occupational handicap</w:t>
      </w:r>
      <w:r w:rsidR="00F06D2F">
        <w:rPr>
          <w:rFonts w:cstheme="minorHAnsi"/>
        </w:rPr>
        <w:t>’</w:t>
      </w:r>
      <w:r w:rsidRPr="00072F22">
        <w:rPr>
          <w:rFonts w:cstheme="minorHAnsi"/>
        </w:rPr>
        <w:t xml:space="preserve"> or ‘light occupational handicap</w:t>
      </w:r>
      <w:r w:rsidR="00F06D2F">
        <w:rPr>
          <w:rFonts w:cstheme="minorHAnsi"/>
        </w:rPr>
        <w:t>’</w:t>
      </w:r>
      <w:r w:rsidRPr="00072F22">
        <w:rPr>
          <w:rFonts w:cstheme="minorHAnsi"/>
        </w:rPr>
        <w:t>) from age 50 for males and females respectively. Over the study period in Bulgaria, female OHFLE at age 16 and age 50 decreased slightly despite corresponding life expectancy increases (</w:t>
      </w:r>
      <w:r w:rsidR="00BB7B4C">
        <w:rPr>
          <w:rFonts w:cstheme="minorHAnsi"/>
        </w:rPr>
        <w:t xml:space="preserve">Mutafova, van de Water, Perenboom, Boshuizen and </w:t>
      </w:r>
      <w:r w:rsidR="00BB7B4C" w:rsidRPr="00B82A8E">
        <w:rPr>
          <w:rFonts w:cstheme="minorHAnsi"/>
        </w:rPr>
        <w:t>Maleshkov</w:t>
      </w:r>
      <w:r w:rsidR="00BB7B4C">
        <w:rPr>
          <w:rFonts w:cstheme="minorHAnsi"/>
        </w:rPr>
        <w:t xml:space="preserve"> 1996).</w:t>
      </w:r>
    </w:p>
    <w:p w14:paraId="797AA265" w14:textId="77777777" w:rsidR="006B5DE1" w:rsidRPr="00072F22" w:rsidRDefault="006B5DE1" w:rsidP="006B5DE1">
      <w:pPr>
        <w:spacing w:after="1" w:line="480" w:lineRule="auto"/>
        <w:ind w:left="-15" w:right="347"/>
        <w:jc w:val="both"/>
        <w:rPr>
          <w:rFonts w:cstheme="minorHAnsi"/>
        </w:rPr>
      </w:pPr>
    </w:p>
    <w:p w14:paraId="70B4FB65" w14:textId="7AEA107B" w:rsidR="006B5DE1" w:rsidRPr="00072F22" w:rsidRDefault="006B5DE1" w:rsidP="006B5DE1">
      <w:pPr>
        <w:spacing w:after="393" w:line="480" w:lineRule="auto"/>
        <w:ind w:left="-15" w:right="347"/>
        <w:jc w:val="both"/>
        <w:rPr>
          <w:rFonts w:cstheme="minorHAnsi"/>
        </w:rPr>
      </w:pPr>
      <w:r w:rsidRPr="00072F22">
        <w:rPr>
          <w:rFonts w:cstheme="minorHAnsi"/>
        </w:rPr>
        <w:t xml:space="preserve">The remaining two studies investigated work participation with subjective health or work capacity self-assessment. Estimates of the duration of work participation in health </w:t>
      </w:r>
      <w:r w:rsidR="00BB7B4C">
        <w:rPr>
          <w:rFonts w:cstheme="minorHAnsi"/>
        </w:rPr>
        <w:t>(Lievre</w:t>
      </w:r>
      <w:r w:rsidR="00BB7B4C" w:rsidRPr="004021E2">
        <w:rPr>
          <w:rFonts w:cstheme="minorHAnsi"/>
        </w:rPr>
        <w:t xml:space="preserve"> et al</w:t>
      </w:r>
      <w:r w:rsidR="00BB7B4C">
        <w:rPr>
          <w:rFonts w:cstheme="minorHAnsi"/>
        </w:rPr>
        <w:t>. 2007)</w:t>
      </w:r>
      <w:r w:rsidR="00BB7B4C" w:rsidRPr="00072F22">
        <w:rPr>
          <w:rFonts w:cstheme="minorHAnsi"/>
        </w:rPr>
        <w:t xml:space="preserve"> </w:t>
      </w:r>
      <w:r w:rsidRPr="00072F22">
        <w:rPr>
          <w:rFonts w:cstheme="minorHAnsi"/>
        </w:rPr>
        <w:t>or good or fair work ability (</w:t>
      </w:r>
      <w:r w:rsidR="00BB7B4C" w:rsidRPr="00B82A8E">
        <w:rPr>
          <w:rFonts w:cstheme="minorHAnsi"/>
        </w:rPr>
        <w:t>Nur</w:t>
      </w:r>
      <w:r w:rsidR="00AC36DB">
        <w:rPr>
          <w:rFonts w:cstheme="minorHAnsi"/>
        </w:rPr>
        <w:t>minen, Heathcote and Davis</w:t>
      </w:r>
      <w:r w:rsidR="00BB7B4C">
        <w:rPr>
          <w:rFonts w:cstheme="minorHAnsi"/>
        </w:rPr>
        <w:t xml:space="preserve"> 2004)</w:t>
      </w:r>
      <w:r w:rsidR="00BB7B4C" w:rsidRPr="00072F22">
        <w:rPr>
          <w:rFonts w:cstheme="minorHAnsi"/>
        </w:rPr>
        <w:t xml:space="preserve"> </w:t>
      </w:r>
      <w:r w:rsidRPr="00072F22">
        <w:rPr>
          <w:rFonts w:cstheme="minorHAnsi"/>
        </w:rPr>
        <w:t xml:space="preserve">in these studies ranged </w:t>
      </w:r>
      <w:r w:rsidR="00BB7B4C">
        <w:rPr>
          <w:rFonts w:cstheme="minorHAnsi"/>
        </w:rPr>
        <w:t xml:space="preserve">from 5.5 years (France – Lievre </w:t>
      </w:r>
      <w:r w:rsidR="00BB7B4C" w:rsidRPr="004021E2">
        <w:rPr>
          <w:rFonts w:cstheme="minorHAnsi"/>
        </w:rPr>
        <w:t>et al</w:t>
      </w:r>
      <w:r w:rsidR="00BB7B4C">
        <w:rPr>
          <w:rFonts w:cstheme="minorHAnsi"/>
        </w:rPr>
        <w:t>. (2007)</w:t>
      </w:r>
      <w:r w:rsidRPr="00072F22">
        <w:rPr>
          <w:rFonts w:cstheme="minorHAnsi"/>
        </w:rPr>
        <w:t xml:space="preserve">; Finland - </w:t>
      </w:r>
      <w:r w:rsidR="00BB7B4C" w:rsidRPr="00B82A8E">
        <w:rPr>
          <w:rFonts w:cstheme="minorHAnsi"/>
        </w:rPr>
        <w:t>Nur</w:t>
      </w:r>
      <w:r w:rsidR="00BB7B4C">
        <w:rPr>
          <w:rFonts w:cstheme="minorHAnsi"/>
        </w:rPr>
        <w:t xml:space="preserve">minen, Heathcote and Davis (2004)) </w:t>
      </w:r>
      <w:r w:rsidRPr="00072F22">
        <w:rPr>
          <w:rFonts w:cstheme="minorHAnsi"/>
        </w:rPr>
        <w:t xml:space="preserve">to 9.7 (Greece - </w:t>
      </w:r>
      <w:r w:rsidR="00BB7B4C">
        <w:rPr>
          <w:rFonts w:cstheme="minorHAnsi"/>
        </w:rPr>
        <w:t>Lievre</w:t>
      </w:r>
      <w:r w:rsidR="00BB7B4C" w:rsidRPr="004021E2">
        <w:rPr>
          <w:rFonts w:cstheme="minorHAnsi"/>
        </w:rPr>
        <w:t xml:space="preserve"> et al</w:t>
      </w:r>
      <w:r w:rsidR="00BB7B4C">
        <w:rPr>
          <w:rFonts w:cstheme="minorHAnsi"/>
        </w:rPr>
        <w:t>. (2007)</w:t>
      </w:r>
      <w:r w:rsidRPr="00072F22">
        <w:rPr>
          <w:rFonts w:cstheme="minorHAnsi"/>
        </w:rPr>
        <w:t xml:space="preserve">) for males. The range of estimates for females was 2.9 years (Italy </w:t>
      </w:r>
      <w:r w:rsidR="00BB7B4C">
        <w:rPr>
          <w:rFonts w:cstheme="minorHAnsi"/>
        </w:rPr>
        <w:t>–</w:t>
      </w:r>
      <w:r w:rsidRPr="00072F22">
        <w:rPr>
          <w:rFonts w:cstheme="minorHAnsi"/>
        </w:rPr>
        <w:t xml:space="preserve"> </w:t>
      </w:r>
      <w:r w:rsidR="00BB7B4C">
        <w:rPr>
          <w:rFonts w:cstheme="minorHAnsi"/>
        </w:rPr>
        <w:t xml:space="preserve">Lievre </w:t>
      </w:r>
      <w:r w:rsidR="00BB7B4C" w:rsidRPr="004021E2">
        <w:rPr>
          <w:rFonts w:cstheme="minorHAnsi"/>
        </w:rPr>
        <w:t>et al</w:t>
      </w:r>
      <w:r w:rsidR="00BB7B4C">
        <w:rPr>
          <w:rFonts w:cstheme="minorHAnsi"/>
        </w:rPr>
        <w:t>. (2007)</w:t>
      </w:r>
      <w:r w:rsidRPr="00072F22">
        <w:rPr>
          <w:rFonts w:cstheme="minorHAnsi"/>
        </w:rPr>
        <w:t xml:space="preserve">) to 6.2 (Finland </w:t>
      </w:r>
      <w:r w:rsidR="00BB7B4C">
        <w:rPr>
          <w:rFonts w:cstheme="minorHAnsi"/>
        </w:rPr>
        <w:t>–</w:t>
      </w:r>
      <w:r w:rsidRPr="00072F22">
        <w:rPr>
          <w:rFonts w:cstheme="minorHAnsi"/>
        </w:rPr>
        <w:t xml:space="preserve"> </w:t>
      </w:r>
      <w:r w:rsidR="00BB7B4C">
        <w:rPr>
          <w:rFonts w:cstheme="minorHAnsi"/>
        </w:rPr>
        <w:t xml:space="preserve">Lievre </w:t>
      </w:r>
      <w:r w:rsidR="00BB7B4C" w:rsidRPr="004021E2">
        <w:rPr>
          <w:rFonts w:cstheme="minorHAnsi"/>
        </w:rPr>
        <w:t>et al</w:t>
      </w:r>
      <w:r w:rsidR="00BB7B4C">
        <w:rPr>
          <w:rFonts w:cstheme="minorHAnsi"/>
        </w:rPr>
        <w:t>. (2007)</w:t>
      </w:r>
      <w:r w:rsidRPr="00072F22">
        <w:rPr>
          <w:rFonts w:cstheme="minorHAnsi"/>
        </w:rPr>
        <w:t xml:space="preserve">). </w:t>
      </w:r>
      <w:r w:rsidR="00BB7B4C">
        <w:rPr>
          <w:rFonts w:cstheme="minorHAnsi"/>
        </w:rPr>
        <w:t>Lievre</w:t>
      </w:r>
      <w:r w:rsidR="00BB7B4C" w:rsidRPr="004021E2">
        <w:rPr>
          <w:rFonts w:cstheme="minorHAnsi"/>
        </w:rPr>
        <w:t xml:space="preserve"> et al</w:t>
      </w:r>
      <w:r w:rsidR="00BB7B4C">
        <w:rPr>
          <w:rFonts w:cstheme="minorHAnsi"/>
        </w:rPr>
        <w:t xml:space="preserve">. (2007) </w:t>
      </w:r>
      <w:r w:rsidRPr="00072F22">
        <w:rPr>
          <w:rFonts w:cstheme="minorHAnsi"/>
        </w:rPr>
        <w:t xml:space="preserve">estimated UK HWLE as 7.4 years for males and 5.8 years for females, but data were only available for two time points so a </w:t>
      </w:r>
      <w:r w:rsidRPr="00072F22">
        <w:rPr>
          <w:rFonts w:cstheme="minorHAnsi"/>
        </w:rPr>
        <w:lastRenderedPageBreak/>
        <w:t>correction factor was applied based on trends observed in other European countries studied. A summary of the extracted data is given in Table 1.</w:t>
      </w:r>
    </w:p>
    <w:p w14:paraId="6A1D3D10" w14:textId="41693082" w:rsidR="006B5DE1" w:rsidRPr="00072F22" w:rsidRDefault="00106481" w:rsidP="006B5DE1">
      <w:pPr>
        <w:pStyle w:val="Heading2"/>
        <w:spacing w:after="111" w:line="480" w:lineRule="auto"/>
        <w:ind w:left="-5"/>
        <w:jc w:val="both"/>
        <w:rPr>
          <w:rFonts w:asciiTheme="minorHAnsi" w:hAnsiTheme="minorHAnsi" w:cstheme="minorHAnsi"/>
        </w:rPr>
      </w:pPr>
      <w:r>
        <w:rPr>
          <w:rFonts w:asciiTheme="minorHAnsi" w:hAnsiTheme="minorHAnsi" w:cstheme="minorHAnsi"/>
        </w:rPr>
        <w:t xml:space="preserve">3.4 </w:t>
      </w:r>
      <w:r w:rsidR="006B5DE1" w:rsidRPr="00072F22">
        <w:rPr>
          <w:rFonts w:asciiTheme="minorHAnsi" w:hAnsiTheme="minorHAnsi" w:cstheme="minorHAnsi"/>
        </w:rPr>
        <w:t>Factors associated with lower estimates of life expectancy in health and work</w:t>
      </w:r>
    </w:p>
    <w:p w14:paraId="7EBC73E3" w14:textId="14A02E53" w:rsidR="006B5DE1" w:rsidRPr="00072F22" w:rsidRDefault="006B5DE1" w:rsidP="006B5DE1">
      <w:pPr>
        <w:spacing w:line="480" w:lineRule="auto"/>
        <w:ind w:left="-5" w:right="347"/>
        <w:jc w:val="both"/>
        <w:rPr>
          <w:rFonts w:cstheme="minorHAnsi"/>
        </w:rPr>
      </w:pPr>
      <w:r w:rsidRPr="00072F22">
        <w:rPr>
          <w:rFonts w:cstheme="minorHAnsi"/>
        </w:rPr>
        <w:t xml:space="preserve">Of all the studies in the review, only </w:t>
      </w:r>
      <w:r w:rsidR="00AC36DB">
        <w:rPr>
          <w:rFonts w:cstheme="minorHAnsi"/>
        </w:rPr>
        <w:t>Kaprio, Sarna</w:t>
      </w:r>
      <w:r w:rsidR="00AC36DB" w:rsidRPr="00B82A8E">
        <w:rPr>
          <w:rFonts w:cstheme="minorHAnsi"/>
        </w:rPr>
        <w:t xml:space="preserve">, Fogelholm </w:t>
      </w:r>
      <w:r w:rsidR="00AC36DB">
        <w:rPr>
          <w:rFonts w:cstheme="minorHAnsi"/>
        </w:rPr>
        <w:t xml:space="preserve">and </w:t>
      </w:r>
      <w:r w:rsidR="00AC36DB" w:rsidRPr="00B82A8E">
        <w:rPr>
          <w:rFonts w:cstheme="minorHAnsi"/>
        </w:rPr>
        <w:t>Koskenvuo</w:t>
      </w:r>
      <w:r w:rsidR="00AC36DB">
        <w:rPr>
          <w:rFonts w:cstheme="minorHAnsi"/>
        </w:rPr>
        <w:t xml:space="preserve"> (1996)</w:t>
      </w:r>
      <w:r w:rsidRPr="00072F22">
        <w:rPr>
          <w:rFonts w:cstheme="minorHAnsi"/>
        </w:rPr>
        <w:t xml:space="preserve"> presented subgroup analyses to examine factors associated with duration of healthy and working life. Never being married and lower socioeconomic status (measured by occupation) were associated with lower OALE, lower total life expectancy, and a less favourable ratio of OALE to total life expectancy. OALE was 9.42 years from age 50 for ever married men, but men </w:t>
      </w:r>
      <w:r w:rsidR="005A244E" w:rsidRPr="005A244E">
        <w:rPr>
          <w:rFonts w:cstheme="minorHAnsi"/>
        </w:rPr>
        <w:t xml:space="preserve">but men who had never married </w:t>
      </w:r>
      <w:r w:rsidRPr="00072F22">
        <w:rPr>
          <w:rFonts w:cstheme="minorHAnsi"/>
        </w:rPr>
        <w:t xml:space="preserve"> were not expected to stay in the workforce until they turned 50.</w:t>
      </w:r>
    </w:p>
    <w:p w14:paraId="1EB6CCF1" w14:textId="046185A7" w:rsidR="006B5DE1" w:rsidRPr="00072F22" w:rsidRDefault="00106481" w:rsidP="006B5DE1">
      <w:pPr>
        <w:pStyle w:val="Heading1"/>
        <w:spacing w:line="480" w:lineRule="auto"/>
        <w:ind w:left="-5"/>
        <w:jc w:val="both"/>
        <w:rPr>
          <w:rFonts w:asciiTheme="minorHAnsi" w:hAnsiTheme="minorHAnsi" w:cstheme="minorHAnsi"/>
        </w:rPr>
      </w:pPr>
      <w:r>
        <w:rPr>
          <w:rFonts w:asciiTheme="minorHAnsi" w:hAnsiTheme="minorHAnsi" w:cstheme="minorHAnsi"/>
        </w:rPr>
        <w:t xml:space="preserve">4 </w:t>
      </w:r>
      <w:r w:rsidR="006B5DE1" w:rsidRPr="00072F22">
        <w:rPr>
          <w:rFonts w:asciiTheme="minorHAnsi" w:hAnsiTheme="minorHAnsi" w:cstheme="minorHAnsi"/>
        </w:rPr>
        <w:t>Discussion</w:t>
      </w:r>
    </w:p>
    <w:p w14:paraId="65E10E98" w14:textId="1F4EEE60" w:rsidR="006B5DE1" w:rsidRDefault="006B5DE1" w:rsidP="006B5DE1">
      <w:pPr>
        <w:spacing w:after="0" w:line="480" w:lineRule="auto"/>
        <w:ind w:left="-5" w:right="347"/>
        <w:jc w:val="both"/>
        <w:rPr>
          <w:rFonts w:cstheme="minorHAnsi"/>
        </w:rPr>
      </w:pPr>
      <w:r w:rsidRPr="00072F22">
        <w:rPr>
          <w:rFonts w:cstheme="minorHAnsi"/>
        </w:rPr>
        <w:t>The primary aim of this systematic review was to identify estimates of the number of years that adults in their later working lives (from age 50</w:t>
      </w:r>
      <w:r w:rsidR="005A244E">
        <w:rPr>
          <w:rFonts w:cstheme="minorHAnsi"/>
        </w:rPr>
        <w:t xml:space="preserve"> years</w:t>
      </w:r>
      <w:r w:rsidRPr="00072F22">
        <w:rPr>
          <w:rFonts w:cstheme="minorHAnsi"/>
        </w:rPr>
        <w:t>) are likely to be both healthy and in work. The systematic search identified four studies, which allowed review of how duration of health and work participation has been operationalised. Only one study reported potential determinants of reduced work capacity.</w:t>
      </w:r>
    </w:p>
    <w:p w14:paraId="05F9BD48" w14:textId="77777777" w:rsidR="006B5DE1" w:rsidRPr="00072F22" w:rsidRDefault="006B5DE1" w:rsidP="006B5DE1">
      <w:pPr>
        <w:spacing w:after="0" w:line="480" w:lineRule="auto"/>
        <w:ind w:left="-5" w:right="347"/>
        <w:jc w:val="both"/>
        <w:rPr>
          <w:rFonts w:cstheme="minorHAnsi"/>
        </w:rPr>
      </w:pPr>
    </w:p>
    <w:p w14:paraId="58DF2163" w14:textId="601DF101" w:rsidR="006B5DE1" w:rsidRDefault="00F214D5" w:rsidP="006B5DE1">
      <w:pPr>
        <w:spacing w:after="0" w:line="480" w:lineRule="auto"/>
        <w:ind w:left="-15" w:right="347"/>
        <w:jc w:val="both"/>
        <w:rPr>
          <w:rFonts w:cstheme="minorHAnsi"/>
        </w:rPr>
      </w:pPr>
      <w:r>
        <w:rPr>
          <w:rFonts w:cstheme="minorHAnsi"/>
        </w:rPr>
        <w:t xml:space="preserve">Of the </w:t>
      </w:r>
      <w:r w:rsidR="00F47BBA">
        <w:rPr>
          <w:rFonts w:cstheme="minorHAnsi"/>
        </w:rPr>
        <w:t>1485</w:t>
      </w:r>
      <w:r>
        <w:rPr>
          <w:rFonts w:cstheme="minorHAnsi"/>
        </w:rPr>
        <w:t xml:space="preserve"> results identified in the systematic search, </w:t>
      </w:r>
      <w:r w:rsidR="00B15365">
        <w:rPr>
          <w:rFonts w:cstheme="minorHAnsi"/>
        </w:rPr>
        <w:t>147</w:t>
      </w:r>
      <w:r w:rsidR="00F47BBA">
        <w:rPr>
          <w:rFonts w:cstheme="minorHAnsi"/>
        </w:rPr>
        <w:t>6</w:t>
      </w:r>
      <w:r>
        <w:rPr>
          <w:rFonts w:cstheme="minorHAnsi"/>
        </w:rPr>
        <w:t xml:space="preserve"> </w:t>
      </w:r>
      <w:r w:rsidR="00B15365">
        <w:rPr>
          <w:rFonts w:cstheme="minorHAnsi"/>
        </w:rPr>
        <w:t xml:space="preserve">were not published articles with an estimate of time spent </w:t>
      </w:r>
      <w:r w:rsidR="00F06D2F">
        <w:rPr>
          <w:rFonts w:cstheme="minorHAnsi"/>
        </w:rPr>
        <w:t>healthy and in work</w:t>
      </w:r>
      <w:r w:rsidR="00B15365">
        <w:rPr>
          <w:rFonts w:cstheme="minorHAnsi"/>
        </w:rPr>
        <w:t xml:space="preserve"> in later working-age life in the general population (Figure 1).</w:t>
      </w:r>
      <w:r>
        <w:rPr>
          <w:rFonts w:cstheme="minorHAnsi"/>
        </w:rPr>
        <w:t xml:space="preserve"> </w:t>
      </w:r>
      <w:r w:rsidR="00B15365">
        <w:rPr>
          <w:rFonts w:cstheme="minorHAnsi"/>
        </w:rPr>
        <w:t xml:space="preserve">Five articles could not be checked for eligibility due to full text unavailability and non-English publication </w:t>
      </w:r>
      <w:r w:rsidR="00F06D2F">
        <w:rPr>
          <w:rFonts w:cstheme="minorHAnsi"/>
        </w:rPr>
        <w:t>language.</w:t>
      </w:r>
      <w:r w:rsidR="00B15365">
        <w:rPr>
          <w:rFonts w:cstheme="minorHAnsi"/>
        </w:rPr>
        <w:t xml:space="preserve"> </w:t>
      </w:r>
      <w:r w:rsidR="006B5DE1" w:rsidRPr="00072F22">
        <w:rPr>
          <w:rFonts w:cstheme="minorHAnsi"/>
        </w:rPr>
        <w:t>The four</w:t>
      </w:r>
      <w:r w:rsidR="00B15365">
        <w:rPr>
          <w:rFonts w:cstheme="minorHAnsi"/>
        </w:rPr>
        <w:t xml:space="preserve"> included</w:t>
      </w:r>
      <w:r w:rsidR="006B5DE1" w:rsidRPr="00072F22">
        <w:rPr>
          <w:rFonts w:cstheme="minorHAnsi"/>
        </w:rPr>
        <w:t xml:space="preserve"> studies were published from 1996 - 2007, which is prior to the implementation of policies to extend working lives. Only one study identified a group of people who, on average, would be working until their 60s: male Finnish executives </w:t>
      </w:r>
      <w:r w:rsidR="006B5DE1" w:rsidRPr="00072F22">
        <w:rPr>
          <w:rFonts w:cstheme="minorHAnsi"/>
        </w:rPr>
        <w:lastRenderedPageBreak/>
        <w:t>(approximately 8% of the study population</w:t>
      </w:r>
      <w:r w:rsidR="00F06D2F">
        <w:rPr>
          <w:rFonts w:cstheme="minorHAnsi"/>
        </w:rPr>
        <w:t xml:space="preserve">, </w:t>
      </w:r>
      <w:r w:rsidR="00F06D2F" w:rsidRPr="00072F22">
        <w:rPr>
          <w:rFonts w:cstheme="minorHAnsi"/>
        </w:rPr>
        <w:t xml:space="preserve">who had </w:t>
      </w:r>
      <w:r w:rsidR="00F06D2F">
        <w:rPr>
          <w:rFonts w:cstheme="minorHAnsi"/>
        </w:rPr>
        <w:t xml:space="preserve">all </w:t>
      </w:r>
      <w:r w:rsidR="00F06D2F" w:rsidRPr="00072F22">
        <w:rPr>
          <w:rFonts w:cstheme="minorHAnsi"/>
        </w:rPr>
        <w:t>been healthy at 20 years old</w:t>
      </w:r>
      <w:r w:rsidR="006B5DE1" w:rsidRPr="00072F22">
        <w:rPr>
          <w:rFonts w:cstheme="minorHAnsi"/>
        </w:rPr>
        <w:t>) (</w:t>
      </w:r>
      <w:r w:rsidR="00AC36DB">
        <w:rPr>
          <w:rFonts w:cstheme="minorHAnsi"/>
        </w:rPr>
        <w:t>Kaprio, Sarna</w:t>
      </w:r>
      <w:r w:rsidR="00AC36DB" w:rsidRPr="00B82A8E">
        <w:rPr>
          <w:rFonts w:cstheme="minorHAnsi"/>
        </w:rPr>
        <w:t xml:space="preserve">, Fogelholm </w:t>
      </w:r>
      <w:r w:rsidR="00AC36DB">
        <w:rPr>
          <w:rFonts w:cstheme="minorHAnsi"/>
        </w:rPr>
        <w:t xml:space="preserve">and </w:t>
      </w:r>
      <w:r w:rsidR="00AC36DB" w:rsidRPr="00B82A8E">
        <w:rPr>
          <w:rFonts w:cstheme="minorHAnsi"/>
        </w:rPr>
        <w:t>Koskenvuo</w:t>
      </w:r>
      <w:r w:rsidR="00AC36DB">
        <w:rPr>
          <w:rFonts w:cstheme="minorHAnsi"/>
        </w:rPr>
        <w:t xml:space="preserve"> 1996</w:t>
      </w:r>
      <w:r w:rsidR="006B5DE1" w:rsidRPr="00072F22">
        <w:rPr>
          <w:rFonts w:cstheme="minorHAnsi"/>
        </w:rPr>
        <w:t xml:space="preserve">). Healthy Working Life Expectancy (Lievre </w:t>
      </w:r>
      <w:r w:rsidR="006B5DE1" w:rsidRPr="00AC36DB">
        <w:rPr>
          <w:rFonts w:eastAsia="Cambria" w:cstheme="minorHAnsi"/>
        </w:rPr>
        <w:t xml:space="preserve">et al. </w:t>
      </w:r>
      <w:r w:rsidR="00AC36DB" w:rsidRPr="00AC36DB">
        <w:rPr>
          <w:rFonts w:cstheme="minorHAnsi"/>
        </w:rPr>
        <w:t>2007</w:t>
      </w:r>
      <w:r w:rsidR="006B5DE1" w:rsidRPr="00072F22">
        <w:rPr>
          <w:rFonts w:cstheme="minorHAnsi"/>
        </w:rPr>
        <w:t>) was the only indicator identified in this review to consider general health rather than work capacity, although no theoretical or statistical justification for the definitions of health and work participation were published or cited in the research. No rationale was given for the exclusion of individuals working fewer than 15 hours per week, which will lead to lower estimates of the number of years that people are healthy and in work.</w:t>
      </w:r>
    </w:p>
    <w:p w14:paraId="0310AF95" w14:textId="36880F16" w:rsidR="006B5DE1" w:rsidRDefault="006B5DE1" w:rsidP="006B5DE1">
      <w:pPr>
        <w:spacing w:after="0" w:line="480" w:lineRule="auto"/>
        <w:ind w:left="-15" w:right="347"/>
        <w:jc w:val="both"/>
        <w:rPr>
          <w:rFonts w:cstheme="minorHAnsi"/>
        </w:rPr>
      </w:pPr>
    </w:p>
    <w:p w14:paraId="1CB7807B" w14:textId="5FC930E5" w:rsidR="005A244E" w:rsidRPr="00DC5425" w:rsidRDefault="005A244E" w:rsidP="00DC5425">
      <w:pPr>
        <w:spacing w:after="0" w:line="480" w:lineRule="auto"/>
        <w:ind w:left="-5" w:right="347"/>
        <w:jc w:val="both"/>
        <w:rPr>
          <w:rFonts w:cstheme="minorHAnsi"/>
          <w:b/>
        </w:rPr>
      </w:pPr>
      <w:r w:rsidRPr="009015D5">
        <w:rPr>
          <w:rFonts w:cstheme="minorHAnsi"/>
          <w:b/>
        </w:rPr>
        <w:t>Operationalising health and work capacity</w:t>
      </w:r>
    </w:p>
    <w:p w14:paraId="322C87B9" w14:textId="5DDDEE8B" w:rsidR="006B5DE1" w:rsidRDefault="006B5DE1" w:rsidP="006B5DE1">
      <w:pPr>
        <w:spacing w:after="1" w:line="480" w:lineRule="auto"/>
        <w:ind w:left="-15" w:right="347"/>
        <w:jc w:val="both"/>
        <w:rPr>
          <w:rFonts w:cstheme="minorHAnsi"/>
        </w:rPr>
      </w:pPr>
      <w:r w:rsidRPr="00072F22">
        <w:rPr>
          <w:rFonts w:cstheme="minorHAnsi"/>
        </w:rPr>
        <w:t xml:space="preserve">The operationalisation of health and work in the studies using objective work capacity (OHFLE by </w:t>
      </w:r>
      <w:r w:rsidR="00AC36DB">
        <w:rPr>
          <w:rFonts w:cstheme="minorHAnsi"/>
        </w:rPr>
        <w:t xml:space="preserve">Mutafova, van de Water, Perenboom, Boshuizen and </w:t>
      </w:r>
      <w:r w:rsidR="00AC36DB" w:rsidRPr="00B82A8E">
        <w:rPr>
          <w:rFonts w:cstheme="minorHAnsi"/>
        </w:rPr>
        <w:t>Maleshkov</w:t>
      </w:r>
      <w:r w:rsidR="00AC36DB">
        <w:rPr>
          <w:rFonts w:cstheme="minorHAnsi"/>
        </w:rPr>
        <w:t xml:space="preserve"> (1996) </w:t>
      </w:r>
      <w:r w:rsidRPr="00072F22">
        <w:rPr>
          <w:rFonts w:cstheme="minorHAnsi"/>
        </w:rPr>
        <w:t xml:space="preserve">and OALE by </w:t>
      </w:r>
      <w:r w:rsidR="00AC36DB">
        <w:rPr>
          <w:rFonts w:cstheme="minorHAnsi"/>
        </w:rPr>
        <w:t>Kaprio, Sarna</w:t>
      </w:r>
      <w:r w:rsidR="00AC36DB" w:rsidRPr="00B82A8E">
        <w:rPr>
          <w:rFonts w:cstheme="minorHAnsi"/>
        </w:rPr>
        <w:t xml:space="preserve">, Fogelholm </w:t>
      </w:r>
      <w:r w:rsidR="00AC36DB">
        <w:rPr>
          <w:rFonts w:cstheme="minorHAnsi"/>
        </w:rPr>
        <w:t xml:space="preserve">and </w:t>
      </w:r>
      <w:r w:rsidR="00AC36DB" w:rsidRPr="00B82A8E">
        <w:rPr>
          <w:rFonts w:cstheme="minorHAnsi"/>
        </w:rPr>
        <w:t>Koskenvuo</w:t>
      </w:r>
      <w:r w:rsidR="00AC36DB">
        <w:rPr>
          <w:rFonts w:cstheme="minorHAnsi"/>
        </w:rPr>
        <w:t xml:space="preserve"> </w:t>
      </w:r>
      <w:r w:rsidR="001F4E60">
        <w:rPr>
          <w:rFonts w:cstheme="minorHAnsi"/>
        </w:rPr>
        <w:t>(</w:t>
      </w:r>
      <w:r w:rsidR="00AC36DB">
        <w:rPr>
          <w:rFonts w:cstheme="minorHAnsi"/>
        </w:rPr>
        <w:t xml:space="preserve">1996)) </w:t>
      </w:r>
      <w:r w:rsidRPr="00072F22">
        <w:rPr>
          <w:rFonts w:cstheme="minorHAnsi"/>
        </w:rPr>
        <w:t xml:space="preserve">does not allow for individuals to be healthy but not in work, nor in work but not healthy. This is a limitation due to the misalignment of objectively deemed </w:t>
      </w:r>
      <w:r w:rsidR="00F12A4F">
        <w:rPr>
          <w:rFonts w:cstheme="minorHAnsi"/>
        </w:rPr>
        <w:t>and subjective work capacity (Nurminen 2004)</w:t>
      </w:r>
      <w:r w:rsidRPr="00072F22">
        <w:rPr>
          <w:rFonts w:cstheme="minorHAnsi"/>
        </w:rPr>
        <w:t xml:space="preserve">. Subjective health and work capacity are stronger predictors of work participation outcomes than objective medical evaluation of work capacity </w:t>
      </w:r>
      <w:r w:rsidR="00F12A4F">
        <w:rPr>
          <w:rFonts w:cstheme="minorHAnsi"/>
        </w:rPr>
        <w:t>(</w:t>
      </w:r>
      <w:r w:rsidR="001F4E60">
        <w:rPr>
          <w:rFonts w:cstheme="minorHAnsi"/>
        </w:rPr>
        <w:t xml:space="preserve">Bound 1991; </w:t>
      </w:r>
      <w:r w:rsidR="00F12A4F">
        <w:rPr>
          <w:rFonts w:cstheme="minorHAnsi"/>
        </w:rPr>
        <w:t>Haan and Myck 2009; Nurminen 2004)</w:t>
      </w:r>
      <w:r w:rsidRPr="00072F22">
        <w:rPr>
          <w:rFonts w:cstheme="minorHAnsi"/>
        </w:rPr>
        <w:t>. Further, use of an official disability status restricts poor health to a status that is di</w:t>
      </w:r>
      <w:r w:rsidR="00F12A4F">
        <w:rPr>
          <w:rFonts w:cstheme="minorHAnsi"/>
        </w:rPr>
        <w:t>fficult to leave once joined (Haan and Myck 2009)</w:t>
      </w:r>
      <w:r w:rsidRPr="00072F22">
        <w:rPr>
          <w:rFonts w:cstheme="minorHAnsi"/>
        </w:rPr>
        <w:t xml:space="preserve"> and is unlikely to detect population subgroups most affected by issues of absenteeism and presenteeism. Although the work ability index used by </w:t>
      </w:r>
      <w:r w:rsidR="00AC36DB" w:rsidRPr="00B82A8E">
        <w:rPr>
          <w:rFonts w:cstheme="minorHAnsi"/>
        </w:rPr>
        <w:t>Nur</w:t>
      </w:r>
      <w:r w:rsidR="00AC36DB">
        <w:rPr>
          <w:rFonts w:cstheme="minorHAnsi"/>
        </w:rPr>
        <w:t xml:space="preserve">minen, Heathcote and Davis (2004) </w:t>
      </w:r>
      <w:r w:rsidRPr="00072F22">
        <w:rPr>
          <w:rFonts w:cstheme="minorHAnsi"/>
        </w:rPr>
        <w:t>does not assume work ability from disability pension status and seeks to additionally capture physical and psychological work strain (</w:t>
      </w:r>
      <w:r w:rsidR="00AC36DB" w:rsidRPr="00B82A8E">
        <w:rPr>
          <w:rFonts w:cstheme="minorHAnsi"/>
        </w:rPr>
        <w:t>Nur</w:t>
      </w:r>
      <w:r w:rsidR="00AC36DB">
        <w:rPr>
          <w:rFonts w:cstheme="minorHAnsi"/>
        </w:rPr>
        <w:t>minen, Heathcote and Davis 2004, p.512)</w:t>
      </w:r>
      <w:r w:rsidRPr="00072F22">
        <w:rPr>
          <w:rFonts w:cstheme="minorHAnsi"/>
        </w:rPr>
        <w:t>, components of the work ability score are good self-reported proxies for aspects of objective work capacity assessment such as sickness absence information and number of diagnoses.</w:t>
      </w:r>
    </w:p>
    <w:p w14:paraId="715F9E92" w14:textId="77777777" w:rsidR="006B5DE1" w:rsidRPr="00072F22" w:rsidRDefault="006B5DE1" w:rsidP="006B5DE1">
      <w:pPr>
        <w:spacing w:after="1" w:line="480" w:lineRule="auto"/>
        <w:ind w:left="-15" w:right="347"/>
        <w:jc w:val="both"/>
        <w:rPr>
          <w:rFonts w:cstheme="minorHAnsi"/>
        </w:rPr>
      </w:pPr>
    </w:p>
    <w:p w14:paraId="7C533A20" w14:textId="701CEB87" w:rsidR="006B5DE1" w:rsidRDefault="006B5DE1" w:rsidP="006B5DE1">
      <w:pPr>
        <w:spacing w:after="0" w:line="480" w:lineRule="auto"/>
        <w:ind w:left="-15" w:right="347"/>
        <w:jc w:val="both"/>
        <w:rPr>
          <w:rFonts w:cstheme="minorHAnsi"/>
        </w:rPr>
      </w:pPr>
      <w:r w:rsidRPr="00072F22">
        <w:rPr>
          <w:rFonts w:cstheme="minorHAnsi"/>
        </w:rPr>
        <w:t xml:space="preserve">Aspects of the biopsychosocial model of disability - including vocational, educational, psychosocial and financial factors - are not recognised in the medical model of disability but are often key </w:t>
      </w:r>
      <w:r w:rsidRPr="00072F22">
        <w:rPr>
          <w:rFonts w:cstheme="minorHAnsi"/>
        </w:rPr>
        <w:lastRenderedPageBreak/>
        <w:t xml:space="preserve">drivers of (in)ability to complete tasks and, therefore, (in)ability </w:t>
      </w:r>
      <w:r w:rsidR="00F61778">
        <w:rPr>
          <w:rFonts w:cstheme="minorHAnsi"/>
        </w:rPr>
        <w:t>to participate in paid work (Chen 2007)</w:t>
      </w:r>
      <w:r w:rsidRPr="00072F22">
        <w:rPr>
          <w:rFonts w:cstheme="minorHAnsi"/>
        </w:rPr>
        <w:t>. In general, it is hard to predict the extent to which an individual experiences disability solely from medical assessment of physical, psychologic</w:t>
      </w:r>
      <w:r w:rsidR="00F61778">
        <w:rPr>
          <w:rFonts w:cstheme="minorHAnsi"/>
        </w:rPr>
        <w:t>al or anatomical impairment (Chen 2007)</w:t>
      </w:r>
      <w:r w:rsidRPr="00072F22">
        <w:rPr>
          <w:rFonts w:cstheme="minorHAnsi"/>
        </w:rPr>
        <w:t>. In a work context this highlights the role of psychosocial working conditions, where workers health is influenced not only by biological factors but macro- and meso-level factors including economic, social, political and workplace structures</w:t>
      </w:r>
      <w:r w:rsidR="00F61778">
        <w:rPr>
          <w:rFonts w:cstheme="minorHAnsi"/>
        </w:rPr>
        <w:t xml:space="preserve"> (</w:t>
      </w:r>
      <w:r w:rsidR="00F61778" w:rsidRPr="00F61778">
        <w:rPr>
          <w:rFonts w:cstheme="minorHAnsi"/>
        </w:rPr>
        <w:t>Rugulies</w:t>
      </w:r>
      <w:r w:rsidR="00F61778" w:rsidRPr="00F61778">
        <w:t xml:space="preserve"> </w:t>
      </w:r>
      <w:r w:rsidR="00F61778">
        <w:rPr>
          <w:rFonts w:cstheme="minorHAnsi"/>
        </w:rPr>
        <w:t>2019)</w:t>
      </w:r>
      <w:r w:rsidRPr="00072F22">
        <w:rPr>
          <w:rFonts w:cstheme="minorHAnsi"/>
        </w:rPr>
        <w:t>. Modelling the health-related workforce participation behaviour of a population is not equivalent to estimating population employment with medically asses</w:t>
      </w:r>
      <w:r w:rsidR="00F61778">
        <w:rPr>
          <w:rFonts w:cstheme="minorHAnsi"/>
        </w:rPr>
        <w:t>sed health or work capacity (Nurminen 2004)</w:t>
      </w:r>
      <w:r w:rsidRPr="00072F22">
        <w:rPr>
          <w:rFonts w:cstheme="minorHAnsi"/>
        </w:rPr>
        <w:t>. These biopsychosocial and medical models (respectively) of health and work are likely to explain some of the variation in results identified in this review, although this is not clear due to the differences between each of the studies.</w:t>
      </w:r>
    </w:p>
    <w:p w14:paraId="1FE9DDD4" w14:textId="77777777" w:rsidR="006B5DE1" w:rsidRPr="00072F22" w:rsidRDefault="006B5DE1" w:rsidP="006B5DE1">
      <w:pPr>
        <w:spacing w:after="0" w:line="480" w:lineRule="auto"/>
        <w:ind w:left="-15" w:right="347"/>
        <w:jc w:val="both"/>
        <w:rPr>
          <w:rFonts w:cstheme="minorHAnsi"/>
        </w:rPr>
      </w:pPr>
    </w:p>
    <w:p w14:paraId="69EFDFC3" w14:textId="7CAF2902" w:rsidR="006B5DE1" w:rsidRDefault="006B5DE1" w:rsidP="006B5DE1">
      <w:pPr>
        <w:spacing w:after="0" w:line="480" w:lineRule="auto"/>
        <w:ind w:left="-15" w:right="347"/>
        <w:jc w:val="both"/>
        <w:rPr>
          <w:rFonts w:cstheme="minorHAnsi"/>
        </w:rPr>
      </w:pPr>
      <w:r w:rsidRPr="00072F22">
        <w:rPr>
          <w:rFonts w:cstheme="minorHAnsi"/>
        </w:rPr>
        <w:t>Observed effects on work participation due to objective (clinically assessed) health and more subjective measures could represent the lower and upper bounds of the true e</w:t>
      </w:r>
      <w:r w:rsidR="00B265D8">
        <w:rPr>
          <w:rFonts w:cstheme="minorHAnsi"/>
        </w:rPr>
        <w:t>ffect of health respectively (Bound 1991)</w:t>
      </w:r>
      <w:r w:rsidRPr="00072F22">
        <w:rPr>
          <w:rFonts w:cstheme="minorHAnsi"/>
        </w:rPr>
        <w:t xml:space="preserve">. Poor subjective health requires no medical diagnosis and is therefore more inclusive than clinical assessment of poor health or reduced work capacity </w:t>
      </w:r>
      <w:r w:rsidR="001F4E60">
        <w:rPr>
          <w:rFonts w:cstheme="minorHAnsi"/>
        </w:rPr>
        <w:t>(Haan and Myck 2009)</w:t>
      </w:r>
      <w:r w:rsidRPr="00072F22">
        <w:rPr>
          <w:rFonts w:cstheme="minorHAnsi"/>
        </w:rPr>
        <w:t>. Biases are largely unidirectional in objective health measures, whereas biases in subjective measures are more likely to be</w:t>
      </w:r>
      <w:r w:rsidR="00B265D8">
        <w:rPr>
          <w:rFonts w:cstheme="minorHAnsi"/>
        </w:rPr>
        <w:t xml:space="preserve"> offset at population-level (Bound 1991)</w:t>
      </w:r>
      <w:r w:rsidRPr="00072F22">
        <w:rPr>
          <w:rFonts w:cstheme="minorHAnsi"/>
        </w:rPr>
        <w:t xml:space="preserve">. Furthermore the effect on work participation decisions attributed to self-rated health may capture some of the effect of economic factors, which influence both health and work participation outcomes </w:t>
      </w:r>
      <w:r w:rsidR="00B265D8">
        <w:rPr>
          <w:rFonts w:cstheme="minorHAnsi"/>
        </w:rPr>
        <w:t>(Bound 1991; Naik et al. 2017)</w:t>
      </w:r>
      <w:r w:rsidRPr="00072F22">
        <w:rPr>
          <w:rFonts w:cstheme="minorHAnsi"/>
        </w:rPr>
        <w:t xml:space="preserve">. Thus, effects are still meaningful but incorrectly attributed to health, and a population indicator such as HWLE (which already captures factors such as access to employment opportunities) could give accurate population-level observational results even if the potential for cause and effect interpretation is limited. Finally, the justification hypothesis is that some individuals rationalise non-employment through false subjective reports of poor health, although </w:t>
      </w:r>
      <w:r w:rsidRPr="00072F22">
        <w:rPr>
          <w:rFonts w:cstheme="minorHAnsi"/>
        </w:rPr>
        <w:lastRenderedPageBreak/>
        <w:t xml:space="preserve">systematic misrepresentation of health among non-employed individuals is unlikely </w:t>
      </w:r>
      <w:r w:rsidR="00B265D8">
        <w:rPr>
          <w:rFonts w:cstheme="minorHAnsi"/>
        </w:rPr>
        <w:t>(Bound 1991; Cai 2010; Stern 1989)</w:t>
      </w:r>
      <w:r w:rsidRPr="00072F22">
        <w:rPr>
          <w:rFonts w:cstheme="minorHAnsi"/>
        </w:rPr>
        <w:t>.</w:t>
      </w:r>
    </w:p>
    <w:p w14:paraId="32681C33" w14:textId="77777777" w:rsidR="006B5DE1" w:rsidRPr="00072F22" w:rsidRDefault="006B5DE1" w:rsidP="006B5DE1">
      <w:pPr>
        <w:spacing w:after="0" w:line="480" w:lineRule="auto"/>
        <w:ind w:left="-15" w:right="347"/>
        <w:jc w:val="both"/>
        <w:rPr>
          <w:rFonts w:cstheme="minorHAnsi"/>
        </w:rPr>
      </w:pPr>
    </w:p>
    <w:p w14:paraId="5F0E9AA1" w14:textId="67395765" w:rsidR="006B5DE1" w:rsidRDefault="006B5DE1" w:rsidP="006B5DE1">
      <w:pPr>
        <w:spacing w:after="6" w:line="480" w:lineRule="auto"/>
        <w:ind w:left="-15" w:right="347"/>
        <w:jc w:val="both"/>
        <w:rPr>
          <w:rFonts w:cstheme="minorHAnsi"/>
        </w:rPr>
      </w:pPr>
      <w:r w:rsidRPr="00072F22">
        <w:rPr>
          <w:rFonts w:cstheme="minorHAnsi"/>
        </w:rPr>
        <w:t>Both subjective and objective methods of measuring health have limitations as health is a complex dr</w:t>
      </w:r>
      <w:r w:rsidR="00873975">
        <w:rPr>
          <w:rFonts w:cstheme="minorHAnsi"/>
        </w:rPr>
        <w:t>iver of workforce participation</w:t>
      </w:r>
      <w:r w:rsidR="001900AC">
        <w:rPr>
          <w:rFonts w:cstheme="minorHAnsi"/>
        </w:rPr>
        <w:t xml:space="preserve"> </w:t>
      </w:r>
      <w:r w:rsidR="00873975">
        <w:rPr>
          <w:rFonts w:cstheme="minorHAnsi"/>
        </w:rPr>
        <w:t xml:space="preserve">(Bound 1991) </w:t>
      </w:r>
      <w:r w:rsidRPr="00072F22">
        <w:rPr>
          <w:rFonts w:cstheme="minorHAnsi"/>
        </w:rPr>
        <w:t xml:space="preserve">and accurately measuring health for work participation research is challenging </w:t>
      </w:r>
      <w:r w:rsidR="00873975">
        <w:rPr>
          <w:rFonts w:cstheme="minorHAnsi"/>
        </w:rPr>
        <w:t>(Bound 1991; Cai 2010)</w:t>
      </w:r>
      <w:r w:rsidRPr="00072F22">
        <w:rPr>
          <w:rFonts w:cstheme="minorHAnsi"/>
        </w:rPr>
        <w:t>. Changes to contextual, societal and economic conditions can have substantial and complex effects on the morbidity and mortality affecting a working-age population (</w:t>
      </w:r>
      <w:r w:rsidR="001900AC">
        <w:rPr>
          <w:rFonts w:cstheme="minorHAnsi"/>
        </w:rPr>
        <w:t xml:space="preserve">Mutafova, van de Water, Perenboom, Boshuizen and </w:t>
      </w:r>
      <w:r w:rsidR="001900AC" w:rsidRPr="00B82A8E">
        <w:rPr>
          <w:rFonts w:cstheme="minorHAnsi"/>
        </w:rPr>
        <w:t>Maleshkov</w:t>
      </w:r>
      <w:r w:rsidR="001900AC">
        <w:rPr>
          <w:rFonts w:cstheme="minorHAnsi"/>
        </w:rPr>
        <w:t xml:space="preserve"> 1996). </w:t>
      </w:r>
      <w:r w:rsidRPr="00072F22">
        <w:rPr>
          <w:rFonts w:cstheme="minorHAnsi"/>
        </w:rPr>
        <w:t xml:space="preserve">The biopsychosocial relationship between health and work could strengthen the rationale for subjective health measures, as used by </w:t>
      </w:r>
      <w:r w:rsidRPr="00A4275D">
        <w:rPr>
          <w:rFonts w:cstheme="minorHAnsi"/>
        </w:rPr>
        <w:t xml:space="preserve">Lievre </w:t>
      </w:r>
      <w:r w:rsidRPr="00A4275D">
        <w:rPr>
          <w:rFonts w:eastAsia="Cambria" w:cstheme="minorHAnsi"/>
        </w:rPr>
        <w:t xml:space="preserve">et al. </w:t>
      </w:r>
      <w:r w:rsidR="00A4275D" w:rsidRPr="00A4275D">
        <w:rPr>
          <w:rFonts w:cstheme="minorHAnsi"/>
        </w:rPr>
        <w:t>(</w:t>
      </w:r>
      <w:r w:rsidR="00A4275D">
        <w:rPr>
          <w:rFonts w:cstheme="minorHAnsi"/>
        </w:rPr>
        <w:t>2007)</w:t>
      </w:r>
      <w:r w:rsidRPr="00072F22">
        <w:rPr>
          <w:rFonts w:cstheme="minorHAnsi"/>
        </w:rPr>
        <w:t>, over objective work capacity assessments (</w:t>
      </w:r>
      <w:r w:rsidR="001F4E60">
        <w:rPr>
          <w:rFonts w:cstheme="minorHAnsi"/>
        </w:rPr>
        <w:t>Kaprio, Sarna</w:t>
      </w:r>
      <w:r w:rsidR="001F4E60" w:rsidRPr="00B82A8E">
        <w:rPr>
          <w:rFonts w:cstheme="minorHAnsi"/>
        </w:rPr>
        <w:t xml:space="preserve">, Fogelholm </w:t>
      </w:r>
      <w:r w:rsidR="001F4E60">
        <w:rPr>
          <w:rFonts w:cstheme="minorHAnsi"/>
        </w:rPr>
        <w:t xml:space="preserve">and </w:t>
      </w:r>
      <w:r w:rsidR="001F4E60" w:rsidRPr="00B82A8E">
        <w:rPr>
          <w:rFonts w:cstheme="minorHAnsi"/>
        </w:rPr>
        <w:t>Koskenvuo</w:t>
      </w:r>
      <w:r w:rsidR="001F4E60">
        <w:rPr>
          <w:rFonts w:cstheme="minorHAnsi"/>
        </w:rPr>
        <w:t xml:space="preserve"> 1996; </w:t>
      </w:r>
      <w:r w:rsidR="001900AC">
        <w:rPr>
          <w:rFonts w:cstheme="minorHAnsi"/>
        </w:rPr>
        <w:t xml:space="preserve">Mutafova, van de Water, Perenboom, Boshuizen and </w:t>
      </w:r>
      <w:r w:rsidR="001900AC" w:rsidRPr="00B82A8E">
        <w:rPr>
          <w:rFonts w:cstheme="minorHAnsi"/>
        </w:rPr>
        <w:t>Maleshkov</w:t>
      </w:r>
      <w:r w:rsidR="001F4E60">
        <w:rPr>
          <w:rFonts w:cstheme="minorHAnsi"/>
        </w:rPr>
        <w:t xml:space="preserve"> 1996</w:t>
      </w:r>
      <w:r w:rsidRPr="00072F22">
        <w:rPr>
          <w:rFonts w:cstheme="minorHAnsi"/>
        </w:rPr>
        <w:t>) or even subjective assessments of work ability (</w:t>
      </w:r>
      <w:r w:rsidR="00A4275D" w:rsidRPr="00B82A8E">
        <w:rPr>
          <w:rFonts w:cstheme="minorHAnsi"/>
        </w:rPr>
        <w:t>Nur</w:t>
      </w:r>
      <w:r w:rsidR="00A4275D">
        <w:rPr>
          <w:rFonts w:cstheme="minorHAnsi"/>
        </w:rPr>
        <w:t xml:space="preserve">minen, Heathcote and Davis 2004). </w:t>
      </w:r>
      <w:r w:rsidRPr="00072F22">
        <w:rPr>
          <w:rFonts w:cstheme="minorHAnsi"/>
        </w:rPr>
        <w:t xml:space="preserve">Incorporating a subjective approach to health measurement recognises that individuals may take decisions for any number of reasons </w:t>
      </w:r>
      <w:r w:rsidR="00A4275D">
        <w:rPr>
          <w:rFonts w:cstheme="minorHAnsi"/>
        </w:rPr>
        <w:t>(Ringen 1995)</w:t>
      </w:r>
      <w:r w:rsidRPr="00072F22">
        <w:rPr>
          <w:rFonts w:cstheme="minorHAnsi"/>
        </w:rPr>
        <w:t>, also providing scope for employers to affect change in how individuals interact with their work environment without any improvement or decline in physical function.</w:t>
      </w:r>
    </w:p>
    <w:p w14:paraId="4E4F04FA" w14:textId="77777777" w:rsidR="006B5DE1" w:rsidRPr="00072F22" w:rsidRDefault="006B5DE1" w:rsidP="006B5DE1">
      <w:pPr>
        <w:spacing w:after="6" w:line="480" w:lineRule="auto"/>
        <w:ind w:left="-15" w:right="347"/>
        <w:jc w:val="both"/>
        <w:rPr>
          <w:rFonts w:cstheme="minorHAnsi"/>
        </w:rPr>
      </w:pPr>
    </w:p>
    <w:p w14:paraId="1CCA1202" w14:textId="77777777" w:rsidR="0026798F" w:rsidRPr="00072F22" w:rsidRDefault="0026798F" w:rsidP="0026798F">
      <w:pPr>
        <w:pStyle w:val="Heading2"/>
        <w:spacing w:line="480" w:lineRule="auto"/>
        <w:ind w:left="-5"/>
        <w:jc w:val="both"/>
        <w:rPr>
          <w:rFonts w:asciiTheme="minorHAnsi" w:hAnsiTheme="minorHAnsi" w:cstheme="minorHAnsi"/>
        </w:rPr>
      </w:pPr>
      <w:r>
        <w:rPr>
          <w:rFonts w:asciiTheme="minorHAnsi" w:hAnsiTheme="minorHAnsi" w:cstheme="minorHAnsi"/>
        </w:rPr>
        <w:t xml:space="preserve">4.1 </w:t>
      </w:r>
      <w:r w:rsidRPr="00072F22">
        <w:rPr>
          <w:rFonts w:asciiTheme="minorHAnsi" w:hAnsiTheme="minorHAnsi" w:cstheme="minorHAnsi"/>
        </w:rPr>
        <w:t>Strengths and limitations</w:t>
      </w:r>
    </w:p>
    <w:p w14:paraId="0698FD03" w14:textId="76C56CF6" w:rsidR="0026798F" w:rsidRDefault="0026798F" w:rsidP="00DC5425">
      <w:pPr>
        <w:spacing w:after="0" w:line="480" w:lineRule="auto"/>
        <w:ind w:left="-5" w:right="347"/>
        <w:jc w:val="both"/>
        <w:rPr>
          <w:rFonts w:cstheme="minorHAnsi"/>
        </w:rPr>
      </w:pPr>
      <w:r>
        <w:rPr>
          <w:rFonts w:cstheme="minorHAnsi"/>
        </w:rPr>
        <w:t>A strength of this review is that t</w:t>
      </w:r>
      <w:r w:rsidRPr="00072F22">
        <w:rPr>
          <w:rFonts w:cstheme="minorHAnsi"/>
        </w:rPr>
        <w:t xml:space="preserve">he broad scope of the search strategy and dual-review screening process </w:t>
      </w:r>
      <w:r>
        <w:rPr>
          <w:rFonts w:cstheme="minorHAnsi"/>
        </w:rPr>
        <w:t>allowed</w:t>
      </w:r>
      <w:r w:rsidRPr="00072F22">
        <w:rPr>
          <w:rFonts w:cstheme="minorHAnsi"/>
        </w:rPr>
        <w:t xml:space="preserve"> numerical results </w:t>
      </w:r>
      <w:r>
        <w:rPr>
          <w:rFonts w:cstheme="minorHAnsi"/>
        </w:rPr>
        <w:t>to be</w:t>
      </w:r>
      <w:r w:rsidRPr="00072F22">
        <w:rPr>
          <w:rFonts w:cstheme="minorHAnsi"/>
        </w:rPr>
        <w:t xml:space="preserve"> identified despite the variety of </w:t>
      </w:r>
      <w:r>
        <w:rPr>
          <w:rFonts w:cstheme="minorHAnsi"/>
        </w:rPr>
        <w:t xml:space="preserve">individual </w:t>
      </w:r>
      <w:r w:rsidRPr="00072F22">
        <w:rPr>
          <w:rFonts w:cstheme="minorHAnsi"/>
        </w:rPr>
        <w:t>study aims, designs and approaches to analysis. Although non-English language results were excluded, the majority of these were Open Grey results and no English language papers from this source were found to be eligible for the review.</w:t>
      </w:r>
    </w:p>
    <w:p w14:paraId="690DD3AC" w14:textId="77777777" w:rsidR="006B5DE1" w:rsidRPr="00072F22" w:rsidRDefault="006B5DE1" w:rsidP="006B5DE1">
      <w:pPr>
        <w:spacing w:after="0" w:line="480" w:lineRule="auto"/>
        <w:ind w:left="-5" w:right="347"/>
        <w:jc w:val="both"/>
        <w:rPr>
          <w:rFonts w:cstheme="minorHAnsi"/>
        </w:rPr>
      </w:pPr>
    </w:p>
    <w:p w14:paraId="527E6AFD" w14:textId="7EB187B5" w:rsidR="006B5DE1" w:rsidRDefault="006B5DE1" w:rsidP="006B5DE1">
      <w:pPr>
        <w:spacing w:after="0" w:line="480" w:lineRule="auto"/>
        <w:ind w:left="-15" w:right="347"/>
        <w:jc w:val="both"/>
        <w:rPr>
          <w:rFonts w:cstheme="minorHAnsi"/>
        </w:rPr>
      </w:pPr>
      <w:r w:rsidRPr="00072F22">
        <w:rPr>
          <w:rFonts w:cstheme="minorHAnsi"/>
        </w:rPr>
        <w:lastRenderedPageBreak/>
        <w:t xml:space="preserve">The </w:t>
      </w:r>
      <w:r w:rsidR="00D71126">
        <w:rPr>
          <w:rFonts w:cstheme="minorHAnsi"/>
        </w:rPr>
        <w:t xml:space="preserve">systematic </w:t>
      </w:r>
      <w:r w:rsidRPr="00072F22">
        <w:rPr>
          <w:rFonts w:cstheme="minorHAnsi"/>
        </w:rPr>
        <w:t xml:space="preserve">review included assessment of the identification of papers by using a second reviewer for all abstract screening and a random sample of title screening and measuring agreement. Agreement in screening decisions for 100 randomly selected titles was substantial (84%, kappa statistic 0.64) and screening decisions were updated after disagreements were resolved in a consensus meeting. Reviewers agreed in 317 of the 338 abstract screening decisions. Despite a modest kappa statistic of 0.67, percentage agreement was high (94%). </w:t>
      </w:r>
      <w:r w:rsidR="00D71126">
        <w:rPr>
          <w:rFonts w:cstheme="minorHAnsi"/>
        </w:rPr>
        <w:t>This wa</w:t>
      </w:r>
      <w:r w:rsidR="0026798F" w:rsidRPr="0026798F">
        <w:rPr>
          <w:rFonts w:cstheme="minorHAnsi"/>
        </w:rPr>
        <w:t>s due to the method of calculating the kappa statistic; in cases where one decision (either to include or exclude) occurs much more commonly than the other, chance is credited for agreement due to common knowledge thereby resulting in a lower score (Tang, Hu, Zhang, Wu and He 2015).</w:t>
      </w:r>
    </w:p>
    <w:p w14:paraId="56DB4F44" w14:textId="77777777" w:rsidR="006B5DE1" w:rsidRPr="00072F22" w:rsidRDefault="006B5DE1" w:rsidP="006B5DE1">
      <w:pPr>
        <w:spacing w:after="0" w:line="480" w:lineRule="auto"/>
        <w:ind w:left="-15" w:right="347"/>
        <w:jc w:val="both"/>
        <w:rPr>
          <w:rFonts w:cstheme="minorHAnsi"/>
        </w:rPr>
      </w:pPr>
    </w:p>
    <w:p w14:paraId="367CB800" w14:textId="33FA03E5" w:rsidR="006B5DE1" w:rsidRPr="00072F22" w:rsidRDefault="006B5DE1" w:rsidP="006B5DE1">
      <w:pPr>
        <w:spacing w:after="394" w:line="480" w:lineRule="auto"/>
        <w:ind w:right="347"/>
        <w:jc w:val="both"/>
        <w:rPr>
          <w:rFonts w:cstheme="minorHAnsi"/>
        </w:rPr>
      </w:pPr>
      <w:r w:rsidRPr="00072F22">
        <w:rPr>
          <w:rFonts w:cstheme="minorHAnsi"/>
        </w:rPr>
        <w:t>The review findings are limited by the number of formal studies that have been carried out in this area. A meta-analysis was not appropriate due to the high level of heterogeneity across several aspects of the studies, and the role of factors driving health and work participation could not be determined as study authors were largely speculative on this matter. Finally, estimates of the number of years in health and work from age 50 transformed from OHFLE (</w:t>
      </w:r>
      <w:r w:rsidR="00A4275D">
        <w:rPr>
          <w:rFonts w:cstheme="minorHAnsi"/>
        </w:rPr>
        <w:t xml:space="preserve">Mutafova, van de Water, Perenboom, Boshuizen and </w:t>
      </w:r>
      <w:r w:rsidR="00A4275D" w:rsidRPr="00B82A8E">
        <w:rPr>
          <w:rFonts w:cstheme="minorHAnsi"/>
        </w:rPr>
        <w:t>Maleshkov</w:t>
      </w:r>
      <w:r w:rsidR="00A4275D">
        <w:rPr>
          <w:rFonts w:cstheme="minorHAnsi"/>
        </w:rPr>
        <w:t xml:space="preserve"> 1996) </w:t>
      </w:r>
      <w:r w:rsidRPr="00072F22">
        <w:rPr>
          <w:rFonts w:cstheme="minorHAnsi"/>
        </w:rPr>
        <w:t>and OALE (</w:t>
      </w:r>
      <w:r w:rsidR="00A4275D">
        <w:rPr>
          <w:rFonts w:cstheme="minorHAnsi"/>
        </w:rPr>
        <w:t>Kaprio, Sarna</w:t>
      </w:r>
      <w:r w:rsidR="00A4275D" w:rsidRPr="00B82A8E">
        <w:rPr>
          <w:rFonts w:cstheme="minorHAnsi"/>
        </w:rPr>
        <w:t xml:space="preserve">, Fogelholm </w:t>
      </w:r>
      <w:r w:rsidR="00A4275D">
        <w:rPr>
          <w:rFonts w:cstheme="minorHAnsi"/>
        </w:rPr>
        <w:t xml:space="preserve">and </w:t>
      </w:r>
      <w:r w:rsidR="00A4275D" w:rsidRPr="00B82A8E">
        <w:rPr>
          <w:rFonts w:cstheme="minorHAnsi"/>
        </w:rPr>
        <w:t>Koskenvuo</w:t>
      </w:r>
      <w:r w:rsidR="00A4275D">
        <w:rPr>
          <w:rFonts w:cstheme="minorHAnsi"/>
        </w:rPr>
        <w:t xml:space="preserve"> 1996</w:t>
      </w:r>
      <w:r w:rsidRPr="00072F22">
        <w:rPr>
          <w:rFonts w:cstheme="minorHAnsi"/>
        </w:rPr>
        <w:t>) are underestimated due to persons who died before age 50 not being excluded.</w:t>
      </w:r>
    </w:p>
    <w:p w14:paraId="4346A0BF" w14:textId="77777777" w:rsidR="00F214D5" w:rsidRPr="009015D5" w:rsidRDefault="00F214D5" w:rsidP="00F214D5">
      <w:pPr>
        <w:pStyle w:val="Heading2"/>
        <w:spacing w:line="480" w:lineRule="auto"/>
        <w:rPr>
          <w:rFonts w:asciiTheme="minorHAnsi" w:hAnsiTheme="minorHAnsi" w:cstheme="minorHAnsi"/>
        </w:rPr>
      </w:pPr>
      <w:r w:rsidRPr="009015D5">
        <w:rPr>
          <w:rFonts w:asciiTheme="minorHAnsi" w:hAnsiTheme="minorHAnsi" w:cstheme="minorHAnsi"/>
        </w:rPr>
        <w:t>4.2 Implications for policy</w:t>
      </w:r>
    </w:p>
    <w:p w14:paraId="7F8B285D" w14:textId="4ADE574F" w:rsidR="0026798F" w:rsidRDefault="0026798F" w:rsidP="00B54B6F">
      <w:pPr>
        <w:spacing w:after="396" w:line="480" w:lineRule="auto"/>
        <w:ind w:left="-15" w:right="347"/>
        <w:jc w:val="both"/>
        <w:rPr>
          <w:rFonts w:cstheme="minorHAnsi"/>
        </w:rPr>
      </w:pPr>
      <w:r w:rsidRPr="0026798F">
        <w:rPr>
          <w:rFonts w:cstheme="minorHAnsi"/>
        </w:rPr>
        <w:t xml:space="preserve">Life expectancy and its subdivisions into health state life expectancies have important effects on societies at the individual and population level (Beltrán-Sánchez, Soneji and Crimmins 2015). Whether death is postponed in favour of extended disability and poor health, or in fact adults are experiencing a proportional (or equal) increase in number of healthy years is a crucial consideration for policy makers and health care providers contending with an ageing population. As life expectancy continues to increase in most countries, three main hypotheses have been proposed for the relationship between mortality and morbidity (Fries 1980; Manton 1982; </w:t>
      </w:r>
      <w:r w:rsidRPr="0026798F">
        <w:rPr>
          <w:rFonts w:cstheme="minorHAnsi"/>
        </w:rPr>
        <w:lastRenderedPageBreak/>
        <w:t>Olshansky, Rudberg, Carnes and Cassel 1991; Robine, Jagger, Mathers, Crimmins and Suzman 2003): the compression of morbidity hypothesis, in which population health improve</w:t>
      </w:r>
      <w:r w:rsidR="00B54B6F">
        <w:rPr>
          <w:rFonts w:cstheme="minorHAnsi"/>
        </w:rPr>
        <w:t>s</w:t>
      </w:r>
      <w:r w:rsidRPr="0026798F">
        <w:rPr>
          <w:rFonts w:cstheme="minorHAnsi"/>
        </w:rPr>
        <w:t xml:space="preserve"> as life expectancy increases; the expansion of morbidity hypothesis, in which mortality is deferred but the duration of morbidity is drawn out; and the dynamic equilibrium hypothesis in which the proportion of healthy life expectancy relative to total life expectancy is maintained. </w:t>
      </w:r>
      <w:r w:rsidR="006B5DE1" w:rsidRPr="00072F22">
        <w:rPr>
          <w:rFonts w:cstheme="minorHAnsi"/>
        </w:rPr>
        <w:t xml:space="preserve">Adding to existing evidence that morbidity is compressing in some populations and expanding in others </w:t>
      </w:r>
      <w:r w:rsidR="004D0230">
        <w:rPr>
          <w:rFonts w:cstheme="minorHAnsi"/>
        </w:rPr>
        <w:t>(Jagger 2015)</w:t>
      </w:r>
      <w:r w:rsidR="006B5DE1" w:rsidRPr="00072F22">
        <w:rPr>
          <w:rFonts w:cstheme="minorHAnsi"/>
        </w:rPr>
        <w:t xml:space="preserve">, the findings of this review suggest that existing evidence is insufficient to support the feasibility of policies </w:t>
      </w:r>
      <w:r>
        <w:rPr>
          <w:rFonts w:cstheme="minorHAnsi"/>
        </w:rPr>
        <w:t>seeking to extend</w:t>
      </w:r>
      <w:r w:rsidRPr="00072F22">
        <w:rPr>
          <w:rFonts w:cstheme="minorHAnsi"/>
        </w:rPr>
        <w:t xml:space="preserve"> </w:t>
      </w:r>
      <w:r w:rsidR="006B5DE1" w:rsidRPr="00072F22">
        <w:rPr>
          <w:rFonts w:cstheme="minorHAnsi"/>
        </w:rPr>
        <w:t>working lives. Valid and reliable estimates of life expectancy in health and work from age 50 are needed to evaluate whether populations are ready to work later in life. These estimates would also serve to highlight where strategic intervention is needed to reduce health and work inequalities and make extended working lives achievable. Work is needed on the development and implementation of a population indicator suitable for this purpose.</w:t>
      </w:r>
      <w:r w:rsidRPr="0026798F">
        <w:rPr>
          <w:rFonts w:cstheme="minorHAnsi"/>
        </w:rPr>
        <w:t xml:space="preserve"> </w:t>
      </w:r>
      <w:r w:rsidR="00A92A0D" w:rsidRPr="00A92A0D">
        <w:rPr>
          <w:rFonts w:cstheme="minorHAnsi"/>
        </w:rPr>
        <w:t>The benefits of successful ageing (health and productive activity in older age (Jagger et al. 2007; Lievre et al. 2007)) are not only multifarious but would allow for a new working understanding of the relationship between chronological age and the process of ageing (Spijker and MacInnes, 2013), which through policy making could lead to improved equitability and nationally affordability of healthcare and pension provision.</w:t>
      </w:r>
    </w:p>
    <w:p w14:paraId="63775939" w14:textId="77777777" w:rsidR="00A92A0D" w:rsidRPr="00DC5425" w:rsidRDefault="00A92A0D" w:rsidP="00DC5425">
      <w:pPr>
        <w:pStyle w:val="Heading2"/>
        <w:rPr>
          <w:rFonts w:asciiTheme="minorHAnsi" w:hAnsiTheme="minorHAnsi" w:cstheme="minorHAnsi"/>
        </w:rPr>
      </w:pPr>
      <w:r w:rsidRPr="00DC5425">
        <w:rPr>
          <w:rFonts w:asciiTheme="minorHAnsi" w:hAnsiTheme="minorHAnsi" w:cstheme="minorHAnsi"/>
        </w:rPr>
        <w:t>4.3 Implications for research</w:t>
      </w:r>
    </w:p>
    <w:p w14:paraId="211F2798" w14:textId="731D255F" w:rsidR="006A628E" w:rsidRDefault="00A92A0D" w:rsidP="006A628E">
      <w:pPr>
        <w:spacing w:after="396" w:line="480" w:lineRule="auto"/>
        <w:ind w:left="-15" w:right="347"/>
        <w:jc w:val="both"/>
        <w:rPr>
          <w:rFonts w:cstheme="minorHAnsi"/>
        </w:rPr>
      </w:pPr>
      <w:r w:rsidRPr="00A92A0D">
        <w:rPr>
          <w:rFonts w:cstheme="minorHAnsi"/>
        </w:rPr>
        <w:t xml:space="preserve">The nature of work is changing. Increasingly, workers carry out non-manual, non-industrial work; accompanying this shift has been a decrease in workplace accidents and a rise in work-related mental health problems, stress and job strain (Baumberg 2012; Vickerstaff, Phillipson and Wilkie 2012). Types of roles available are changing due to automation and redistribution of work, for example the offshoring of not only manufacturing jobs but, increasingly, also skilled professional and technical work (Barley, Bechky and Milliken 2017). Further, with the rise of the ‘gig economy’, growing numbers of people are engaged in temporary and short-term work (Barley, Bechky and </w:t>
      </w:r>
      <w:r w:rsidRPr="00A92A0D">
        <w:rPr>
          <w:rFonts w:cstheme="minorHAnsi"/>
        </w:rPr>
        <w:lastRenderedPageBreak/>
        <w:t xml:space="preserve">Milliken 2017). </w:t>
      </w:r>
      <w:r w:rsidR="006A628E" w:rsidRPr="00A92A0D">
        <w:rPr>
          <w:rFonts w:cstheme="minorHAnsi"/>
        </w:rPr>
        <w:t xml:space="preserve">A given illness or disability may be more or less disabling at work depending on the </w:t>
      </w:r>
      <w:r w:rsidR="006A628E">
        <w:rPr>
          <w:rFonts w:cstheme="minorHAnsi"/>
        </w:rPr>
        <w:t>characteristics</w:t>
      </w:r>
      <w:r w:rsidR="006A628E" w:rsidRPr="00A92A0D">
        <w:rPr>
          <w:rFonts w:cstheme="minorHAnsi"/>
        </w:rPr>
        <w:t xml:space="preserve"> of the role (Baumberg 2012). The definition of ‘work limiting disability’ is tied to context; for example a low number of accessible employment opportunities or a low demand for workers may mean that long term illness has a greater impact on ability to secure employment (Bartley and Owen 1996). This highlights the importance measuring </w:t>
      </w:r>
      <w:r w:rsidR="00D52BAB">
        <w:rPr>
          <w:rFonts w:cstheme="minorHAnsi"/>
        </w:rPr>
        <w:t xml:space="preserve">both </w:t>
      </w:r>
      <w:r w:rsidR="006A628E" w:rsidRPr="00A92A0D">
        <w:rPr>
          <w:rFonts w:cstheme="minorHAnsi"/>
        </w:rPr>
        <w:t>work capacity and participation among older adults and the use of a combined health and work indicator is advantageous in incorporating objective measures of work participation.</w:t>
      </w:r>
      <w:r w:rsidR="006A628E">
        <w:rPr>
          <w:rFonts w:cstheme="minorHAnsi"/>
        </w:rPr>
        <w:t xml:space="preserve"> </w:t>
      </w:r>
      <w:r w:rsidR="006A628E" w:rsidRPr="00A92A0D">
        <w:rPr>
          <w:rFonts w:cstheme="minorHAnsi"/>
        </w:rPr>
        <w:t xml:space="preserve">Prevalence of longstanding limiting illness need not increase in a population for changes in work factors (such as availability and nature of job opportunities) to increase levels of work limiting disability (Baumberg 2012). </w:t>
      </w:r>
      <w:r w:rsidR="00101717">
        <w:rPr>
          <w:rFonts w:cstheme="minorHAnsi"/>
        </w:rPr>
        <w:t>There is a need for a</w:t>
      </w:r>
      <w:r w:rsidR="00156DA8">
        <w:rPr>
          <w:rFonts w:cstheme="minorHAnsi"/>
        </w:rPr>
        <w:t xml:space="preserve"> </w:t>
      </w:r>
      <w:r w:rsidR="00101717">
        <w:rPr>
          <w:rFonts w:cstheme="minorHAnsi"/>
        </w:rPr>
        <w:t xml:space="preserve">healthy working life expectancy </w:t>
      </w:r>
      <w:r w:rsidR="006A628E">
        <w:rPr>
          <w:rFonts w:cstheme="minorHAnsi"/>
        </w:rPr>
        <w:t>indicator</w:t>
      </w:r>
      <w:r w:rsidR="00156DA8">
        <w:rPr>
          <w:rFonts w:cstheme="minorHAnsi"/>
        </w:rPr>
        <w:t xml:space="preserve"> that allows for </w:t>
      </w:r>
      <w:r w:rsidR="006A628E">
        <w:rPr>
          <w:rFonts w:cstheme="minorHAnsi"/>
        </w:rPr>
        <w:t>changes in the relationship between healt</w:t>
      </w:r>
      <w:r w:rsidR="00156DA8">
        <w:rPr>
          <w:rFonts w:cstheme="minorHAnsi"/>
        </w:rPr>
        <w:t xml:space="preserve">h and work </w:t>
      </w:r>
      <w:r w:rsidR="00101717">
        <w:rPr>
          <w:rFonts w:cstheme="minorHAnsi"/>
        </w:rPr>
        <w:t>(</w:t>
      </w:r>
      <w:r w:rsidR="00DD6332">
        <w:rPr>
          <w:rFonts w:cstheme="minorHAnsi"/>
        </w:rPr>
        <w:t>for example</w:t>
      </w:r>
      <w:r w:rsidR="00101717">
        <w:rPr>
          <w:rFonts w:cstheme="minorHAnsi"/>
        </w:rPr>
        <w:t xml:space="preserve"> due </w:t>
      </w:r>
      <w:r w:rsidR="00156DA8">
        <w:rPr>
          <w:rFonts w:cstheme="minorHAnsi"/>
        </w:rPr>
        <w:t>to</w:t>
      </w:r>
      <w:r w:rsidR="006A628E">
        <w:rPr>
          <w:rFonts w:cstheme="minorHAnsi"/>
        </w:rPr>
        <w:t xml:space="preserve"> </w:t>
      </w:r>
      <w:r w:rsidR="00156DA8">
        <w:rPr>
          <w:rFonts w:cstheme="minorHAnsi"/>
        </w:rPr>
        <w:t xml:space="preserve">variation in </w:t>
      </w:r>
      <w:r w:rsidR="006A628E">
        <w:rPr>
          <w:rFonts w:cstheme="minorHAnsi"/>
        </w:rPr>
        <w:t xml:space="preserve">the </w:t>
      </w:r>
      <w:r w:rsidR="00156DA8">
        <w:rPr>
          <w:rFonts w:cstheme="minorHAnsi"/>
        </w:rPr>
        <w:t xml:space="preserve">availability and </w:t>
      </w:r>
      <w:r w:rsidR="006A628E">
        <w:rPr>
          <w:rFonts w:cstheme="minorHAnsi"/>
        </w:rPr>
        <w:t>nature of work</w:t>
      </w:r>
      <w:r w:rsidR="00101717">
        <w:rPr>
          <w:rFonts w:cstheme="minorHAnsi"/>
        </w:rPr>
        <w:t xml:space="preserve"> opportunities)</w:t>
      </w:r>
      <w:r w:rsidR="006A628E">
        <w:rPr>
          <w:rFonts w:cstheme="minorHAnsi"/>
        </w:rPr>
        <w:t>.</w:t>
      </w:r>
    </w:p>
    <w:p w14:paraId="11C0FEC1" w14:textId="77777777" w:rsidR="0026798F" w:rsidRDefault="0026798F" w:rsidP="0026798F">
      <w:pPr>
        <w:spacing w:after="396" w:line="480" w:lineRule="auto"/>
        <w:ind w:left="-15" w:right="347"/>
        <w:jc w:val="both"/>
        <w:rPr>
          <w:rFonts w:cstheme="minorHAnsi"/>
        </w:rPr>
      </w:pPr>
    </w:p>
    <w:p w14:paraId="6B05E4C2" w14:textId="17E465AF" w:rsidR="0026798F" w:rsidRPr="00072F22" w:rsidRDefault="0026798F" w:rsidP="0026798F">
      <w:pPr>
        <w:spacing w:after="396" w:line="480" w:lineRule="auto"/>
        <w:ind w:left="-15" w:right="347"/>
        <w:jc w:val="both"/>
        <w:rPr>
          <w:rFonts w:cstheme="minorHAnsi"/>
        </w:rPr>
      </w:pPr>
      <w:r w:rsidRPr="00072F22">
        <w:rPr>
          <w:rFonts w:cstheme="minorHAnsi"/>
        </w:rPr>
        <w:t xml:space="preserve">The scarcity of studies identified in this review </w:t>
      </w:r>
      <w:r w:rsidR="00A92A0D">
        <w:rPr>
          <w:rFonts w:cstheme="minorHAnsi"/>
        </w:rPr>
        <w:t xml:space="preserve">that have used a population indicator to measure the number of years that people are healthy and in work </w:t>
      </w:r>
      <w:r w:rsidRPr="00072F22">
        <w:rPr>
          <w:rFonts w:cstheme="minorHAnsi"/>
        </w:rPr>
        <w:t xml:space="preserve">indicates </w:t>
      </w:r>
      <w:r w:rsidR="00A92A0D">
        <w:rPr>
          <w:rFonts w:cstheme="minorHAnsi"/>
        </w:rPr>
        <w:t>the</w:t>
      </w:r>
      <w:r w:rsidRPr="00072F22">
        <w:rPr>
          <w:rFonts w:cstheme="minorHAnsi"/>
        </w:rPr>
        <w:t xml:space="preserve"> need</w:t>
      </w:r>
      <w:r w:rsidR="00A92A0D">
        <w:rPr>
          <w:rFonts w:cstheme="minorHAnsi"/>
        </w:rPr>
        <w:t xml:space="preserve"> to operationalise this construct to inform policy.</w:t>
      </w:r>
      <w:r w:rsidRPr="00072F22">
        <w:rPr>
          <w:rFonts w:cstheme="minorHAnsi"/>
        </w:rPr>
        <w:t xml:space="preserve"> Recent studies of working life expectancy with respect to health </w:t>
      </w:r>
      <w:r>
        <w:rPr>
          <w:rFonts w:cstheme="minorHAnsi"/>
        </w:rPr>
        <w:t>(de Wind, van der Noordt, Deeg and</w:t>
      </w:r>
      <w:r w:rsidRPr="00A4275D">
        <w:rPr>
          <w:rFonts w:cstheme="minorHAnsi"/>
        </w:rPr>
        <w:t xml:space="preserve"> Boot</w:t>
      </w:r>
      <w:r>
        <w:rPr>
          <w:rFonts w:cstheme="minorHAnsi"/>
        </w:rPr>
        <w:t xml:space="preserve"> 2018)</w:t>
      </w:r>
      <w:r w:rsidRPr="00072F22">
        <w:rPr>
          <w:rFonts w:cstheme="minorHAnsi"/>
        </w:rPr>
        <w:t xml:space="preserve"> or disability </w:t>
      </w:r>
      <w:r>
        <w:rPr>
          <w:rFonts w:cstheme="minorHAnsi"/>
        </w:rPr>
        <w:t>(van der Noordt, van der Pas, van Tilburg, van den Hout and</w:t>
      </w:r>
      <w:r w:rsidRPr="00A4275D">
        <w:rPr>
          <w:rFonts w:cstheme="minorHAnsi"/>
        </w:rPr>
        <w:t xml:space="preserve"> De</w:t>
      </w:r>
      <w:r>
        <w:rPr>
          <w:rFonts w:cstheme="minorHAnsi"/>
        </w:rPr>
        <w:t>eg D 2019</w:t>
      </w:r>
      <w:r w:rsidRPr="00A4275D">
        <w:rPr>
          <w:rFonts w:cstheme="minorHAnsi"/>
        </w:rPr>
        <w:t>)</w:t>
      </w:r>
      <w:r w:rsidRPr="00072F22">
        <w:rPr>
          <w:rFonts w:cstheme="minorHAnsi"/>
        </w:rPr>
        <w:t xml:space="preserve"> status were ineligible for the systematic review as study populations were defined by health status at baseline and work status at baseline respectively</w:t>
      </w:r>
      <w:r w:rsidR="00D52BAB">
        <w:rPr>
          <w:rFonts w:cstheme="minorHAnsi"/>
        </w:rPr>
        <w:t xml:space="preserve"> (within the target age-range of 50-60 years)</w:t>
      </w:r>
      <w:r w:rsidRPr="00072F22">
        <w:rPr>
          <w:rFonts w:cstheme="minorHAnsi"/>
        </w:rPr>
        <w:t>. Additionally, th</w:t>
      </w:r>
      <w:r w:rsidR="00D52BAB">
        <w:rPr>
          <w:rFonts w:cstheme="minorHAnsi"/>
        </w:rPr>
        <w:t>is</w:t>
      </w:r>
      <w:r w:rsidRPr="00072F22">
        <w:rPr>
          <w:rFonts w:cstheme="minorHAnsi"/>
        </w:rPr>
        <w:t xml:space="preserve"> target age range was not captured in full in either study population where, in both cases, the youngest adults were aged 55 years. Population subgroups affected by poor health and work non-participation lower the average number of years spent in health and work. The review criterion that study populations represent a general population is necessary for the comparability of results to policies applied nationally, to </w:t>
      </w:r>
      <w:r w:rsidRPr="00072F22">
        <w:rPr>
          <w:rFonts w:cstheme="minorHAnsi"/>
        </w:rPr>
        <w:lastRenderedPageBreak/>
        <w:t>demonstrate that the population indicator can be used for this purpose, and to inform strategic interventions to increase time spent in health and work.</w:t>
      </w:r>
    </w:p>
    <w:p w14:paraId="3086FCA0" w14:textId="77777777" w:rsidR="00A92A0D" w:rsidRDefault="00A92A0D" w:rsidP="00A92A0D">
      <w:pPr>
        <w:spacing w:after="396" w:line="480" w:lineRule="auto"/>
        <w:ind w:left="-5" w:right="347"/>
        <w:jc w:val="both"/>
        <w:rPr>
          <w:rFonts w:cstheme="minorHAnsi"/>
        </w:rPr>
      </w:pPr>
    </w:p>
    <w:p w14:paraId="602F5C9B" w14:textId="5CCC578F" w:rsidR="00A92A0D" w:rsidRPr="00A92A0D" w:rsidRDefault="00A92A0D" w:rsidP="00A92A0D">
      <w:pPr>
        <w:spacing w:after="396" w:line="480" w:lineRule="auto"/>
        <w:ind w:left="-5" w:right="347"/>
        <w:jc w:val="both"/>
        <w:rPr>
          <w:rFonts w:cstheme="minorHAnsi"/>
        </w:rPr>
      </w:pPr>
      <w:r w:rsidRPr="00A92A0D">
        <w:rPr>
          <w:rFonts w:cstheme="minorHAnsi"/>
        </w:rPr>
        <w:t>The scarcity of studies identified in this review suggests</w:t>
      </w:r>
      <w:r>
        <w:rPr>
          <w:rFonts w:cstheme="minorHAnsi"/>
        </w:rPr>
        <w:t xml:space="preserve"> the</w:t>
      </w:r>
      <w:r w:rsidRPr="00A92A0D">
        <w:rPr>
          <w:rFonts w:cstheme="minorHAnsi"/>
        </w:rPr>
        <w:t>r</w:t>
      </w:r>
      <w:r>
        <w:rPr>
          <w:rFonts w:cstheme="minorHAnsi"/>
        </w:rPr>
        <w:t>e</w:t>
      </w:r>
      <w:r w:rsidRPr="00A92A0D">
        <w:rPr>
          <w:rFonts w:cstheme="minorHAnsi"/>
        </w:rPr>
        <w:t xml:space="preserve"> are obstacles to the calculation of healthy working life expectancy. Two studies </w:t>
      </w:r>
      <w:r w:rsidR="00036C2A">
        <w:rPr>
          <w:rFonts w:cstheme="minorHAnsi"/>
        </w:rPr>
        <w:t>analysed</w:t>
      </w:r>
      <w:r w:rsidRPr="00A92A0D">
        <w:rPr>
          <w:rFonts w:cstheme="minorHAnsi"/>
        </w:rPr>
        <w:t xml:space="preserve"> data</w:t>
      </w:r>
      <w:r w:rsidR="00036C2A">
        <w:rPr>
          <w:rFonts w:cstheme="minorHAnsi"/>
        </w:rPr>
        <w:t xml:space="preserve"> that were collected</w:t>
      </w:r>
      <w:r w:rsidRPr="00A92A0D">
        <w:rPr>
          <w:rFonts w:cstheme="minorHAnsi"/>
        </w:rPr>
        <w:t xml:space="preserve"> </w:t>
      </w:r>
      <w:r w:rsidR="00036C2A">
        <w:rPr>
          <w:rFonts w:cstheme="minorHAnsi"/>
        </w:rPr>
        <w:t xml:space="preserve">in relation to local policies (in order </w:t>
      </w:r>
      <w:r w:rsidR="00BA59E9" w:rsidRPr="00A92A0D">
        <w:rPr>
          <w:rFonts w:cstheme="minorHAnsi"/>
        </w:rPr>
        <w:t>to monitor and support people with reduced work capacity</w:t>
      </w:r>
      <w:r w:rsidR="00036C2A">
        <w:rPr>
          <w:rFonts w:cstheme="minorHAnsi"/>
        </w:rPr>
        <w:t>)</w:t>
      </w:r>
      <w:r w:rsidR="00BA59E9" w:rsidRPr="00A92A0D">
        <w:rPr>
          <w:rFonts w:cstheme="minorHAnsi"/>
        </w:rPr>
        <w:t xml:space="preserve"> </w:t>
      </w:r>
      <w:r w:rsidR="00036C2A">
        <w:rPr>
          <w:rFonts w:cstheme="minorHAnsi"/>
        </w:rPr>
        <w:t>which</w:t>
      </w:r>
      <w:r w:rsidR="00BA59E9">
        <w:rPr>
          <w:rFonts w:cstheme="minorHAnsi"/>
        </w:rPr>
        <w:t xml:space="preserve"> are not routinely collected in other </w:t>
      </w:r>
      <w:r w:rsidR="00036C2A">
        <w:rPr>
          <w:rFonts w:cstheme="minorHAnsi"/>
        </w:rPr>
        <w:t>settings</w:t>
      </w:r>
      <w:r w:rsidRPr="00A92A0D">
        <w:rPr>
          <w:rFonts w:cstheme="minorHAnsi"/>
        </w:rPr>
        <w:t xml:space="preserve"> (Kaprio, Sarna, Fogelholm and Koskenvuo 1996; Mutafova, van de Water, Perenboom, Boshuizen and Maleshkov 1996). Even in countries where such data sources continue to be available, the assumptions that people are in work unless in receipt of a disability pension are unlikely to be reasonable as societies and their workforces change (including the preferences a high proportion of older workers exercise in working only where jobs offer good-quality working lives (Maltby, 2012)). Nurminen, Heathcote and Davis (2004) analysed survey data collected as part of a standalone study, also making strong assumptions about the representativeness of the data to the general population. Of the studies identified in this review, only the analysis carried out by Lievre et al. (2007) has potential to be updated or replicated in new settings, although there are possible challenges in accessing mortality-linked longitudinal survey data and </w:t>
      </w:r>
      <w:r w:rsidR="00036C2A">
        <w:rPr>
          <w:rFonts w:cstheme="minorHAnsi"/>
        </w:rPr>
        <w:t xml:space="preserve">in </w:t>
      </w:r>
      <w:r w:rsidRPr="00A92A0D">
        <w:rPr>
          <w:rFonts w:cstheme="minorHAnsi"/>
        </w:rPr>
        <w:t>the methodological and computational complexity of estimating multi-state life table using interpolated Markov chain modelling. There is a need to adopt an indicator that can feasibly be estimated and routinely updated; ‘Healthy Working Life Expectancy’ (Lievre et al., 2007) may be a good starting point for this although more work is needed on the operationalisation of health and work.</w:t>
      </w:r>
    </w:p>
    <w:p w14:paraId="770F6219" w14:textId="78932137" w:rsidR="006B5DE1" w:rsidRPr="00072F22" w:rsidRDefault="006B5DE1" w:rsidP="006B5DE1">
      <w:pPr>
        <w:spacing w:after="396" w:line="480" w:lineRule="auto"/>
        <w:ind w:left="-5" w:right="347"/>
        <w:jc w:val="both"/>
        <w:rPr>
          <w:rFonts w:cstheme="minorHAnsi"/>
        </w:rPr>
      </w:pPr>
    </w:p>
    <w:p w14:paraId="24335850" w14:textId="6DF38C88" w:rsidR="006B5DE1" w:rsidRPr="00072F22" w:rsidRDefault="00106481" w:rsidP="006B5DE1">
      <w:pPr>
        <w:pStyle w:val="Heading2"/>
        <w:spacing w:line="480" w:lineRule="auto"/>
        <w:ind w:left="-5"/>
        <w:jc w:val="both"/>
        <w:rPr>
          <w:rFonts w:asciiTheme="minorHAnsi" w:hAnsiTheme="minorHAnsi" w:cstheme="minorHAnsi"/>
        </w:rPr>
      </w:pPr>
      <w:r>
        <w:rPr>
          <w:rFonts w:asciiTheme="minorHAnsi" w:hAnsiTheme="minorHAnsi" w:cstheme="minorHAnsi"/>
        </w:rPr>
        <w:lastRenderedPageBreak/>
        <w:t xml:space="preserve">4.3 </w:t>
      </w:r>
      <w:r w:rsidR="006B5DE1" w:rsidRPr="00072F22">
        <w:rPr>
          <w:rFonts w:asciiTheme="minorHAnsi" w:hAnsiTheme="minorHAnsi" w:cstheme="minorHAnsi"/>
        </w:rPr>
        <w:t>Concluding remarks</w:t>
      </w:r>
    </w:p>
    <w:p w14:paraId="60CFB905" w14:textId="3E948CBA" w:rsidR="006B5DE1" w:rsidRPr="00072F22" w:rsidRDefault="00A92A0D" w:rsidP="00F40C3E">
      <w:pPr>
        <w:spacing w:after="500" w:line="480" w:lineRule="auto"/>
        <w:ind w:left="-5" w:right="347"/>
        <w:jc w:val="both"/>
        <w:rPr>
          <w:rFonts w:cstheme="minorHAnsi"/>
        </w:rPr>
      </w:pPr>
      <w:r w:rsidRPr="00A92A0D">
        <w:rPr>
          <w:rFonts w:cstheme="minorHAnsi"/>
        </w:rPr>
        <w:t xml:space="preserve">This systematic review identified four studies that estimated the average number of years adults are both healthy and in work in later working-age life (from age 50). The low number of results is indicative of limitations in available data and/or methods for the calculation of healthy working life expectancy. Some numerical </w:t>
      </w:r>
      <w:r w:rsidR="005E6B39">
        <w:rPr>
          <w:rFonts w:cstheme="minorHAnsi"/>
        </w:rPr>
        <w:t>findings</w:t>
      </w:r>
      <w:r w:rsidRPr="00A92A0D">
        <w:rPr>
          <w:rFonts w:cstheme="minorHAnsi"/>
        </w:rPr>
        <w:t xml:space="preserve"> identified supported </w:t>
      </w:r>
      <w:r w:rsidR="005E6B39">
        <w:rPr>
          <w:rFonts w:cstheme="minorHAnsi"/>
        </w:rPr>
        <w:t>existing evidence</w:t>
      </w:r>
      <w:r w:rsidRPr="00A92A0D">
        <w:rPr>
          <w:rFonts w:cstheme="minorHAnsi"/>
        </w:rPr>
        <w:t xml:space="preserve"> that duration of health and work participation does not necessarily maintain a linear relationship with total life expectancy (Crimmins 2002; Mutafova, van de Water, Perenboom, Boshuizen and Maleshkov 1996; Nurminen 2004). </w:t>
      </w:r>
      <w:r w:rsidR="006B5DE1" w:rsidRPr="00072F22">
        <w:rPr>
          <w:rFonts w:cstheme="minorHAnsi"/>
        </w:rPr>
        <w:t>The average number of years that people are healthy and in work therefore requires regular measurement to monitor workforce potential and inform policy making.</w:t>
      </w:r>
      <w:r w:rsidR="005E6B39">
        <w:rPr>
          <w:rFonts w:cstheme="minorHAnsi"/>
        </w:rPr>
        <w:t xml:space="preserve"> </w:t>
      </w:r>
      <w:r>
        <w:rPr>
          <w:rFonts w:cstheme="minorHAnsi"/>
        </w:rPr>
        <w:t>T</w:t>
      </w:r>
      <w:r w:rsidR="006B5DE1" w:rsidRPr="00072F22">
        <w:rPr>
          <w:rFonts w:cstheme="minorHAnsi"/>
        </w:rPr>
        <w:t>his review also showed no general adoption of a population indicator for this purpose, and current and reliable estimates of the average duration of health and work participation (in any population and using any metric) were not identified.</w:t>
      </w:r>
      <w:r>
        <w:rPr>
          <w:rFonts w:cstheme="minorHAnsi"/>
        </w:rPr>
        <w:t xml:space="preserve"> </w:t>
      </w:r>
      <w:r w:rsidRPr="00A92A0D">
        <w:rPr>
          <w:rFonts w:cstheme="minorHAnsi"/>
        </w:rPr>
        <w:t>Evidence from the narrative review draws attention to the need for development of an appropriate population indicator that can be routinely estimated to monitor and guide improvements to population and workforce health and wellbeing.</w:t>
      </w:r>
    </w:p>
    <w:p w14:paraId="1BF9EB5B" w14:textId="679A3AF2" w:rsidR="006B5DE1" w:rsidRDefault="006B5DE1" w:rsidP="00F40C3E">
      <w:pPr>
        <w:pStyle w:val="Heading1"/>
        <w:spacing w:after="116" w:line="480" w:lineRule="auto"/>
        <w:ind w:left="-5"/>
        <w:jc w:val="both"/>
        <w:rPr>
          <w:rFonts w:asciiTheme="minorHAnsi" w:hAnsiTheme="minorHAnsi" w:cstheme="minorHAnsi"/>
        </w:rPr>
      </w:pPr>
      <w:r w:rsidRPr="00072F22">
        <w:rPr>
          <w:rFonts w:asciiTheme="minorHAnsi" w:hAnsiTheme="minorHAnsi" w:cstheme="minorHAnsi"/>
        </w:rPr>
        <w:t>References</w:t>
      </w:r>
    </w:p>
    <w:p w14:paraId="1F15EDCF" w14:textId="77777777" w:rsidR="00DC5425" w:rsidRPr="009015D5" w:rsidRDefault="00DC5425" w:rsidP="00DC5425">
      <w:pPr>
        <w:spacing w:line="480" w:lineRule="auto"/>
        <w:rPr>
          <w:lang w:eastAsia="en-GB"/>
        </w:rPr>
      </w:pPr>
      <w:r w:rsidRPr="009015D5">
        <w:rPr>
          <w:lang w:eastAsia="en-GB"/>
        </w:rPr>
        <w:t xml:space="preserve">Barley, S. R., Bechky, B. A., &amp; Milliken, F. J. (2017). The Changing Nature of Work: Careers, Identities, and Work Lives in the 21st Century. </w:t>
      </w:r>
      <w:r w:rsidRPr="009015D5">
        <w:rPr>
          <w:i/>
          <w:iCs/>
          <w:lang w:eastAsia="en-GB"/>
        </w:rPr>
        <w:t>Academy of Management Discoveries</w:t>
      </w:r>
      <w:r w:rsidRPr="009015D5">
        <w:rPr>
          <w:lang w:eastAsia="en-GB"/>
        </w:rPr>
        <w:t xml:space="preserve">, </w:t>
      </w:r>
      <w:r w:rsidRPr="009015D5">
        <w:rPr>
          <w:i/>
          <w:iCs/>
          <w:lang w:eastAsia="en-GB"/>
        </w:rPr>
        <w:t>3</w:t>
      </w:r>
      <w:r w:rsidRPr="009015D5">
        <w:rPr>
          <w:lang w:eastAsia="en-GB"/>
        </w:rPr>
        <w:t>(2), 111–115.</w:t>
      </w:r>
    </w:p>
    <w:p w14:paraId="2750EF59" w14:textId="77777777" w:rsidR="00DC5425" w:rsidRPr="009015D5" w:rsidRDefault="00DC5425" w:rsidP="00DC5425">
      <w:pPr>
        <w:spacing w:line="480" w:lineRule="auto"/>
        <w:rPr>
          <w:lang w:eastAsia="en-GB"/>
        </w:rPr>
      </w:pPr>
      <w:r w:rsidRPr="009015D5">
        <w:rPr>
          <w:lang w:eastAsia="en-GB"/>
        </w:rPr>
        <w:br/>
        <w:t xml:space="preserve">Bartley, M., &amp; Owen, C. (1996). Relation between socioeconomic status, employment, and health during economic change, 1973-93. </w:t>
      </w:r>
      <w:r w:rsidRPr="009015D5">
        <w:rPr>
          <w:i/>
          <w:iCs/>
          <w:lang w:eastAsia="en-GB"/>
        </w:rPr>
        <w:t xml:space="preserve">BMJ </w:t>
      </w:r>
      <w:r w:rsidRPr="009015D5">
        <w:rPr>
          <w:lang w:eastAsia="en-GB"/>
        </w:rPr>
        <w:t xml:space="preserve">, </w:t>
      </w:r>
      <w:r w:rsidRPr="009015D5">
        <w:rPr>
          <w:i/>
          <w:iCs/>
          <w:lang w:eastAsia="en-GB"/>
        </w:rPr>
        <w:t>313</w:t>
      </w:r>
      <w:r w:rsidRPr="009015D5">
        <w:rPr>
          <w:lang w:eastAsia="en-GB"/>
        </w:rPr>
        <w:t>(7055), 445–449.</w:t>
      </w:r>
      <w:r w:rsidRPr="009015D5">
        <w:rPr>
          <w:lang w:eastAsia="en-GB"/>
        </w:rPr>
        <w:br/>
      </w:r>
      <w:r w:rsidRPr="009015D5">
        <w:rPr>
          <w:lang w:eastAsia="en-GB"/>
        </w:rPr>
        <w:br/>
        <w:t xml:space="preserve">Baumberg, B. (2012). Re-evaluating trends in the employment of disabled people in Britain. In S. </w:t>
      </w:r>
      <w:r w:rsidRPr="009015D5">
        <w:rPr>
          <w:lang w:eastAsia="en-GB"/>
        </w:rPr>
        <w:lastRenderedPageBreak/>
        <w:t xml:space="preserve">Vickerstaff, C. Phillipson, &amp; R. Wilkie (Eds.), </w:t>
      </w:r>
      <w:r w:rsidRPr="009015D5">
        <w:rPr>
          <w:i/>
          <w:iCs/>
          <w:lang w:eastAsia="en-GB"/>
        </w:rPr>
        <w:t>Work, health and wellbeing; The challenges of managing health at work</w:t>
      </w:r>
      <w:r w:rsidRPr="009015D5">
        <w:rPr>
          <w:lang w:eastAsia="en-GB"/>
        </w:rPr>
        <w:t xml:space="preserve"> (pp. 79–94). Bristol: Policy Press.</w:t>
      </w:r>
    </w:p>
    <w:p w14:paraId="66FAF84E" w14:textId="77777777" w:rsidR="00DC5425" w:rsidRPr="009015D5" w:rsidRDefault="00DC5425" w:rsidP="00DC5425">
      <w:pPr>
        <w:spacing w:line="480" w:lineRule="auto"/>
        <w:rPr>
          <w:lang w:eastAsia="en-GB"/>
        </w:rPr>
      </w:pPr>
    </w:p>
    <w:p w14:paraId="4514B369" w14:textId="77777777" w:rsidR="00DC5425" w:rsidRPr="009015D5" w:rsidRDefault="00DC5425" w:rsidP="00DC5425">
      <w:pPr>
        <w:spacing w:line="480" w:lineRule="auto"/>
        <w:rPr>
          <w:lang w:eastAsia="en-GB"/>
        </w:rPr>
      </w:pPr>
      <w:r w:rsidRPr="009015D5">
        <w:rPr>
          <w:lang w:eastAsia="en-GB"/>
        </w:rPr>
        <w:t xml:space="preserve">Beltrán-Sánchez, H., Soneji, S., &amp; Crimmins, E. M. (2015). Past, Present, and Future of Healthy Life Expectancy. </w:t>
      </w:r>
      <w:r w:rsidRPr="009015D5">
        <w:rPr>
          <w:i/>
          <w:iCs/>
          <w:lang w:eastAsia="en-GB"/>
        </w:rPr>
        <w:t>Cold Spring Harbor Perspectives in Medicine</w:t>
      </w:r>
      <w:r w:rsidRPr="009015D5">
        <w:rPr>
          <w:lang w:eastAsia="en-GB"/>
        </w:rPr>
        <w:t xml:space="preserve">, </w:t>
      </w:r>
      <w:r w:rsidRPr="009015D5">
        <w:rPr>
          <w:i/>
          <w:iCs/>
          <w:lang w:eastAsia="en-GB"/>
        </w:rPr>
        <w:t>5</w:t>
      </w:r>
      <w:r w:rsidRPr="009015D5">
        <w:rPr>
          <w:lang w:eastAsia="en-GB"/>
        </w:rPr>
        <w:t xml:space="preserve">(11). </w:t>
      </w:r>
    </w:p>
    <w:p w14:paraId="46338C46" w14:textId="77777777" w:rsidR="00DC5425" w:rsidRPr="009015D5" w:rsidRDefault="00DC5425" w:rsidP="00DC5425">
      <w:pPr>
        <w:spacing w:line="480" w:lineRule="auto"/>
        <w:rPr>
          <w:lang w:eastAsia="en-GB"/>
        </w:rPr>
      </w:pPr>
    </w:p>
    <w:p w14:paraId="42993E0F" w14:textId="77777777" w:rsidR="00DC5425" w:rsidRPr="009015D5" w:rsidRDefault="00DC5425" w:rsidP="00DC5425">
      <w:pPr>
        <w:spacing w:line="480" w:lineRule="auto"/>
        <w:rPr>
          <w:lang w:eastAsia="en-GB"/>
        </w:rPr>
      </w:pPr>
      <w:r w:rsidRPr="009015D5">
        <w:rPr>
          <w:lang w:eastAsia="en-GB"/>
        </w:rPr>
        <w:t xml:space="preserve">Bound, J. (1991). Self-Reported Versus Objective Measures of Health in Retirement Models. </w:t>
      </w:r>
      <w:r w:rsidRPr="009015D5">
        <w:rPr>
          <w:i/>
          <w:iCs/>
          <w:lang w:eastAsia="en-GB"/>
        </w:rPr>
        <w:t>The Journal of Human Resources</w:t>
      </w:r>
      <w:r w:rsidRPr="009015D5">
        <w:rPr>
          <w:lang w:eastAsia="en-GB"/>
        </w:rPr>
        <w:t xml:space="preserve">, </w:t>
      </w:r>
      <w:r w:rsidRPr="009015D5">
        <w:rPr>
          <w:iCs/>
          <w:lang w:eastAsia="en-GB"/>
        </w:rPr>
        <w:t>26</w:t>
      </w:r>
      <w:r w:rsidRPr="009015D5">
        <w:rPr>
          <w:lang w:eastAsia="en-GB"/>
        </w:rPr>
        <w:t>(1), 106–138.</w:t>
      </w:r>
    </w:p>
    <w:p w14:paraId="0BEE9D1E" w14:textId="77777777" w:rsidR="00DC5425" w:rsidRPr="009015D5" w:rsidRDefault="00DC5425" w:rsidP="00DC5425">
      <w:pPr>
        <w:spacing w:line="480" w:lineRule="auto"/>
        <w:rPr>
          <w:lang w:eastAsia="en-GB"/>
        </w:rPr>
      </w:pPr>
      <w:r w:rsidRPr="009015D5">
        <w:rPr>
          <w:lang w:eastAsia="en-GB"/>
        </w:rPr>
        <w:br/>
        <w:t xml:space="preserve">Cai, L. (2010). The relationship between health and labour force participation: Evidence from a panel data simultaneous equation model. </w:t>
      </w:r>
      <w:r w:rsidRPr="009015D5">
        <w:rPr>
          <w:i/>
          <w:iCs/>
          <w:lang w:eastAsia="en-GB"/>
        </w:rPr>
        <w:t>Labour Economics</w:t>
      </w:r>
      <w:r w:rsidRPr="009015D5">
        <w:rPr>
          <w:lang w:eastAsia="en-GB"/>
        </w:rPr>
        <w:t xml:space="preserve">, </w:t>
      </w:r>
      <w:r w:rsidRPr="009015D5">
        <w:rPr>
          <w:iCs/>
          <w:lang w:eastAsia="en-GB"/>
        </w:rPr>
        <w:t>17</w:t>
      </w:r>
      <w:r w:rsidRPr="009015D5">
        <w:rPr>
          <w:lang w:eastAsia="en-GB"/>
        </w:rPr>
        <w:t>(1), 77–90.</w:t>
      </w:r>
      <w:r w:rsidRPr="009015D5">
        <w:rPr>
          <w:lang w:eastAsia="en-GB"/>
        </w:rPr>
        <w:br/>
      </w:r>
      <w:r w:rsidRPr="009015D5">
        <w:rPr>
          <w:lang w:eastAsia="en-GB"/>
        </w:rPr>
        <w:br/>
        <w:t xml:space="preserve">Chen, J. J. (2007). Functional capacity evaluation &amp; disability. </w:t>
      </w:r>
      <w:r w:rsidRPr="009015D5">
        <w:rPr>
          <w:i/>
          <w:iCs/>
          <w:lang w:eastAsia="en-GB"/>
        </w:rPr>
        <w:t>The Iowa Orthopaedic Journal</w:t>
      </w:r>
      <w:r w:rsidRPr="009015D5">
        <w:rPr>
          <w:lang w:eastAsia="en-GB"/>
        </w:rPr>
        <w:t xml:space="preserve">, </w:t>
      </w:r>
      <w:r w:rsidRPr="009015D5">
        <w:rPr>
          <w:iCs/>
          <w:lang w:eastAsia="en-GB"/>
        </w:rPr>
        <w:t>27</w:t>
      </w:r>
      <w:r w:rsidRPr="009015D5">
        <w:rPr>
          <w:lang w:eastAsia="en-GB"/>
        </w:rPr>
        <w:t>, 121–127.</w:t>
      </w:r>
      <w:r w:rsidRPr="009015D5">
        <w:rPr>
          <w:lang w:eastAsia="en-GB"/>
        </w:rPr>
        <w:br/>
      </w:r>
      <w:r w:rsidRPr="009015D5">
        <w:rPr>
          <w:lang w:eastAsia="en-GB"/>
        </w:rPr>
        <w:br/>
        <w:t xml:space="preserve">Crimmins, E. (2002). Health expectancies: what can we expect from summary indicators of population health. In </w:t>
      </w:r>
      <w:r w:rsidRPr="009015D5">
        <w:rPr>
          <w:i/>
          <w:iCs/>
          <w:lang w:eastAsia="en-GB"/>
        </w:rPr>
        <w:t>Summary measures of population health: concepts, ethics, measurement and application.</w:t>
      </w:r>
      <w:r w:rsidRPr="009015D5">
        <w:rPr>
          <w:lang w:eastAsia="en-GB"/>
        </w:rPr>
        <w:t xml:space="preserve"> (pp. 213–221). Geneva: World Health Organization.</w:t>
      </w:r>
    </w:p>
    <w:p w14:paraId="5C0E4F4E" w14:textId="77777777" w:rsidR="00DC5425" w:rsidRPr="009015D5" w:rsidRDefault="00DC5425" w:rsidP="00DC5425">
      <w:pPr>
        <w:spacing w:line="480" w:lineRule="auto"/>
        <w:rPr>
          <w:lang w:eastAsia="en-GB"/>
        </w:rPr>
      </w:pPr>
      <w:r w:rsidRPr="009015D5">
        <w:rPr>
          <w:lang w:eastAsia="en-GB"/>
        </w:rPr>
        <w:br/>
        <w:t xml:space="preserve">de Wind, A., van der Noordt, M., Deeg, D. J. H., &amp; Boot, C. R. L. (2018). Working life expectancy in good and poor self-perceived health among Dutch workers aged 55-65 years with a chronic disease over the period 1992-2016. </w:t>
      </w:r>
      <w:r w:rsidRPr="009015D5">
        <w:rPr>
          <w:i/>
          <w:iCs/>
          <w:lang w:eastAsia="en-GB"/>
        </w:rPr>
        <w:t>Occupational and Environmental Medicine</w:t>
      </w:r>
      <w:r w:rsidRPr="009015D5">
        <w:rPr>
          <w:lang w:eastAsia="en-GB"/>
        </w:rPr>
        <w:t xml:space="preserve">, </w:t>
      </w:r>
      <w:r w:rsidRPr="009015D5">
        <w:rPr>
          <w:iCs/>
          <w:lang w:eastAsia="en-GB"/>
        </w:rPr>
        <w:t>75</w:t>
      </w:r>
      <w:r w:rsidRPr="009015D5">
        <w:rPr>
          <w:lang w:eastAsia="en-GB"/>
        </w:rPr>
        <w:t>(11), 792–797.</w:t>
      </w:r>
    </w:p>
    <w:p w14:paraId="2C054126" w14:textId="77777777" w:rsidR="00DC5425" w:rsidRPr="009015D5" w:rsidRDefault="00DC5425" w:rsidP="00DC5425">
      <w:pPr>
        <w:spacing w:line="480" w:lineRule="auto"/>
        <w:rPr>
          <w:lang w:eastAsia="en-GB"/>
        </w:rPr>
      </w:pPr>
      <w:r w:rsidRPr="009015D5">
        <w:rPr>
          <w:lang w:eastAsia="en-GB"/>
        </w:rPr>
        <w:br/>
        <w:t xml:space="preserve">Department for Work and Pensions. (2017). </w:t>
      </w:r>
      <w:r w:rsidRPr="009015D5">
        <w:rPr>
          <w:i/>
          <w:iCs/>
          <w:lang w:eastAsia="en-GB"/>
        </w:rPr>
        <w:t xml:space="preserve">Fuller Working Lives: Evidence Base </w:t>
      </w:r>
      <w:r w:rsidRPr="009015D5">
        <w:rPr>
          <w:i/>
          <w:iCs/>
          <w:lang w:eastAsia="en-GB"/>
        </w:rPr>
        <w:lastRenderedPageBreak/>
        <w:t>2017</w:t>
      </w:r>
      <w:r w:rsidRPr="009015D5">
        <w:rPr>
          <w:lang w:eastAsia="en-GB"/>
        </w:rPr>
        <w:t>.https://assets.publishing.service.gov.uk/government/uploads/system/uploads/attachment_data/file/648979/fuller-working-lives-evidence-base-2017.pdf. Accessed 31 May 2018.</w:t>
      </w:r>
    </w:p>
    <w:p w14:paraId="60A1122A" w14:textId="77777777" w:rsidR="00DC5425" w:rsidRPr="009015D5" w:rsidRDefault="00DC5425" w:rsidP="00DC5425">
      <w:pPr>
        <w:spacing w:line="480" w:lineRule="auto"/>
        <w:rPr>
          <w:lang w:eastAsia="en-GB"/>
        </w:rPr>
      </w:pPr>
    </w:p>
    <w:p w14:paraId="1E42BA6A" w14:textId="77777777" w:rsidR="00DC5425" w:rsidRPr="009015D5" w:rsidRDefault="00DC5425" w:rsidP="00DC5425">
      <w:pPr>
        <w:spacing w:line="480" w:lineRule="auto"/>
        <w:rPr>
          <w:lang w:eastAsia="en-GB"/>
        </w:rPr>
      </w:pPr>
      <w:r w:rsidRPr="009015D5">
        <w:rPr>
          <w:lang w:eastAsia="en-GB"/>
        </w:rPr>
        <w:t xml:space="preserve">Department for Work and Pensions. (2017). </w:t>
      </w:r>
      <w:r w:rsidRPr="009015D5">
        <w:rPr>
          <w:i/>
          <w:iCs/>
          <w:lang w:eastAsia="en-GB"/>
        </w:rPr>
        <w:t>State Pension age review: final report</w:t>
      </w:r>
      <w:r w:rsidRPr="009015D5">
        <w:rPr>
          <w:lang w:eastAsia="en-GB"/>
        </w:rPr>
        <w:t>. https://www.gov.uk/government/publications/state-pension-age-review-final-report. Accessed 14 January 2019.</w:t>
      </w:r>
      <w:r w:rsidRPr="009015D5">
        <w:rPr>
          <w:lang w:eastAsia="en-GB"/>
        </w:rPr>
        <w:br/>
      </w:r>
      <w:r w:rsidRPr="009015D5">
        <w:rPr>
          <w:lang w:eastAsia="en-GB"/>
        </w:rPr>
        <w:br/>
        <w:t xml:space="preserve">European Commission, &amp; Economic Policy Committee. (2009). </w:t>
      </w:r>
      <w:r w:rsidRPr="009015D5">
        <w:rPr>
          <w:i/>
          <w:iCs/>
          <w:lang w:eastAsia="en-GB"/>
        </w:rPr>
        <w:t>The 2009 Ageing Report: economic and budgetary projections for the EU-27 Member States (2008-2060)</w:t>
      </w:r>
      <w:r w:rsidRPr="009015D5">
        <w:rPr>
          <w:lang w:eastAsia="en-GB"/>
        </w:rPr>
        <w:t>.</w:t>
      </w:r>
    </w:p>
    <w:p w14:paraId="00F6303B" w14:textId="77777777" w:rsidR="00DC5425" w:rsidRPr="009015D5" w:rsidRDefault="00DC5425" w:rsidP="00DC5425">
      <w:pPr>
        <w:spacing w:line="480" w:lineRule="auto"/>
        <w:rPr>
          <w:lang w:eastAsia="en-GB"/>
        </w:rPr>
      </w:pPr>
    </w:p>
    <w:p w14:paraId="7FA4F1FD" w14:textId="77777777" w:rsidR="00DC5425" w:rsidRPr="009015D5" w:rsidRDefault="00DC5425" w:rsidP="00DC5425">
      <w:pPr>
        <w:spacing w:line="480" w:lineRule="auto"/>
        <w:rPr>
          <w:lang w:eastAsia="en-GB"/>
        </w:rPr>
      </w:pPr>
      <w:r w:rsidRPr="009015D5">
        <w:rPr>
          <w:lang w:eastAsia="en-GB"/>
        </w:rPr>
        <w:t xml:space="preserve">Fries, J. F. (1980). Aging, natural death, and the compression of morbidity. </w:t>
      </w:r>
      <w:r w:rsidRPr="009015D5">
        <w:rPr>
          <w:i/>
          <w:iCs/>
          <w:lang w:eastAsia="en-GB"/>
        </w:rPr>
        <w:t>Bulletin of the World Health Organization</w:t>
      </w:r>
      <w:r w:rsidRPr="009015D5">
        <w:rPr>
          <w:lang w:eastAsia="en-GB"/>
        </w:rPr>
        <w:t xml:space="preserve">, </w:t>
      </w:r>
      <w:r w:rsidRPr="009015D5">
        <w:rPr>
          <w:i/>
          <w:iCs/>
          <w:lang w:eastAsia="en-GB"/>
        </w:rPr>
        <w:t>303</w:t>
      </w:r>
      <w:r w:rsidRPr="009015D5">
        <w:rPr>
          <w:lang w:eastAsia="en-GB"/>
        </w:rPr>
        <w:t>(3), 130–135.</w:t>
      </w:r>
    </w:p>
    <w:p w14:paraId="75E47DB4" w14:textId="77777777" w:rsidR="00DC5425" w:rsidRPr="009015D5" w:rsidRDefault="00DC5425" w:rsidP="00DC5425">
      <w:pPr>
        <w:spacing w:line="480" w:lineRule="auto"/>
        <w:rPr>
          <w:lang w:eastAsia="en-GB"/>
        </w:rPr>
      </w:pPr>
      <w:r w:rsidRPr="009015D5">
        <w:rPr>
          <w:lang w:eastAsia="en-GB"/>
        </w:rPr>
        <w:br/>
        <w:t xml:space="preserve">Haan, P., &amp; Myck, M. (2009). Dynamics of health and labor market risks. </w:t>
      </w:r>
      <w:r w:rsidRPr="009015D5">
        <w:rPr>
          <w:i/>
          <w:iCs/>
          <w:lang w:eastAsia="en-GB"/>
        </w:rPr>
        <w:t>Journal of Health Economics</w:t>
      </w:r>
      <w:r w:rsidRPr="009015D5">
        <w:rPr>
          <w:lang w:eastAsia="en-GB"/>
        </w:rPr>
        <w:t xml:space="preserve">, </w:t>
      </w:r>
      <w:r w:rsidRPr="009015D5">
        <w:rPr>
          <w:iCs/>
          <w:lang w:eastAsia="en-GB"/>
        </w:rPr>
        <w:t>28</w:t>
      </w:r>
      <w:r w:rsidRPr="009015D5">
        <w:rPr>
          <w:lang w:eastAsia="en-GB"/>
        </w:rPr>
        <w:t>(6), 1116–1125.</w:t>
      </w:r>
    </w:p>
    <w:p w14:paraId="59B76570" w14:textId="77777777" w:rsidR="00DC5425" w:rsidRPr="009015D5" w:rsidRDefault="00DC5425" w:rsidP="00DC5425">
      <w:pPr>
        <w:spacing w:line="480" w:lineRule="auto"/>
        <w:rPr>
          <w:lang w:eastAsia="en-GB"/>
        </w:rPr>
      </w:pPr>
      <w:r w:rsidRPr="009015D5">
        <w:rPr>
          <w:lang w:eastAsia="en-GB"/>
        </w:rPr>
        <w:br/>
        <w:t xml:space="preserve">Hayden, J. A., van der Windt, D. A., Cartwright, J. L., Côté, P., &amp; Bombardier, C. (2013). Assessing bias in studies of prognostic factors. </w:t>
      </w:r>
      <w:r w:rsidRPr="009015D5">
        <w:rPr>
          <w:i/>
          <w:iCs/>
          <w:lang w:eastAsia="en-GB"/>
        </w:rPr>
        <w:t>Annals of Internal Medicine</w:t>
      </w:r>
      <w:r w:rsidRPr="009015D5">
        <w:rPr>
          <w:lang w:eastAsia="en-GB"/>
        </w:rPr>
        <w:t xml:space="preserve">, </w:t>
      </w:r>
      <w:r w:rsidRPr="009015D5">
        <w:rPr>
          <w:iCs/>
          <w:lang w:eastAsia="en-GB"/>
        </w:rPr>
        <w:t>158</w:t>
      </w:r>
      <w:r w:rsidRPr="009015D5">
        <w:rPr>
          <w:lang w:eastAsia="en-GB"/>
        </w:rPr>
        <w:t>(4), 280–286.</w:t>
      </w:r>
    </w:p>
    <w:p w14:paraId="6BBB6E0C" w14:textId="77777777" w:rsidR="00DC5425" w:rsidRPr="009015D5" w:rsidRDefault="00DC5425" w:rsidP="00DC5425">
      <w:pPr>
        <w:spacing w:line="480" w:lineRule="auto"/>
        <w:rPr>
          <w:lang w:eastAsia="en-GB"/>
        </w:rPr>
      </w:pPr>
      <w:r w:rsidRPr="009015D5">
        <w:rPr>
          <w:lang w:eastAsia="en-GB"/>
        </w:rPr>
        <w:br/>
        <w:t xml:space="preserve">Jagger, C. (2015). </w:t>
      </w:r>
      <w:r w:rsidRPr="009015D5">
        <w:rPr>
          <w:i/>
          <w:iCs/>
          <w:lang w:eastAsia="en-GB"/>
        </w:rPr>
        <w:t>Trends in life expectancy and healthy life expectancy</w:t>
      </w:r>
      <w:r w:rsidRPr="009015D5">
        <w:rPr>
          <w:lang w:eastAsia="en-GB"/>
        </w:rPr>
        <w:t xml:space="preserve"> (Vol. 1, p. 29). Government Office for Science.</w:t>
      </w:r>
    </w:p>
    <w:p w14:paraId="1079C5F0" w14:textId="77777777" w:rsidR="00DC5425" w:rsidRPr="009015D5" w:rsidRDefault="00DC5425" w:rsidP="00DC5425">
      <w:pPr>
        <w:spacing w:line="480" w:lineRule="auto"/>
        <w:rPr>
          <w:lang w:eastAsia="en-GB"/>
        </w:rPr>
      </w:pPr>
    </w:p>
    <w:p w14:paraId="2AAB3A2B" w14:textId="77777777" w:rsidR="00DC5425" w:rsidRPr="009015D5" w:rsidRDefault="00DC5425" w:rsidP="00DC5425">
      <w:pPr>
        <w:spacing w:line="480" w:lineRule="auto"/>
        <w:rPr>
          <w:lang w:eastAsia="en-GB"/>
        </w:rPr>
      </w:pPr>
      <w:r w:rsidRPr="009015D5">
        <w:rPr>
          <w:lang w:eastAsia="en-GB"/>
        </w:rPr>
        <w:lastRenderedPageBreak/>
        <w:t xml:space="preserve">Jagger, C., Matthews, R., Matthews, F., Robinson, T., Robine, J.-M., Brayne, C., &amp; the Medical Research Council Cognitive Function and Ageing Study Investigators. (2007). The burden of diseases on disability-free life expectancy in later life. </w:t>
      </w:r>
      <w:r w:rsidRPr="009015D5">
        <w:rPr>
          <w:i/>
          <w:iCs/>
          <w:lang w:eastAsia="en-GB"/>
        </w:rPr>
        <w:t>The Journals of Gerontology. Series A, Biological Sciences and Medical Sciences</w:t>
      </w:r>
      <w:r w:rsidRPr="009015D5">
        <w:rPr>
          <w:lang w:eastAsia="en-GB"/>
        </w:rPr>
        <w:t xml:space="preserve">, </w:t>
      </w:r>
      <w:r w:rsidRPr="009015D5">
        <w:rPr>
          <w:i/>
          <w:iCs/>
          <w:lang w:eastAsia="en-GB"/>
        </w:rPr>
        <w:t>62A</w:t>
      </w:r>
      <w:r w:rsidRPr="009015D5">
        <w:rPr>
          <w:lang w:eastAsia="en-GB"/>
        </w:rPr>
        <w:t>(4), 408–414.</w:t>
      </w:r>
    </w:p>
    <w:p w14:paraId="05E33D05" w14:textId="77777777" w:rsidR="00DC5425" w:rsidRPr="009015D5" w:rsidRDefault="00DC5425" w:rsidP="00DC5425">
      <w:pPr>
        <w:spacing w:line="480" w:lineRule="auto"/>
        <w:rPr>
          <w:lang w:eastAsia="en-GB"/>
        </w:rPr>
      </w:pPr>
      <w:r w:rsidRPr="009015D5">
        <w:rPr>
          <w:lang w:eastAsia="en-GB"/>
        </w:rPr>
        <w:br/>
        <w:t xml:space="preserve">Kaprio, J., Sarna, S., Fogelholm, M., &amp; Koskenvuo, M. (1996). Total and occupationally active life expectancies in relation to social class and marital status in men classified as healthy at 20 in Finland. </w:t>
      </w:r>
      <w:r w:rsidRPr="009015D5">
        <w:rPr>
          <w:i/>
          <w:iCs/>
          <w:lang w:eastAsia="en-GB"/>
        </w:rPr>
        <w:t>Journal of Epidemiology and Community Health</w:t>
      </w:r>
      <w:r w:rsidRPr="009015D5">
        <w:rPr>
          <w:lang w:eastAsia="en-GB"/>
        </w:rPr>
        <w:t xml:space="preserve">, </w:t>
      </w:r>
      <w:r w:rsidRPr="009015D5">
        <w:rPr>
          <w:iCs/>
          <w:lang w:eastAsia="en-GB"/>
        </w:rPr>
        <w:t>50</w:t>
      </w:r>
      <w:r w:rsidRPr="009015D5">
        <w:rPr>
          <w:lang w:eastAsia="en-GB"/>
        </w:rPr>
        <w:t>(6), 653–660.</w:t>
      </w:r>
    </w:p>
    <w:p w14:paraId="79A8A189" w14:textId="77777777" w:rsidR="00DC5425" w:rsidRPr="009015D5" w:rsidRDefault="00DC5425" w:rsidP="00DC5425">
      <w:pPr>
        <w:spacing w:line="480" w:lineRule="auto"/>
        <w:rPr>
          <w:lang w:eastAsia="en-GB"/>
        </w:rPr>
      </w:pPr>
      <w:r w:rsidRPr="009015D5">
        <w:rPr>
          <w:lang w:eastAsia="en-GB"/>
        </w:rPr>
        <w:br/>
        <w:t xml:space="preserve">Lievre, A., et al. (2007). Healthy working life expectancies at age 50 in Europe: a new indicator. </w:t>
      </w:r>
      <w:r w:rsidRPr="009015D5">
        <w:rPr>
          <w:i/>
          <w:iCs/>
          <w:lang w:eastAsia="en-GB"/>
        </w:rPr>
        <w:t>The Journal of Nutrition, Health &amp; Aging</w:t>
      </w:r>
      <w:r w:rsidRPr="009015D5">
        <w:rPr>
          <w:lang w:eastAsia="en-GB"/>
        </w:rPr>
        <w:t xml:space="preserve">, </w:t>
      </w:r>
      <w:r w:rsidRPr="009015D5">
        <w:rPr>
          <w:iCs/>
          <w:lang w:eastAsia="en-GB"/>
        </w:rPr>
        <w:t>11</w:t>
      </w:r>
      <w:r w:rsidRPr="009015D5">
        <w:rPr>
          <w:lang w:eastAsia="en-GB"/>
        </w:rPr>
        <w:t>(6), 508–514.</w:t>
      </w:r>
    </w:p>
    <w:p w14:paraId="5549F1DD" w14:textId="77777777" w:rsidR="00DC5425" w:rsidRPr="009015D5" w:rsidRDefault="00DC5425" w:rsidP="00DC5425">
      <w:pPr>
        <w:spacing w:line="480" w:lineRule="auto"/>
        <w:rPr>
          <w:lang w:eastAsia="en-GB"/>
        </w:rPr>
      </w:pPr>
      <w:r w:rsidRPr="009015D5">
        <w:rPr>
          <w:lang w:eastAsia="en-GB"/>
        </w:rPr>
        <w:br/>
        <w:t xml:space="preserve">Maltby, T. (2012). “Work Ability”: a practical model for improving the quality of work, health and wellbeing across the life-course? In S. Vickerstaff, C. Phillipson, &amp; R. Wilkie (Eds.), </w:t>
      </w:r>
      <w:r w:rsidRPr="009015D5">
        <w:rPr>
          <w:i/>
          <w:iCs/>
          <w:lang w:eastAsia="en-GB"/>
        </w:rPr>
        <w:t>Work, Health and Wellbeing</w:t>
      </w:r>
      <w:r w:rsidRPr="009015D5">
        <w:rPr>
          <w:lang w:eastAsia="en-GB"/>
        </w:rPr>
        <w:t xml:space="preserve"> (pp. 187–208). Policy Press.</w:t>
      </w:r>
    </w:p>
    <w:p w14:paraId="10D0971C" w14:textId="77777777" w:rsidR="00DC5425" w:rsidRPr="009015D5" w:rsidRDefault="00DC5425" w:rsidP="00DC5425">
      <w:pPr>
        <w:spacing w:line="480" w:lineRule="auto"/>
        <w:rPr>
          <w:lang w:eastAsia="en-GB"/>
        </w:rPr>
      </w:pPr>
    </w:p>
    <w:p w14:paraId="2D41CF43" w14:textId="77777777" w:rsidR="00DC5425" w:rsidRPr="009015D5" w:rsidRDefault="00DC5425" w:rsidP="00DC5425">
      <w:pPr>
        <w:spacing w:line="480" w:lineRule="auto"/>
        <w:rPr>
          <w:lang w:eastAsia="en-GB"/>
        </w:rPr>
      </w:pPr>
      <w:r w:rsidRPr="009015D5">
        <w:rPr>
          <w:lang w:eastAsia="en-GB"/>
        </w:rPr>
        <w:t xml:space="preserve">Manton, K. G. (1982). Changing concepts of morbidity and mortality in the elderly population. </w:t>
      </w:r>
      <w:r w:rsidRPr="009015D5">
        <w:rPr>
          <w:i/>
          <w:iCs/>
          <w:lang w:eastAsia="en-GB"/>
        </w:rPr>
        <w:t>The Milbank Memorial Fund Quarterly. Health and Society</w:t>
      </w:r>
      <w:r w:rsidRPr="009015D5">
        <w:rPr>
          <w:lang w:eastAsia="en-GB"/>
        </w:rPr>
        <w:t xml:space="preserve">, </w:t>
      </w:r>
      <w:r w:rsidRPr="009015D5">
        <w:rPr>
          <w:i/>
          <w:iCs/>
          <w:lang w:eastAsia="en-GB"/>
        </w:rPr>
        <w:t>60</w:t>
      </w:r>
      <w:r w:rsidRPr="009015D5">
        <w:rPr>
          <w:lang w:eastAsia="en-GB"/>
        </w:rPr>
        <w:t>(2), 183–244.</w:t>
      </w:r>
    </w:p>
    <w:p w14:paraId="50B8F8C2" w14:textId="77777777" w:rsidR="00DC5425" w:rsidRPr="009015D5" w:rsidRDefault="00DC5425" w:rsidP="00DC5425">
      <w:pPr>
        <w:spacing w:line="480" w:lineRule="auto"/>
        <w:rPr>
          <w:lang w:eastAsia="en-GB"/>
        </w:rPr>
      </w:pPr>
      <w:r w:rsidRPr="009015D5">
        <w:rPr>
          <w:lang w:eastAsia="en-GB"/>
        </w:rPr>
        <w:br/>
        <w:t xml:space="preserve">Mutafova, M., van de Water, H. P., Perenboom, R. J., Boshuizen, H. C., &amp; Maleshkov, C. (1996). Occupational handicap-free life expectancy in Bulgaria 1976-1992 based on the data of the medical expert commissions. </w:t>
      </w:r>
      <w:r w:rsidRPr="009015D5">
        <w:rPr>
          <w:i/>
          <w:iCs/>
          <w:lang w:eastAsia="en-GB"/>
        </w:rPr>
        <w:t xml:space="preserve">Social Science &amp; Medicine </w:t>
      </w:r>
      <w:r w:rsidRPr="009015D5">
        <w:rPr>
          <w:lang w:eastAsia="en-GB"/>
        </w:rPr>
        <w:t xml:space="preserve">, </w:t>
      </w:r>
      <w:r w:rsidRPr="009015D5">
        <w:rPr>
          <w:iCs/>
          <w:lang w:eastAsia="en-GB"/>
        </w:rPr>
        <w:t>43</w:t>
      </w:r>
      <w:r w:rsidRPr="009015D5">
        <w:rPr>
          <w:lang w:eastAsia="en-GB"/>
        </w:rPr>
        <w:t>(4), 537–542.</w:t>
      </w:r>
    </w:p>
    <w:p w14:paraId="632C05E3" w14:textId="77777777" w:rsidR="00DC5425" w:rsidRPr="009015D5" w:rsidRDefault="00DC5425" w:rsidP="00DC5425">
      <w:pPr>
        <w:spacing w:line="480" w:lineRule="auto"/>
        <w:rPr>
          <w:lang w:eastAsia="en-GB"/>
        </w:rPr>
      </w:pPr>
      <w:r w:rsidRPr="009015D5">
        <w:rPr>
          <w:lang w:eastAsia="en-GB"/>
        </w:rPr>
        <w:br/>
        <w:t xml:space="preserve">Naik, Y., et al. (2017). The macro-economic determinants of health and health inequalities-umbrella </w:t>
      </w:r>
      <w:r w:rsidRPr="009015D5">
        <w:rPr>
          <w:lang w:eastAsia="en-GB"/>
        </w:rPr>
        <w:lastRenderedPageBreak/>
        <w:t xml:space="preserve">review protocol. </w:t>
      </w:r>
      <w:r w:rsidRPr="009015D5">
        <w:rPr>
          <w:i/>
          <w:iCs/>
          <w:lang w:eastAsia="en-GB"/>
        </w:rPr>
        <w:t>Systematic Reviews</w:t>
      </w:r>
      <w:r w:rsidRPr="009015D5">
        <w:rPr>
          <w:lang w:eastAsia="en-GB"/>
        </w:rPr>
        <w:t xml:space="preserve">, </w:t>
      </w:r>
      <w:r w:rsidRPr="009015D5">
        <w:rPr>
          <w:iCs/>
          <w:lang w:eastAsia="en-GB"/>
        </w:rPr>
        <w:t>6</w:t>
      </w:r>
      <w:r w:rsidRPr="009015D5">
        <w:rPr>
          <w:lang w:eastAsia="en-GB"/>
        </w:rPr>
        <w:t>(1), 222.</w:t>
      </w:r>
      <w:r w:rsidRPr="009015D5">
        <w:rPr>
          <w:lang w:eastAsia="en-GB"/>
        </w:rPr>
        <w:br/>
      </w:r>
      <w:r w:rsidRPr="009015D5">
        <w:rPr>
          <w:lang w:eastAsia="en-GB"/>
        </w:rPr>
        <w:br/>
        <w:t xml:space="preserve">Nurminen, M. (2004). Working population health metrics. </w:t>
      </w:r>
      <w:r w:rsidRPr="009015D5">
        <w:rPr>
          <w:i/>
          <w:iCs/>
          <w:lang w:eastAsia="en-GB"/>
        </w:rPr>
        <w:t>Scandinavian Journal of Work, Environment &amp; Health</w:t>
      </w:r>
      <w:r w:rsidRPr="009015D5">
        <w:rPr>
          <w:lang w:eastAsia="en-GB"/>
        </w:rPr>
        <w:t xml:space="preserve">, </w:t>
      </w:r>
      <w:r w:rsidRPr="009015D5">
        <w:rPr>
          <w:iCs/>
          <w:lang w:eastAsia="en-GB"/>
        </w:rPr>
        <w:t>30</w:t>
      </w:r>
      <w:r w:rsidRPr="009015D5">
        <w:rPr>
          <w:lang w:eastAsia="en-GB"/>
        </w:rPr>
        <w:t>(5), 339–349.</w:t>
      </w:r>
    </w:p>
    <w:p w14:paraId="2AEAC662" w14:textId="77777777" w:rsidR="00DC5425" w:rsidRPr="009015D5" w:rsidRDefault="00DC5425" w:rsidP="00DC5425">
      <w:pPr>
        <w:spacing w:line="480" w:lineRule="auto"/>
        <w:rPr>
          <w:lang w:eastAsia="en-GB"/>
        </w:rPr>
      </w:pPr>
      <w:r w:rsidRPr="009015D5">
        <w:rPr>
          <w:lang w:eastAsia="en-GB"/>
        </w:rPr>
        <w:br/>
        <w:t xml:space="preserve">Nurminen, M. M., Heathcote, C. R., &amp; Davis, B. A. (2004). Estimating Marginal Cohort Working Life Expectancies from Sequential Cross-sectional Survey Data. </w:t>
      </w:r>
      <w:r w:rsidRPr="009015D5">
        <w:rPr>
          <w:i/>
          <w:iCs/>
          <w:lang w:eastAsia="en-GB"/>
        </w:rPr>
        <w:t>Journal of Official Statistics</w:t>
      </w:r>
      <w:r w:rsidRPr="009015D5">
        <w:rPr>
          <w:lang w:eastAsia="en-GB"/>
        </w:rPr>
        <w:t xml:space="preserve">, </w:t>
      </w:r>
      <w:r w:rsidRPr="009015D5">
        <w:rPr>
          <w:iCs/>
          <w:lang w:eastAsia="en-GB"/>
        </w:rPr>
        <w:t>20</w:t>
      </w:r>
      <w:r w:rsidRPr="009015D5">
        <w:rPr>
          <w:lang w:eastAsia="en-GB"/>
        </w:rPr>
        <w:t>(3), 495–517.</w:t>
      </w:r>
    </w:p>
    <w:p w14:paraId="0BC96D2E" w14:textId="77777777" w:rsidR="00DC5425" w:rsidRPr="009015D5" w:rsidRDefault="00DC5425" w:rsidP="00DC5425">
      <w:pPr>
        <w:spacing w:line="480" w:lineRule="auto"/>
        <w:rPr>
          <w:lang w:eastAsia="en-GB"/>
        </w:rPr>
      </w:pPr>
    </w:p>
    <w:p w14:paraId="496E2D71" w14:textId="77777777" w:rsidR="00DC5425" w:rsidRPr="009015D5" w:rsidRDefault="00DC5425" w:rsidP="00DC5425">
      <w:pPr>
        <w:spacing w:line="480" w:lineRule="auto"/>
        <w:rPr>
          <w:lang w:eastAsia="en-GB"/>
        </w:rPr>
      </w:pPr>
      <w:r w:rsidRPr="009015D5">
        <w:rPr>
          <w:lang w:eastAsia="en-GB"/>
        </w:rPr>
        <w:t xml:space="preserve">Olshansky, S. J., Rudberg, M. A., Carnes, B. A., &amp; Cassel, C. K. (1991). Trading Off Longer Life for Worsening Health: The Expansion of Morbidity Hypothesis. </w:t>
      </w:r>
      <w:r w:rsidRPr="009015D5">
        <w:rPr>
          <w:i/>
          <w:iCs/>
          <w:lang w:eastAsia="en-GB"/>
        </w:rPr>
        <w:t>Journal of Aging and Health</w:t>
      </w:r>
      <w:r w:rsidRPr="009015D5">
        <w:rPr>
          <w:lang w:eastAsia="en-GB"/>
        </w:rPr>
        <w:t xml:space="preserve">, </w:t>
      </w:r>
      <w:r w:rsidRPr="009015D5">
        <w:rPr>
          <w:i/>
          <w:iCs/>
          <w:lang w:eastAsia="en-GB"/>
        </w:rPr>
        <w:t>3</w:t>
      </w:r>
      <w:r w:rsidRPr="009015D5">
        <w:rPr>
          <w:lang w:eastAsia="en-GB"/>
        </w:rPr>
        <w:t>(2), 194–216.</w:t>
      </w:r>
    </w:p>
    <w:p w14:paraId="22D21694" w14:textId="77777777" w:rsidR="00DC5425" w:rsidRPr="009015D5" w:rsidRDefault="00DC5425" w:rsidP="00DC5425">
      <w:pPr>
        <w:spacing w:line="480" w:lineRule="auto"/>
        <w:rPr>
          <w:lang w:eastAsia="en-GB"/>
        </w:rPr>
      </w:pPr>
      <w:r w:rsidRPr="009015D5">
        <w:rPr>
          <w:lang w:eastAsia="en-GB"/>
        </w:rPr>
        <w:br/>
        <w:t xml:space="preserve">Performance And Innovation Unit. (2000). </w:t>
      </w:r>
      <w:r w:rsidRPr="009015D5">
        <w:rPr>
          <w:i/>
          <w:iCs/>
          <w:lang w:eastAsia="en-GB"/>
        </w:rPr>
        <w:t>Winning the Generation Game: Improving opportunities for people aged 50–65 in work and community activity</w:t>
      </w:r>
      <w:r w:rsidRPr="009015D5">
        <w:rPr>
          <w:lang w:eastAsia="en-GB"/>
        </w:rPr>
        <w:t>. http://www.donaldhirsch.com/generation.pdf. Accessed 31 May 2018.</w:t>
      </w:r>
      <w:r w:rsidRPr="009015D5">
        <w:rPr>
          <w:lang w:eastAsia="en-GB"/>
        </w:rPr>
        <w:br/>
      </w:r>
      <w:r w:rsidRPr="009015D5">
        <w:rPr>
          <w:lang w:eastAsia="en-GB"/>
        </w:rPr>
        <w:br/>
        <w:t xml:space="preserve">Popay, J., Roberts, H., Sowden, A., Petticrew, M., &amp; Duffy, S. (2006). </w:t>
      </w:r>
      <w:r w:rsidRPr="009015D5">
        <w:rPr>
          <w:i/>
          <w:iCs/>
          <w:lang w:eastAsia="en-GB"/>
        </w:rPr>
        <w:t>Guidance on the conduct of narrative synthesis in systematic reviews: A product from the ESRC Methods Programme</w:t>
      </w:r>
      <w:r w:rsidRPr="009015D5">
        <w:rPr>
          <w:lang w:eastAsia="en-GB"/>
        </w:rPr>
        <w:t>.</w:t>
      </w:r>
    </w:p>
    <w:p w14:paraId="70B8ED07" w14:textId="77777777" w:rsidR="00DC5425" w:rsidRDefault="00DC5425" w:rsidP="00DC5425">
      <w:pPr>
        <w:spacing w:line="480" w:lineRule="auto"/>
        <w:rPr>
          <w:lang w:eastAsia="en-GB"/>
        </w:rPr>
      </w:pPr>
      <w:r w:rsidRPr="009015D5">
        <w:rPr>
          <w:lang w:eastAsia="en-GB"/>
        </w:rPr>
        <w:br/>
        <w:t xml:space="preserve">Ringen, S. (1995). Well-being, Measurement, and Preferences. </w:t>
      </w:r>
      <w:r w:rsidRPr="009015D5">
        <w:rPr>
          <w:i/>
          <w:iCs/>
          <w:lang w:eastAsia="en-GB"/>
        </w:rPr>
        <w:t>Acta Sociologica</w:t>
      </w:r>
      <w:r w:rsidRPr="009015D5">
        <w:rPr>
          <w:lang w:eastAsia="en-GB"/>
        </w:rPr>
        <w:t xml:space="preserve">, </w:t>
      </w:r>
      <w:r w:rsidRPr="009015D5">
        <w:rPr>
          <w:iCs/>
          <w:lang w:eastAsia="en-GB"/>
        </w:rPr>
        <w:t>38</w:t>
      </w:r>
      <w:r w:rsidRPr="009015D5">
        <w:rPr>
          <w:lang w:eastAsia="en-GB"/>
        </w:rPr>
        <w:t>(1), 3–15.</w:t>
      </w:r>
    </w:p>
    <w:p w14:paraId="016A0767" w14:textId="77777777" w:rsidR="00DC5425" w:rsidRPr="009015D5" w:rsidRDefault="00DC5425" w:rsidP="00DC5425">
      <w:pPr>
        <w:spacing w:line="480" w:lineRule="auto"/>
        <w:rPr>
          <w:lang w:eastAsia="en-GB"/>
        </w:rPr>
      </w:pPr>
    </w:p>
    <w:p w14:paraId="5BAAB696" w14:textId="77777777" w:rsidR="00DC5425" w:rsidRPr="009015D5" w:rsidRDefault="00DC5425" w:rsidP="00DC5425">
      <w:pPr>
        <w:spacing w:line="480" w:lineRule="auto"/>
        <w:rPr>
          <w:lang w:eastAsia="en-GB"/>
        </w:rPr>
      </w:pPr>
      <w:r w:rsidRPr="009015D5">
        <w:rPr>
          <w:lang w:eastAsia="en-GB"/>
        </w:rPr>
        <w:t xml:space="preserve">Robine, J.-M., Jagger, C., Mathers, C. D., Crimmins, E. M., &amp; Suzman, R. M. (2003). </w:t>
      </w:r>
      <w:r w:rsidRPr="009015D5">
        <w:rPr>
          <w:i/>
          <w:iCs/>
          <w:lang w:eastAsia="en-GB"/>
        </w:rPr>
        <w:t>Determining Health Expectancies</w:t>
      </w:r>
      <w:r w:rsidRPr="009015D5">
        <w:rPr>
          <w:lang w:eastAsia="en-GB"/>
        </w:rPr>
        <w:t>. John Wiley &amp; Sons.</w:t>
      </w:r>
    </w:p>
    <w:p w14:paraId="3F2B6CDD" w14:textId="77777777" w:rsidR="00DC5425" w:rsidRPr="009015D5" w:rsidRDefault="00DC5425" w:rsidP="00DC5425">
      <w:pPr>
        <w:spacing w:line="480" w:lineRule="auto"/>
        <w:rPr>
          <w:lang w:eastAsia="en-GB"/>
        </w:rPr>
      </w:pPr>
      <w:r w:rsidRPr="009015D5">
        <w:rPr>
          <w:lang w:eastAsia="en-GB"/>
        </w:rPr>
        <w:lastRenderedPageBreak/>
        <w:br/>
        <w:t xml:space="preserve">Rugulies, R. (2019). What is a psychosocial work environment? </w:t>
      </w:r>
      <w:r w:rsidRPr="009015D5">
        <w:rPr>
          <w:i/>
          <w:iCs/>
          <w:lang w:eastAsia="en-GB"/>
        </w:rPr>
        <w:t>Scandinavian Journal of Work, Environment &amp; Health</w:t>
      </w:r>
      <w:r w:rsidRPr="009015D5">
        <w:rPr>
          <w:lang w:eastAsia="en-GB"/>
        </w:rPr>
        <w:t xml:space="preserve">, </w:t>
      </w:r>
      <w:r w:rsidRPr="009015D5">
        <w:rPr>
          <w:iCs/>
          <w:lang w:eastAsia="en-GB"/>
        </w:rPr>
        <w:t>45</w:t>
      </w:r>
      <w:r w:rsidRPr="009015D5">
        <w:rPr>
          <w:lang w:eastAsia="en-GB"/>
        </w:rPr>
        <w:t xml:space="preserve">(1). </w:t>
      </w:r>
    </w:p>
    <w:p w14:paraId="6A22731E" w14:textId="77777777" w:rsidR="00DC5425" w:rsidRDefault="00DC5425" w:rsidP="00DC5425">
      <w:pPr>
        <w:spacing w:line="480" w:lineRule="auto"/>
        <w:rPr>
          <w:lang w:eastAsia="en-GB"/>
        </w:rPr>
      </w:pPr>
    </w:p>
    <w:p w14:paraId="7FFC2D74" w14:textId="0F667EFD" w:rsidR="00DC5425" w:rsidRPr="009015D5" w:rsidRDefault="00DC5425" w:rsidP="00DC5425">
      <w:pPr>
        <w:spacing w:line="480" w:lineRule="auto"/>
        <w:rPr>
          <w:lang w:eastAsia="en-GB"/>
        </w:rPr>
      </w:pPr>
      <w:r w:rsidRPr="009015D5">
        <w:rPr>
          <w:lang w:eastAsia="en-GB"/>
        </w:rPr>
        <w:t xml:space="preserve">Spijker, J., &amp; MacInnes, J. (2013). Population ageing: the timebomb that isn’t? </w:t>
      </w:r>
      <w:r w:rsidRPr="009015D5">
        <w:rPr>
          <w:i/>
          <w:iCs/>
          <w:lang w:eastAsia="en-GB"/>
        </w:rPr>
        <w:t xml:space="preserve">BMJ </w:t>
      </w:r>
      <w:r w:rsidRPr="009015D5">
        <w:rPr>
          <w:lang w:eastAsia="en-GB"/>
        </w:rPr>
        <w:t xml:space="preserve">, </w:t>
      </w:r>
      <w:r w:rsidRPr="009015D5">
        <w:rPr>
          <w:i/>
          <w:iCs/>
          <w:lang w:eastAsia="en-GB"/>
        </w:rPr>
        <w:t>347</w:t>
      </w:r>
      <w:r w:rsidRPr="009015D5">
        <w:rPr>
          <w:lang w:eastAsia="en-GB"/>
        </w:rPr>
        <w:t>, f6598.</w:t>
      </w:r>
      <w:r w:rsidRPr="009015D5">
        <w:rPr>
          <w:lang w:eastAsia="en-GB"/>
        </w:rPr>
        <w:br/>
      </w:r>
      <w:r w:rsidRPr="009015D5">
        <w:rPr>
          <w:lang w:eastAsia="en-GB"/>
        </w:rPr>
        <w:br/>
        <w:t xml:space="preserve">Stern, S. (1989). Measuring The Effect Of Disability On Labor Force Participation. </w:t>
      </w:r>
      <w:r w:rsidRPr="009015D5">
        <w:rPr>
          <w:i/>
          <w:iCs/>
          <w:lang w:eastAsia="en-GB"/>
        </w:rPr>
        <w:t>The Journal of Human Resources; Madison</w:t>
      </w:r>
      <w:r w:rsidRPr="009015D5">
        <w:rPr>
          <w:lang w:eastAsia="en-GB"/>
        </w:rPr>
        <w:t xml:space="preserve">, </w:t>
      </w:r>
      <w:r w:rsidRPr="009015D5">
        <w:rPr>
          <w:iCs/>
          <w:lang w:eastAsia="en-GB"/>
        </w:rPr>
        <w:t>24</w:t>
      </w:r>
      <w:r w:rsidRPr="009015D5">
        <w:rPr>
          <w:lang w:eastAsia="en-GB"/>
        </w:rPr>
        <w:t>(3), 361–396.</w:t>
      </w:r>
      <w:r w:rsidRPr="009015D5">
        <w:rPr>
          <w:lang w:eastAsia="en-GB"/>
        </w:rPr>
        <w:br/>
      </w:r>
      <w:r w:rsidRPr="009015D5">
        <w:rPr>
          <w:lang w:eastAsia="en-GB"/>
        </w:rPr>
        <w:br/>
        <w:t xml:space="preserve">Tang, W., Hu, J., Zhang, H., Wu, P., &amp; He, H. (2015). Kappa coefficient: a popular measure of rater agreement. </w:t>
      </w:r>
      <w:r w:rsidRPr="009015D5">
        <w:rPr>
          <w:i/>
          <w:iCs/>
          <w:lang w:eastAsia="en-GB"/>
        </w:rPr>
        <w:t>Shanghai Archives of Psychiatry</w:t>
      </w:r>
      <w:r w:rsidRPr="009015D5">
        <w:rPr>
          <w:lang w:eastAsia="en-GB"/>
        </w:rPr>
        <w:t xml:space="preserve">, </w:t>
      </w:r>
      <w:r w:rsidRPr="009015D5">
        <w:rPr>
          <w:iCs/>
          <w:lang w:eastAsia="en-GB"/>
        </w:rPr>
        <w:t>27</w:t>
      </w:r>
      <w:r w:rsidRPr="009015D5">
        <w:rPr>
          <w:lang w:eastAsia="en-GB"/>
        </w:rPr>
        <w:t>(1), 62–67.</w:t>
      </w:r>
      <w:r w:rsidRPr="009015D5">
        <w:rPr>
          <w:lang w:eastAsia="en-GB"/>
        </w:rPr>
        <w:br/>
      </w:r>
      <w:r w:rsidRPr="009015D5">
        <w:rPr>
          <w:lang w:eastAsia="en-GB"/>
        </w:rPr>
        <w:br/>
        <w:t xml:space="preserve">United Nations. (2017). </w:t>
      </w:r>
      <w:r w:rsidRPr="009015D5">
        <w:rPr>
          <w:i/>
          <w:iCs/>
          <w:lang w:eastAsia="en-GB"/>
        </w:rPr>
        <w:t>World Population Ageing 2017</w:t>
      </w:r>
      <w:r w:rsidRPr="009015D5">
        <w:rPr>
          <w:lang w:eastAsia="en-GB"/>
        </w:rPr>
        <w:t>. http://www.un.org/en/development/desa/population/publications/pdf/ageing/WPA2017_Report.pdf. Accessed 14 November 2018.</w:t>
      </w:r>
    </w:p>
    <w:p w14:paraId="0868ACD0" w14:textId="77777777" w:rsidR="00DC5425" w:rsidRPr="009015D5" w:rsidRDefault="00DC5425" w:rsidP="00DC5425">
      <w:pPr>
        <w:spacing w:line="480" w:lineRule="auto"/>
        <w:rPr>
          <w:lang w:eastAsia="en-GB"/>
        </w:rPr>
      </w:pPr>
      <w:r w:rsidRPr="009015D5">
        <w:rPr>
          <w:lang w:eastAsia="en-GB"/>
        </w:rPr>
        <w:br/>
        <w:t xml:space="preserve">van den Berg, T. I. J., Elders, L. A. M., &amp; Burdorf, A. (2010). Influence of health and work on early retirement. </w:t>
      </w:r>
      <w:r w:rsidRPr="009015D5">
        <w:rPr>
          <w:i/>
          <w:iCs/>
          <w:lang w:eastAsia="en-GB"/>
        </w:rPr>
        <w:t>Journal of Occupational and Environmental Medicine / American College of Occupational and Environmental Medicine</w:t>
      </w:r>
      <w:r w:rsidRPr="009015D5">
        <w:rPr>
          <w:lang w:eastAsia="en-GB"/>
        </w:rPr>
        <w:t xml:space="preserve">, </w:t>
      </w:r>
      <w:r w:rsidRPr="009015D5">
        <w:rPr>
          <w:iCs/>
          <w:lang w:eastAsia="en-GB"/>
        </w:rPr>
        <w:t>52</w:t>
      </w:r>
      <w:r w:rsidRPr="009015D5">
        <w:rPr>
          <w:lang w:eastAsia="en-GB"/>
        </w:rPr>
        <w:t>(6), 576–583.</w:t>
      </w:r>
    </w:p>
    <w:p w14:paraId="32BA49CE" w14:textId="77777777" w:rsidR="00DC5425" w:rsidRPr="009015D5" w:rsidRDefault="00DC5425" w:rsidP="00DC5425">
      <w:pPr>
        <w:spacing w:line="480" w:lineRule="auto"/>
        <w:rPr>
          <w:lang w:eastAsia="en-GB"/>
        </w:rPr>
      </w:pPr>
      <w:r w:rsidRPr="009015D5">
        <w:rPr>
          <w:lang w:eastAsia="en-GB"/>
        </w:rPr>
        <w:br/>
        <w:t xml:space="preserve">van den Berg, T., Schuring, M., Avendano, M., Mackenbach, J., &amp; Burdorf, A. (2010). The impact of ill health on exit from paid employment in Europe among older workers. </w:t>
      </w:r>
      <w:r w:rsidRPr="009015D5">
        <w:rPr>
          <w:i/>
          <w:iCs/>
          <w:lang w:eastAsia="en-GB"/>
        </w:rPr>
        <w:t>Occupational and Environmental Medicine</w:t>
      </w:r>
      <w:r w:rsidRPr="009015D5">
        <w:rPr>
          <w:lang w:eastAsia="en-GB"/>
        </w:rPr>
        <w:t xml:space="preserve">, </w:t>
      </w:r>
      <w:r w:rsidRPr="009015D5">
        <w:rPr>
          <w:iCs/>
          <w:lang w:eastAsia="en-GB"/>
        </w:rPr>
        <w:t>67</w:t>
      </w:r>
      <w:r w:rsidRPr="009015D5">
        <w:rPr>
          <w:lang w:eastAsia="en-GB"/>
        </w:rPr>
        <w:t>(12), 845–852.</w:t>
      </w:r>
    </w:p>
    <w:p w14:paraId="2FAE3E0D" w14:textId="77777777" w:rsidR="00DC5425" w:rsidRDefault="00DC5425" w:rsidP="00DC5425">
      <w:pPr>
        <w:spacing w:line="480" w:lineRule="auto"/>
        <w:rPr>
          <w:lang w:eastAsia="en-GB"/>
        </w:rPr>
      </w:pPr>
      <w:r w:rsidRPr="009015D5">
        <w:rPr>
          <w:lang w:eastAsia="en-GB"/>
        </w:rPr>
        <w:lastRenderedPageBreak/>
        <w:br/>
        <w:t xml:space="preserve">van der Noordt M., van der Pas S., van Tilburg T.G., van den Hout A., &amp; Deeg D.J.H. (2019). Changes in working life expectancy with disability in the Netherlands, 1992-2016. </w:t>
      </w:r>
      <w:r w:rsidRPr="009015D5">
        <w:rPr>
          <w:i/>
          <w:iCs/>
          <w:lang w:eastAsia="en-GB"/>
        </w:rPr>
        <w:t>Scandinavian Journal of Work, Environment &amp; Health</w:t>
      </w:r>
      <w:r w:rsidRPr="009015D5">
        <w:rPr>
          <w:lang w:eastAsia="en-GB"/>
        </w:rPr>
        <w:t xml:space="preserve">, </w:t>
      </w:r>
      <w:r w:rsidRPr="009015D5">
        <w:rPr>
          <w:iCs/>
          <w:lang w:eastAsia="en-GB"/>
        </w:rPr>
        <w:t>45</w:t>
      </w:r>
      <w:r w:rsidRPr="009015D5">
        <w:rPr>
          <w:lang w:eastAsia="en-GB"/>
        </w:rPr>
        <w:t>(1), 73–81</w:t>
      </w:r>
    </w:p>
    <w:p w14:paraId="4A8F46DF" w14:textId="77777777" w:rsidR="00DC5425" w:rsidRPr="009015D5" w:rsidRDefault="00DC5425" w:rsidP="00DC5425">
      <w:pPr>
        <w:spacing w:line="480" w:lineRule="auto"/>
        <w:rPr>
          <w:lang w:eastAsia="en-GB"/>
        </w:rPr>
      </w:pPr>
    </w:p>
    <w:p w14:paraId="759EC428" w14:textId="77777777" w:rsidR="00DC5425" w:rsidRPr="009015D5" w:rsidRDefault="00DC5425" w:rsidP="00DC5425">
      <w:pPr>
        <w:spacing w:line="480" w:lineRule="auto"/>
        <w:rPr>
          <w:lang w:eastAsia="en-GB"/>
        </w:rPr>
      </w:pPr>
      <w:r w:rsidRPr="009015D5">
        <w:rPr>
          <w:lang w:eastAsia="en-GB"/>
        </w:rPr>
        <w:t xml:space="preserve">Vickerstaff, S., Phillipson, C., &amp; Wilkie, R. (2012). Work, health and wellbeing: an introduction. In S. Vickerstaff, C. Phillipson, &amp; R. Wilkie (Eds.), </w:t>
      </w:r>
      <w:r w:rsidRPr="009015D5">
        <w:rPr>
          <w:i/>
          <w:iCs/>
          <w:lang w:eastAsia="en-GB"/>
        </w:rPr>
        <w:t>Work, Health and Wellbeing: The Challenges of Managing Health at Work</w:t>
      </w:r>
      <w:r w:rsidRPr="009015D5">
        <w:rPr>
          <w:lang w:eastAsia="en-GB"/>
        </w:rPr>
        <w:t xml:space="preserve"> (pp. 1–20). Policy Press.</w:t>
      </w:r>
    </w:p>
    <w:p w14:paraId="66D828FE" w14:textId="77777777" w:rsidR="00DC5425" w:rsidRDefault="00DC5425" w:rsidP="00DC5425">
      <w:pPr>
        <w:spacing w:line="480" w:lineRule="auto"/>
        <w:rPr>
          <w:lang w:eastAsia="en-GB"/>
        </w:rPr>
      </w:pPr>
      <w:r w:rsidRPr="009015D5">
        <w:rPr>
          <w:lang w:eastAsia="en-GB"/>
        </w:rPr>
        <w:br/>
        <w:t xml:space="preserve">Wilkie, R. (2012). Musculoskeletal disorders: challenges and opportunities. In S. Vickerstaff, C. Phillipson, &amp; R. Wilkie (Eds.), </w:t>
      </w:r>
      <w:r w:rsidRPr="009015D5">
        <w:rPr>
          <w:i/>
          <w:iCs/>
          <w:lang w:eastAsia="en-GB"/>
        </w:rPr>
        <w:t>Work, Health and Wellbeing: The Challenges of Managing Health at Work</w:t>
      </w:r>
      <w:r w:rsidRPr="009015D5">
        <w:rPr>
          <w:lang w:eastAsia="en-GB"/>
        </w:rPr>
        <w:t xml:space="preserve"> (pp. 21–38). Policy Press.</w:t>
      </w:r>
    </w:p>
    <w:p w14:paraId="22D44C61" w14:textId="26E8AA05" w:rsidR="00323735" w:rsidRDefault="00323735" w:rsidP="00DC5425">
      <w:pPr>
        <w:spacing w:line="480" w:lineRule="auto"/>
        <w:rPr>
          <w:lang w:eastAsia="en-GB"/>
        </w:rPr>
      </w:pPr>
    </w:p>
    <w:sectPr w:rsidR="00323735" w:rsidSect="00A423A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D161C" w14:textId="77777777" w:rsidR="001900AC" w:rsidRDefault="001900AC" w:rsidP="00833AEA">
      <w:pPr>
        <w:spacing w:after="0" w:line="240" w:lineRule="auto"/>
      </w:pPr>
      <w:r>
        <w:separator/>
      </w:r>
    </w:p>
  </w:endnote>
  <w:endnote w:type="continuationSeparator" w:id="0">
    <w:p w14:paraId="0CF4F11C" w14:textId="77777777" w:rsidR="001900AC" w:rsidRDefault="001900AC" w:rsidP="0083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9240" w14:textId="77777777" w:rsidR="001900AC" w:rsidRDefault="001900AC" w:rsidP="00833AEA">
      <w:pPr>
        <w:spacing w:after="0" w:line="240" w:lineRule="auto"/>
      </w:pPr>
      <w:r>
        <w:separator/>
      </w:r>
    </w:p>
  </w:footnote>
  <w:footnote w:type="continuationSeparator" w:id="0">
    <w:p w14:paraId="23CE9F00" w14:textId="77777777" w:rsidR="001900AC" w:rsidRDefault="001900AC" w:rsidP="00833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F4A"/>
    <w:multiLevelType w:val="hybridMultilevel"/>
    <w:tmpl w:val="446061E4"/>
    <w:lvl w:ilvl="0" w:tplc="E5A23500">
      <w:start w:val="1"/>
      <w:numFmt w:val="decimal"/>
      <w:lvlText w:val="[%1]"/>
      <w:lvlJc w:val="left"/>
      <w:pPr>
        <w:ind w:left="4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B6C1270">
      <w:start w:val="1"/>
      <w:numFmt w:val="lowerLetter"/>
      <w:lvlText w:val="%2"/>
      <w:lvlJc w:val="left"/>
      <w:pPr>
        <w:ind w:left="11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33C7084">
      <w:start w:val="1"/>
      <w:numFmt w:val="lowerRoman"/>
      <w:lvlText w:val="%3"/>
      <w:lvlJc w:val="left"/>
      <w:pPr>
        <w:ind w:left="18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9E85F36">
      <w:start w:val="1"/>
      <w:numFmt w:val="decimal"/>
      <w:lvlText w:val="%4"/>
      <w:lvlJc w:val="left"/>
      <w:pPr>
        <w:ind w:left="25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35EF23C">
      <w:start w:val="1"/>
      <w:numFmt w:val="lowerLetter"/>
      <w:lvlText w:val="%5"/>
      <w:lvlJc w:val="left"/>
      <w:pPr>
        <w:ind w:left="32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C201F7C">
      <w:start w:val="1"/>
      <w:numFmt w:val="lowerRoman"/>
      <w:lvlText w:val="%6"/>
      <w:lvlJc w:val="left"/>
      <w:pPr>
        <w:ind w:left="39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990C708">
      <w:start w:val="1"/>
      <w:numFmt w:val="decimal"/>
      <w:lvlText w:val="%7"/>
      <w:lvlJc w:val="left"/>
      <w:pPr>
        <w:ind w:left="47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57E035A">
      <w:start w:val="1"/>
      <w:numFmt w:val="lowerLetter"/>
      <w:lvlText w:val="%8"/>
      <w:lvlJc w:val="left"/>
      <w:pPr>
        <w:ind w:left="5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4181E2C">
      <w:start w:val="1"/>
      <w:numFmt w:val="lowerRoman"/>
      <w:lvlText w:val="%9"/>
      <w:lvlJc w:val="left"/>
      <w:pPr>
        <w:ind w:left="6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87C3D"/>
    <w:multiLevelType w:val="hybridMultilevel"/>
    <w:tmpl w:val="06C2ABD8"/>
    <w:lvl w:ilvl="0" w:tplc="064A87B6">
      <w:start w:val="1"/>
      <w:numFmt w:val="decimal"/>
      <w:lvlText w:val="[%1]"/>
      <w:lvlJc w:val="left"/>
      <w:pPr>
        <w:ind w:left="4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FC87D98">
      <w:start w:val="1"/>
      <w:numFmt w:val="lowerLetter"/>
      <w:lvlText w:val="%2"/>
      <w:lvlJc w:val="left"/>
      <w:pPr>
        <w:ind w:left="11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46E36C">
      <w:start w:val="1"/>
      <w:numFmt w:val="lowerRoman"/>
      <w:lvlText w:val="%3"/>
      <w:lvlJc w:val="left"/>
      <w:pPr>
        <w:ind w:left="18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936D5D6">
      <w:start w:val="1"/>
      <w:numFmt w:val="decimal"/>
      <w:lvlText w:val="%4"/>
      <w:lvlJc w:val="left"/>
      <w:pPr>
        <w:ind w:left="25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48EFB68">
      <w:start w:val="1"/>
      <w:numFmt w:val="lowerLetter"/>
      <w:lvlText w:val="%5"/>
      <w:lvlJc w:val="left"/>
      <w:pPr>
        <w:ind w:left="32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5AAB1F8">
      <w:start w:val="1"/>
      <w:numFmt w:val="lowerRoman"/>
      <w:lvlText w:val="%6"/>
      <w:lvlJc w:val="left"/>
      <w:pPr>
        <w:ind w:left="39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AA8AEDE">
      <w:start w:val="1"/>
      <w:numFmt w:val="decimal"/>
      <w:lvlText w:val="%7"/>
      <w:lvlJc w:val="left"/>
      <w:pPr>
        <w:ind w:left="47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116E7A0">
      <w:start w:val="1"/>
      <w:numFmt w:val="lowerLetter"/>
      <w:lvlText w:val="%8"/>
      <w:lvlJc w:val="left"/>
      <w:pPr>
        <w:ind w:left="5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23EFD3C">
      <w:start w:val="1"/>
      <w:numFmt w:val="lowerRoman"/>
      <w:lvlText w:val="%9"/>
      <w:lvlJc w:val="left"/>
      <w:pPr>
        <w:ind w:left="6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950ADE"/>
    <w:multiLevelType w:val="hybridMultilevel"/>
    <w:tmpl w:val="23642CB0"/>
    <w:lvl w:ilvl="0" w:tplc="CD6AD936">
      <w:start w:val="1"/>
      <w:numFmt w:val="decimal"/>
      <w:lvlText w:val="%1."/>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DC619FA">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0DCD3D6">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98451BC">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45C26FC">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8CCA22E">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964250A">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8920B18">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3C00688">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D50239"/>
    <w:multiLevelType w:val="hybridMultilevel"/>
    <w:tmpl w:val="AFA25606"/>
    <w:lvl w:ilvl="0" w:tplc="41D62562">
      <w:start w:val="1"/>
      <w:numFmt w:val="decimal"/>
      <w:lvlText w:val="[%1]"/>
      <w:lvlJc w:val="left"/>
      <w:pPr>
        <w:ind w:left="4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ABC11A8">
      <w:start w:val="1"/>
      <w:numFmt w:val="lowerLetter"/>
      <w:lvlText w:val="%2"/>
      <w:lvlJc w:val="left"/>
      <w:pPr>
        <w:ind w:left="11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B14E826">
      <w:start w:val="1"/>
      <w:numFmt w:val="lowerRoman"/>
      <w:lvlText w:val="%3"/>
      <w:lvlJc w:val="left"/>
      <w:pPr>
        <w:ind w:left="18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C869826">
      <w:start w:val="1"/>
      <w:numFmt w:val="decimal"/>
      <w:lvlText w:val="%4"/>
      <w:lvlJc w:val="left"/>
      <w:pPr>
        <w:ind w:left="25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DC83684">
      <w:start w:val="1"/>
      <w:numFmt w:val="lowerLetter"/>
      <w:lvlText w:val="%5"/>
      <w:lvlJc w:val="left"/>
      <w:pPr>
        <w:ind w:left="32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466DE64">
      <w:start w:val="1"/>
      <w:numFmt w:val="lowerRoman"/>
      <w:lvlText w:val="%6"/>
      <w:lvlJc w:val="left"/>
      <w:pPr>
        <w:ind w:left="40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FD097DC">
      <w:start w:val="1"/>
      <w:numFmt w:val="decimal"/>
      <w:lvlText w:val="%7"/>
      <w:lvlJc w:val="left"/>
      <w:pPr>
        <w:ind w:left="47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0FCB76C">
      <w:start w:val="1"/>
      <w:numFmt w:val="lowerLetter"/>
      <w:lvlText w:val="%8"/>
      <w:lvlJc w:val="left"/>
      <w:pPr>
        <w:ind w:left="54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1FEA9D2">
      <w:start w:val="1"/>
      <w:numFmt w:val="lowerRoman"/>
      <w:lvlText w:val="%9"/>
      <w:lvlJc w:val="left"/>
      <w:pPr>
        <w:ind w:left="61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D10F66"/>
    <w:multiLevelType w:val="hybridMultilevel"/>
    <w:tmpl w:val="DBD27F8A"/>
    <w:lvl w:ilvl="0" w:tplc="41DAC4AC">
      <w:start w:val="1"/>
      <w:numFmt w:val="decimal"/>
      <w:lvlText w:val="[%1]"/>
      <w:lvlJc w:val="left"/>
      <w:pPr>
        <w:ind w:left="4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AF8CB50">
      <w:start w:val="1"/>
      <w:numFmt w:val="lowerLetter"/>
      <w:lvlText w:val="%2"/>
      <w:lvlJc w:val="left"/>
      <w:pPr>
        <w:ind w:left="11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2D2D510">
      <w:start w:val="1"/>
      <w:numFmt w:val="lowerRoman"/>
      <w:lvlText w:val="%3"/>
      <w:lvlJc w:val="left"/>
      <w:pPr>
        <w:ind w:left="18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110EB8A">
      <w:start w:val="1"/>
      <w:numFmt w:val="decimal"/>
      <w:lvlText w:val="%4"/>
      <w:lvlJc w:val="left"/>
      <w:pPr>
        <w:ind w:left="25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5AAC734">
      <w:start w:val="1"/>
      <w:numFmt w:val="lowerLetter"/>
      <w:lvlText w:val="%5"/>
      <w:lvlJc w:val="left"/>
      <w:pPr>
        <w:ind w:left="32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06455B6">
      <w:start w:val="1"/>
      <w:numFmt w:val="lowerRoman"/>
      <w:lvlText w:val="%6"/>
      <w:lvlJc w:val="left"/>
      <w:pPr>
        <w:ind w:left="39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BEC7A5A">
      <w:start w:val="1"/>
      <w:numFmt w:val="decimal"/>
      <w:lvlText w:val="%7"/>
      <w:lvlJc w:val="left"/>
      <w:pPr>
        <w:ind w:left="47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118AAAC">
      <w:start w:val="1"/>
      <w:numFmt w:val="lowerLetter"/>
      <w:lvlText w:val="%8"/>
      <w:lvlJc w:val="left"/>
      <w:pPr>
        <w:ind w:left="54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C162AFC">
      <w:start w:val="1"/>
      <w:numFmt w:val="lowerRoman"/>
      <w:lvlText w:val="%9"/>
      <w:lvlJc w:val="left"/>
      <w:pPr>
        <w:ind w:left="61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0C1052"/>
    <w:multiLevelType w:val="hybridMultilevel"/>
    <w:tmpl w:val="7F06ADC6"/>
    <w:lvl w:ilvl="0" w:tplc="048811DA">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CAFBEA">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5B43CF0">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118AE6A">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776A2B6">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EB027B0">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AF88B12">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96CA442">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79E1E8E">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9F3502"/>
    <w:multiLevelType w:val="hybridMultilevel"/>
    <w:tmpl w:val="931C0810"/>
    <w:lvl w:ilvl="0" w:tplc="D148728A">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47EB224">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592B6D6">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DE259DC">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41EF538">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5A56E6">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EE0F108">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EC0C60">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2ECCA8C">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1842F5"/>
    <w:multiLevelType w:val="hybridMultilevel"/>
    <w:tmpl w:val="FA0AF962"/>
    <w:lvl w:ilvl="0" w:tplc="DD7EC02E">
      <w:start w:val="1"/>
      <w:numFmt w:val="bullet"/>
      <w:lvlText w:val="•"/>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DCAEDC4">
      <w:start w:val="1"/>
      <w:numFmt w:val="bullet"/>
      <w:lvlText w:val="o"/>
      <w:lvlJc w:val="left"/>
      <w:pPr>
        <w:ind w:left="1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464352A">
      <w:start w:val="1"/>
      <w:numFmt w:val="bullet"/>
      <w:lvlText w:val="▪"/>
      <w:lvlJc w:val="left"/>
      <w:pPr>
        <w:ind w:left="2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87CEA5C">
      <w:start w:val="1"/>
      <w:numFmt w:val="bullet"/>
      <w:lvlText w:val="•"/>
      <w:lvlJc w:val="left"/>
      <w:pPr>
        <w:ind w:left="2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E7E5D86">
      <w:start w:val="1"/>
      <w:numFmt w:val="bullet"/>
      <w:lvlText w:val="o"/>
      <w:lvlJc w:val="left"/>
      <w:pPr>
        <w:ind w:left="3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81EFDDE">
      <w:start w:val="1"/>
      <w:numFmt w:val="bullet"/>
      <w:lvlText w:val="▪"/>
      <w:lvlJc w:val="left"/>
      <w:pPr>
        <w:ind w:left="4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4BE7534">
      <w:start w:val="1"/>
      <w:numFmt w:val="bullet"/>
      <w:lvlText w:val="•"/>
      <w:lvlJc w:val="left"/>
      <w:pPr>
        <w:ind w:left="50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C786652">
      <w:start w:val="1"/>
      <w:numFmt w:val="bullet"/>
      <w:lvlText w:val="o"/>
      <w:lvlJc w:val="left"/>
      <w:pPr>
        <w:ind w:left="5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F328082">
      <w:start w:val="1"/>
      <w:numFmt w:val="bullet"/>
      <w:lvlText w:val="▪"/>
      <w:lvlJc w:val="left"/>
      <w:pPr>
        <w:ind w:left="64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BE"/>
    <w:rsid w:val="00000774"/>
    <w:rsid w:val="0003401D"/>
    <w:rsid w:val="00036C2A"/>
    <w:rsid w:val="000476CD"/>
    <w:rsid w:val="000C32C4"/>
    <w:rsid w:val="000C6B95"/>
    <w:rsid w:val="000C7451"/>
    <w:rsid w:val="00101717"/>
    <w:rsid w:val="00106481"/>
    <w:rsid w:val="00111F5B"/>
    <w:rsid w:val="00156DA8"/>
    <w:rsid w:val="0017315F"/>
    <w:rsid w:val="001900AC"/>
    <w:rsid w:val="001F4E60"/>
    <w:rsid w:val="002059A5"/>
    <w:rsid w:val="00244ABD"/>
    <w:rsid w:val="00264D61"/>
    <w:rsid w:val="0026798F"/>
    <w:rsid w:val="002731CF"/>
    <w:rsid w:val="00295D75"/>
    <w:rsid w:val="002C626A"/>
    <w:rsid w:val="002C662D"/>
    <w:rsid w:val="002C7181"/>
    <w:rsid w:val="002E0AF6"/>
    <w:rsid w:val="00323735"/>
    <w:rsid w:val="00326E2A"/>
    <w:rsid w:val="003439C7"/>
    <w:rsid w:val="003537FA"/>
    <w:rsid w:val="0037363B"/>
    <w:rsid w:val="003740F3"/>
    <w:rsid w:val="003747D0"/>
    <w:rsid w:val="00395DF2"/>
    <w:rsid w:val="003A068C"/>
    <w:rsid w:val="004021E2"/>
    <w:rsid w:val="00473923"/>
    <w:rsid w:val="00483F92"/>
    <w:rsid w:val="00485B61"/>
    <w:rsid w:val="004A2ED1"/>
    <w:rsid w:val="004B2DD1"/>
    <w:rsid w:val="004C05EF"/>
    <w:rsid w:val="004C598C"/>
    <w:rsid w:val="004C69A3"/>
    <w:rsid w:val="004D0230"/>
    <w:rsid w:val="00513347"/>
    <w:rsid w:val="00572BBF"/>
    <w:rsid w:val="005A244E"/>
    <w:rsid w:val="005E6B39"/>
    <w:rsid w:val="00613075"/>
    <w:rsid w:val="0062313D"/>
    <w:rsid w:val="00633A9A"/>
    <w:rsid w:val="006432F8"/>
    <w:rsid w:val="00687F5D"/>
    <w:rsid w:val="006A628E"/>
    <w:rsid w:val="006B5DE1"/>
    <w:rsid w:val="006B77A1"/>
    <w:rsid w:val="006D0313"/>
    <w:rsid w:val="006E00D5"/>
    <w:rsid w:val="006F1296"/>
    <w:rsid w:val="00736DF1"/>
    <w:rsid w:val="00742B1A"/>
    <w:rsid w:val="00747EF1"/>
    <w:rsid w:val="00786D2B"/>
    <w:rsid w:val="00786E31"/>
    <w:rsid w:val="007945D0"/>
    <w:rsid w:val="007B0744"/>
    <w:rsid w:val="008073CE"/>
    <w:rsid w:val="00807549"/>
    <w:rsid w:val="008124DD"/>
    <w:rsid w:val="00827FF3"/>
    <w:rsid w:val="00833AEA"/>
    <w:rsid w:val="00873975"/>
    <w:rsid w:val="008F198E"/>
    <w:rsid w:val="00993E70"/>
    <w:rsid w:val="00995D98"/>
    <w:rsid w:val="009D1B61"/>
    <w:rsid w:val="00A13FE1"/>
    <w:rsid w:val="00A423A9"/>
    <w:rsid w:val="00A4275D"/>
    <w:rsid w:val="00A74303"/>
    <w:rsid w:val="00A92A0D"/>
    <w:rsid w:val="00AC36DB"/>
    <w:rsid w:val="00AC7629"/>
    <w:rsid w:val="00AD0406"/>
    <w:rsid w:val="00AE52DF"/>
    <w:rsid w:val="00AE5999"/>
    <w:rsid w:val="00B016BE"/>
    <w:rsid w:val="00B05AEF"/>
    <w:rsid w:val="00B15365"/>
    <w:rsid w:val="00B265D8"/>
    <w:rsid w:val="00B37C65"/>
    <w:rsid w:val="00B54B6F"/>
    <w:rsid w:val="00B82A8E"/>
    <w:rsid w:val="00BA59E9"/>
    <w:rsid w:val="00BB7B4C"/>
    <w:rsid w:val="00BD54A8"/>
    <w:rsid w:val="00C05FD7"/>
    <w:rsid w:val="00C96807"/>
    <w:rsid w:val="00D449D9"/>
    <w:rsid w:val="00D45CE7"/>
    <w:rsid w:val="00D52BAB"/>
    <w:rsid w:val="00D71126"/>
    <w:rsid w:val="00DC5425"/>
    <w:rsid w:val="00DD0BD2"/>
    <w:rsid w:val="00DD6332"/>
    <w:rsid w:val="00DE171D"/>
    <w:rsid w:val="00DF254C"/>
    <w:rsid w:val="00E32CEE"/>
    <w:rsid w:val="00E43634"/>
    <w:rsid w:val="00E52F6F"/>
    <w:rsid w:val="00E620DB"/>
    <w:rsid w:val="00E66AAD"/>
    <w:rsid w:val="00E71BD0"/>
    <w:rsid w:val="00E76A3D"/>
    <w:rsid w:val="00EA136C"/>
    <w:rsid w:val="00EA6248"/>
    <w:rsid w:val="00F06D2F"/>
    <w:rsid w:val="00F104DC"/>
    <w:rsid w:val="00F12A4F"/>
    <w:rsid w:val="00F13146"/>
    <w:rsid w:val="00F214D5"/>
    <w:rsid w:val="00F357E7"/>
    <w:rsid w:val="00F37568"/>
    <w:rsid w:val="00F40C3E"/>
    <w:rsid w:val="00F47BBA"/>
    <w:rsid w:val="00F50EF4"/>
    <w:rsid w:val="00F52616"/>
    <w:rsid w:val="00F61778"/>
    <w:rsid w:val="00FE0EAB"/>
    <w:rsid w:val="00FF1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62F431"/>
  <w15:chartTrackingRefBased/>
  <w15:docId w15:val="{812A0471-E7CE-4B31-BFD3-96C68F82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8F198E"/>
    <w:pPr>
      <w:keepNext/>
      <w:keepLines/>
      <w:spacing w:after="87"/>
      <w:ind w:left="10" w:hanging="10"/>
      <w:outlineLvl w:val="0"/>
    </w:pPr>
    <w:rPr>
      <w:rFonts w:ascii="Cambria" w:eastAsia="Cambria" w:hAnsi="Cambria" w:cs="Cambria"/>
      <w:b/>
      <w:color w:val="000000"/>
      <w:sz w:val="34"/>
      <w:lang w:eastAsia="en-GB"/>
    </w:rPr>
  </w:style>
  <w:style w:type="paragraph" w:styleId="Heading2">
    <w:name w:val="heading 2"/>
    <w:next w:val="Normal"/>
    <w:link w:val="Heading2Char"/>
    <w:uiPriority w:val="9"/>
    <w:unhideWhenUsed/>
    <w:qFormat/>
    <w:rsid w:val="008F198E"/>
    <w:pPr>
      <w:keepNext/>
      <w:keepLines/>
      <w:spacing w:after="81" w:line="257" w:lineRule="auto"/>
      <w:ind w:left="10" w:hanging="10"/>
      <w:outlineLvl w:val="1"/>
    </w:pPr>
    <w:rPr>
      <w:rFonts w:ascii="Cambria" w:eastAsia="Cambria" w:hAnsi="Cambria" w:cs="Cambria"/>
      <w:b/>
      <w:color w:val="000000"/>
      <w:sz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98E"/>
    <w:rPr>
      <w:color w:val="0563C1" w:themeColor="hyperlink"/>
      <w:u w:val="single"/>
    </w:rPr>
  </w:style>
  <w:style w:type="character" w:customStyle="1" w:styleId="Heading1Char">
    <w:name w:val="Heading 1 Char"/>
    <w:basedOn w:val="DefaultParagraphFont"/>
    <w:link w:val="Heading1"/>
    <w:rsid w:val="008F198E"/>
    <w:rPr>
      <w:rFonts w:ascii="Cambria" w:eastAsia="Cambria" w:hAnsi="Cambria" w:cs="Cambria"/>
      <w:b/>
      <w:color w:val="000000"/>
      <w:sz w:val="34"/>
      <w:lang w:eastAsia="en-GB"/>
    </w:rPr>
  </w:style>
  <w:style w:type="character" w:customStyle="1" w:styleId="Heading2Char">
    <w:name w:val="Heading 2 Char"/>
    <w:basedOn w:val="DefaultParagraphFont"/>
    <w:link w:val="Heading2"/>
    <w:rsid w:val="008F198E"/>
    <w:rPr>
      <w:rFonts w:ascii="Cambria" w:eastAsia="Cambria" w:hAnsi="Cambria" w:cs="Cambria"/>
      <w:b/>
      <w:color w:val="000000"/>
      <w:sz w:val="29"/>
      <w:lang w:eastAsia="en-GB"/>
    </w:rPr>
  </w:style>
  <w:style w:type="character" w:styleId="LineNumber">
    <w:name w:val="line number"/>
    <w:basedOn w:val="DefaultParagraphFont"/>
    <w:uiPriority w:val="99"/>
    <w:semiHidden/>
    <w:unhideWhenUsed/>
    <w:rsid w:val="000476CD"/>
  </w:style>
  <w:style w:type="paragraph" w:styleId="Header">
    <w:name w:val="header"/>
    <w:basedOn w:val="Normal"/>
    <w:link w:val="HeaderChar"/>
    <w:uiPriority w:val="99"/>
    <w:unhideWhenUsed/>
    <w:rsid w:val="00833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EA"/>
  </w:style>
  <w:style w:type="paragraph" w:styleId="Footer">
    <w:name w:val="footer"/>
    <w:basedOn w:val="Normal"/>
    <w:link w:val="FooterChar"/>
    <w:uiPriority w:val="99"/>
    <w:unhideWhenUsed/>
    <w:rsid w:val="00833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EA"/>
  </w:style>
  <w:style w:type="table" w:styleId="TableGrid">
    <w:name w:val="Table Grid"/>
    <w:basedOn w:val="TableNormal"/>
    <w:uiPriority w:val="39"/>
    <w:rsid w:val="0083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00D5"/>
    <w:rPr>
      <w:sz w:val="16"/>
      <w:szCs w:val="16"/>
    </w:rPr>
  </w:style>
  <w:style w:type="paragraph" w:styleId="CommentText">
    <w:name w:val="annotation text"/>
    <w:basedOn w:val="Normal"/>
    <w:link w:val="CommentTextChar"/>
    <w:uiPriority w:val="99"/>
    <w:semiHidden/>
    <w:unhideWhenUsed/>
    <w:rsid w:val="006E00D5"/>
    <w:pPr>
      <w:spacing w:line="240" w:lineRule="auto"/>
    </w:pPr>
    <w:rPr>
      <w:sz w:val="20"/>
      <w:szCs w:val="20"/>
    </w:rPr>
  </w:style>
  <w:style w:type="character" w:customStyle="1" w:styleId="CommentTextChar">
    <w:name w:val="Comment Text Char"/>
    <w:basedOn w:val="DefaultParagraphFont"/>
    <w:link w:val="CommentText"/>
    <w:uiPriority w:val="99"/>
    <w:semiHidden/>
    <w:rsid w:val="006E00D5"/>
    <w:rPr>
      <w:sz w:val="20"/>
      <w:szCs w:val="20"/>
    </w:rPr>
  </w:style>
  <w:style w:type="paragraph" w:styleId="CommentSubject">
    <w:name w:val="annotation subject"/>
    <w:basedOn w:val="CommentText"/>
    <w:next w:val="CommentText"/>
    <w:link w:val="CommentSubjectChar"/>
    <w:uiPriority w:val="99"/>
    <w:semiHidden/>
    <w:unhideWhenUsed/>
    <w:rsid w:val="006E00D5"/>
    <w:rPr>
      <w:b/>
      <w:bCs/>
    </w:rPr>
  </w:style>
  <w:style w:type="character" w:customStyle="1" w:styleId="CommentSubjectChar">
    <w:name w:val="Comment Subject Char"/>
    <w:basedOn w:val="CommentTextChar"/>
    <w:link w:val="CommentSubject"/>
    <w:uiPriority w:val="99"/>
    <w:semiHidden/>
    <w:rsid w:val="006E00D5"/>
    <w:rPr>
      <w:b/>
      <w:bCs/>
      <w:sz w:val="20"/>
      <w:szCs w:val="20"/>
    </w:rPr>
  </w:style>
  <w:style w:type="paragraph" w:styleId="Revision">
    <w:name w:val="Revision"/>
    <w:hidden/>
    <w:uiPriority w:val="99"/>
    <w:semiHidden/>
    <w:rsid w:val="006E00D5"/>
    <w:pPr>
      <w:spacing w:after="0" w:line="240" w:lineRule="auto"/>
    </w:pPr>
  </w:style>
  <w:style w:type="paragraph" w:styleId="BalloonText">
    <w:name w:val="Balloon Text"/>
    <w:basedOn w:val="Normal"/>
    <w:link w:val="BalloonTextChar"/>
    <w:uiPriority w:val="99"/>
    <w:semiHidden/>
    <w:unhideWhenUsed/>
    <w:rsid w:val="006E0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619">
      <w:bodyDiv w:val="1"/>
      <w:marLeft w:val="0"/>
      <w:marRight w:val="0"/>
      <w:marTop w:val="0"/>
      <w:marBottom w:val="0"/>
      <w:divBdr>
        <w:top w:val="none" w:sz="0" w:space="0" w:color="auto"/>
        <w:left w:val="none" w:sz="0" w:space="0" w:color="auto"/>
        <w:bottom w:val="none" w:sz="0" w:space="0" w:color="auto"/>
        <w:right w:val="none" w:sz="0" w:space="0" w:color="auto"/>
      </w:divBdr>
    </w:div>
    <w:div w:id="390159572">
      <w:bodyDiv w:val="1"/>
      <w:marLeft w:val="0"/>
      <w:marRight w:val="0"/>
      <w:marTop w:val="0"/>
      <w:marBottom w:val="0"/>
      <w:divBdr>
        <w:top w:val="none" w:sz="0" w:space="0" w:color="auto"/>
        <w:left w:val="none" w:sz="0" w:space="0" w:color="auto"/>
        <w:bottom w:val="none" w:sz="0" w:space="0" w:color="auto"/>
        <w:right w:val="none" w:sz="0" w:space="0" w:color="auto"/>
      </w:divBdr>
    </w:div>
    <w:div w:id="620846609">
      <w:bodyDiv w:val="1"/>
      <w:marLeft w:val="0"/>
      <w:marRight w:val="0"/>
      <w:marTop w:val="0"/>
      <w:marBottom w:val="0"/>
      <w:divBdr>
        <w:top w:val="none" w:sz="0" w:space="0" w:color="auto"/>
        <w:left w:val="none" w:sz="0" w:space="0" w:color="auto"/>
        <w:bottom w:val="none" w:sz="0" w:space="0" w:color="auto"/>
        <w:right w:val="none" w:sz="0" w:space="0" w:color="auto"/>
      </w:divBdr>
    </w:div>
    <w:div w:id="813107622">
      <w:bodyDiv w:val="1"/>
      <w:marLeft w:val="0"/>
      <w:marRight w:val="0"/>
      <w:marTop w:val="0"/>
      <w:marBottom w:val="0"/>
      <w:divBdr>
        <w:top w:val="none" w:sz="0" w:space="0" w:color="auto"/>
        <w:left w:val="none" w:sz="0" w:space="0" w:color="auto"/>
        <w:bottom w:val="none" w:sz="0" w:space="0" w:color="auto"/>
        <w:right w:val="none" w:sz="0" w:space="0" w:color="auto"/>
      </w:divBdr>
    </w:div>
    <w:div w:id="1244145813">
      <w:bodyDiv w:val="1"/>
      <w:marLeft w:val="0"/>
      <w:marRight w:val="0"/>
      <w:marTop w:val="0"/>
      <w:marBottom w:val="0"/>
      <w:divBdr>
        <w:top w:val="none" w:sz="0" w:space="0" w:color="auto"/>
        <w:left w:val="none" w:sz="0" w:space="0" w:color="auto"/>
        <w:bottom w:val="none" w:sz="0" w:space="0" w:color="auto"/>
        <w:right w:val="none" w:sz="0" w:space="0" w:color="auto"/>
      </w:divBdr>
    </w:div>
    <w:div w:id="1536885173">
      <w:bodyDiv w:val="1"/>
      <w:marLeft w:val="0"/>
      <w:marRight w:val="0"/>
      <w:marTop w:val="0"/>
      <w:marBottom w:val="0"/>
      <w:divBdr>
        <w:top w:val="none" w:sz="0" w:space="0" w:color="auto"/>
        <w:left w:val="none" w:sz="0" w:space="0" w:color="auto"/>
        <w:bottom w:val="none" w:sz="0" w:space="0" w:color="auto"/>
        <w:right w:val="none" w:sz="0" w:space="0" w:color="auto"/>
      </w:divBdr>
    </w:div>
    <w:div w:id="1549413420">
      <w:bodyDiv w:val="1"/>
      <w:marLeft w:val="0"/>
      <w:marRight w:val="0"/>
      <w:marTop w:val="0"/>
      <w:marBottom w:val="0"/>
      <w:divBdr>
        <w:top w:val="none" w:sz="0" w:space="0" w:color="auto"/>
        <w:left w:val="none" w:sz="0" w:space="0" w:color="auto"/>
        <w:bottom w:val="none" w:sz="0" w:space="0" w:color="auto"/>
        <w:right w:val="none" w:sz="0" w:space="0" w:color="auto"/>
      </w:divBdr>
    </w:div>
    <w:div w:id="2003003449">
      <w:bodyDiv w:val="1"/>
      <w:marLeft w:val="0"/>
      <w:marRight w:val="0"/>
      <w:marTop w:val="0"/>
      <w:marBottom w:val="0"/>
      <w:divBdr>
        <w:top w:val="none" w:sz="0" w:space="0" w:color="auto"/>
        <w:left w:val="none" w:sz="0" w:space="0" w:color="auto"/>
        <w:bottom w:val="none" w:sz="0" w:space="0" w:color="auto"/>
        <w:right w:val="none" w:sz="0" w:space="0" w:color="auto"/>
      </w:divBdr>
    </w:div>
    <w:div w:id="2003270400">
      <w:bodyDiv w:val="1"/>
      <w:marLeft w:val="0"/>
      <w:marRight w:val="0"/>
      <w:marTop w:val="0"/>
      <w:marBottom w:val="0"/>
      <w:divBdr>
        <w:top w:val="none" w:sz="0" w:space="0" w:color="auto"/>
        <w:left w:val="none" w:sz="0" w:space="0" w:color="auto"/>
        <w:bottom w:val="none" w:sz="0" w:space="0" w:color="auto"/>
        <w:right w:val="none" w:sz="0" w:space="0" w:color="auto"/>
      </w:divBdr>
    </w:div>
    <w:div w:id="2102606679">
      <w:bodyDiv w:val="1"/>
      <w:marLeft w:val="0"/>
      <w:marRight w:val="0"/>
      <w:marTop w:val="0"/>
      <w:marBottom w:val="0"/>
      <w:divBdr>
        <w:top w:val="none" w:sz="0" w:space="0" w:color="auto"/>
        <w:left w:val="none" w:sz="0" w:space="0" w:color="auto"/>
        <w:bottom w:val="none" w:sz="0" w:space="0" w:color="auto"/>
        <w:right w:val="none" w:sz="0" w:space="0" w:color="auto"/>
      </w:divBdr>
    </w:div>
    <w:div w:id="21210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A1B1-6359-4ABC-98D7-7A66C56C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22</Pages>
  <Words>5711</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Parker</dc:creator>
  <cp:keywords/>
  <dc:description/>
  <cp:lastModifiedBy>Marty Parker</cp:lastModifiedBy>
  <cp:revision>48</cp:revision>
  <dcterms:created xsi:type="dcterms:W3CDTF">2019-03-16T14:57:00Z</dcterms:created>
  <dcterms:modified xsi:type="dcterms:W3CDTF">2019-12-15T13:35:00Z</dcterms:modified>
</cp:coreProperties>
</file>