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E33" w:rsidRPr="000C1158" w:rsidRDefault="00A20E33" w:rsidP="00A20E33">
      <w:pPr>
        <w:spacing w:line="480" w:lineRule="auto"/>
        <w:rPr>
          <w:b/>
          <w:sz w:val="28"/>
        </w:rPr>
      </w:pPr>
      <w:r w:rsidRPr="000C1158">
        <w:rPr>
          <w:b/>
          <w:sz w:val="28"/>
        </w:rPr>
        <w:t xml:space="preserve">Potentially over </w:t>
      </w:r>
      <w:r w:rsidR="00091C07">
        <w:rPr>
          <w:b/>
          <w:sz w:val="28"/>
        </w:rPr>
        <w:t>3</w:t>
      </w:r>
      <w:r w:rsidRPr="000C1158">
        <w:rPr>
          <w:b/>
          <w:sz w:val="28"/>
        </w:rPr>
        <w:t xml:space="preserve"> million children in </w:t>
      </w:r>
      <w:r w:rsidR="00EE4B3F">
        <w:rPr>
          <w:b/>
          <w:sz w:val="28"/>
        </w:rPr>
        <w:t xml:space="preserve">EU </w:t>
      </w:r>
      <w:r w:rsidRPr="000C1158">
        <w:rPr>
          <w:b/>
          <w:sz w:val="28"/>
        </w:rPr>
        <w:t xml:space="preserve">Europe </w:t>
      </w:r>
      <w:r w:rsidR="00091C07">
        <w:rPr>
          <w:b/>
          <w:sz w:val="28"/>
        </w:rPr>
        <w:t>believed</w:t>
      </w:r>
      <w:r>
        <w:rPr>
          <w:b/>
          <w:sz w:val="28"/>
        </w:rPr>
        <w:t xml:space="preserve"> not </w:t>
      </w:r>
      <w:r w:rsidR="00091C07">
        <w:rPr>
          <w:b/>
          <w:sz w:val="28"/>
        </w:rPr>
        <w:t xml:space="preserve">to be </w:t>
      </w:r>
      <w:r>
        <w:rPr>
          <w:b/>
          <w:sz w:val="28"/>
        </w:rPr>
        <w:t>receiving</w:t>
      </w:r>
      <w:r w:rsidRPr="000C1158">
        <w:rPr>
          <w:b/>
          <w:sz w:val="28"/>
        </w:rPr>
        <w:t xml:space="preserve"> needed medical and dental treatment </w:t>
      </w:r>
      <w:r w:rsidR="00F015B7">
        <w:rPr>
          <w:b/>
          <w:sz w:val="28"/>
        </w:rPr>
        <w:t xml:space="preserve">- </w:t>
      </w:r>
      <w:r w:rsidR="00F015B7">
        <w:rPr>
          <w:b/>
          <w:sz w:val="28"/>
        </w:rPr>
        <w:t>and Parents</w:t>
      </w:r>
      <w:r w:rsidR="002659AC">
        <w:rPr>
          <w:b/>
          <w:sz w:val="28"/>
        </w:rPr>
        <w:t>’</w:t>
      </w:r>
      <w:r w:rsidR="00F015B7">
        <w:rPr>
          <w:b/>
          <w:sz w:val="28"/>
        </w:rPr>
        <w:t xml:space="preserve"> reasons why</w:t>
      </w:r>
    </w:p>
    <w:p w:rsidR="00A20E33" w:rsidRDefault="00A20E33" w:rsidP="00A20E33">
      <w:pPr>
        <w:pStyle w:val="HTMLPreformatted"/>
      </w:pPr>
    </w:p>
    <w:p w:rsidR="00A20E33" w:rsidRPr="00A20E33" w:rsidRDefault="00A20E33" w:rsidP="00A20E33">
      <w:pPr>
        <w:pStyle w:val="HTMLPreformatted"/>
        <w:rPr>
          <w:rFonts w:asciiTheme="minorHAnsi" w:hAnsiTheme="minorHAnsi"/>
          <w:b/>
          <w:sz w:val="22"/>
        </w:rPr>
      </w:pPr>
      <w:r w:rsidRPr="00A20E33">
        <w:rPr>
          <w:rFonts w:asciiTheme="minorHAnsi" w:hAnsiTheme="minorHAnsi"/>
          <w:b/>
          <w:sz w:val="22"/>
        </w:rPr>
        <w:t>Michael J Rigby</w:t>
      </w:r>
    </w:p>
    <w:p w:rsidR="00A20E33" w:rsidRDefault="00A20E33" w:rsidP="00A20E33">
      <w:pPr>
        <w:pStyle w:val="HTMLPreformatted"/>
        <w:rPr>
          <w:rFonts w:asciiTheme="minorHAnsi" w:hAnsiTheme="minorHAnsi"/>
          <w:sz w:val="22"/>
        </w:rPr>
      </w:pPr>
    </w:p>
    <w:p w:rsidR="00A20E33" w:rsidRDefault="00A20E33" w:rsidP="00A20E33">
      <w:pPr>
        <w:pStyle w:val="HTMLPreformatted"/>
        <w:rPr>
          <w:rFonts w:asciiTheme="minorHAnsi" w:hAnsiTheme="minorHAnsi"/>
          <w:sz w:val="22"/>
        </w:rPr>
      </w:pPr>
      <w:r>
        <w:rPr>
          <w:rFonts w:asciiTheme="minorHAnsi" w:hAnsiTheme="minorHAnsi"/>
          <w:sz w:val="22"/>
        </w:rPr>
        <w:t>Emeritus Professor of Health Information Strategy, Keele University</w:t>
      </w:r>
    </w:p>
    <w:p w:rsidR="00A20E33" w:rsidRDefault="00A20E33" w:rsidP="00A20E33">
      <w:pPr>
        <w:pStyle w:val="HTMLPreformatted"/>
        <w:rPr>
          <w:rFonts w:asciiTheme="minorHAnsi" w:hAnsiTheme="minorHAnsi"/>
          <w:sz w:val="22"/>
        </w:rPr>
      </w:pPr>
    </w:p>
    <w:p w:rsidR="00A20E33" w:rsidRDefault="00A20E33" w:rsidP="00A20E33">
      <w:pPr>
        <w:pStyle w:val="HTMLPreformatted"/>
        <w:rPr>
          <w:rFonts w:asciiTheme="minorHAnsi" w:hAnsiTheme="minorHAnsi"/>
          <w:sz w:val="22"/>
        </w:rPr>
      </w:pPr>
    </w:p>
    <w:p w:rsidR="00A20E33" w:rsidRDefault="00A20E33" w:rsidP="00A20E33">
      <w:pPr>
        <w:pStyle w:val="HTMLPreformatted"/>
        <w:rPr>
          <w:rFonts w:asciiTheme="minorHAnsi" w:hAnsiTheme="minorHAnsi"/>
          <w:sz w:val="22"/>
        </w:rPr>
      </w:pPr>
    </w:p>
    <w:p w:rsidR="00A20E33" w:rsidRDefault="00A20E33" w:rsidP="00A20E33">
      <w:pPr>
        <w:pStyle w:val="HTMLPreformatted"/>
        <w:rPr>
          <w:rFonts w:asciiTheme="minorHAnsi" w:hAnsiTheme="minorHAnsi"/>
          <w:sz w:val="22"/>
        </w:rPr>
      </w:pPr>
    </w:p>
    <w:p w:rsidR="00A20E33" w:rsidRDefault="00A20E33" w:rsidP="00A20E33">
      <w:pPr>
        <w:pStyle w:val="HTMLPreformatted"/>
        <w:rPr>
          <w:rFonts w:asciiTheme="minorHAnsi" w:hAnsiTheme="minorHAnsi"/>
          <w:sz w:val="22"/>
        </w:rPr>
      </w:pPr>
    </w:p>
    <w:p w:rsidR="00A20E33" w:rsidRDefault="00A20E33" w:rsidP="00A20E33">
      <w:pPr>
        <w:pStyle w:val="HTMLPreformatted"/>
        <w:rPr>
          <w:rFonts w:asciiTheme="minorHAnsi" w:hAnsiTheme="minorHAnsi"/>
          <w:sz w:val="22"/>
        </w:rPr>
      </w:pPr>
    </w:p>
    <w:p w:rsidR="00A20E33" w:rsidRDefault="00A20E33" w:rsidP="00A20E33">
      <w:pPr>
        <w:pStyle w:val="HTMLPreformatted"/>
        <w:rPr>
          <w:rFonts w:asciiTheme="minorHAnsi" w:hAnsiTheme="minorHAnsi"/>
          <w:sz w:val="22"/>
        </w:rPr>
      </w:pPr>
    </w:p>
    <w:p w:rsidR="00A20E33" w:rsidRDefault="00A20E33" w:rsidP="00A20E33">
      <w:pPr>
        <w:pStyle w:val="HTMLPreformatted"/>
        <w:rPr>
          <w:rFonts w:asciiTheme="minorHAnsi" w:hAnsiTheme="minorHAnsi"/>
          <w:sz w:val="22"/>
        </w:rPr>
      </w:pPr>
    </w:p>
    <w:p w:rsidR="00A20E33" w:rsidRDefault="00A20E33" w:rsidP="00A20E33">
      <w:pPr>
        <w:pStyle w:val="HTMLPreformatted"/>
        <w:rPr>
          <w:rFonts w:asciiTheme="minorHAnsi" w:hAnsiTheme="minorHAnsi"/>
          <w:sz w:val="22"/>
        </w:rPr>
      </w:pPr>
    </w:p>
    <w:p w:rsidR="00A20E33" w:rsidRDefault="00A20E33" w:rsidP="00A20E33">
      <w:pPr>
        <w:pStyle w:val="HTMLPreformatted"/>
        <w:rPr>
          <w:rFonts w:asciiTheme="minorHAnsi" w:hAnsiTheme="minorHAnsi"/>
          <w:sz w:val="22"/>
        </w:rPr>
      </w:pPr>
    </w:p>
    <w:p w:rsidR="00A20E33" w:rsidRDefault="00A20E33" w:rsidP="00A20E33">
      <w:pPr>
        <w:pStyle w:val="HTMLPreformatted"/>
        <w:rPr>
          <w:rFonts w:asciiTheme="minorHAnsi" w:hAnsiTheme="minorHAnsi"/>
          <w:sz w:val="22"/>
        </w:rPr>
      </w:pPr>
    </w:p>
    <w:p w:rsidR="00A20E33" w:rsidRDefault="00A20E33" w:rsidP="00A20E33">
      <w:pPr>
        <w:pStyle w:val="HTMLPreformatted"/>
        <w:rPr>
          <w:rFonts w:asciiTheme="minorHAnsi" w:hAnsiTheme="minorHAnsi"/>
          <w:sz w:val="22"/>
        </w:rPr>
      </w:pPr>
    </w:p>
    <w:p w:rsidR="00A20E33" w:rsidRDefault="00A20E33" w:rsidP="00A20E33">
      <w:pPr>
        <w:pStyle w:val="HTMLPreformatted"/>
        <w:rPr>
          <w:rFonts w:asciiTheme="minorHAnsi" w:hAnsiTheme="minorHAnsi"/>
          <w:sz w:val="22"/>
        </w:rPr>
      </w:pPr>
    </w:p>
    <w:p w:rsidR="00A20E33" w:rsidRDefault="00A20E33" w:rsidP="00A20E33">
      <w:pPr>
        <w:pStyle w:val="HTMLPreformatted"/>
        <w:rPr>
          <w:rFonts w:asciiTheme="minorHAnsi" w:hAnsiTheme="minorHAnsi"/>
          <w:sz w:val="22"/>
        </w:rPr>
      </w:pPr>
      <w:r>
        <w:rPr>
          <w:rFonts w:asciiTheme="minorHAnsi" w:hAnsiTheme="minorHAnsi"/>
          <w:sz w:val="22"/>
        </w:rPr>
        <w:t>Postal address:</w:t>
      </w:r>
    </w:p>
    <w:p w:rsidR="00A20E33" w:rsidRDefault="00A20E33" w:rsidP="00A20E33">
      <w:pPr>
        <w:pStyle w:val="HTMLPreformatted"/>
        <w:rPr>
          <w:rFonts w:asciiTheme="minorHAnsi" w:hAnsiTheme="minorHAnsi"/>
          <w:sz w:val="22"/>
        </w:rPr>
      </w:pPr>
    </w:p>
    <w:p w:rsidR="00A20E33" w:rsidRDefault="00A20E33" w:rsidP="00A20E33">
      <w:pPr>
        <w:pStyle w:val="HTMLPreformatted"/>
        <w:rPr>
          <w:rFonts w:asciiTheme="minorHAnsi" w:hAnsiTheme="minorHAnsi"/>
          <w:sz w:val="22"/>
        </w:rPr>
      </w:pPr>
      <w:r>
        <w:rPr>
          <w:rFonts w:asciiTheme="minorHAnsi" w:hAnsiTheme="minorHAnsi"/>
          <w:sz w:val="22"/>
        </w:rPr>
        <w:t>Lavender hill</w:t>
      </w:r>
    </w:p>
    <w:p w:rsidR="00A20E33" w:rsidRDefault="00A20E33" w:rsidP="00A20E33">
      <w:pPr>
        <w:pStyle w:val="HTMLPreformatted"/>
        <w:rPr>
          <w:rFonts w:asciiTheme="minorHAnsi" w:hAnsiTheme="minorHAnsi"/>
          <w:sz w:val="22"/>
        </w:rPr>
      </w:pPr>
      <w:r>
        <w:rPr>
          <w:rFonts w:asciiTheme="minorHAnsi" w:hAnsiTheme="minorHAnsi"/>
          <w:sz w:val="22"/>
        </w:rPr>
        <w:t xml:space="preserve">6 </w:t>
      </w:r>
      <w:proofErr w:type="spellStart"/>
      <w:r>
        <w:rPr>
          <w:rFonts w:asciiTheme="minorHAnsi" w:hAnsiTheme="minorHAnsi"/>
          <w:sz w:val="22"/>
        </w:rPr>
        <w:t>Carrighill</w:t>
      </w:r>
      <w:proofErr w:type="spellEnd"/>
      <w:r>
        <w:rPr>
          <w:rFonts w:asciiTheme="minorHAnsi" w:hAnsiTheme="minorHAnsi"/>
          <w:sz w:val="22"/>
        </w:rPr>
        <w:t xml:space="preserve"> Lower</w:t>
      </w:r>
    </w:p>
    <w:p w:rsidR="00A20E33" w:rsidRDefault="00A20E33" w:rsidP="00A20E33">
      <w:pPr>
        <w:pStyle w:val="HTMLPreformatted"/>
        <w:rPr>
          <w:rFonts w:asciiTheme="minorHAnsi" w:hAnsiTheme="minorHAnsi"/>
          <w:sz w:val="22"/>
        </w:rPr>
      </w:pPr>
      <w:proofErr w:type="spellStart"/>
      <w:r>
        <w:rPr>
          <w:rFonts w:asciiTheme="minorHAnsi" w:hAnsiTheme="minorHAnsi"/>
          <w:sz w:val="22"/>
        </w:rPr>
        <w:t>Calverstown</w:t>
      </w:r>
      <w:proofErr w:type="spellEnd"/>
    </w:p>
    <w:p w:rsidR="00A20E33" w:rsidRDefault="00A20E33" w:rsidP="00A20E33">
      <w:pPr>
        <w:pStyle w:val="HTMLPreformatted"/>
        <w:rPr>
          <w:rFonts w:asciiTheme="minorHAnsi" w:hAnsiTheme="minorHAnsi"/>
          <w:sz w:val="22"/>
        </w:rPr>
      </w:pPr>
      <w:r>
        <w:rPr>
          <w:rFonts w:asciiTheme="minorHAnsi" w:hAnsiTheme="minorHAnsi"/>
          <w:sz w:val="22"/>
        </w:rPr>
        <w:t>Kilcullen</w:t>
      </w:r>
    </w:p>
    <w:p w:rsidR="00A20E33" w:rsidRDefault="00A20E33" w:rsidP="00A20E33">
      <w:pPr>
        <w:pStyle w:val="HTMLPreformatted"/>
        <w:rPr>
          <w:rFonts w:asciiTheme="minorHAnsi" w:hAnsiTheme="minorHAnsi"/>
          <w:sz w:val="22"/>
        </w:rPr>
      </w:pPr>
      <w:r>
        <w:rPr>
          <w:rFonts w:asciiTheme="minorHAnsi" w:hAnsiTheme="minorHAnsi"/>
          <w:sz w:val="22"/>
        </w:rPr>
        <w:t>Co. Kildare</w:t>
      </w:r>
    </w:p>
    <w:p w:rsidR="00A20E33" w:rsidRDefault="00A20E33" w:rsidP="00A20E33">
      <w:pPr>
        <w:pStyle w:val="HTMLPreformatted"/>
        <w:rPr>
          <w:rFonts w:asciiTheme="minorHAnsi" w:hAnsiTheme="minorHAnsi"/>
          <w:sz w:val="22"/>
        </w:rPr>
      </w:pPr>
      <w:r>
        <w:rPr>
          <w:rFonts w:asciiTheme="minorHAnsi" w:hAnsiTheme="minorHAnsi"/>
          <w:sz w:val="22"/>
        </w:rPr>
        <w:t>R56 DT91</w:t>
      </w:r>
    </w:p>
    <w:p w:rsidR="00A20E33" w:rsidRDefault="00A20E33" w:rsidP="00A20E33">
      <w:pPr>
        <w:pStyle w:val="HTMLPreformatted"/>
        <w:rPr>
          <w:rFonts w:asciiTheme="minorHAnsi" w:hAnsiTheme="minorHAnsi"/>
          <w:sz w:val="22"/>
        </w:rPr>
      </w:pPr>
      <w:r>
        <w:rPr>
          <w:rFonts w:asciiTheme="minorHAnsi" w:hAnsiTheme="minorHAnsi"/>
          <w:sz w:val="22"/>
        </w:rPr>
        <w:t>Ireland</w:t>
      </w:r>
    </w:p>
    <w:p w:rsidR="00A20E33" w:rsidRDefault="00A20E33" w:rsidP="00A20E33">
      <w:pPr>
        <w:pStyle w:val="HTMLPreformatted"/>
        <w:rPr>
          <w:rFonts w:asciiTheme="minorHAnsi" w:hAnsiTheme="minorHAnsi"/>
          <w:sz w:val="22"/>
        </w:rPr>
      </w:pPr>
    </w:p>
    <w:p w:rsidR="00A20E33" w:rsidRDefault="004F6337" w:rsidP="00A20E33">
      <w:pPr>
        <w:pStyle w:val="HTMLPreformatted"/>
        <w:rPr>
          <w:rFonts w:asciiTheme="minorHAnsi" w:hAnsiTheme="minorHAnsi"/>
          <w:sz w:val="22"/>
        </w:rPr>
      </w:pPr>
      <w:hyperlink r:id="rId8" w:history="1">
        <w:r w:rsidR="00A20E33" w:rsidRPr="005E16D1">
          <w:rPr>
            <w:rStyle w:val="Hyperlink"/>
            <w:rFonts w:asciiTheme="minorHAnsi" w:hAnsiTheme="minorHAnsi"/>
            <w:sz w:val="22"/>
          </w:rPr>
          <w:t>m.j.rigby@keele.ac.uk</w:t>
        </w:r>
      </w:hyperlink>
    </w:p>
    <w:p w:rsidR="00A20E33" w:rsidRDefault="00A20E33" w:rsidP="00A20E33">
      <w:pPr>
        <w:pStyle w:val="HTMLPreformatted"/>
        <w:rPr>
          <w:rFonts w:asciiTheme="minorHAnsi" w:hAnsiTheme="minorHAnsi"/>
          <w:sz w:val="22"/>
        </w:rPr>
      </w:pPr>
    </w:p>
    <w:p w:rsidR="00A20E33" w:rsidRDefault="00A20E33" w:rsidP="00A20E33">
      <w:pPr>
        <w:pStyle w:val="HTMLPreformatted"/>
        <w:rPr>
          <w:rFonts w:asciiTheme="minorHAnsi" w:hAnsiTheme="minorHAnsi"/>
          <w:sz w:val="22"/>
        </w:rPr>
      </w:pPr>
      <w:r>
        <w:rPr>
          <w:rFonts w:asciiTheme="minorHAnsi" w:hAnsiTheme="minorHAnsi"/>
          <w:sz w:val="22"/>
        </w:rPr>
        <w:t>landline: 00353 45 485858</w:t>
      </w:r>
    </w:p>
    <w:p w:rsidR="00A20E33" w:rsidRPr="00A20E33" w:rsidRDefault="00A20E33" w:rsidP="00A20E33">
      <w:pPr>
        <w:pStyle w:val="HTMLPreformatted"/>
        <w:rPr>
          <w:rFonts w:asciiTheme="minorHAnsi" w:hAnsiTheme="minorHAnsi"/>
          <w:sz w:val="22"/>
        </w:rPr>
      </w:pPr>
      <w:r>
        <w:rPr>
          <w:rFonts w:asciiTheme="minorHAnsi" w:hAnsiTheme="minorHAnsi"/>
          <w:sz w:val="22"/>
        </w:rPr>
        <w:t>mobile: 00 353 877653399</w:t>
      </w:r>
    </w:p>
    <w:p w:rsidR="00A20E33" w:rsidRPr="00A20E33" w:rsidRDefault="00A20E33" w:rsidP="00A20E33">
      <w:pPr>
        <w:pStyle w:val="HTMLPreformatted"/>
        <w:rPr>
          <w:rFonts w:asciiTheme="minorHAnsi" w:hAnsiTheme="minorHAnsi"/>
          <w:sz w:val="22"/>
        </w:rPr>
      </w:pPr>
    </w:p>
    <w:p w:rsidR="00A20E33" w:rsidRDefault="00A20E33">
      <w:pPr>
        <w:rPr>
          <w:b/>
          <w:sz w:val="28"/>
        </w:rPr>
      </w:pPr>
    </w:p>
    <w:p w:rsidR="00A20E33" w:rsidRDefault="00A20E33" w:rsidP="0084455B">
      <w:pPr>
        <w:spacing w:line="480" w:lineRule="auto"/>
        <w:rPr>
          <w:b/>
          <w:sz w:val="28"/>
        </w:rPr>
      </w:pPr>
    </w:p>
    <w:p w:rsidR="005C7674" w:rsidRDefault="005C7674" w:rsidP="0084455B">
      <w:pPr>
        <w:spacing w:line="480" w:lineRule="auto"/>
      </w:pPr>
    </w:p>
    <w:p w:rsidR="00A20E33" w:rsidRDefault="00A20E33" w:rsidP="0084455B">
      <w:pPr>
        <w:spacing w:line="480" w:lineRule="auto"/>
      </w:pPr>
    </w:p>
    <w:p w:rsidR="00A20E33" w:rsidRDefault="00A20E33" w:rsidP="0084455B">
      <w:pPr>
        <w:spacing w:line="480" w:lineRule="auto"/>
      </w:pPr>
    </w:p>
    <w:p w:rsidR="00A20E33" w:rsidRPr="000C1158" w:rsidRDefault="00A20E33" w:rsidP="00A20E33">
      <w:pPr>
        <w:spacing w:line="480" w:lineRule="auto"/>
        <w:rPr>
          <w:b/>
          <w:sz w:val="28"/>
        </w:rPr>
      </w:pPr>
      <w:r w:rsidRPr="000C1158">
        <w:rPr>
          <w:b/>
          <w:sz w:val="28"/>
        </w:rPr>
        <w:lastRenderedPageBreak/>
        <w:t xml:space="preserve">Potentially over </w:t>
      </w:r>
      <w:r w:rsidR="00091C07">
        <w:rPr>
          <w:b/>
          <w:sz w:val="28"/>
        </w:rPr>
        <w:t>3</w:t>
      </w:r>
      <w:r w:rsidRPr="000C1158">
        <w:rPr>
          <w:b/>
          <w:sz w:val="28"/>
        </w:rPr>
        <w:t xml:space="preserve"> million children in </w:t>
      </w:r>
      <w:r w:rsidR="002659AC">
        <w:rPr>
          <w:b/>
          <w:sz w:val="28"/>
        </w:rPr>
        <w:t xml:space="preserve">EU </w:t>
      </w:r>
      <w:r w:rsidRPr="000C1158">
        <w:rPr>
          <w:b/>
          <w:sz w:val="28"/>
        </w:rPr>
        <w:t xml:space="preserve">Europe </w:t>
      </w:r>
      <w:r w:rsidR="00091C07">
        <w:rPr>
          <w:b/>
          <w:sz w:val="28"/>
        </w:rPr>
        <w:t>believed</w:t>
      </w:r>
      <w:r>
        <w:rPr>
          <w:b/>
          <w:sz w:val="28"/>
        </w:rPr>
        <w:t xml:space="preserve"> not</w:t>
      </w:r>
      <w:r w:rsidR="00091C07">
        <w:rPr>
          <w:b/>
          <w:sz w:val="28"/>
        </w:rPr>
        <w:t xml:space="preserve"> to be</w:t>
      </w:r>
      <w:r>
        <w:rPr>
          <w:b/>
          <w:sz w:val="28"/>
        </w:rPr>
        <w:t xml:space="preserve"> receiving</w:t>
      </w:r>
      <w:r w:rsidRPr="000C1158">
        <w:rPr>
          <w:b/>
          <w:sz w:val="28"/>
        </w:rPr>
        <w:t xml:space="preserve"> needed medical and dental treatment </w:t>
      </w:r>
      <w:r w:rsidR="004F6337">
        <w:rPr>
          <w:b/>
          <w:sz w:val="28"/>
        </w:rPr>
        <w:t>– and Parents</w:t>
      </w:r>
      <w:r w:rsidR="002659AC">
        <w:rPr>
          <w:b/>
          <w:sz w:val="28"/>
        </w:rPr>
        <w:t>’</w:t>
      </w:r>
      <w:r w:rsidR="004F6337">
        <w:rPr>
          <w:b/>
          <w:sz w:val="28"/>
        </w:rPr>
        <w:t xml:space="preserve"> reasons why.</w:t>
      </w:r>
    </w:p>
    <w:p w:rsidR="005C7674" w:rsidRPr="006C7CC3" w:rsidRDefault="005C7674" w:rsidP="0084455B">
      <w:pPr>
        <w:pStyle w:val="Heading1"/>
        <w:spacing w:line="480" w:lineRule="auto"/>
      </w:pPr>
      <w:r w:rsidRPr="006C7CC3">
        <w:t>Abstract</w:t>
      </w:r>
    </w:p>
    <w:p w:rsidR="00EA191E" w:rsidRDefault="00EA191E" w:rsidP="0084455B">
      <w:pPr>
        <w:spacing w:line="480" w:lineRule="auto"/>
        <w:jc w:val="both"/>
      </w:pPr>
      <w:bookmarkStart w:id="0" w:name="_GoBack"/>
      <w:r w:rsidRPr="00EA191E">
        <w:rPr>
          <w:b/>
        </w:rPr>
        <w:t>Background:</w:t>
      </w:r>
      <w:r>
        <w:t xml:space="preserve"> </w:t>
      </w:r>
      <w:r w:rsidR="0079365F">
        <w:t xml:space="preserve">Children have the Right to health, and countries a duty under the United Nations Convention on the Rights of the Child to facilitate this. </w:t>
      </w:r>
      <w:r w:rsidR="0077642B">
        <w:t>The European Union has emphasised the importance of investing in children, but at times this seems more wish than pragmatism. Further</w:t>
      </w:r>
      <w:r w:rsidR="00A67421">
        <w:t>more,</w:t>
      </w:r>
      <w:r w:rsidR="0079365F">
        <w:t xml:space="preserve"> European statistical systems do not provide an</w:t>
      </w:r>
      <w:r w:rsidR="00280208">
        <w:t>y</w:t>
      </w:r>
      <w:r w:rsidR="0079365F">
        <w:t xml:space="preserve"> relevant data</w:t>
      </w:r>
      <w:r w:rsidR="0040505C">
        <w:t xml:space="preserve">, and the degree of unmet need has </w:t>
      </w:r>
      <w:r w:rsidR="00EE4B3F">
        <w:t xml:space="preserve">hitherto </w:t>
      </w:r>
      <w:r w:rsidR="0040505C">
        <w:t>been unknown.</w:t>
      </w:r>
      <w:r w:rsidR="0077642B">
        <w:t xml:space="preserve"> However, n</w:t>
      </w:r>
      <w:r w:rsidR="0040505C">
        <w:t xml:space="preserve">ew </w:t>
      </w:r>
      <w:r w:rsidR="0040505C">
        <w:rPr>
          <w:i/>
        </w:rPr>
        <w:t>ad hoc</w:t>
      </w:r>
      <w:r w:rsidR="0040505C">
        <w:t xml:space="preserve"> </w:t>
      </w:r>
      <w:r w:rsidR="00091C07">
        <w:t xml:space="preserve">household survey </w:t>
      </w:r>
      <w:r w:rsidR="0040505C">
        <w:t xml:space="preserve">data have now been published </w:t>
      </w:r>
      <w:r w:rsidR="0077642B">
        <w:t xml:space="preserve">by Eurostat </w:t>
      </w:r>
      <w:r w:rsidR="0040505C">
        <w:t xml:space="preserve">showing the percentage of children with </w:t>
      </w:r>
      <w:r w:rsidR="00091C07">
        <w:t xml:space="preserve">a purported </w:t>
      </w:r>
      <w:r w:rsidR="0040505C">
        <w:t xml:space="preserve">unmet medical or dental need, and the expressed reasons for this. </w:t>
      </w:r>
    </w:p>
    <w:p w:rsidR="00EA191E" w:rsidRDefault="00EA191E" w:rsidP="0084455B">
      <w:pPr>
        <w:spacing w:line="480" w:lineRule="auto"/>
        <w:jc w:val="both"/>
      </w:pPr>
      <w:r w:rsidRPr="00EA191E">
        <w:rPr>
          <w:b/>
        </w:rPr>
        <w:t>Method</w:t>
      </w:r>
      <w:r>
        <w:t xml:space="preserve">: </w:t>
      </w:r>
      <w:r w:rsidR="0040505C">
        <w:t xml:space="preserve">This paper </w:t>
      </w:r>
      <w:r w:rsidR="00091C07">
        <w:t xml:space="preserve">critically reviews </w:t>
      </w:r>
      <w:r>
        <w:t>these</w:t>
      </w:r>
      <w:r w:rsidR="005C7674">
        <w:t xml:space="preserve"> </w:t>
      </w:r>
      <w:r w:rsidR="0040505C">
        <w:t xml:space="preserve">data </w:t>
      </w:r>
      <w:r>
        <w:t>on children with a</w:t>
      </w:r>
      <w:r w:rsidR="00091C07">
        <w:t xml:space="preserve"> reported</w:t>
      </w:r>
      <w:r>
        <w:t xml:space="preserve"> unmet medical or dental need </w:t>
      </w:r>
      <w:r w:rsidR="0040505C">
        <w:t>to create an indication of the number of European children with unmet medical and dental needs</w:t>
      </w:r>
      <w:r w:rsidR="00091C07">
        <w:t>, and the contributory factors</w:t>
      </w:r>
      <w:r w:rsidR="0040505C">
        <w:t>.</w:t>
      </w:r>
      <w:r w:rsidR="0077642B">
        <w:t xml:space="preserve"> </w:t>
      </w:r>
    </w:p>
    <w:p w:rsidR="00EA191E" w:rsidRDefault="00EA191E" w:rsidP="0084455B">
      <w:pPr>
        <w:spacing w:line="480" w:lineRule="auto"/>
        <w:jc w:val="both"/>
      </w:pPr>
      <w:r w:rsidRPr="00EA191E">
        <w:rPr>
          <w:b/>
        </w:rPr>
        <w:t>Results</w:t>
      </w:r>
      <w:r>
        <w:t>: T</w:t>
      </w:r>
      <w:r w:rsidR="00DD2249">
        <w:t>h</w:t>
      </w:r>
      <w:r>
        <w:t>is paper calculates</w:t>
      </w:r>
      <w:r w:rsidR="0077642B">
        <w:t xml:space="preserve"> that </w:t>
      </w:r>
      <w:r w:rsidR="00091C07">
        <w:t xml:space="preserve">some </w:t>
      </w:r>
      <w:r w:rsidR="0040505C">
        <w:t xml:space="preserve">1 million European children </w:t>
      </w:r>
      <w:r w:rsidR="0077642B">
        <w:t>can be</w:t>
      </w:r>
      <w:r w:rsidR="0040505C">
        <w:t xml:space="preserve"> estimated to have an unmet medical need, and </w:t>
      </w:r>
      <w:r w:rsidR="00DD2249">
        <w:t>2</w:t>
      </w:r>
      <w:r w:rsidR="0040505C">
        <w:t xml:space="preserve"> </w:t>
      </w:r>
      <w:r w:rsidR="004F6337">
        <w:t xml:space="preserve">million </w:t>
      </w:r>
      <w:r w:rsidR="0040505C">
        <w:t>children an unmet dental need</w:t>
      </w:r>
      <w:r w:rsidR="00091C07">
        <w:t>, though the survey approach has some weaknesses</w:t>
      </w:r>
      <w:r w:rsidR="0040505C">
        <w:t xml:space="preserve">. </w:t>
      </w:r>
      <w:r w:rsidR="00091C07">
        <w:t xml:space="preserve">A probable overestimate of children affected in sample </w:t>
      </w:r>
      <w:r w:rsidR="006F23A0">
        <w:t xml:space="preserve">households offsets </w:t>
      </w:r>
      <w:r w:rsidR="0040505C">
        <w:t xml:space="preserve">the likely failure to capture </w:t>
      </w:r>
      <w:r w:rsidR="00280208">
        <w:t xml:space="preserve">data about </w:t>
      </w:r>
      <w:r w:rsidR="0040505C">
        <w:t>children in institutions, homeless, or in fractured families</w:t>
      </w:r>
      <w:r w:rsidR="004F6337">
        <w:t>, or about multiple needs</w:t>
      </w:r>
      <w:r w:rsidR="0040505C">
        <w:t>.</w:t>
      </w:r>
      <w:r w:rsidR="00E1638C">
        <w:t xml:space="preserve"> </w:t>
      </w:r>
      <w:r w:rsidR="006F23A0">
        <w:t>The reported reasons for not obtaining treatments are a valuable first step in highlighting an important issue for Europe’s children – measurement of service accessibility.</w:t>
      </w:r>
    </w:p>
    <w:p w:rsidR="00666632" w:rsidRPr="00EE4B3F" w:rsidRDefault="00EA191E" w:rsidP="0084455B">
      <w:pPr>
        <w:spacing w:line="480" w:lineRule="auto"/>
        <w:jc w:val="both"/>
      </w:pPr>
      <w:r w:rsidRPr="00EA191E">
        <w:rPr>
          <w:b/>
        </w:rPr>
        <w:t>Conclusion</w:t>
      </w:r>
      <w:r>
        <w:t xml:space="preserve">: </w:t>
      </w:r>
      <w:r w:rsidR="006F23A0">
        <w:t>Potentially over 3</w:t>
      </w:r>
      <w:r w:rsidR="0040505C">
        <w:t xml:space="preserve"> mi</w:t>
      </w:r>
      <w:r w:rsidR="00280208">
        <w:t>llion European Union children are failing to have</w:t>
      </w:r>
      <w:r w:rsidR="005C7674" w:rsidRPr="00E24AD8">
        <w:t xml:space="preserve"> </w:t>
      </w:r>
      <w:r w:rsidR="002B439C">
        <w:t>their</w:t>
      </w:r>
      <w:r w:rsidR="00280208">
        <w:t xml:space="preserve"> health needs, and their Rights, met. </w:t>
      </w:r>
      <w:r w:rsidR="00E1638C">
        <w:t xml:space="preserve">If the incoming European Commission is serious about its predecessor’s promise to invest </w:t>
      </w:r>
      <w:r w:rsidR="00A67421">
        <w:t>in</w:t>
      </w:r>
      <w:r w:rsidR="00E1638C">
        <w:t xml:space="preserve"> children, and to take seriously their rights, </w:t>
      </w:r>
      <w:r w:rsidR="00280208">
        <w:t xml:space="preserve">action </w:t>
      </w:r>
      <w:r w:rsidR="00E1638C">
        <w:t>is</w:t>
      </w:r>
      <w:r w:rsidR="00280208">
        <w:t xml:space="preserve"> needed to </w:t>
      </w:r>
      <w:r w:rsidR="00E1638C">
        <w:t xml:space="preserve">improve quantification of unmet need and to </w:t>
      </w:r>
      <w:r w:rsidR="00280208">
        <w:t>reduce suffering and potential lasting damage.</w:t>
      </w:r>
    </w:p>
    <w:bookmarkEnd w:id="0"/>
    <w:p w:rsidR="00280208" w:rsidRPr="00666632" w:rsidRDefault="00666632" w:rsidP="0084455B">
      <w:pPr>
        <w:spacing w:line="480" w:lineRule="auto"/>
        <w:jc w:val="both"/>
        <w:rPr>
          <w:u w:val="single"/>
        </w:rPr>
      </w:pPr>
      <w:r w:rsidRPr="00666632">
        <w:rPr>
          <w:u w:val="single"/>
        </w:rPr>
        <w:lastRenderedPageBreak/>
        <w:t>Key Words:</w:t>
      </w:r>
    </w:p>
    <w:p w:rsidR="00666632" w:rsidRDefault="00666632" w:rsidP="0084455B">
      <w:pPr>
        <w:spacing w:line="480" w:lineRule="auto"/>
        <w:jc w:val="both"/>
      </w:pPr>
      <w:r>
        <w:t xml:space="preserve">Children; </w:t>
      </w:r>
      <w:r w:rsidR="00F23412">
        <w:t xml:space="preserve">Europe; </w:t>
      </w:r>
      <w:r w:rsidR="00D807CA">
        <w:t xml:space="preserve">healthcare; </w:t>
      </w:r>
      <w:r w:rsidR="009E0834">
        <w:t xml:space="preserve">dental care; </w:t>
      </w:r>
      <w:r w:rsidR="00D807CA">
        <w:t xml:space="preserve">right to health; </w:t>
      </w:r>
      <w:r>
        <w:t>unmet need</w:t>
      </w:r>
      <w:r w:rsidR="00D807CA">
        <w:t>; affordability</w:t>
      </w:r>
    </w:p>
    <w:p w:rsidR="00FB1E05" w:rsidRPr="000C1158" w:rsidRDefault="00FB1E05" w:rsidP="00FB1E05">
      <w:pPr>
        <w:spacing w:line="480" w:lineRule="auto"/>
        <w:rPr>
          <w:b/>
          <w:sz w:val="28"/>
        </w:rPr>
      </w:pPr>
      <w:r w:rsidRPr="000C1158">
        <w:rPr>
          <w:b/>
          <w:sz w:val="28"/>
        </w:rPr>
        <w:t xml:space="preserve">Potentially over </w:t>
      </w:r>
      <w:r w:rsidR="006F23A0">
        <w:rPr>
          <w:b/>
          <w:sz w:val="28"/>
        </w:rPr>
        <w:t>3</w:t>
      </w:r>
      <w:r w:rsidRPr="000C1158">
        <w:rPr>
          <w:b/>
          <w:sz w:val="28"/>
        </w:rPr>
        <w:t xml:space="preserve"> million children in </w:t>
      </w:r>
      <w:r w:rsidR="002659AC">
        <w:rPr>
          <w:b/>
          <w:sz w:val="28"/>
        </w:rPr>
        <w:t xml:space="preserve">EU </w:t>
      </w:r>
      <w:r w:rsidRPr="000C1158">
        <w:rPr>
          <w:b/>
          <w:sz w:val="28"/>
        </w:rPr>
        <w:t xml:space="preserve">Europe </w:t>
      </w:r>
      <w:r w:rsidR="006F23A0">
        <w:rPr>
          <w:b/>
          <w:sz w:val="28"/>
        </w:rPr>
        <w:t>believed</w:t>
      </w:r>
      <w:r>
        <w:rPr>
          <w:b/>
          <w:sz w:val="28"/>
        </w:rPr>
        <w:t xml:space="preserve"> not </w:t>
      </w:r>
      <w:r w:rsidR="006F23A0">
        <w:rPr>
          <w:b/>
          <w:sz w:val="28"/>
        </w:rPr>
        <w:t xml:space="preserve">to be </w:t>
      </w:r>
      <w:r>
        <w:rPr>
          <w:b/>
          <w:sz w:val="28"/>
        </w:rPr>
        <w:t>receiving</w:t>
      </w:r>
      <w:r w:rsidRPr="000C1158">
        <w:rPr>
          <w:b/>
          <w:sz w:val="28"/>
        </w:rPr>
        <w:t xml:space="preserve"> needed medical and dental treatment </w:t>
      </w:r>
      <w:r w:rsidR="002659AC">
        <w:rPr>
          <w:b/>
          <w:sz w:val="28"/>
        </w:rPr>
        <w:t xml:space="preserve">- </w:t>
      </w:r>
      <w:r w:rsidR="002659AC">
        <w:rPr>
          <w:b/>
          <w:sz w:val="28"/>
        </w:rPr>
        <w:t>and Parents</w:t>
      </w:r>
      <w:r w:rsidR="002659AC">
        <w:rPr>
          <w:b/>
          <w:sz w:val="28"/>
        </w:rPr>
        <w:t>’</w:t>
      </w:r>
      <w:r w:rsidR="002659AC">
        <w:rPr>
          <w:b/>
          <w:sz w:val="28"/>
        </w:rPr>
        <w:t xml:space="preserve"> reasons why</w:t>
      </w:r>
    </w:p>
    <w:p w:rsidR="00FB1E05" w:rsidRDefault="00FB1E05" w:rsidP="0084455B">
      <w:pPr>
        <w:spacing w:line="480" w:lineRule="auto"/>
        <w:rPr>
          <w:u w:val="single"/>
        </w:rPr>
      </w:pPr>
    </w:p>
    <w:p w:rsidR="005C7674" w:rsidRPr="005268BF" w:rsidRDefault="005507C0" w:rsidP="0084455B">
      <w:pPr>
        <w:spacing w:line="480" w:lineRule="auto"/>
        <w:rPr>
          <w:u w:val="single"/>
        </w:rPr>
      </w:pPr>
      <w:r>
        <w:rPr>
          <w:u w:val="single"/>
        </w:rPr>
        <w:t>Background</w:t>
      </w:r>
    </w:p>
    <w:p w:rsidR="00220A45" w:rsidRDefault="005C7674" w:rsidP="0084455B">
      <w:pPr>
        <w:spacing w:line="480" w:lineRule="auto"/>
      </w:pPr>
      <w:r>
        <w:t xml:space="preserve">Children are important in any society, and health systems and governments are reluctant to admit to anything other than prioritisation of services to this group. Children </w:t>
      </w:r>
      <w:proofErr w:type="gramStart"/>
      <w:r>
        <w:t>by definition are</w:t>
      </w:r>
      <w:proofErr w:type="gramEnd"/>
      <w:r>
        <w:t xml:space="preserve"> dependent on society to ensure their health needs </w:t>
      </w:r>
      <w:r w:rsidR="00A93D9E">
        <w:t>a</w:t>
      </w:r>
      <w:r>
        <w:t xml:space="preserve">re met, as they cannot advocate for, pay for, or indeed until upper childhood actively seek a service. </w:t>
      </w:r>
    </w:p>
    <w:p w:rsidR="00D10FC8" w:rsidRPr="003A3AA3" w:rsidRDefault="003A3AA3" w:rsidP="0084455B">
      <w:pPr>
        <w:spacing w:line="480" w:lineRule="auto"/>
        <w:rPr>
          <w:i/>
        </w:rPr>
      </w:pPr>
      <w:r w:rsidRPr="003A3AA3">
        <w:rPr>
          <w:i/>
        </w:rPr>
        <w:t xml:space="preserve">Policy </w:t>
      </w:r>
      <w:r>
        <w:rPr>
          <w:i/>
        </w:rPr>
        <w:t>u</w:t>
      </w:r>
      <w:r w:rsidRPr="003A3AA3">
        <w:rPr>
          <w:i/>
        </w:rPr>
        <w:t>nder-writing</w:t>
      </w:r>
    </w:p>
    <w:p w:rsidR="005268BF" w:rsidRDefault="009862A9" w:rsidP="0084455B">
      <w:pPr>
        <w:spacing w:line="480" w:lineRule="auto"/>
      </w:pPr>
      <w:r>
        <w:t>Under the terms of the United Nations Convention on the Rights of the Child</w:t>
      </w:r>
      <w:r w:rsidR="005465EA" w:rsidRPr="005465EA">
        <w:t xml:space="preserve"> (UNCRC), Article 24 recognises “the right of the child to the enjoyment of the highest attainable standard of health and to facilities for the treatment of illness and rehabilitation of health”</w:t>
      </w:r>
      <w:r w:rsidR="005465EA">
        <w:t xml:space="preserve">, and goes on to state </w:t>
      </w:r>
      <w:r w:rsidR="005465EA" w:rsidRPr="005465EA">
        <w:t>that “States Parties shall strive to ensure that no child is deprived of his or her right of access to such healthcare services”</w:t>
      </w:r>
      <w:r w:rsidR="005465EA">
        <w:t>; and that “States Parties shall pursue full implementation of this right and, in particular, shall take appropriate measures … To ensure the provision of necessary medical assistance and health care to all children with emphasis on the development of primary health care”</w:t>
      </w:r>
      <w:r w:rsidR="00220A45">
        <w:t xml:space="preserve"> [</w:t>
      </w:r>
      <w:r w:rsidR="005465EA" w:rsidRPr="00220A45">
        <w:rPr>
          <w:rStyle w:val="EndnoteReference"/>
          <w:vertAlign w:val="baseline"/>
        </w:rPr>
        <w:endnoteReference w:id="1"/>
      </w:r>
      <w:r w:rsidR="00220A45">
        <w:t>]. All European Union (EU) countries are signatories to the UNCRC.</w:t>
      </w:r>
    </w:p>
    <w:p w:rsidR="005C7674" w:rsidRDefault="005268BF" w:rsidP="0084455B">
      <w:pPr>
        <w:spacing w:line="480" w:lineRule="auto"/>
      </w:pPr>
      <w:r>
        <w:t>In European Union terms, health services are a national competence, and the European Commission has little policy mandate other than special topics such as public health, cross-border threats, and research. However,</w:t>
      </w:r>
      <w:r w:rsidR="000C1158">
        <w:t xml:space="preserve"> </w:t>
      </w:r>
      <w:r>
        <w:t xml:space="preserve">in 2013 the </w:t>
      </w:r>
      <w:r w:rsidR="00270538">
        <w:t xml:space="preserve">Commission published a Recommendation on the importance of investing in </w:t>
      </w:r>
      <w:r>
        <w:t>children</w:t>
      </w:r>
      <w:r w:rsidR="009862A9">
        <w:t xml:space="preserve"> [</w:t>
      </w:r>
      <w:r w:rsidR="00992554" w:rsidRPr="003B248D">
        <w:rPr>
          <w:rStyle w:val="EndnoteReference"/>
          <w:vertAlign w:val="baseline"/>
        </w:rPr>
        <w:endnoteReference w:id="2"/>
      </w:r>
      <w:r w:rsidR="009862A9">
        <w:t>]</w:t>
      </w:r>
      <w:r w:rsidR="00220A45">
        <w:t xml:space="preserve">. </w:t>
      </w:r>
      <w:r>
        <w:t xml:space="preserve">Though the prime focus was on addressing social and economic </w:t>
      </w:r>
      <w:r>
        <w:lastRenderedPageBreak/>
        <w:t>disadvantage</w:t>
      </w:r>
      <w:r w:rsidR="009862A9">
        <w:t>, one objective specified is “</w:t>
      </w:r>
      <w:r w:rsidR="005C7674" w:rsidRPr="005C7674">
        <w:t>Improve the responsiveness of health systems to address the needs of disadvantaged children — Ensure that all children can make full use of their</w:t>
      </w:r>
      <w:r w:rsidR="005C7674">
        <w:t xml:space="preserve"> </w:t>
      </w:r>
      <w:r w:rsidR="009862A9">
        <w:t>universal right to healthcare”</w:t>
      </w:r>
    </w:p>
    <w:p w:rsidR="00C3557C" w:rsidRDefault="00220A45" w:rsidP="0084455B">
      <w:pPr>
        <w:spacing w:line="480" w:lineRule="auto"/>
      </w:pPr>
      <w:r>
        <w:t xml:space="preserve">The World Health Organisation Regional Office for Europe covers all 53 countries of the European continent, including the EU countries. It has clear policies on </w:t>
      </w:r>
      <w:r w:rsidR="00C3557C">
        <w:t>child health, endorsed by all countries. The 2005 European strategy for child and adolescent health and development [</w:t>
      </w:r>
      <w:r w:rsidR="00C3557C" w:rsidRPr="00C3557C">
        <w:rPr>
          <w:rStyle w:val="EndnoteReference"/>
          <w:vertAlign w:val="baseline"/>
        </w:rPr>
        <w:endnoteReference w:id="3"/>
      </w:r>
      <w:r w:rsidR="00C3557C">
        <w:t>], with its life-course approach</w:t>
      </w:r>
      <w:r w:rsidR="00F0235B">
        <w:t>,</w:t>
      </w:r>
      <w:r w:rsidR="00C3557C">
        <w:t xml:space="preserve"> was re-endorsed by Investing in </w:t>
      </w:r>
      <w:r w:rsidR="004073A9">
        <w:t>C</w:t>
      </w:r>
      <w:r w:rsidR="00C3557C">
        <w:t>hildren: the European child and adolescent health strategy 2015–2020 document in 2015</w:t>
      </w:r>
      <w:r w:rsidR="003A3AA3">
        <w:t xml:space="preserve"> [</w:t>
      </w:r>
      <w:r w:rsidR="003A3AA3" w:rsidRPr="00B93A7E">
        <w:rPr>
          <w:rStyle w:val="EndnoteReference"/>
          <w:vertAlign w:val="baseline"/>
        </w:rPr>
        <w:endnoteReference w:id="4"/>
      </w:r>
      <w:r w:rsidR="003A3AA3">
        <w:t>]</w:t>
      </w:r>
      <w:r w:rsidR="00C3557C">
        <w:t>.  This latter emphasised the grounding on the WHO core policy o</w:t>
      </w:r>
      <w:r w:rsidR="000F39C8">
        <w:t>f</w:t>
      </w:r>
      <w:r w:rsidR="00C3557C">
        <w:t xml:space="preserve"> advancing Universal Health Coverage</w:t>
      </w:r>
      <w:r w:rsidR="008E06C3">
        <w:t>, which itself implies the importance of access for all children to necessary health care</w:t>
      </w:r>
      <w:r w:rsidR="00C3557C">
        <w:t>.</w:t>
      </w:r>
    </w:p>
    <w:p w:rsidR="008E06C3" w:rsidRDefault="008E06C3" w:rsidP="0084455B">
      <w:pPr>
        <w:spacing w:line="480" w:lineRule="auto"/>
        <w:rPr>
          <w:i/>
        </w:rPr>
      </w:pPr>
      <w:r w:rsidRPr="008E06C3">
        <w:rPr>
          <w:i/>
        </w:rPr>
        <w:t xml:space="preserve">The challenge of measuring </w:t>
      </w:r>
      <w:r>
        <w:rPr>
          <w:i/>
        </w:rPr>
        <w:t>compliance</w:t>
      </w:r>
    </w:p>
    <w:p w:rsidR="008E06C3" w:rsidRDefault="00F0235B" w:rsidP="0084455B">
      <w:pPr>
        <w:spacing w:line="480" w:lineRule="auto"/>
      </w:pPr>
      <w:r>
        <w:t>Ascertaining</w:t>
      </w:r>
      <w:r w:rsidR="008E06C3">
        <w:t xml:space="preserve"> whether this policy and Right of children to access healthcare is being achieved is difficult. As has already been ascertained from a recent large study of children’s primary care in Europe, children are almost invisible in </w:t>
      </w:r>
      <w:r w:rsidR="00B85747">
        <w:t>European data systems [</w:t>
      </w:r>
      <w:r w:rsidR="00B85747" w:rsidRPr="00B93A7E">
        <w:rPr>
          <w:rStyle w:val="EndnoteReference"/>
          <w:vertAlign w:val="baseline"/>
        </w:rPr>
        <w:endnoteReference w:id="5"/>
      </w:r>
      <w:r w:rsidR="00D35536" w:rsidRPr="00B93A7E">
        <w:t>]</w:t>
      </w:r>
      <w:r w:rsidR="00D35536">
        <w:t>. This includes the absence of any data on primary care provision for children or on primary care activity</w:t>
      </w:r>
      <w:r w:rsidR="003E5755">
        <w:t>, while</w:t>
      </w:r>
      <w:r w:rsidR="00804847">
        <w:t xml:space="preserve"> hospital discharge data for children’s age-groups are only available for 17 of the 28 EU countries.</w:t>
      </w:r>
    </w:p>
    <w:p w:rsidR="006E50F1" w:rsidRDefault="003736AE" w:rsidP="0084455B">
      <w:pPr>
        <w:spacing w:line="480" w:lineRule="auto"/>
      </w:pPr>
      <w:r>
        <w:t>T</w:t>
      </w:r>
      <w:r w:rsidR="006E50F1">
        <w:t>he European Observatory on Health Systems and Policies published in 2017 a status report on Implementation of the right to health care under the UN</w:t>
      </w:r>
      <w:r w:rsidR="00194A03">
        <w:t>CRC</w:t>
      </w:r>
      <w:r w:rsidR="00B93A7E">
        <w:t xml:space="preserve"> </w:t>
      </w:r>
      <w:r>
        <w:t>[</w:t>
      </w:r>
      <w:r w:rsidRPr="00B93A7E">
        <w:rPr>
          <w:rStyle w:val="EndnoteReference"/>
          <w:vertAlign w:val="baseline"/>
        </w:rPr>
        <w:endnoteReference w:id="6"/>
      </w:r>
      <w:r w:rsidR="00B93A7E">
        <w:t>]</w:t>
      </w:r>
      <w:r w:rsidR="006E50F1">
        <w:t>. Acknowledging the non-specificity of the rights of the child to healthcare under Article 24 of the UNCRC, this report summarise</w:t>
      </w:r>
      <w:r w:rsidR="00F0235B">
        <w:t>d</w:t>
      </w:r>
      <w:r w:rsidR="006E50F1">
        <w:t xml:space="preserve"> that:</w:t>
      </w:r>
    </w:p>
    <w:p w:rsidR="006E50F1" w:rsidRPr="003736AE" w:rsidRDefault="006E50F1" w:rsidP="0084455B">
      <w:pPr>
        <w:spacing w:after="0" w:line="480" w:lineRule="auto"/>
        <w:ind w:left="720"/>
        <w:rPr>
          <w:i/>
        </w:rPr>
      </w:pPr>
      <w:r w:rsidRPr="003736AE">
        <w:rPr>
          <w:i/>
        </w:rPr>
        <w:t>“Although all EU Member States have ratified the UNCRC, only four (Cyprus, Croatia, Italy and Spain)</w:t>
      </w:r>
      <w:r w:rsidR="003736AE">
        <w:rPr>
          <w:i/>
        </w:rPr>
        <w:t xml:space="preserve"> </w:t>
      </w:r>
      <w:r w:rsidRPr="003736AE">
        <w:rPr>
          <w:i/>
        </w:rPr>
        <w:t>have introduced a legal disposition that guarantees this right to all children living in their territory,</w:t>
      </w:r>
      <w:r w:rsidR="003736AE">
        <w:rPr>
          <w:i/>
        </w:rPr>
        <w:t xml:space="preserve"> </w:t>
      </w:r>
      <w:r w:rsidRPr="003736AE">
        <w:rPr>
          <w:i/>
        </w:rPr>
        <w:t>irrespective of their legal status (nationality, social insurance or residence). Two of them (Cyprus and</w:t>
      </w:r>
      <w:r w:rsidR="003736AE">
        <w:rPr>
          <w:i/>
        </w:rPr>
        <w:t xml:space="preserve"> </w:t>
      </w:r>
      <w:r w:rsidRPr="003736AE">
        <w:rPr>
          <w:i/>
        </w:rPr>
        <w:t>Italy) explicitly refer to the UNCRC. Seven other countries (France, Greece, Malta, Poland, Portugal,</w:t>
      </w:r>
      <w:r w:rsidR="003736AE">
        <w:rPr>
          <w:i/>
        </w:rPr>
        <w:t xml:space="preserve"> </w:t>
      </w:r>
      <w:r w:rsidRPr="003736AE">
        <w:rPr>
          <w:i/>
        </w:rPr>
        <w:t xml:space="preserve">Romania, Sweden) ensure health care to all groups of </w:t>
      </w:r>
      <w:r w:rsidRPr="003736AE">
        <w:rPr>
          <w:i/>
        </w:rPr>
        <w:lastRenderedPageBreak/>
        <w:t>children residing in their territory through</w:t>
      </w:r>
      <w:r w:rsidR="003736AE">
        <w:rPr>
          <w:i/>
        </w:rPr>
        <w:t xml:space="preserve"> </w:t>
      </w:r>
      <w:r w:rsidRPr="003736AE">
        <w:rPr>
          <w:i/>
        </w:rPr>
        <w:t>regular health care legislation by setting out the eligibility criteria or by organising special additional</w:t>
      </w:r>
      <w:r w:rsidR="003736AE">
        <w:rPr>
          <w:i/>
        </w:rPr>
        <w:t xml:space="preserve"> </w:t>
      </w:r>
      <w:r w:rsidRPr="003736AE">
        <w:rPr>
          <w:i/>
        </w:rPr>
        <w:t>schemes for specific groups that fall outside of main statutory coverage.</w:t>
      </w:r>
      <w:r w:rsidR="00194A03" w:rsidRPr="003736AE">
        <w:rPr>
          <w:i/>
        </w:rPr>
        <w:t>”</w:t>
      </w:r>
    </w:p>
    <w:p w:rsidR="006E50F1" w:rsidRPr="003736AE" w:rsidRDefault="006E50F1" w:rsidP="0084455B">
      <w:pPr>
        <w:spacing w:after="0" w:line="480" w:lineRule="auto"/>
        <w:ind w:left="720"/>
        <w:rPr>
          <w:i/>
        </w:rPr>
      </w:pPr>
    </w:p>
    <w:p w:rsidR="003736AE" w:rsidRDefault="003736AE" w:rsidP="0084455B">
      <w:pPr>
        <w:spacing w:after="0" w:line="480" w:lineRule="auto"/>
        <w:rPr>
          <w:i/>
        </w:rPr>
      </w:pPr>
    </w:p>
    <w:p w:rsidR="003736AE" w:rsidRDefault="00AC4291" w:rsidP="0084455B">
      <w:pPr>
        <w:spacing w:after="0" w:line="480" w:lineRule="auto"/>
      </w:pPr>
      <w:r w:rsidRPr="00AC4291">
        <w:t xml:space="preserve">The conclusion of this </w:t>
      </w:r>
      <w:r>
        <w:t xml:space="preserve">Observatory </w:t>
      </w:r>
      <w:r w:rsidRPr="00AC4291">
        <w:t>report is that three</w:t>
      </w:r>
      <w:r>
        <w:t xml:space="preserve"> countries</w:t>
      </w:r>
      <w:r w:rsidRPr="00AC4291">
        <w:t xml:space="preserve"> – Austria, Germany, and the Netherlands </w:t>
      </w:r>
      <w:r>
        <w:t xml:space="preserve">- </w:t>
      </w:r>
      <w:r w:rsidRPr="00AC4291">
        <w:t>are not considered fully compliant for their own national children</w:t>
      </w:r>
      <w:r>
        <w:t xml:space="preserve">, that several countries are not compliant for children of other nationalities than the host state, and that </w:t>
      </w:r>
      <w:r w:rsidRPr="00AC4291">
        <w:t xml:space="preserve">only eleven countries </w:t>
      </w:r>
      <w:r>
        <w:t>appear</w:t>
      </w:r>
      <w:r w:rsidRPr="00AC4291">
        <w:t xml:space="preserve"> fully compliant with this obligation for all groups of children – Croatia, Cyprus, France, Greece, Italy, Malta, Poland, Portugal, Romania, Spain, and Sweden. </w:t>
      </w:r>
    </w:p>
    <w:p w:rsidR="00AC4291" w:rsidRDefault="00AC4291" w:rsidP="0084455B">
      <w:pPr>
        <w:spacing w:after="0" w:line="480" w:lineRule="auto"/>
      </w:pPr>
    </w:p>
    <w:p w:rsidR="00AC4291" w:rsidRDefault="00AC4291" w:rsidP="0084455B">
      <w:pPr>
        <w:spacing w:after="0" w:line="480" w:lineRule="auto"/>
      </w:pPr>
      <w:r>
        <w:t xml:space="preserve">However, both the policy commitments and the Observatory policy analysis are devoid of case-based statistics. </w:t>
      </w:r>
      <w:r w:rsidR="00194A03">
        <w:t xml:space="preserve">This paper </w:t>
      </w:r>
      <w:r w:rsidR="00804847">
        <w:t xml:space="preserve">explores </w:t>
      </w:r>
      <w:r>
        <w:t xml:space="preserve">a new opportunity to </w:t>
      </w:r>
      <w:r w:rsidR="00194A03">
        <w:t>analyse</w:t>
      </w:r>
      <w:r>
        <w:t xml:space="preserve"> some </w:t>
      </w:r>
      <w:r w:rsidR="00194A03">
        <w:t xml:space="preserve">newly published </w:t>
      </w:r>
      <w:r>
        <w:t xml:space="preserve">facts, </w:t>
      </w:r>
      <w:r w:rsidR="00393E73">
        <w:t xml:space="preserve">albeit very limited in detail </w:t>
      </w:r>
      <w:r w:rsidR="00804847">
        <w:t xml:space="preserve">and </w:t>
      </w:r>
      <w:r w:rsidR="003E5755">
        <w:t xml:space="preserve">with </w:t>
      </w:r>
      <w:r w:rsidR="00804847">
        <w:t xml:space="preserve">no </w:t>
      </w:r>
      <w:r w:rsidR="00393E73">
        <w:t>clinical verification.</w:t>
      </w:r>
      <w:r>
        <w:t xml:space="preserve"> </w:t>
      </w:r>
    </w:p>
    <w:p w:rsidR="00393E73" w:rsidRDefault="00393E73" w:rsidP="0084455B">
      <w:pPr>
        <w:spacing w:after="0" w:line="480" w:lineRule="auto"/>
      </w:pPr>
    </w:p>
    <w:p w:rsidR="00393E73" w:rsidRPr="00393E73" w:rsidRDefault="00393E73" w:rsidP="0084455B">
      <w:pPr>
        <w:spacing w:after="0" w:line="480" w:lineRule="auto"/>
        <w:rPr>
          <w:u w:val="single"/>
        </w:rPr>
      </w:pPr>
      <w:r w:rsidRPr="00393E73">
        <w:rPr>
          <w:u w:val="single"/>
        </w:rPr>
        <w:t>Method</w:t>
      </w:r>
    </w:p>
    <w:p w:rsidR="00393E73" w:rsidRPr="003736AE" w:rsidRDefault="00393E73" w:rsidP="0084455B">
      <w:pPr>
        <w:spacing w:after="0" w:line="480" w:lineRule="auto"/>
      </w:pPr>
    </w:p>
    <w:p w:rsidR="008A6CD5" w:rsidRDefault="008A6CD5" w:rsidP="0084455B">
      <w:pPr>
        <w:spacing w:line="480" w:lineRule="auto"/>
      </w:pPr>
      <w:r>
        <w:t xml:space="preserve">The Eurostat Statistics on Income and Living Conditions (SILC) database </w:t>
      </w:r>
      <w:r w:rsidR="00804847">
        <w:t xml:space="preserve">is an important survey and source of data on living conditions in Europe. </w:t>
      </w:r>
      <w:r w:rsidR="006744B3">
        <w:t>I</w:t>
      </w:r>
      <w:r w:rsidR="00804847">
        <w:t>n 2017 for</w:t>
      </w:r>
      <w:r>
        <w:t xml:space="preserve"> the first time </w:t>
      </w:r>
      <w:r w:rsidR="006744B3">
        <w:t xml:space="preserve">this study </w:t>
      </w:r>
      <w:r>
        <w:t xml:space="preserve">included </w:t>
      </w:r>
      <w:r w:rsidRPr="00194A03">
        <w:rPr>
          <w:i/>
        </w:rPr>
        <w:t>a</w:t>
      </w:r>
      <w:r w:rsidR="00194A03" w:rsidRPr="00194A03">
        <w:rPr>
          <w:i/>
        </w:rPr>
        <w:t>d</w:t>
      </w:r>
      <w:r w:rsidRPr="00194A03">
        <w:rPr>
          <w:i/>
        </w:rPr>
        <w:t xml:space="preserve"> hoc</w:t>
      </w:r>
      <w:r>
        <w:t xml:space="preserve"> data on children’s health (</w:t>
      </w:r>
      <w:proofErr w:type="spellStart"/>
      <w:r>
        <w:t>ilc_hch</w:t>
      </w:r>
      <w:proofErr w:type="spellEnd"/>
      <w:r>
        <w:t xml:space="preserve">), with specific </w:t>
      </w:r>
      <w:r w:rsidR="00F0235B">
        <w:t>datasets</w:t>
      </w:r>
      <w:r>
        <w:t xml:space="preserve"> on Children with unmet needs for medical examination or treatment </w:t>
      </w:r>
      <w:r w:rsidR="00175318">
        <w:t>or dental care (ilc_hch1</w:t>
      </w:r>
      <w:r w:rsidR="009F0271">
        <w:t>4)</w:t>
      </w:r>
      <w:r w:rsidR="00175318">
        <w:t xml:space="preserve">, and the reported reasons for the need being unmet (ilc_hch15) </w:t>
      </w:r>
      <w:r>
        <w:t>[</w:t>
      </w:r>
      <w:r w:rsidRPr="00B93A7E">
        <w:rPr>
          <w:rStyle w:val="EndnoteReference"/>
          <w:vertAlign w:val="baseline"/>
        </w:rPr>
        <w:endnoteReference w:id="7"/>
      </w:r>
      <w:r>
        <w:t>]. The SILC methodology is described as a framework database, with agreed data being transmitted to Eurostat [</w:t>
      </w:r>
      <w:r w:rsidRPr="008A6CD5">
        <w:rPr>
          <w:rStyle w:val="EndnoteReference"/>
          <w:vertAlign w:val="baseline"/>
        </w:rPr>
        <w:endnoteReference w:id="8"/>
      </w:r>
      <w:r>
        <w:t xml:space="preserve">]. </w:t>
      </w:r>
      <w:r w:rsidR="00717011">
        <w:t xml:space="preserve">For this paper, the data were critically reviewed </w:t>
      </w:r>
      <w:proofErr w:type="gramStart"/>
      <w:r w:rsidR="00717011">
        <w:t>so as to</w:t>
      </w:r>
      <w:proofErr w:type="gramEnd"/>
      <w:r w:rsidR="00717011">
        <w:t xml:space="preserve"> assess their utility as a means of quantifying unmet health and dental needs for children, and whether they could be used to start </w:t>
      </w:r>
      <w:r w:rsidR="003E5755">
        <w:t xml:space="preserve">dialogue </w:t>
      </w:r>
      <w:r w:rsidR="00717011">
        <w:t>to address the problems and barriers identified.</w:t>
      </w:r>
    </w:p>
    <w:p w:rsidR="00717011" w:rsidRPr="00175318" w:rsidRDefault="00717011" w:rsidP="00717011">
      <w:pPr>
        <w:spacing w:line="480" w:lineRule="auto"/>
        <w:rPr>
          <w:u w:val="single"/>
        </w:rPr>
      </w:pPr>
      <w:r w:rsidRPr="00175318">
        <w:rPr>
          <w:u w:val="single"/>
        </w:rPr>
        <w:t>Results</w:t>
      </w:r>
    </w:p>
    <w:p w:rsidR="00860294" w:rsidRPr="003D5A47" w:rsidRDefault="00860294" w:rsidP="00860294">
      <w:pPr>
        <w:spacing w:line="480" w:lineRule="auto"/>
        <w:rPr>
          <w:i/>
          <w:u w:val="single"/>
        </w:rPr>
      </w:pPr>
      <w:r w:rsidRPr="003D5A47">
        <w:rPr>
          <w:i/>
          <w:u w:val="single"/>
        </w:rPr>
        <w:lastRenderedPageBreak/>
        <w:t>Unmet Medical Needs</w:t>
      </w:r>
    </w:p>
    <w:p w:rsidR="004A5597" w:rsidRDefault="008A6CD5" w:rsidP="004A5597">
      <w:pPr>
        <w:spacing w:line="480" w:lineRule="auto"/>
      </w:pPr>
      <w:r>
        <w:t xml:space="preserve">This provision of data on unmet health need </w:t>
      </w:r>
      <w:r w:rsidR="003E5755">
        <w:t xml:space="preserve">for children </w:t>
      </w:r>
      <w:r>
        <w:t xml:space="preserve">is a </w:t>
      </w:r>
      <w:r w:rsidR="008C6E1A">
        <w:t xml:space="preserve">major </w:t>
      </w:r>
      <w:r>
        <w:t xml:space="preserve">step forward, but there are </w:t>
      </w:r>
      <w:r w:rsidR="008C6E1A">
        <w:t xml:space="preserve">significant </w:t>
      </w:r>
      <w:r>
        <w:t xml:space="preserve">limitations. </w:t>
      </w:r>
      <w:r w:rsidR="004A5597">
        <w:t>The</w:t>
      </w:r>
      <w:r w:rsidR="009D6D78">
        <w:t xml:space="preserve"> </w:t>
      </w:r>
      <w:r w:rsidR="006F23A0">
        <w:t xml:space="preserve">SILC </w:t>
      </w:r>
      <w:r w:rsidR="009D6D78">
        <w:t>survey</w:t>
      </w:r>
      <w:r w:rsidR="004A5597">
        <w:t xml:space="preserve"> </w:t>
      </w:r>
      <w:r w:rsidR="00F46B7A">
        <w:t xml:space="preserve">definition of </w:t>
      </w:r>
      <w:r w:rsidR="004A5597">
        <w:t xml:space="preserve">Medical care </w:t>
      </w:r>
      <w:r w:rsidR="00F46B7A">
        <w:t>“</w:t>
      </w:r>
      <w:r w:rsidR="004A5597" w:rsidRPr="006F23A0">
        <w:rPr>
          <w:i/>
        </w:rPr>
        <w:t xml:space="preserve">refers to individual health care services (examinations or treatments) provided by or under direct supervision of medical doctors </w:t>
      </w:r>
      <w:r w:rsidR="00F46B7A" w:rsidRPr="006F23A0">
        <w:rPr>
          <w:i/>
        </w:rPr>
        <w:t>…</w:t>
      </w:r>
      <w:r w:rsidR="004A5597" w:rsidRPr="006F23A0">
        <w:rPr>
          <w:i/>
        </w:rPr>
        <w:t xml:space="preserve"> traditional and complementary medical professionals </w:t>
      </w:r>
      <w:r w:rsidR="00F46B7A" w:rsidRPr="006F23A0">
        <w:rPr>
          <w:i/>
        </w:rPr>
        <w:t>…</w:t>
      </w:r>
      <w:r w:rsidR="004A5597" w:rsidRPr="006F23A0">
        <w:rPr>
          <w:i/>
        </w:rPr>
        <w:t xml:space="preserve"> or equivalent professions according to national health care systems.</w:t>
      </w:r>
      <w:r w:rsidR="00F46B7A" w:rsidRPr="006F23A0">
        <w:rPr>
          <w:i/>
        </w:rPr>
        <w:t xml:space="preserve"> [including] …</w:t>
      </w:r>
      <w:r w:rsidR="004A5597" w:rsidRPr="006F23A0">
        <w:rPr>
          <w:i/>
        </w:rPr>
        <w:t>curative, rehabilitative, long-term health care and by different modes of provision (inpatient, outpatient, day, and home care) - medical mental health care - preventive medical services if perceived by respondents as important</w:t>
      </w:r>
      <w:r w:rsidR="004A5597">
        <w:t>.</w:t>
      </w:r>
      <w:r w:rsidR="00F46B7A">
        <w:t xml:space="preserve">” The adult respondent for the household is asked whether there was ever an occasion in the year when any child did not receive such needed appointment, and the broad reason for that </w:t>
      </w:r>
      <w:r w:rsidR="00BD2A59">
        <w:t>[</w:t>
      </w:r>
      <w:r w:rsidR="00F46B7A" w:rsidRPr="00717011">
        <w:rPr>
          <w:rStyle w:val="EndnoteReference"/>
          <w:vertAlign w:val="baseline"/>
        </w:rPr>
        <w:endnoteReference w:id="9"/>
      </w:r>
      <w:r w:rsidR="00BD2A59">
        <w:t>].</w:t>
      </w:r>
    </w:p>
    <w:p w:rsidR="001444B2" w:rsidRDefault="00717011" w:rsidP="004A5597">
      <w:pPr>
        <w:spacing w:line="480" w:lineRule="auto"/>
      </w:pPr>
      <w:r>
        <w:t xml:space="preserve">A response from a householder that a child has not been able to avail of necessary medical treatment is then assumed to apply to all children in the household. This is a valid approach for assessment of living conditions such as housing or availability of fresh </w:t>
      </w:r>
      <w:proofErr w:type="gramStart"/>
      <w:r>
        <w:t>fruit, but</w:t>
      </w:r>
      <w:proofErr w:type="gramEnd"/>
      <w:r>
        <w:t xml:space="preserve"> is not logical with regard to health needs as each child’s </w:t>
      </w:r>
      <w:r w:rsidR="003E5755">
        <w:t xml:space="preserve">healthcare </w:t>
      </w:r>
      <w:r>
        <w:t xml:space="preserve">needs are personal and different. </w:t>
      </w:r>
      <w:r w:rsidR="007B3E22">
        <w:t>The survey's Methodological Guidelines state that "</w:t>
      </w:r>
      <w:r w:rsidR="007B3E22" w:rsidRPr="007B3E22">
        <w:t>Information on unmet need for dental or medical examination or treatment for children applies at household level and refers to all children aged 0-15 living in the household as a whole.</w:t>
      </w:r>
      <w:r w:rsidR="007B3E22">
        <w:t xml:space="preserve">” [9] </w:t>
      </w:r>
      <w:r>
        <w:t>This analysis will therefore result in over-estimation, as it will apply the greatest</w:t>
      </w:r>
      <w:r w:rsidR="001444B2">
        <w:t xml:space="preserve"> individual</w:t>
      </w:r>
      <w:r>
        <w:t xml:space="preserve"> problem to all children in the household.</w:t>
      </w:r>
      <w:r w:rsidR="001444B2">
        <w:t xml:space="preserve"> On the other hand, it is not clear that uptake of therapies such as speech therapy will be counted, as the respondent may not consider them a process supervised by a doctor.</w:t>
      </w:r>
      <w:r w:rsidR="00BA5BA0">
        <w:t xml:space="preserve"> </w:t>
      </w:r>
      <w:r w:rsidR="003E5755">
        <w:t>Moreover</w:t>
      </w:r>
      <w:r w:rsidR="00BA5BA0">
        <w:t>, the list of treatment settings does not explicitly include primary care or public health clinics.</w:t>
      </w:r>
      <w:r w:rsidR="007B3E22">
        <w:t xml:space="preserve"> </w:t>
      </w:r>
      <w:bookmarkStart w:id="1" w:name="_Hlk30092656"/>
      <w:r w:rsidR="00890F6D">
        <w:t xml:space="preserve">Multiple needs in a year are not counted. </w:t>
      </w:r>
      <w:bookmarkEnd w:id="1"/>
      <w:r w:rsidR="00175318">
        <w:t xml:space="preserve">The data are given as </w:t>
      </w:r>
      <w:r w:rsidR="007B3E22">
        <w:t xml:space="preserve">total </w:t>
      </w:r>
      <w:r w:rsidR="001444B2">
        <w:t xml:space="preserve">children living in a household with one </w:t>
      </w:r>
      <w:r w:rsidR="00235B75">
        <w:t>o</w:t>
      </w:r>
      <w:r w:rsidR="001444B2">
        <w:t>r more children with an unmet need</w:t>
      </w:r>
      <w:r w:rsidR="00BA5BA0">
        <w:t>, as a percentage of all children</w:t>
      </w:r>
      <w:r w:rsidR="00175318">
        <w:t xml:space="preserve">. </w:t>
      </w:r>
    </w:p>
    <w:p w:rsidR="0084455B" w:rsidRPr="00F0235B" w:rsidRDefault="00175318" w:rsidP="0084455B">
      <w:pPr>
        <w:spacing w:line="480" w:lineRule="auto"/>
      </w:pPr>
      <w:r>
        <w:t xml:space="preserve">In order to give some quantification of what these results mean in terms of actual children, </w:t>
      </w:r>
      <w:r w:rsidR="00BA5BA0">
        <w:t xml:space="preserve">this paper attempts some </w:t>
      </w:r>
      <w:r>
        <w:t xml:space="preserve">approximations.  They must have a strong warning attached, as </w:t>
      </w:r>
      <w:r w:rsidR="00BA5BA0">
        <w:t xml:space="preserve">sample size is </w:t>
      </w:r>
      <w:r w:rsidR="00BA5BA0">
        <w:lastRenderedPageBreak/>
        <w:t xml:space="preserve">not </w:t>
      </w:r>
      <w:proofErr w:type="gramStart"/>
      <w:r w:rsidR="00BA5BA0">
        <w:t>given</w:t>
      </w:r>
      <w:proofErr w:type="gramEnd"/>
      <w:r w:rsidR="00BA5BA0">
        <w:t xml:space="preserve"> and </w:t>
      </w:r>
      <w:r>
        <w:t>confidence intervals and significance cannot be computed.  But even with that limitation, the results are noteworthy</w:t>
      </w:r>
      <w:r w:rsidR="00F0235B">
        <w:t xml:space="preserve"> and concerning</w:t>
      </w:r>
      <w:r w:rsidR="00BA5BA0">
        <w:t>, while stimulating a thirst for more focussed data.</w:t>
      </w:r>
    </w:p>
    <w:p w:rsidR="0084455B" w:rsidRDefault="0084455B" w:rsidP="0084455B">
      <w:pPr>
        <w:spacing w:line="480" w:lineRule="auto"/>
        <w:rPr>
          <w:u w:val="single"/>
        </w:rPr>
      </w:pPr>
    </w:p>
    <w:p w:rsidR="003B43A2" w:rsidRDefault="00175318" w:rsidP="0084455B">
      <w:pPr>
        <w:spacing w:line="480" w:lineRule="auto"/>
      </w:pPr>
      <w:r>
        <w:t xml:space="preserve">As explained, children not receiving </w:t>
      </w:r>
      <w:r w:rsidR="00CA4006">
        <w:t xml:space="preserve">medical </w:t>
      </w:r>
      <w:r>
        <w:t xml:space="preserve">treatment are </w:t>
      </w:r>
      <w:r w:rsidR="00F27D40">
        <w:t xml:space="preserve">given as </w:t>
      </w:r>
      <w:r w:rsidR="00F423D1">
        <w:t>percentages</w:t>
      </w:r>
      <w:r>
        <w:t xml:space="preserve"> of </w:t>
      </w:r>
      <w:r w:rsidR="007B3E22">
        <w:t>all dependent children</w:t>
      </w:r>
      <w:r w:rsidR="00BA5BA0">
        <w:t xml:space="preserve"> – with children being considered as those under 16</w:t>
      </w:r>
      <w:r w:rsidR="007B3E22">
        <w:t xml:space="preserve">. </w:t>
      </w:r>
      <w:r w:rsidR="003B43A2">
        <w:t>T</w:t>
      </w:r>
      <w:r w:rsidR="00BA5BA0">
        <w:t>his is it not a normal definition of children in the UNCRC or child health domains</w:t>
      </w:r>
      <w:r w:rsidR="006B2F90">
        <w:t>, and is a population count not available</w:t>
      </w:r>
      <w:r w:rsidR="003B43A2">
        <w:t xml:space="preserve"> from Eurostat</w:t>
      </w:r>
      <w:r>
        <w:t>.</w:t>
      </w:r>
      <w:r w:rsidR="00F423D1">
        <w:t xml:space="preserve"> </w:t>
      </w:r>
    </w:p>
    <w:p w:rsidR="00732F81" w:rsidRDefault="009A747C" w:rsidP="0084455B">
      <w:pPr>
        <w:spacing w:line="480" w:lineRule="auto"/>
      </w:pPr>
      <w:r>
        <w:t xml:space="preserve">Table 1 </w:t>
      </w:r>
      <w:r w:rsidR="00860294">
        <w:t>presents</w:t>
      </w:r>
      <w:r>
        <w:t xml:space="preserve"> an attempt at quantification, hampered by the facts that response values are not presented by Eurostat, simply</w:t>
      </w:r>
      <w:r w:rsidR="007672F0">
        <w:t xml:space="preserve"> naively</w:t>
      </w:r>
      <w:r>
        <w:t xml:space="preserve"> </w:t>
      </w:r>
      <w:r w:rsidR="007672F0">
        <w:t xml:space="preserve">extrapolated </w:t>
      </w:r>
      <w:r>
        <w:t xml:space="preserve">percentages of </w:t>
      </w:r>
      <w:r w:rsidR="007672F0">
        <w:t>children</w:t>
      </w:r>
      <w:r>
        <w:t xml:space="preserve">; and secondly that the population of children to match the definition used by SILC is also not published. Hence for this hypothecation the population of children has been computed by adding </w:t>
      </w:r>
      <w:r w:rsidR="007268DA">
        <w:t>three fourteenths</w:t>
      </w:r>
      <w:r>
        <w:t xml:space="preserve"> to the </w:t>
      </w:r>
      <w:r w:rsidR="00CA4006">
        <w:t xml:space="preserve">published </w:t>
      </w:r>
      <w:r>
        <w:t xml:space="preserve">under 15 years figure, and the bold assumption made that the population percentage of children with </w:t>
      </w:r>
      <w:r w:rsidR="00CA4006">
        <w:t xml:space="preserve">purported </w:t>
      </w:r>
      <w:r>
        <w:t xml:space="preserve">unmet needs is </w:t>
      </w:r>
      <w:proofErr w:type="gramStart"/>
      <w:r>
        <w:t>similar to</w:t>
      </w:r>
      <w:proofErr w:type="gramEnd"/>
      <w:r>
        <w:t xml:space="preserve"> the percentage </w:t>
      </w:r>
      <w:r w:rsidR="007672F0">
        <w:t>reported by SILC</w:t>
      </w:r>
      <w:r>
        <w:t xml:space="preserve">. </w:t>
      </w:r>
    </w:p>
    <w:p w:rsidR="009A747C" w:rsidRDefault="009A747C" w:rsidP="0084455B">
      <w:pPr>
        <w:spacing w:line="480" w:lineRule="auto"/>
      </w:pPr>
      <w:r>
        <w:t xml:space="preserve">Apart from these uncomfortable hypothecations, the figure computed in Table 1 will be inflated because of the assumption by SILC that all children in any household are </w:t>
      </w:r>
      <w:r w:rsidR="00B30077">
        <w:t>similarly</w:t>
      </w:r>
      <w:r>
        <w:t xml:space="preserve"> disadvantaged, but also will be deflated by the medically-biased definition of health need which may </w:t>
      </w:r>
      <w:r w:rsidR="00CA4006">
        <w:t xml:space="preserve">lead to </w:t>
      </w:r>
      <w:r>
        <w:t>under-report</w:t>
      </w:r>
      <w:r w:rsidR="00CA4006">
        <w:t>ing of</w:t>
      </w:r>
      <w:r>
        <w:t xml:space="preserve"> other key health</w:t>
      </w:r>
      <w:r w:rsidR="00B30077">
        <w:t>care</w:t>
      </w:r>
      <w:r>
        <w:t xml:space="preserve"> de</w:t>
      </w:r>
      <w:r w:rsidR="00B30077">
        <w:t xml:space="preserve">livery, </w:t>
      </w:r>
      <w:bookmarkStart w:id="2" w:name="_Hlk30092759"/>
      <w:r w:rsidR="00890F6D">
        <w:t xml:space="preserve">because multiple needs are not aggregated, </w:t>
      </w:r>
      <w:bookmarkEnd w:id="2"/>
      <w:r w:rsidR="00B30077">
        <w:t xml:space="preserve">and </w:t>
      </w:r>
      <w:r w:rsidR="00CA4006">
        <w:t xml:space="preserve">because the survey method may </w:t>
      </w:r>
      <w:r w:rsidR="00B30077">
        <w:t xml:space="preserve">not capture children living in institutions or in fragile home situations including lack of a stable home. Preparation of such a guestimate is painful for an </w:t>
      </w:r>
      <w:proofErr w:type="gramStart"/>
      <w:r w:rsidR="00B30077">
        <w:t>epidemiologist, but</w:t>
      </w:r>
      <w:proofErr w:type="gramEnd"/>
      <w:r w:rsidR="00B30077">
        <w:t xml:space="preserve"> produces a figure of some 1.5 million children with reported unmet healthcare needs. Even if this figure is 50% inflated this shows some 750,000 children </w:t>
      </w:r>
      <w:r w:rsidR="00CA4006">
        <w:t xml:space="preserve">in the EU </w:t>
      </w:r>
      <w:r w:rsidR="00B30077">
        <w:t xml:space="preserve">with unmet needs, at risk of increasing damage, and this is even more painful to comprehend than the statistical </w:t>
      </w:r>
      <w:r w:rsidR="00CA4006">
        <w:t>assumptions</w:t>
      </w:r>
      <w:r w:rsidR="00B30077">
        <w:t>.</w:t>
      </w:r>
    </w:p>
    <w:p w:rsidR="007672F0" w:rsidRDefault="007672F0" w:rsidP="00F0235B"/>
    <w:p w:rsidR="007672F0" w:rsidRDefault="007672F0" w:rsidP="00F0235B"/>
    <w:p w:rsidR="007672F0" w:rsidRDefault="007672F0" w:rsidP="00F0235B"/>
    <w:p w:rsidR="007672F0" w:rsidRDefault="007672F0" w:rsidP="00F0235B"/>
    <w:p w:rsidR="007672F0" w:rsidRDefault="007672F0" w:rsidP="00F0235B"/>
    <w:p w:rsidR="007672F0" w:rsidRDefault="007672F0" w:rsidP="00F0235B"/>
    <w:p w:rsidR="007672F0" w:rsidRDefault="007672F0" w:rsidP="00F0235B"/>
    <w:p w:rsidR="000E0EA9" w:rsidRDefault="000E0EA9" w:rsidP="00F0235B"/>
    <w:p w:rsidR="009A747C" w:rsidRPr="00F80AF3" w:rsidRDefault="009A747C" w:rsidP="009A747C">
      <w:pPr>
        <w:rPr>
          <w:b/>
        </w:rPr>
      </w:pPr>
      <w:r w:rsidRPr="009A747C">
        <w:rPr>
          <w:b/>
        </w:rPr>
        <w:t xml:space="preserve"> </w:t>
      </w:r>
      <w:r w:rsidRPr="00F80AF3">
        <w:rPr>
          <w:b/>
        </w:rPr>
        <w:t>Table 1</w:t>
      </w:r>
      <w:r w:rsidR="00CA4006">
        <w:rPr>
          <w:b/>
        </w:rPr>
        <w:t>.</w:t>
      </w:r>
      <w:r w:rsidRPr="00F80AF3">
        <w:rPr>
          <w:b/>
        </w:rPr>
        <w:t xml:space="preserve"> Hypothesised Number of Children with reported Unmet Health Needs</w:t>
      </w:r>
    </w:p>
    <w:p w:rsidR="009A747C" w:rsidRDefault="009A747C" w:rsidP="009A747C"/>
    <w:tbl>
      <w:tblPr>
        <w:tblStyle w:val="TableGrid"/>
        <w:tblW w:w="0" w:type="auto"/>
        <w:tblLook w:val="04A0" w:firstRow="1" w:lastRow="0" w:firstColumn="1" w:lastColumn="0" w:noHBand="0" w:noVBand="1"/>
      </w:tblPr>
      <w:tblGrid>
        <w:gridCol w:w="1801"/>
        <w:gridCol w:w="1812"/>
        <w:gridCol w:w="1801"/>
        <w:gridCol w:w="1801"/>
        <w:gridCol w:w="1801"/>
      </w:tblGrid>
      <w:tr w:rsidR="009A747C" w:rsidRPr="00E91488" w:rsidTr="006563F9">
        <w:trPr>
          <w:trHeight w:val="315"/>
        </w:trPr>
        <w:tc>
          <w:tcPr>
            <w:tcW w:w="1801" w:type="dxa"/>
            <w:noWrap/>
            <w:hideMark/>
          </w:tcPr>
          <w:p w:rsidR="009A747C" w:rsidRPr="00E91488" w:rsidRDefault="009A747C" w:rsidP="006563F9">
            <w:pPr>
              <w:rPr>
                <w:rFonts w:ascii="Calibri" w:eastAsia="Times New Roman" w:hAnsi="Calibri" w:cs="Calibri"/>
                <w:b/>
                <w:color w:val="000000"/>
                <w:lang w:eastAsia="en-GB"/>
              </w:rPr>
            </w:pPr>
            <w:r w:rsidRPr="00E91488">
              <w:rPr>
                <w:rFonts w:ascii="Calibri" w:eastAsia="Times New Roman" w:hAnsi="Calibri" w:cs="Calibri"/>
                <w:b/>
                <w:color w:val="000000"/>
                <w:lang w:eastAsia="en-GB"/>
              </w:rPr>
              <w:t> </w:t>
            </w:r>
          </w:p>
        </w:tc>
        <w:tc>
          <w:tcPr>
            <w:tcW w:w="1812" w:type="dxa"/>
            <w:noWrap/>
            <w:hideMark/>
          </w:tcPr>
          <w:p w:rsidR="009A747C" w:rsidRPr="00E91488" w:rsidRDefault="007672F0" w:rsidP="006563F9">
            <w:pPr>
              <w:rPr>
                <w:rFonts w:ascii="Calibri" w:eastAsia="Times New Roman" w:hAnsi="Calibri" w:cs="Calibri"/>
                <w:b/>
                <w:color w:val="000000"/>
                <w:lang w:eastAsia="en-GB"/>
              </w:rPr>
            </w:pPr>
            <w:r>
              <w:rPr>
                <w:rFonts w:ascii="Calibri" w:eastAsia="Times New Roman" w:hAnsi="Calibri" w:cs="Calibri"/>
                <w:b/>
                <w:color w:val="000000"/>
                <w:lang w:eastAsia="en-GB"/>
              </w:rPr>
              <w:t xml:space="preserve">Purported </w:t>
            </w:r>
            <w:r w:rsidR="009A747C" w:rsidRPr="00E91488">
              <w:rPr>
                <w:rFonts w:ascii="Calibri" w:eastAsia="Times New Roman" w:hAnsi="Calibri" w:cs="Calibri"/>
                <w:b/>
                <w:color w:val="000000"/>
                <w:lang w:eastAsia="en-GB"/>
              </w:rPr>
              <w:t>% of child with unmet medical needs</w:t>
            </w:r>
          </w:p>
        </w:tc>
        <w:tc>
          <w:tcPr>
            <w:tcW w:w="1801" w:type="dxa"/>
            <w:noWrap/>
            <w:hideMark/>
          </w:tcPr>
          <w:p w:rsidR="009A747C" w:rsidRPr="009534A9" w:rsidRDefault="009A747C" w:rsidP="006563F9">
            <w:pPr>
              <w:rPr>
                <w:rFonts w:ascii="Calibri" w:eastAsia="Times New Roman" w:hAnsi="Calibri" w:cs="Calibri"/>
                <w:b/>
                <w:color w:val="000000"/>
                <w:lang w:eastAsia="en-GB"/>
              </w:rPr>
            </w:pPr>
            <w:r w:rsidRPr="00E91488">
              <w:rPr>
                <w:rFonts w:ascii="Calibri" w:eastAsia="Times New Roman" w:hAnsi="Calibri" w:cs="Calibri"/>
                <w:b/>
                <w:color w:val="000000"/>
                <w:lang w:eastAsia="en-GB"/>
              </w:rPr>
              <w:t xml:space="preserve">Children </w:t>
            </w:r>
            <w:r w:rsidRPr="009534A9">
              <w:rPr>
                <w:rFonts w:ascii="Calibri" w:eastAsia="Times New Roman" w:hAnsi="Calibri" w:cs="Calibri"/>
                <w:b/>
                <w:color w:val="000000"/>
                <w:lang w:eastAsia="en-GB"/>
              </w:rPr>
              <w:t xml:space="preserve">aged </w:t>
            </w:r>
          </w:p>
          <w:p w:rsidR="009A747C" w:rsidRPr="009534A9" w:rsidRDefault="009A747C" w:rsidP="006563F9">
            <w:pPr>
              <w:rPr>
                <w:rFonts w:ascii="Calibri" w:eastAsia="Times New Roman" w:hAnsi="Calibri" w:cs="Calibri"/>
                <w:b/>
                <w:color w:val="000000"/>
                <w:lang w:eastAsia="en-GB"/>
              </w:rPr>
            </w:pPr>
            <w:r w:rsidRPr="00E91488">
              <w:rPr>
                <w:rFonts w:ascii="Calibri" w:eastAsia="Times New Roman" w:hAnsi="Calibri" w:cs="Calibri"/>
                <w:b/>
                <w:color w:val="000000"/>
                <w:lang w:eastAsia="en-GB"/>
              </w:rPr>
              <w:t xml:space="preserve">0-&lt;15 </w:t>
            </w:r>
            <w:r w:rsidRPr="009534A9">
              <w:rPr>
                <w:rFonts w:ascii="Calibri" w:eastAsia="Times New Roman" w:hAnsi="Calibri" w:cs="Calibri"/>
                <w:b/>
                <w:color w:val="000000"/>
                <w:lang w:eastAsia="en-GB"/>
              </w:rPr>
              <w:t>Years</w:t>
            </w:r>
          </w:p>
          <w:p w:rsidR="009A747C" w:rsidRPr="00E91488" w:rsidRDefault="009A747C" w:rsidP="006563F9">
            <w:pPr>
              <w:rPr>
                <w:rFonts w:ascii="Calibri" w:eastAsia="Times New Roman" w:hAnsi="Calibri" w:cs="Calibri"/>
                <w:b/>
                <w:color w:val="000000"/>
                <w:lang w:eastAsia="en-GB"/>
              </w:rPr>
            </w:pPr>
            <w:r w:rsidRPr="00E91488">
              <w:rPr>
                <w:rFonts w:ascii="Calibri" w:eastAsia="Times New Roman" w:hAnsi="Calibri" w:cs="Calibri"/>
                <w:b/>
                <w:color w:val="000000"/>
                <w:lang w:eastAsia="en-GB"/>
              </w:rPr>
              <w:t>2017</w:t>
            </w:r>
          </w:p>
        </w:tc>
        <w:tc>
          <w:tcPr>
            <w:tcW w:w="1801" w:type="dxa"/>
            <w:noWrap/>
            <w:hideMark/>
          </w:tcPr>
          <w:p w:rsidR="009A747C" w:rsidRPr="009534A9" w:rsidRDefault="009A747C" w:rsidP="006563F9">
            <w:pPr>
              <w:rPr>
                <w:rFonts w:ascii="Calibri" w:eastAsia="Times New Roman" w:hAnsi="Calibri" w:cs="Calibri"/>
                <w:b/>
                <w:color w:val="000000"/>
                <w:lang w:eastAsia="en-GB"/>
              </w:rPr>
            </w:pPr>
            <w:r w:rsidRPr="009534A9">
              <w:rPr>
                <w:rFonts w:ascii="Calibri" w:eastAsia="Times New Roman" w:hAnsi="Calibri" w:cs="Calibri"/>
                <w:b/>
                <w:color w:val="000000"/>
                <w:lang w:eastAsia="en-GB"/>
              </w:rPr>
              <w:t>Hypothesised Population aged 0-&lt;1</w:t>
            </w:r>
            <w:r w:rsidR="007268DA">
              <w:rPr>
                <w:rFonts w:ascii="Calibri" w:eastAsia="Times New Roman" w:hAnsi="Calibri" w:cs="Calibri"/>
                <w:b/>
                <w:color w:val="000000"/>
                <w:lang w:eastAsia="en-GB"/>
              </w:rPr>
              <w:t>8</w:t>
            </w:r>
            <w:r w:rsidRPr="009534A9">
              <w:rPr>
                <w:rFonts w:ascii="Calibri" w:eastAsia="Times New Roman" w:hAnsi="Calibri" w:cs="Calibri"/>
                <w:b/>
                <w:color w:val="000000"/>
                <w:lang w:eastAsia="en-GB"/>
              </w:rPr>
              <w:t xml:space="preserve"> Years</w:t>
            </w:r>
          </w:p>
          <w:p w:rsidR="009A747C" w:rsidRPr="00E91488" w:rsidRDefault="009A747C" w:rsidP="006563F9">
            <w:pPr>
              <w:rPr>
                <w:rFonts w:ascii="Calibri" w:eastAsia="Times New Roman" w:hAnsi="Calibri" w:cs="Calibri"/>
                <w:b/>
                <w:color w:val="000000"/>
                <w:lang w:eastAsia="en-GB"/>
              </w:rPr>
            </w:pPr>
          </w:p>
        </w:tc>
        <w:tc>
          <w:tcPr>
            <w:tcW w:w="1801" w:type="dxa"/>
            <w:noWrap/>
            <w:hideMark/>
          </w:tcPr>
          <w:p w:rsidR="009A747C" w:rsidRPr="00E91488" w:rsidRDefault="009A747C" w:rsidP="006563F9">
            <w:pPr>
              <w:rPr>
                <w:rFonts w:ascii="Calibri" w:eastAsia="Times New Roman" w:hAnsi="Calibri" w:cs="Calibri"/>
                <w:b/>
                <w:color w:val="000000"/>
                <w:lang w:eastAsia="en-GB"/>
              </w:rPr>
            </w:pPr>
            <w:r w:rsidRPr="00E91488">
              <w:rPr>
                <w:rFonts w:ascii="Calibri" w:eastAsia="Times New Roman" w:hAnsi="Calibri" w:cs="Calibri"/>
                <w:b/>
                <w:color w:val="000000"/>
                <w:lang w:eastAsia="en-GB"/>
              </w:rPr>
              <w:t>Indicative estimate of children with unmet medical needs as reported in SILC survey</w:t>
            </w:r>
          </w:p>
        </w:tc>
      </w:tr>
      <w:tr w:rsidR="009A747C" w:rsidRPr="00E91488" w:rsidTr="006563F9">
        <w:trPr>
          <w:trHeight w:val="330"/>
        </w:trPr>
        <w:tc>
          <w:tcPr>
            <w:tcW w:w="1801" w:type="dxa"/>
            <w:noWrap/>
            <w:hideMark/>
          </w:tcPr>
          <w:p w:rsidR="009A747C" w:rsidRPr="00CA4006" w:rsidRDefault="00CA4006" w:rsidP="00CA4006">
            <w:pPr>
              <w:jc w:val="right"/>
              <w:rPr>
                <w:rFonts w:eastAsia="Times New Roman" w:cstheme="minorHAnsi"/>
                <w:b/>
                <w:color w:val="000000"/>
                <w:lang w:eastAsia="en-GB"/>
              </w:rPr>
            </w:pPr>
            <w:r w:rsidRPr="00CA4006">
              <w:rPr>
                <w:rFonts w:eastAsia="Times New Roman" w:cstheme="minorHAnsi"/>
                <w:b/>
                <w:color w:val="000000"/>
                <w:lang w:eastAsia="en-GB"/>
              </w:rPr>
              <w:t>Source:</w:t>
            </w:r>
          </w:p>
        </w:tc>
        <w:tc>
          <w:tcPr>
            <w:tcW w:w="1812" w:type="dxa"/>
            <w:noWrap/>
            <w:hideMark/>
          </w:tcPr>
          <w:p w:rsidR="009A747C" w:rsidRPr="00CA4006" w:rsidRDefault="009A747C" w:rsidP="006563F9">
            <w:pPr>
              <w:rPr>
                <w:rFonts w:eastAsia="Times New Roman" w:cstheme="minorHAnsi"/>
                <w:color w:val="000000"/>
                <w:lang w:eastAsia="en-GB"/>
              </w:rPr>
            </w:pPr>
            <w:r w:rsidRPr="00CA4006">
              <w:rPr>
                <w:rFonts w:eastAsia="Times New Roman" w:cstheme="minorHAnsi"/>
                <w:color w:val="000000"/>
                <w:lang w:eastAsia="en-GB"/>
              </w:rPr>
              <w:t>Eurostat Table:</w:t>
            </w:r>
          </w:p>
          <w:p w:rsidR="009A747C" w:rsidRPr="00CA4006" w:rsidRDefault="009A747C" w:rsidP="006563F9">
            <w:pPr>
              <w:rPr>
                <w:rFonts w:eastAsia="Times New Roman" w:cstheme="minorHAnsi"/>
                <w:color w:val="000000"/>
                <w:lang w:eastAsia="en-GB"/>
              </w:rPr>
            </w:pPr>
            <w:r w:rsidRPr="00CA4006">
              <w:rPr>
                <w:rFonts w:eastAsia="Times New Roman" w:cstheme="minorHAnsi"/>
                <w:color w:val="000000"/>
                <w:lang w:eastAsia="en-GB"/>
              </w:rPr>
              <w:t>ilc_hch14</w:t>
            </w:r>
          </w:p>
        </w:tc>
        <w:tc>
          <w:tcPr>
            <w:tcW w:w="1801" w:type="dxa"/>
            <w:noWrap/>
            <w:hideMark/>
          </w:tcPr>
          <w:p w:rsidR="009A747C" w:rsidRPr="00CA4006" w:rsidRDefault="009A747C" w:rsidP="006563F9">
            <w:pPr>
              <w:rPr>
                <w:rFonts w:eastAsia="Times New Roman" w:cstheme="minorHAnsi"/>
                <w:color w:val="000000"/>
                <w:lang w:eastAsia="en-GB"/>
              </w:rPr>
            </w:pPr>
            <w:r w:rsidRPr="00CA4006">
              <w:rPr>
                <w:rFonts w:eastAsia="Times New Roman" w:cstheme="minorHAnsi"/>
                <w:color w:val="000000"/>
                <w:lang w:eastAsia="en-GB"/>
              </w:rPr>
              <w:t>Eurostat Table:</w:t>
            </w:r>
          </w:p>
          <w:p w:rsidR="009A747C" w:rsidRPr="00CA4006" w:rsidRDefault="009A747C" w:rsidP="006563F9">
            <w:pPr>
              <w:rPr>
                <w:rFonts w:eastAsia="Times New Roman" w:cstheme="minorHAnsi"/>
                <w:color w:val="000000"/>
                <w:lang w:eastAsia="en-GB"/>
              </w:rPr>
            </w:pPr>
            <w:r w:rsidRPr="00CA4006">
              <w:rPr>
                <w:rFonts w:eastAsia="Times New Roman" w:cstheme="minorHAnsi"/>
                <w:color w:val="000000"/>
                <w:lang w:eastAsia="en-GB"/>
              </w:rPr>
              <w:t>yth_demo_010</w:t>
            </w:r>
          </w:p>
        </w:tc>
        <w:tc>
          <w:tcPr>
            <w:tcW w:w="1801" w:type="dxa"/>
            <w:noWrap/>
            <w:hideMark/>
          </w:tcPr>
          <w:p w:rsidR="009A747C" w:rsidRPr="00CA4006" w:rsidRDefault="00CA4006" w:rsidP="006563F9">
            <w:pPr>
              <w:rPr>
                <w:rFonts w:eastAsia="Times New Roman" w:cstheme="minorHAnsi"/>
                <w:color w:val="000000"/>
                <w:lang w:eastAsia="en-GB"/>
              </w:rPr>
            </w:pPr>
            <w:r w:rsidRPr="00CA4006">
              <w:rPr>
                <w:rFonts w:eastAsia="Times New Roman" w:cstheme="minorHAnsi"/>
                <w:color w:val="000000"/>
                <w:lang w:eastAsia="en-GB"/>
              </w:rPr>
              <w:t xml:space="preserve">Under 15 </w:t>
            </w:r>
            <w:proofErr w:type="gramStart"/>
            <w:r w:rsidRPr="00CA4006">
              <w:rPr>
                <w:rFonts w:eastAsia="Times New Roman" w:cstheme="minorHAnsi"/>
                <w:color w:val="000000"/>
                <w:lang w:eastAsia="en-GB"/>
              </w:rPr>
              <w:t>figure  adjusted</w:t>
            </w:r>
            <w:proofErr w:type="gramEnd"/>
            <w:r w:rsidRPr="00CA4006">
              <w:rPr>
                <w:rFonts w:eastAsia="Times New Roman" w:cstheme="minorHAnsi"/>
                <w:color w:val="000000"/>
                <w:lang w:eastAsia="en-GB"/>
              </w:rPr>
              <w:t xml:space="preserve"> by +</w:t>
            </w:r>
            <w:r w:rsidR="00DD1FCC">
              <w:rPr>
                <w:rFonts w:eastAsia="Times New Roman" w:cstheme="minorHAnsi"/>
                <w:color w:val="000000"/>
                <w:lang w:eastAsia="en-GB"/>
              </w:rPr>
              <w:t>3</w:t>
            </w:r>
            <w:r w:rsidRPr="00CA4006">
              <w:rPr>
                <w:rFonts w:eastAsia="Times New Roman" w:cstheme="minorHAnsi"/>
                <w:color w:val="000000"/>
                <w:lang w:eastAsia="en-GB"/>
              </w:rPr>
              <w:t>/</w:t>
            </w:r>
            <w:r w:rsidR="00DD1FCC">
              <w:rPr>
                <w:rFonts w:eastAsia="Times New Roman" w:cstheme="minorHAnsi"/>
                <w:color w:val="000000"/>
                <w:lang w:eastAsia="en-GB"/>
              </w:rPr>
              <w:t>14</w:t>
            </w:r>
            <w:r w:rsidRPr="00CA4006">
              <w:rPr>
                <w:rFonts w:eastAsia="Times New Roman" w:cstheme="minorHAnsi"/>
                <w:color w:val="000000"/>
                <w:vertAlign w:val="superscript"/>
                <w:lang w:eastAsia="en-GB"/>
              </w:rPr>
              <w:t>th</w:t>
            </w:r>
            <w:r w:rsidR="00DD1FCC">
              <w:rPr>
                <w:rFonts w:eastAsia="Times New Roman" w:cstheme="minorHAnsi"/>
                <w:color w:val="000000"/>
                <w:vertAlign w:val="superscript"/>
                <w:lang w:eastAsia="en-GB"/>
              </w:rPr>
              <w:t>s</w:t>
            </w:r>
            <w:r w:rsidRPr="00CA4006">
              <w:rPr>
                <w:rFonts w:eastAsia="Times New Roman" w:cstheme="minorHAnsi"/>
                <w:color w:val="000000"/>
                <w:lang w:eastAsia="en-GB"/>
              </w:rPr>
              <w:t>.</w:t>
            </w:r>
          </w:p>
        </w:tc>
        <w:tc>
          <w:tcPr>
            <w:tcW w:w="1801" w:type="dxa"/>
            <w:noWrap/>
            <w:hideMark/>
          </w:tcPr>
          <w:p w:rsidR="009A747C" w:rsidRPr="00CA4006" w:rsidRDefault="00CA4006" w:rsidP="006563F9">
            <w:pPr>
              <w:rPr>
                <w:rFonts w:eastAsia="Times New Roman" w:cstheme="minorHAnsi"/>
                <w:lang w:eastAsia="en-GB"/>
              </w:rPr>
            </w:pPr>
            <w:r w:rsidRPr="00CA4006">
              <w:rPr>
                <w:rFonts w:eastAsia="Times New Roman" w:cstheme="minorHAnsi"/>
                <w:lang w:eastAsia="en-GB"/>
              </w:rPr>
              <w:t>Col.2 percentage applied to Col. 4</w:t>
            </w:r>
          </w:p>
        </w:tc>
      </w:tr>
      <w:tr w:rsidR="00DD1FCC" w:rsidRPr="00E91488" w:rsidTr="006563F9">
        <w:trPr>
          <w:trHeight w:val="315"/>
        </w:trPr>
        <w:tc>
          <w:tcPr>
            <w:tcW w:w="1801" w:type="dxa"/>
            <w:noWrap/>
            <w:hideMark/>
          </w:tcPr>
          <w:p w:rsidR="00DD1FCC" w:rsidRPr="00E91488" w:rsidRDefault="00DD1FCC" w:rsidP="00DD1FCC">
            <w:pPr>
              <w:rPr>
                <w:rFonts w:ascii="Arial" w:eastAsia="Times New Roman" w:hAnsi="Arial" w:cs="Arial"/>
                <w:color w:val="000000"/>
                <w:sz w:val="20"/>
                <w:szCs w:val="20"/>
                <w:lang w:eastAsia="en-GB"/>
              </w:rPr>
            </w:pPr>
            <w:r w:rsidRPr="00E91488">
              <w:rPr>
                <w:rFonts w:ascii="Arial" w:eastAsia="Times New Roman" w:hAnsi="Arial" w:cs="Arial"/>
                <w:color w:val="000000"/>
                <w:sz w:val="20"/>
                <w:szCs w:val="20"/>
                <w:lang w:eastAsia="en-GB"/>
              </w:rPr>
              <w:t>Austria</w:t>
            </w:r>
          </w:p>
        </w:tc>
        <w:tc>
          <w:tcPr>
            <w:tcW w:w="1812" w:type="dxa"/>
            <w:noWrap/>
            <w:hideMark/>
          </w:tcPr>
          <w:p w:rsidR="00DD1FCC" w:rsidRPr="00E91488" w:rsidRDefault="00DD1FCC" w:rsidP="00DD1FCC">
            <w:pPr>
              <w:jc w:val="right"/>
              <w:rPr>
                <w:rFonts w:ascii="Arial" w:eastAsia="Times New Roman" w:hAnsi="Arial" w:cs="Arial"/>
                <w:color w:val="000000"/>
                <w:sz w:val="20"/>
                <w:szCs w:val="20"/>
                <w:lang w:eastAsia="en-GB"/>
              </w:rPr>
            </w:pPr>
            <w:r w:rsidRPr="00E91488">
              <w:rPr>
                <w:rFonts w:ascii="Arial" w:eastAsia="Times New Roman" w:hAnsi="Arial" w:cs="Arial"/>
                <w:color w:val="000000"/>
                <w:sz w:val="20"/>
                <w:szCs w:val="20"/>
                <w:lang w:eastAsia="en-GB"/>
              </w:rPr>
              <w:t>0</w:t>
            </w:r>
          </w:p>
        </w:tc>
        <w:tc>
          <w:tcPr>
            <w:tcW w:w="1801" w:type="dxa"/>
            <w:noWrap/>
            <w:hideMark/>
          </w:tcPr>
          <w:p w:rsidR="00DD1FCC" w:rsidRPr="00E91488" w:rsidRDefault="00DD1FCC" w:rsidP="00DD1FCC">
            <w:pPr>
              <w:jc w:val="right"/>
              <w:rPr>
                <w:rFonts w:ascii="Calibri" w:eastAsia="Times New Roman" w:hAnsi="Calibri" w:cs="Calibri"/>
                <w:color w:val="000000"/>
                <w:lang w:eastAsia="en-GB"/>
              </w:rPr>
            </w:pPr>
            <w:r w:rsidRPr="00E91488">
              <w:rPr>
                <w:rFonts w:ascii="Calibri" w:eastAsia="Times New Roman" w:hAnsi="Calibri" w:cs="Calibri"/>
                <w:color w:val="000000"/>
                <w:lang w:eastAsia="en-GB"/>
              </w:rPr>
              <w:t>1,263,740</w:t>
            </w:r>
          </w:p>
        </w:tc>
        <w:tc>
          <w:tcPr>
            <w:tcW w:w="1801" w:type="dxa"/>
            <w:noWrap/>
            <w:hideMark/>
          </w:tcPr>
          <w:p w:rsidR="00DD1FCC" w:rsidRPr="00E91488" w:rsidRDefault="00DD1FCC" w:rsidP="00DD1FCC">
            <w:pPr>
              <w:jc w:val="right"/>
              <w:rPr>
                <w:rFonts w:ascii="Calibri" w:eastAsia="Times New Roman" w:hAnsi="Calibri" w:cs="Calibri"/>
                <w:color w:val="000000"/>
                <w:lang w:eastAsia="en-GB"/>
              </w:rPr>
            </w:pPr>
            <w:r w:rsidRPr="00593F56">
              <w:t xml:space="preserve"> 1,534,541 </w:t>
            </w:r>
          </w:p>
        </w:tc>
        <w:tc>
          <w:tcPr>
            <w:tcW w:w="1801" w:type="dxa"/>
            <w:noWrap/>
            <w:hideMark/>
          </w:tcPr>
          <w:p w:rsidR="00DD1FCC" w:rsidRPr="00E91488" w:rsidRDefault="00DD1FCC" w:rsidP="00DD1FCC">
            <w:pPr>
              <w:jc w:val="right"/>
              <w:rPr>
                <w:rFonts w:ascii="Calibri" w:eastAsia="Times New Roman" w:hAnsi="Calibri" w:cs="Calibri"/>
                <w:color w:val="000000"/>
                <w:lang w:eastAsia="en-GB"/>
              </w:rPr>
            </w:pPr>
            <w:r w:rsidRPr="00083C5E">
              <w:t xml:space="preserve"> -   </w:t>
            </w:r>
          </w:p>
        </w:tc>
      </w:tr>
      <w:tr w:rsidR="00DD1FCC" w:rsidRPr="00E91488" w:rsidTr="006563F9">
        <w:trPr>
          <w:trHeight w:val="315"/>
        </w:trPr>
        <w:tc>
          <w:tcPr>
            <w:tcW w:w="1801" w:type="dxa"/>
            <w:noWrap/>
            <w:hideMark/>
          </w:tcPr>
          <w:p w:rsidR="00DD1FCC" w:rsidRPr="00E91488" w:rsidRDefault="00DD1FCC" w:rsidP="00DD1FCC">
            <w:pPr>
              <w:rPr>
                <w:rFonts w:ascii="Arial" w:eastAsia="Times New Roman" w:hAnsi="Arial" w:cs="Arial"/>
                <w:color w:val="000000"/>
                <w:sz w:val="20"/>
                <w:szCs w:val="20"/>
                <w:lang w:eastAsia="en-GB"/>
              </w:rPr>
            </w:pPr>
            <w:r w:rsidRPr="00E91488">
              <w:rPr>
                <w:rFonts w:ascii="Arial" w:eastAsia="Times New Roman" w:hAnsi="Arial" w:cs="Arial"/>
                <w:color w:val="000000"/>
                <w:sz w:val="20"/>
                <w:szCs w:val="20"/>
                <w:lang w:eastAsia="en-GB"/>
              </w:rPr>
              <w:t>Belgium</w:t>
            </w:r>
          </w:p>
        </w:tc>
        <w:tc>
          <w:tcPr>
            <w:tcW w:w="1812" w:type="dxa"/>
            <w:noWrap/>
            <w:hideMark/>
          </w:tcPr>
          <w:p w:rsidR="00DD1FCC" w:rsidRPr="00E91488" w:rsidRDefault="00DD1FCC" w:rsidP="00DD1FCC">
            <w:pPr>
              <w:jc w:val="right"/>
              <w:rPr>
                <w:rFonts w:ascii="Arial" w:eastAsia="Times New Roman" w:hAnsi="Arial" w:cs="Arial"/>
                <w:color w:val="000000"/>
                <w:sz w:val="20"/>
                <w:szCs w:val="20"/>
                <w:lang w:eastAsia="en-GB"/>
              </w:rPr>
            </w:pPr>
            <w:r w:rsidRPr="00E91488">
              <w:rPr>
                <w:rFonts w:ascii="Arial" w:eastAsia="Times New Roman" w:hAnsi="Arial" w:cs="Arial"/>
                <w:color w:val="000000"/>
                <w:sz w:val="20"/>
                <w:szCs w:val="20"/>
                <w:lang w:eastAsia="en-GB"/>
              </w:rPr>
              <w:t>2.5</w:t>
            </w:r>
          </w:p>
        </w:tc>
        <w:tc>
          <w:tcPr>
            <w:tcW w:w="1801" w:type="dxa"/>
            <w:noWrap/>
            <w:hideMark/>
          </w:tcPr>
          <w:p w:rsidR="00DD1FCC" w:rsidRPr="00E91488" w:rsidRDefault="00DD1FCC" w:rsidP="00DD1FCC">
            <w:pPr>
              <w:jc w:val="right"/>
              <w:rPr>
                <w:rFonts w:ascii="Calibri" w:eastAsia="Times New Roman" w:hAnsi="Calibri" w:cs="Calibri"/>
                <w:color w:val="000000"/>
                <w:lang w:eastAsia="en-GB"/>
              </w:rPr>
            </w:pPr>
            <w:r w:rsidRPr="00E91488">
              <w:rPr>
                <w:rFonts w:ascii="Calibri" w:eastAsia="Times New Roman" w:hAnsi="Calibri" w:cs="Calibri"/>
                <w:color w:val="000000"/>
                <w:lang w:eastAsia="en-GB"/>
              </w:rPr>
              <w:t>1,927,820</w:t>
            </w:r>
          </w:p>
        </w:tc>
        <w:tc>
          <w:tcPr>
            <w:tcW w:w="1801" w:type="dxa"/>
            <w:noWrap/>
            <w:hideMark/>
          </w:tcPr>
          <w:p w:rsidR="00DD1FCC" w:rsidRPr="00E91488" w:rsidRDefault="00DD1FCC" w:rsidP="00DD1FCC">
            <w:pPr>
              <w:jc w:val="right"/>
              <w:rPr>
                <w:rFonts w:ascii="Calibri" w:eastAsia="Times New Roman" w:hAnsi="Calibri" w:cs="Calibri"/>
                <w:color w:val="000000"/>
                <w:lang w:eastAsia="en-GB"/>
              </w:rPr>
            </w:pPr>
            <w:r w:rsidRPr="00593F56">
              <w:t xml:space="preserve"> 2,340,924 </w:t>
            </w:r>
          </w:p>
        </w:tc>
        <w:tc>
          <w:tcPr>
            <w:tcW w:w="1801" w:type="dxa"/>
            <w:noWrap/>
            <w:hideMark/>
          </w:tcPr>
          <w:p w:rsidR="00DD1FCC" w:rsidRPr="00E91488" w:rsidRDefault="00DD1FCC" w:rsidP="00DD1FCC">
            <w:pPr>
              <w:jc w:val="right"/>
              <w:rPr>
                <w:rFonts w:ascii="Calibri" w:eastAsia="Times New Roman" w:hAnsi="Calibri" w:cs="Calibri"/>
                <w:color w:val="000000"/>
                <w:lang w:eastAsia="en-GB"/>
              </w:rPr>
            </w:pPr>
            <w:r w:rsidRPr="00083C5E">
              <w:t xml:space="preserve"> 58,523 </w:t>
            </w:r>
          </w:p>
        </w:tc>
      </w:tr>
      <w:tr w:rsidR="00DD1FCC" w:rsidRPr="00E91488" w:rsidTr="006563F9">
        <w:trPr>
          <w:trHeight w:val="315"/>
        </w:trPr>
        <w:tc>
          <w:tcPr>
            <w:tcW w:w="1801" w:type="dxa"/>
            <w:noWrap/>
            <w:hideMark/>
          </w:tcPr>
          <w:p w:rsidR="00DD1FCC" w:rsidRPr="00E91488" w:rsidRDefault="00DD1FCC" w:rsidP="00DD1FCC">
            <w:pPr>
              <w:rPr>
                <w:rFonts w:ascii="Arial" w:eastAsia="Times New Roman" w:hAnsi="Arial" w:cs="Arial"/>
                <w:color w:val="000000"/>
                <w:sz w:val="20"/>
                <w:szCs w:val="20"/>
                <w:lang w:eastAsia="en-GB"/>
              </w:rPr>
            </w:pPr>
            <w:r w:rsidRPr="00E91488">
              <w:rPr>
                <w:rFonts w:ascii="Arial" w:eastAsia="Times New Roman" w:hAnsi="Arial" w:cs="Arial"/>
                <w:color w:val="000000"/>
                <w:sz w:val="20"/>
                <w:szCs w:val="20"/>
                <w:lang w:eastAsia="en-GB"/>
              </w:rPr>
              <w:t>Bulgaria</w:t>
            </w:r>
          </w:p>
        </w:tc>
        <w:tc>
          <w:tcPr>
            <w:tcW w:w="1812" w:type="dxa"/>
            <w:noWrap/>
            <w:hideMark/>
          </w:tcPr>
          <w:p w:rsidR="00DD1FCC" w:rsidRPr="00E91488" w:rsidRDefault="00DD1FCC" w:rsidP="00DD1FCC">
            <w:pPr>
              <w:jc w:val="right"/>
              <w:rPr>
                <w:rFonts w:ascii="Calibri" w:eastAsia="Times New Roman" w:hAnsi="Calibri" w:cs="Calibri"/>
                <w:color w:val="000000"/>
                <w:lang w:eastAsia="en-GB"/>
              </w:rPr>
            </w:pPr>
            <w:r w:rsidRPr="00E91488">
              <w:rPr>
                <w:rFonts w:ascii="Calibri" w:eastAsia="Times New Roman" w:hAnsi="Calibri" w:cs="Calibri"/>
                <w:color w:val="000000"/>
                <w:lang w:eastAsia="en-GB"/>
              </w:rPr>
              <w:t>2</w:t>
            </w:r>
            <w:r>
              <w:rPr>
                <w:rFonts w:ascii="Calibri" w:eastAsia="Times New Roman" w:hAnsi="Calibri" w:cs="Calibri"/>
                <w:color w:val="000000"/>
                <w:lang w:eastAsia="en-GB"/>
              </w:rPr>
              <w:t>.0</w:t>
            </w:r>
          </w:p>
        </w:tc>
        <w:tc>
          <w:tcPr>
            <w:tcW w:w="1801" w:type="dxa"/>
            <w:noWrap/>
            <w:hideMark/>
          </w:tcPr>
          <w:p w:rsidR="00DD1FCC" w:rsidRPr="00E91488" w:rsidRDefault="00DD1FCC" w:rsidP="00DD1FCC">
            <w:pPr>
              <w:jc w:val="right"/>
              <w:rPr>
                <w:rFonts w:ascii="Calibri" w:eastAsia="Times New Roman" w:hAnsi="Calibri" w:cs="Calibri"/>
                <w:color w:val="000000"/>
                <w:lang w:eastAsia="en-GB"/>
              </w:rPr>
            </w:pPr>
            <w:r w:rsidRPr="00E91488">
              <w:rPr>
                <w:rFonts w:ascii="Calibri" w:eastAsia="Times New Roman" w:hAnsi="Calibri" w:cs="Calibri"/>
                <w:color w:val="000000"/>
                <w:lang w:eastAsia="en-GB"/>
              </w:rPr>
              <w:t>1,001,019</w:t>
            </w:r>
          </w:p>
        </w:tc>
        <w:tc>
          <w:tcPr>
            <w:tcW w:w="1801" w:type="dxa"/>
            <w:noWrap/>
            <w:hideMark/>
          </w:tcPr>
          <w:p w:rsidR="00DD1FCC" w:rsidRPr="00E91488" w:rsidRDefault="00DD1FCC" w:rsidP="00DD1FCC">
            <w:pPr>
              <w:jc w:val="right"/>
              <w:rPr>
                <w:rFonts w:ascii="Calibri" w:eastAsia="Times New Roman" w:hAnsi="Calibri" w:cs="Calibri"/>
                <w:color w:val="000000"/>
                <w:lang w:eastAsia="en-GB"/>
              </w:rPr>
            </w:pPr>
            <w:r w:rsidRPr="00593F56">
              <w:t xml:space="preserve"> 1,215,523 </w:t>
            </w:r>
          </w:p>
        </w:tc>
        <w:tc>
          <w:tcPr>
            <w:tcW w:w="1801" w:type="dxa"/>
            <w:noWrap/>
            <w:hideMark/>
          </w:tcPr>
          <w:p w:rsidR="00DD1FCC" w:rsidRPr="00E91488" w:rsidRDefault="00DD1FCC" w:rsidP="00DD1FCC">
            <w:pPr>
              <w:jc w:val="right"/>
              <w:rPr>
                <w:rFonts w:ascii="Calibri" w:eastAsia="Times New Roman" w:hAnsi="Calibri" w:cs="Calibri"/>
                <w:color w:val="000000"/>
                <w:lang w:eastAsia="en-GB"/>
              </w:rPr>
            </w:pPr>
            <w:r w:rsidRPr="00083C5E">
              <w:t xml:space="preserve"> 24,310 </w:t>
            </w:r>
          </w:p>
        </w:tc>
      </w:tr>
      <w:tr w:rsidR="00DD1FCC" w:rsidRPr="00E91488" w:rsidTr="006563F9">
        <w:trPr>
          <w:trHeight w:val="315"/>
        </w:trPr>
        <w:tc>
          <w:tcPr>
            <w:tcW w:w="1801" w:type="dxa"/>
            <w:noWrap/>
            <w:hideMark/>
          </w:tcPr>
          <w:p w:rsidR="00DD1FCC" w:rsidRPr="00E91488" w:rsidRDefault="00DD1FCC" w:rsidP="00DD1FCC">
            <w:pPr>
              <w:rPr>
                <w:rFonts w:ascii="Arial" w:eastAsia="Times New Roman" w:hAnsi="Arial" w:cs="Arial"/>
                <w:color w:val="000000"/>
                <w:sz w:val="20"/>
                <w:szCs w:val="20"/>
                <w:lang w:eastAsia="en-GB"/>
              </w:rPr>
            </w:pPr>
            <w:r w:rsidRPr="00E91488">
              <w:rPr>
                <w:rFonts w:ascii="Arial" w:eastAsia="Times New Roman" w:hAnsi="Arial" w:cs="Arial"/>
                <w:color w:val="000000"/>
                <w:sz w:val="20"/>
                <w:szCs w:val="20"/>
                <w:lang w:eastAsia="en-GB"/>
              </w:rPr>
              <w:t>Croatia</w:t>
            </w:r>
          </w:p>
        </w:tc>
        <w:tc>
          <w:tcPr>
            <w:tcW w:w="1812" w:type="dxa"/>
            <w:noWrap/>
            <w:hideMark/>
          </w:tcPr>
          <w:p w:rsidR="00DD1FCC" w:rsidRPr="00E91488" w:rsidRDefault="00DD1FCC" w:rsidP="00DD1FCC">
            <w:pPr>
              <w:jc w:val="right"/>
              <w:rPr>
                <w:rFonts w:ascii="Arial" w:eastAsia="Times New Roman" w:hAnsi="Arial" w:cs="Arial"/>
                <w:color w:val="000000"/>
                <w:sz w:val="20"/>
                <w:szCs w:val="20"/>
                <w:lang w:eastAsia="en-GB"/>
              </w:rPr>
            </w:pPr>
            <w:r w:rsidRPr="00E91488">
              <w:rPr>
                <w:rFonts w:ascii="Arial" w:eastAsia="Times New Roman" w:hAnsi="Arial" w:cs="Arial"/>
                <w:color w:val="000000"/>
                <w:sz w:val="20"/>
                <w:szCs w:val="20"/>
                <w:lang w:eastAsia="en-GB"/>
              </w:rPr>
              <w:t>0.4</w:t>
            </w:r>
          </w:p>
        </w:tc>
        <w:tc>
          <w:tcPr>
            <w:tcW w:w="1801" w:type="dxa"/>
            <w:noWrap/>
            <w:hideMark/>
          </w:tcPr>
          <w:p w:rsidR="00DD1FCC" w:rsidRPr="00E91488" w:rsidRDefault="00DD1FCC" w:rsidP="00DD1FCC">
            <w:pPr>
              <w:jc w:val="right"/>
              <w:rPr>
                <w:rFonts w:ascii="Calibri" w:eastAsia="Times New Roman" w:hAnsi="Calibri" w:cs="Calibri"/>
                <w:color w:val="000000"/>
                <w:lang w:eastAsia="en-GB"/>
              </w:rPr>
            </w:pPr>
            <w:r w:rsidRPr="00E91488">
              <w:rPr>
                <w:rFonts w:ascii="Calibri" w:eastAsia="Times New Roman" w:hAnsi="Calibri" w:cs="Calibri"/>
                <w:color w:val="000000"/>
                <w:lang w:eastAsia="en-GB"/>
              </w:rPr>
              <w:t>603,450</w:t>
            </w:r>
          </w:p>
        </w:tc>
        <w:tc>
          <w:tcPr>
            <w:tcW w:w="1801" w:type="dxa"/>
            <w:noWrap/>
            <w:hideMark/>
          </w:tcPr>
          <w:p w:rsidR="00DD1FCC" w:rsidRPr="00E91488" w:rsidRDefault="00DD1FCC" w:rsidP="00DD1FCC">
            <w:pPr>
              <w:jc w:val="right"/>
              <w:rPr>
                <w:rFonts w:ascii="Calibri" w:eastAsia="Times New Roman" w:hAnsi="Calibri" w:cs="Calibri"/>
                <w:color w:val="000000"/>
                <w:lang w:eastAsia="en-GB"/>
              </w:rPr>
            </w:pPr>
            <w:r w:rsidRPr="00593F56">
              <w:t xml:space="preserve"> 732,761 </w:t>
            </w:r>
          </w:p>
        </w:tc>
        <w:tc>
          <w:tcPr>
            <w:tcW w:w="1801" w:type="dxa"/>
            <w:noWrap/>
            <w:hideMark/>
          </w:tcPr>
          <w:p w:rsidR="00DD1FCC" w:rsidRPr="00E91488" w:rsidRDefault="00DD1FCC" w:rsidP="00DD1FCC">
            <w:pPr>
              <w:jc w:val="right"/>
              <w:rPr>
                <w:rFonts w:ascii="Calibri" w:eastAsia="Times New Roman" w:hAnsi="Calibri" w:cs="Calibri"/>
                <w:color w:val="000000"/>
                <w:lang w:eastAsia="en-GB"/>
              </w:rPr>
            </w:pPr>
            <w:r w:rsidRPr="00083C5E">
              <w:t xml:space="preserve"> 2,931 </w:t>
            </w:r>
          </w:p>
        </w:tc>
      </w:tr>
      <w:tr w:rsidR="00DD1FCC" w:rsidRPr="00E91488" w:rsidTr="006563F9">
        <w:trPr>
          <w:trHeight w:val="315"/>
        </w:trPr>
        <w:tc>
          <w:tcPr>
            <w:tcW w:w="1801" w:type="dxa"/>
            <w:noWrap/>
            <w:hideMark/>
          </w:tcPr>
          <w:p w:rsidR="00DD1FCC" w:rsidRPr="00E91488" w:rsidRDefault="00DD1FCC" w:rsidP="00DD1FCC">
            <w:pPr>
              <w:rPr>
                <w:rFonts w:ascii="Arial" w:eastAsia="Times New Roman" w:hAnsi="Arial" w:cs="Arial"/>
                <w:color w:val="000000"/>
                <w:sz w:val="20"/>
                <w:szCs w:val="20"/>
                <w:lang w:eastAsia="en-GB"/>
              </w:rPr>
            </w:pPr>
            <w:r w:rsidRPr="00E91488">
              <w:rPr>
                <w:rFonts w:ascii="Arial" w:eastAsia="Times New Roman" w:hAnsi="Arial" w:cs="Arial"/>
                <w:color w:val="000000"/>
                <w:sz w:val="20"/>
                <w:szCs w:val="20"/>
                <w:lang w:eastAsia="en-GB"/>
              </w:rPr>
              <w:t>Cyprus</w:t>
            </w:r>
          </w:p>
        </w:tc>
        <w:tc>
          <w:tcPr>
            <w:tcW w:w="1812" w:type="dxa"/>
            <w:noWrap/>
            <w:hideMark/>
          </w:tcPr>
          <w:p w:rsidR="00DD1FCC" w:rsidRPr="00E91488" w:rsidRDefault="00DD1FCC" w:rsidP="00DD1FCC">
            <w:pPr>
              <w:jc w:val="right"/>
              <w:rPr>
                <w:rFonts w:ascii="Calibri" w:eastAsia="Times New Roman" w:hAnsi="Calibri" w:cs="Calibri"/>
                <w:color w:val="000000"/>
                <w:lang w:eastAsia="en-GB"/>
              </w:rPr>
            </w:pPr>
            <w:r w:rsidRPr="00E91488">
              <w:rPr>
                <w:rFonts w:ascii="Calibri" w:eastAsia="Times New Roman" w:hAnsi="Calibri" w:cs="Calibri"/>
                <w:color w:val="000000"/>
                <w:lang w:eastAsia="en-GB"/>
              </w:rPr>
              <w:t>1.4</w:t>
            </w:r>
          </w:p>
        </w:tc>
        <w:tc>
          <w:tcPr>
            <w:tcW w:w="1801" w:type="dxa"/>
            <w:noWrap/>
            <w:hideMark/>
          </w:tcPr>
          <w:p w:rsidR="00DD1FCC" w:rsidRPr="00E91488" w:rsidRDefault="00DD1FCC" w:rsidP="00DD1FCC">
            <w:pPr>
              <w:jc w:val="right"/>
              <w:rPr>
                <w:rFonts w:ascii="Calibri" w:eastAsia="Times New Roman" w:hAnsi="Calibri" w:cs="Calibri"/>
                <w:color w:val="000000"/>
                <w:lang w:eastAsia="en-GB"/>
              </w:rPr>
            </w:pPr>
            <w:r w:rsidRPr="00E91488">
              <w:rPr>
                <w:rFonts w:ascii="Calibri" w:eastAsia="Times New Roman" w:hAnsi="Calibri" w:cs="Calibri"/>
                <w:color w:val="000000"/>
                <w:lang w:eastAsia="en-GB"/>
              </w:rPr>
              <w:t>139,307</w:t>
            </w:r>
          </w:p>
        </w:tc>
        <w:tc>
          <w:tcPr>
            <w:tcW w:w="1801" w:type="dxa"/>
            <w:noWrap/>
            <w:hideMark/>
          </w:tcPr>
          <w:p w:rsidR="00DD1FCC" w:rsidRPr="00E91488" w:rsidRDefault="00DD1FCC" w:rsidP="00DD1FCC">
            <w:pPr>
              <w:jc w:val="right"/>
              <w:rPr>
                <w:rFonts w:ascii="Calibri" w:eastAsia="Times New Roman" w:hAnsi="Calibri" w:cs="Calibri"/>
                <w:color w:val="000000"/>
                <w:lang w:eastAsia="en-GB"/>
              </w:rPr>
            </w:pPr>
            <w:r w:rsidRPr="00593F56">
              <w:t xml:space="preserve"> 169,159 </w:t>
            </w:r>
          </w:p>
        </w:tc>
        <w:tc>
          <w:tcPr>
            <w:tcW w:w="1801" w:type="dxa"/>
            <w:noWrap/>
            <w:hideMark/>
          </w:tcPr>
          <w:p w:rsidR="00DD1FCC" w:rsidRPr="00E91488" w:rsidRDefault="00DD1FCC" w:rsidP="00DD1FCC">
            <w:pPr>
              <w:jc w:val="right"/>
              <w:rPr>
                <w:rFonts w:ascii="Calibri" w:eastAsia="Times New Roman" w:hAnsi="Calibri" w:cs="Calibri"/>
                <w:color w:val="000000"/>
                <w:lang w:eastAsia="en-GB"/>
              </w:rPr>
            </w:pPr>
            <w:r w:rsidRPr="00083C5E">
              <w:t xml:space="preserve"> 2,368 </w:t>
            </w:r>
          </w:p>
        </w:tc>
      </w:tr>
      <w:tr w:rsidR="00DD1FCC" w:rsidRPr="00E91488" w:rsidTr="006563F9">
        <w:trPr>
          <w:trHeight w:val="315"/>
        </w:trPr>
        <w:tc>
          <w:tcPr>
            <w:tcW w:w="1801" w:type="dxa"/>
            <w:noWrap/>
            <w:hideMark/>
          </w:tcPr>
          <w:p w:rsidR="00DD1FCC" w:rsidRPr="00E91488" w:rsidRDefault="00DD1FCC" w:rsidP="00DD1FCC">
            <w:pPr>
              <w:rPr>
                <w:rFonts w:ascii="Arial" w:eastAsia="Times New Roman" w:hAnsi="Arial" w:cs="Arial"/>
                <w:color w:val="000000"/>
                <w:sz w:val="20"/>
                <w:szCs w:val="20"/>
                <w:lang w:eastAsia="en-GB"/>
              </w:rPr>
            </w:pPr>
            <w:r w:rsidRPr="00E91488">
              <w:rPr>
                <w:rFonts w:ascii="Arial" w:eastAsia="Times New Roman" w:hAnsi="Arial" w:cs="Arial"/>
                <w:color w:val="000000"/>
                <w:sz w:val="20"/>
                <w:szCs w:val="20"/>
                <w:lang w:eastAsia="en-GB"/>
              </w:rPr>
              <w:t>Czech Republic</w:t>
            </w:r>
          </w:p>
        </w:tc>
        <w:tc>
          <w:tcPr>
            <w:tcW w:w="1812" w:type="dxa"/>
            <w:noWrap/>
            <w:hideMark/>
          </w:tcPr>
          <w:p w:rsidR="00DD1FCC" w:rsidRPr="00E91488" w:rsidRDefault="00DD1FCC" w:rsidP="00DD1FCC">
            <w:pPr>
              <w:jc w:val="right"/>
              <w:rPr>
                <w:rFonts w:ascii="Arial" w:eastAsia="Times New Roman" w:hAnsi="Arial" w:cs="Arial"/>
                <w:color w:val="000000"/>
                <w:sz w:val="20"/>
                <w:szCs w:val="20"/>
                <w:lang w:eastAsia="en-GB"/>
              </w:rPr>
            </w:pPr>
            <w:r w:rsidRPr="00E91488">
              <w:rPr>
                <w:rFonts w:ascii="Arial" w:eastAsia="Times New Roman" w:hAnsi="Arial" w:cs="Arial"/>
                <w:color w:val="000000"/>
                <w:sz w:val="20"/>
                <w:szCs w:val="20"/>
                <w:lang w:eastAsia="en-GB"/>
              </w:rPr>
              <w:t>2.7</w:t>
            </w:r>
          </w:p>
        </w:tc>
        <w:tc>
          <w:tcPr>
            <w:tcW w:w="1801" w:type="dxa"/>
            <w:noWrap/>
            <w:hideMark/>
          </w:tcPr>
          <w:p w:rsidR="00DD1FCC" w:rsidRPr="00E91488" w:rsidRDefault="00DD1FCC" w:rsidP="00DD1FCC">
            <w:pPr>
              <w:jc w:val="right"/>
              <w:rPr>
                <w:rFonts w:ascii="Calibri" w:eastAsia="Times New Roman" w:hAnsi="Calibri" w:cs="Calibri"/>
                <w:color w:val="000000"/>
                <w:lang w:eastAsia="en-GB"/>
              </w:rPr>
            </w:pPr>
            <w:r w:rsidRPr="00E91488">
              <w:rPr>
                <w:rFonts w:ascii="Calibri" w:eastAsia="Times New Roman" w:hAnsi="Calibri" w:cs="Calibri"/>
                <w:color w:val="000000"/>
                <w:lang w:eastAsia="en-GB"/>
              </w:rPr>
              <w:t>1,647,275</w:t>
            </w:r>
          </w:p>
        </w:tc>
        <w:tc>
          <w:tcPr>
            <w:tcW w:w="1801" w:type="dxa"/>
            <w:noWrap/>
            <w:hideMark/>
          </w:tcPr>
          <w:p w:rsidR="00DD1FCC" w:rsidRPr="00E91488" w:rsidRDefault="00DD1FCC" w:rsidP="00DD1FCC">
            <w:pPr>
              <w:jc w:val="right"/>
              <w:rPr>
                <w:rFonts w:ascii="Calibri" w:eastAsia="Times New Roman" w:hAnsi="Calibri" w:cs="Calibri"/>
                <w:color w:val="000000"/>
                <w:lang w:eastAsia="en-GB"/>
              </w:rPr>
            </w:pPr>
            <w:r w:rsidRPr="00593F56">
              <w:t xml:space="preserve"> 2,000,263 </w:t>
            </w:r>
          </w:p>
        </w:tc>
        <w:tc>
          <w:tcPr>
            <w:tcW w:w="1801" w:type="dxa"/>
            <w:noWrap/>
            <w:hideMark/>
          </w:tcPr>
          <w:p w:rsidR="00DD1FCC" w:rsidRPr="00E91488" w:rsidRDefault="00DD1FCC" w:rsidP="00DD1FCC">
            <w:pPr>
              <w:jc w:val="right"/>
              <w:rPr>
                <w:rFonts w:ascii="Calibri" w:eastAsia="Times New Roman" w:hAnsi="Calibri" w:cs="Calibri"/>
                <w:color w:val="000000"/>
                <w:lang w:eastAsia="en-GB"/>
              </w:rPr>
            </w:pPr>
            <w:r w:rsidRPr="00083C5E">
              <w:t xml:space="preserve"> 54,007 </w:t>
            </w:r>
          </w:p>
        </w:tc>
      </w:tr>
      <w:tr w:rsidR="00DD1FCC" w:rsidRPr="00E91488" w:rsidTr="006563F9">
        <w:trPr>
          <w:trHeight w:val="315"/>
        </w:trPr>
        <w:tc>
          <w:tcPr>
            <w:tcW w:w="1801" w:type="dxa"/>
            <w:noWrap/>
            <w:hideMark/>
          </w:tcPr>
          <w:p w:rsidR="00DD1FCC" w:rsidRPr="00E91488" w:rsidRDefault="00DD1FCC" w:rsidP="00DD1FCC">
            <w:pPr>
              <w:rPr>
                <w:rFonts w:ascii="Arial" w:eastAsia="Times New Roman" w:hAnsi="Arial" w:cs="Arial"/>
                <w:color w:val="000000"/>
                <w:sz w:val="20"/>
                <w:szCs w:val="20"/>
                <w:lang w:eastAsia="en-GB"/>
              </w:rPr>
            </w:pPr>
            <w:r w:rsidRPr="00E91488">
              <w:rPr>
                <w:rFonts w:ascii="Arial" w:eastAsia="Times New Roman" w:hAnsi="Arial" w:cs="Arial"/>
                <w:color w:val="000000"/>
                <w:sz w:val="20"/>
                <w:szCs w:val="20"/>
                <w:lang w:eastAsia="en-GB"/>
              </w:rPr>
              <w:t>Denmark</w:t>
            </w:r>
          </w:p>
        </w:tc>
        <w:tc>
          <w:tcPr>
            <w:tcW w:w="1812" w:type="dxa"/>
            <w:noWrap/>
            <w:hideMark/>
          </w:tcPr>
          <w:p w:rsidR="00DD1FCC" w:rsidRPr="00E91488" w:rsidRDefault="00DD1FCC" w:rsidP="00DD1FCC">
            <w:pPr>
              <w:jc w:val="center"/>
              <w:rPr>
                <w:rFonts w:ascii="Arial" w:eastAsia="Times New Roman" w:hAnsi="Arial" w:cs="Arial"/>
                <w:color w:val="000000"/>
                <w:sz w:val="20"/>
                <w:szCs w:val="20"/>
                <w:lang w:eastAsia="en-GB"/>
              </w:rPr>
            </w:pPr>
            <w:r w:rsidRPr="00E91488">
              <w:rPr>
                <w:rFonts w:ascii="Arial" w:eastAsia="Times New Roman" w:hAnsi="Arial" w:cs="Arial"/>
                <w:color w:val="000000"/>
                <w:sz w:val="20"/>
                <w:szCs w:val="20"/>
                <w:lang w:eastAsia="en-GB"/>
              </w:rPr>
              <w:t>no data</w:t>
            </w:r>
          </w:p>
        </w:tc>
        <w:tc>
          <w:tcPr>
            <w:tcW w:w="1801" w:type="dxa"/>
            <w:noWrap/>
            <w:hideMark/>
          </w:tcPr>
          <w:p w:rsidR="00DD1FCC" w:rsidRPr="00E91488" w:rsidRDefault="00DD1FCC" w:rsidP="00DD1FCC">
            <w:pPr>
              <w:jc w:val="right"/>
              <w:rPr>
                <w:rFonts w:ascii="Calibri" w:eastAsia="Times New Roman" w:hAnsi="Calibri" w:cs="Calibri"/>
                <w:color w:val="000000"/>
                <w:lang w:eastAsia="en-GB"/>
              </w:rPr>
            </w:pPr>
            <w:r w:rsidRPr="00E91488">
              <w:rPr>
                <w:rFonts w:ascii="Calibri" w:eastAsia="Times New Roman" w:hAnsi="Calibri" w:cs="Calibri"/>
                <w:color w:val="000000"/>
                <w:lang w:eastAsia="en-GB"/>
              </w:rPr>
              <w:t>961,568</w:t>
            </w:r>
          </w:p>
        </w:tc>
        <w:tc>
          <w:tcPr>
            <w:tcW w:w="1801" w:type="dxa"/>
            <w:noWrap/>
            <w:hideMark/>
          </w:tcPr>
          <w:p w:rsidR="00DD1FCC" w:rsidRPr="00E91488" w:rsidRDefault="00DD1FCC" w:rsidP="00DD1FCC">
            <w:pPr>
              <w:jc w:val="right"/>
              <w:rPr>
                <w:rFonts w:ascii="Calibri" w:eastAsia="Times New Roman" w:hAnsi="Calibri" w:cs="Calibri"/>
                <w:color w:val="000000"/>
                <w:lang w:eastAsia="en-GB"/>
              </w:rPr>
            </w:pPr>
            <w:r w:rsidRPr="00593F56">
              <w:t xml:space="preserve"> 1,167,618 </w:t>
            </w:r>
          </w:p>
        </w:tc>
        <w:tc>
          <w:tcPr>
            <w:tcW w:w="1801" w:type="dxa"/>
            <w:noWrap/>
            <w:hideMark/>
          </w:tcPr>
          <w:p w:rsidR="00DD1FCC" w:rsidRPr="00E91488" w:rsidRDefault="00DD1FCC" w:rsidP="00DD1FCC">
            <w:pPr>
              <w:jc w:val="center"/>
              <w:rPr>
                <w:rFonts w:ascii="Calibri" w:eastAsia="Times New Roman" w:hAnsi="Calibri" w:cs="Calibri"/>
                <w:color w:val="000000"/>
                <w:lang w:eastAsia="en-GB"/>
              </w:rPr>
            </w:pPr>
            <w:r w:rsidRPr="00083C5E">
              <w:t xml:space="preserve"> no data </w:t>
            </w:r>
          </w:p>
        </w:tc>
      </w:tr>
      <w:tr w:rsidR="00DD1FCC" w:rsidRPr="00E91488" w:rsidTr="006563F9">
        <w:trPr>
          <w:trHeight w:val="315"/>
        </w:trPr>
        <w:tc>
          <w:tcPr>
            <w:tcW w:w="1801" w:type="dxa"/>
            <w:noWrap/>
            <w:hideMark/>
          </w:tcPr>
          <w:p w:rsidR="00DD1FCC" w:rsidRPr="00E91488" w:rsidRDefault="00DD1FCC" w:rsidP="00DD1FCC">
            <w:pPr>
              <w:rPr>
                <w:rFonts w:ascii="Arial" w:eastAsia="Times New Roman" w:hAnsi="Arial" w:cs="Arial"/>
                <w:color w:val="000000"/>
                <w:sz w:val="20"/>
                <w:szCs w:val="20"/>
                <w:lang w:eastAsia="en-GB"/>
              </w:rPr>
            </w:pPr>
            <w:r w:rsidRPr="00E91488">
              <w:rPr>
                <w:rFonts w:ascii="Arial" w:eastAsia="Times New Roman" w:hAnsi="Arial" w:cs="Arial"/>
                <w:color w:val="000000"/>
                <w:sz w:val="20"/>
                <w:szCs w:val="20"/>
                <w:lang w:eastAsia="en-GB"/>
              </w:rPr>
              <w:t>Estonia</w:t>
            </w:r>
          </w:p>
        </w:tc>
        <w:tc>
          <w:tcPr>
            <w:tcW w:w="1812" w:type="dxa"/>
            <w:noWrap/>
            <w:hideMark/>
          </w:tcPr>
          <w:p w:rsidR="00DD1FCC" w:rsidRPr="00E91488" w:rsidRDefault="00DD1FCC" w:rsidP="00DD1FCC">
            <w:pPr>
              <w:jc w:val="right"/>
              <w:rPr>
                <w:rFonts w:ascii="Arial" w:eastAsia="Times New Roman" w:hAnsi="Arial" w:cs="Arial"/>
                <w:color w:val="000000"/>
                <w:sz w:val="20"/>
                <w:szCs w:val="20"/>
                <w:lang w:eastAsia="en-GB"/>
              </w:rPr>
            </w:pPr>
            <w:r w:rsidRPr="00E91488">
              <w:rPr>
                <w:rFonts w:ascii="Arial" w:eastAsia="Times New Roman" w:hAnsi="Arial" w:cs="Arial"/>
                <w:color w:val="000000"/>
                <w:sz w:val="20"/>
                <w:szCs w:val="20"/>
                <w:lang w:eastAsia="en-GB"/>
              </w:rPr>
              <w:t>1.8</w:t>
            </w:r>
          </w:p>
        </w:tc>
        <w:tc>
          <w:tcPr>
            <w:tcW w:w="1801" w:type="dxa"/>
            <w:noWrap/>
            <w:hideMark/>
          </w:tcPr>
          <w:p w:rsidR="00DD1FCC" w:rsidRPr="00E91488" w:rsidRDefault="00DD1FCC" w:rsidP="00DD1FCC">
            <w:pPr>
              <w:jc w:val="right"/>
              <w:rPr>
                <w:rFonts w:ascii="Calibri" w:eastAsia="Times New Roman" w:hAnsi="Calibri" w:cs="Calibri"/>
                <w:color w:val="000000"/>
                <w:lang w:eastAsia="en-GB"/>
              </w:rPr>
            </w:pPr>
            <w:r w:rsidRPr="00E91488">
              <w:rPr>
                <w:rFonts w:ascii="Calibri" w:eastAsia="Times New Roman" w:hAnsi="Calibri" w:cs="Calibri"/>
                <w:color w:val="000000"/>
                <w:lang w:eastAsia="en-GB"/>
              </w:rPr>
              <w:t>213,609</w:t>
            </w:r>
          </w:p>
        </w:tc>
        <w:tc>
          <w:tcPr>
            <w:tcW w:w="1801" w:type="dxa"/>
            <w:noWrap/>
            <w:hideMark/>
          </w:tcPr>
          <w:p w:rsidR="00DD1FCC" w:rsidRPr="00E91488" w:rsidRDefault="00DD1FCC" w:rsidP="00DD1FCC">
            <w:pPr>
              <w:jc w:val="right"/>
              <w:rPr>
                <w:rFonts w:ascii="Calibri" w:eastAsia="Times New Roman" w:hAnsi="Calibri" w:cs="Calibri"/>
                <w:color w:val="000000"/>
                <w:lang w:eastAsia="en-GB"/>
              </w:rPr>
            </w:pPr>
            <w:r w:rsidRPr="00593F56">
              <w:t xml:space="preserve"> 259,382 </w:t>
            </w:r>
          </w:p>
        </w:tc>
        <w:tc>
          <w:tcPr>
            <w:tcW w:w="1801" w:type="dxa"/>
            <w:noWrap/>
            <w:hideMark/>
          </w:tcPr>
          <w:p w:rsidR="00DD1FCC" w:rsidRPr="00E91488" w:rsidRDefault="00DD1FCC" w:rsidP="00DD1FCC">
            <w:pPr>
              <w:jc w:val="right"/>
              <w:rPr>
                <w:rFonts w:ascii="Calibri" w:eastAsia="Times New Roman" w:hAnsi="Calibri" w:cs="Calibri"/>
                <w:color w:val="000000"/>
                <w:lang w:eastAsia="en-GB"/>
              </w:rPr>
            </w:pPr>
            <w:r w:rsidRPr="00083C5E">
              <w:t xml:space="preserve"> 4,669 </w:t>
            </w:r>
          </w:p>
        </w:tc>
      </w:tr>
      <w:tr w:rsidR="00DD1FCC" w:rsidRPr="00E91488" w:rsidTr="006563F9">
        <w:trPr>
          <w:trHeight w:val="315"/>
        </w:trPr>
        <w:tc>
          <w:tcPr>
            <w:tcW w:w="1801" w:type="dxa"/>
            <w:noWrap/>
            <w:hideMark/>
          </w:tcPr>
          <w:p w:rsidR="00DD1FCC" w:rsidRPr="00E91488" w:rsidRDefault="00DD1FCC" w:rsidP="00DD1FCC">
            <w:pPr>
              <w:rPr>
                <w:rFonts w:ascii="Arial" w:eastAsia="Times New Roman" w:hAnsi="Arial" w:cs="Arial"/>
                <w:color w:val="000000"/>
                <w:sz w:val="20"/>
                <w:szCs w:val="20"/>
                <w:lang w:eastAsia="en-GB"/>
              </w:rPr>
            </w:pPr>
            <w:r w:rsidRPr="00E91488">
              <w:rPr>
                <w:rFonts w:ascii="Arial" w:eastAsia="Times New Roman" w:hAnsi="Arial" w:cs="Arial"/>
                <w:color w:val="000000"/>
                <w:sz w:val="20"/>
                <w:szCs w:val="20"/>
                <w:lang w:eastAsia="en-GB"/>
              </w:rPr>
              <w:t>Finland</w:t>
            </w:r>
          </w:p>
        </w:tc>
        <w:tc>
          <w:tcPr>
            <w:tcW w:w="1812" w:type="dxa"/>
            <w:noWrap/>
            <w:hideMark/>
          </w:tcPr>
          <w:p w:rsidR="00DD1FCC" w:rsidRPr="00E91488" w:rsidRDefault="00DD1FCC" w:rsidP="00DD1FCC">
            <w:pPr>
              <w:jc w:val="center"/>
              <w:rPr>
                <w:rFonts w:ascii="Arial" w:eastAsia="Times New Roman" w:hAnsi="Arial" w:cs="Arial"/>
                <w:color w:val="000000"/>
                <w:sz w:val="20"/>
                <w:szCs w:val="20"/>
                <w:lang w:eastAsia="en-GB"/>
              </w:rPr>
            </w:pPr>
            <w:r w:rsidRPr="00E91488">
              <w:rPr>
                <w:rFonts w:ascii="Arial" w:eastAsia="Times New Roman" w:hAnsi="Arial" w:cs="Arial"/>
                <w:color w:val="000000"/>
                <w:sz w:val="20"/>
                <w:szCs w:val="20"/>
                <w:lang w:eastAsia="en-GB"/>
              </w:rPr>
              <w:t>no data</w:t>
            </w:r>
          </w:p>
        </w:tc>
        <w:tc>
          <w:tcPr>
            <w:tcW w:w="1801" w:type="dxa"/>
            <w:noWrap/>
            <w:hideMark/>
          </w:tcPr>
          <w:p w:rsidR="00DD1FCC" w:rsidRPr="00E91488" w:rsidRDefault="00DD1FCC" w:rsidP="00DD1FCC">
            <w:pPr>
              <w:jc w:val="right"/>
              <w:rPr>
                <w:rFonts w:ascii="Calibri" w:eastAsia="Times New Roman" w:hAnsi="Calibri" w:cs="Calibri"/>
                <w:color w:val="000000"/>
                <w:lang w:eastAsia="en-GB"/>
              </w:rPr>
            </w:pPr>
            <w:r w:rsidRPr="00E91488">
              <w:rPr>
                <w:rFonts w:ascii="Calibri" w:eastAsia="Times New Roman" w:hAnsi="Calibri" w:cs="Calibri"/>
                <w:color w:val="000000"/>
                <w:lang w:eastAsia="en-GB"/>
              </w:rPr>
              <w:t>894,178</w:t>
            </w:r>
          </w:p>
        </w:tc>
        <w:tc>
          <w:tcPr>
            <w:tcW w:w="1801" w:type="dxa"/>
            <w:noWrap/>
            <w:hideMark/>
          </w:tcPr>
          <w:p w:rsidR="00DD1FCC" w:rsidRPr="00E91488" w:rsidRDefault="00DD1FCC" w:rsidP="00DD1FCC">
            <w:pPr>
              <w:jc w:val="right"/>
              <w:rPr>
                <w:rFonts w:ascii="Calibri" w:eastAsia="Times New Roman" w:hAnsi="Calibri" w:cs="Calibri"/>
                <w:color w:val="000000"/>
                <w:lang w:eastAsia="en-GB"/>
              </w:rPr>
            </w:pPr>
            <w:r w:rsidRPr="00593F56">
              <w:t xml:space="preserve"> 1,085,788 </w:t>
            </w:r>
          </w:p>
        </w:tc>
        <w:tc>
          <w:tcPr>
            <w:tcW w:w="1801" w:type="dxa"/>
            <w:noWrap/>
            <w:hideMark/>
          </w:tcPr>
          <w:p w:rsidR="00DD1FCC" w:rsidRPr="00E91488" w:rsidRDefault="00DD1FCC" w:rsidP="00DD1FCC">
            <w:pPr>
              <w:jc w:val="center"/>
              <w:rPr>
                <w:rFonts w:ascii="Calibri" w:eastAsia="Times New Roman" w:hAnsi="Calibri" w:cs="Calibri"/>
                <w:color w:val="000000"/>
                <w:lang w:eastAsia="en-GB"/>
              </w:rPr>
            </w:pPr>
            <w:r w:rsidRPr="00083C5E">
              <w:t xml:space="preserve"> no data </w:t>
            </w:r>
          </w:p>
        </w:tc>
      </w:tr>
      <w:tr w:rsidR="00DD1FCC" w:rsidRPr="00E91488" w:rsidTr="006563F9">
        <w:trPr>
          <w:trHeight w:val="315"/>
        </w:trPr>
        <w:tc>
          <w:tcPr>
            <w:tcW w:w="1801" w:type="dxa"/>
            <w:noWrap/>
            <w:hideMark/>
          </w:tcPr>
          <w:p w:rsidR="00DD1FCC" w:rsidRPr="00E91488" w:rsidRDefault="00DD1FCC" w:rsidP="00DD1FCC">
            <w:pPr>
              <w:rPr>
                <w:rFonts w:ascii="Arial" w:eastAsia="Times New Roman" w:hAnsi="Arial" w:cs="Arial"/>
                <w:color w:val="000000"/>
                <w:sz w:val="20"/>
                <w:szCs w:val="20"/>
                <w:lang w:eastAsia="en-GB"/>
              </w:rPr>
            </w:pPr>
            <w:r w:rsidRPr="00E91488">
              <w:rPr>
                <w:rFonts w:ascii="Arial" w:eastAsia="Times New Roman" w:hAnsi="Arial" w:cs="Arial"/>
                <w:color w:val="000000"/>
                <w:sz w:val="20"/>
                <w:szCs w:val="20"/>
                <w:lang w:eastAsia="en-GB"/>
              </w:rPr>
              <w:t>France</w:t>
            </w:r>
          </w:p>
        </w:tc>
        <w:tc>
          <w:tcPr>
            <w:tcW w:w="1812" w:type="dxa"/>
            <w:noWrap/>
            <w:hideMark/>
          </w:tcPr>
          <w:p w:rsidR="00DD1FCC" w:rsidRPr="00E91488" w:rsidRDefault="00DD1FCC" w:rsidP="00DD1FCC">
            <w:pPr>
              <w:jc w:val="right"/>
              <w:rPr>
                <w:rFonts w:ascii="Arial" w:eastAsia="Times New Roman" w:hAnsi="Arial" w:cs="Arial"/>
                <w:color w:val="000000"/>
                <w:sz w:val="20"/>
                <w:szCs w:val="20"/>
                <w:lang w:eastAsia="en-GB"/>
              </w:rPr>
            </w:pPr>
            <w:r w:rsidRPr="00E91488">
              <w:rPr>
                <w:rFonts w:ascii="Arial" w:eastAsia="Times New Roman" w:hAnsi="Arial" w:cs="Arial"/>
                <w:color w:val="000000"/>
                <w:sz w:val="20"/>
                <w:szCs w:val="20"/>
                <w:lang w:eastAsia="en-GB"/>
              </w:rPr>
              <w:t>1.6</w:t>
            </w:r>
          </w:p>
        </w:tc>
        <w:tc>
          <w:tcPr>
            <w:tcW w:w="1801" w:type="dxa"/>
            <w:noWrap/>
            <w:hideMark/>
          </w:tcPr>
          <w:p w:rsidR="00DD1FCC" w:rsidRPr="00E91488" w:rsidRDefault="00DD1FCC" w:rsidP="00DD1FCC">
            <w:pPr>
              <w:jc w:val="right"/>
              <w:rPr>
                <w:rFonts w:ascii="Calibri" w:eastAsia="Times New Roman" w:hAnsi="Calibri" w:cs="Calibri"/>
                <w:color w:val="000000"/>
                <w:lang w:eastAsia="en-GB"/>
              </w:rPr>
            </w:pPr>
            <w:r w:rsidRPr="00E91488">
              <w:rPr>
                <w:rFonts w:ascii="Calibri" w:eastAsia="Times New Roman" w:hAnsi="Calibri" w:cs="Calibri"/>
                <w:color w:val="000000"/>
                <w:lang w:eastAsia="en-GB"/>
              </w:rPr>
              <w:t>12,205,108</w:t>
            </w:r>
          </w:p>
        </w:tc>
        <w:tc>
          <w:tcPr>
            <w:tcW w:w="1801" w:type="dxa"/>
            <w:noWrap/>
            <w:hideMark/>
          </w:tcPr>
          <w:p w:rsidR="00DD1FCC" w:rsidRPr="00E91488" w:rsidRDefault="00DD1FCC" w:rsidP="00DD1FCC">
            <w:pPr>
              <w:jc w:val="right"/>
              <w:rPr>
                <w:rFonts w:ascii="Calibri" w:eastAsia="Times New Roman" w:hAnsi="Calibri" w:cs="Calibri"/>
                <w:color w:val="000000"/>
                <w:lang w:eastAsia="en-GB"/>
              </w:rPr>
            </w:pPr>
            <w:r w:rsidRPr="00593F56">
              <w:t xml:space="preserve"> 14,820,488 </w:t>
            </w:r>
          </w:p>
        </w:tc>
        <w:tc>
          <w:tcPr>
            <w:tcW w:w="1801" w:type="dxa"/>
            <w:noWrap/>
            <w:hideMark/>
          </w:tcPr>
          <w:p w:rsidR="00DD1FCC" w:rsidRPr="00E91488" w:rsidRDefault="00DD1FCC" w:rsidP="00DD1FCC">
            <w:pPr>
              <w:jc w:val="right"/>
              <w:rPr>
                <w:rFonts w:ascii="Calibri" w:eastAsia="Times New Roman" w:hAnsi="Calibri" w:cs="Calibri"/>
                <w:color w:val="000000"/>
                <w:lang w:eastAsia="en-GB"/>
              </w:rPr>
            </w:pPr>
            <w:r w:rsidRPr="00083C5E">
              <w:t xml:space="preserve"> 237,128 </w:t>
            </w:r>
          </w:p>
        </w:tc>
      </w:tr>
      <w:tr w:rsidR="00DD1FCC" w:rsidRPr="00E91488" w:rsidTr="006563F9">
        <w:trPr>
          <w:trHeight w:val="315"/>
        </w:trPr>
        <w:tc>
          <w:tcPr>
            <w:tcW w:w="1801" w:type="dxa"/>
            <w:noWrap/>
            <w:hideMark/>
          </w:tcPr>
          <w:p w:rsidR="00DD1FCC" w:rsidRPr="00E91488" w:rsidRDefault="00DD1FCC" w:rsidP="00DD1FCC">
            <w:pPr>
              <w:rPr>
                <w:rFonts w:ascii="Arial" w:eastAsia="Times New Roman" w:hAnsi="Arial" w:cs="Arial"/>
                <w:color w:val="000000"/>
                <w:sz w:val="20"/>
                <w:szCs w:val="20"/>
                <w:lang w:eastAsia="en-GB"/>
              </w:rPr>
            </w:pPr>
            <w:r w:rsidRPr="00E91488">
              <w:rPr>
                <w:rFonts w:ascii="Arial" w:eastAsia="Times New Roman" w:hAnsi="Arial" w:cs="Arial"/>
                <w:color w:val="000000"/>
                <w:sz w:val="20"/>
                <w:szCs w:val="20"/>
                <w:lang w:eastAsia="en-GB"/>
              </w:rPr>
              <w:t>Germany</w:t>
            </w:r>
          </w:p>
        </w:tc>
        <w:tc>
          <w:tcPr>
            <w:tcW w:w="1812" w:type="dxa"/>
            <w:noWrap/>
            <w:hideMark/>
          </w:tcPr>
          <w:p w:rsidR="00DD1FCC" w:rsidRPr="00E91488" w:rsidRDefault="00DD1FCC" w:rsidP="00DD1FCC">
            <w:pPr>
              <w:jc w:val="right"/>
              <w:rPr>
                <w:rFonts w:ascii="Arial" w:eastAsia="Times New Roman" w:hAnsi="Arial" w:cs="Arial"/>
                <w:color w:val="000000"/>
                <w:sz w:val="20"/>
                <w:szCs w:val="20"/>
                <w:lang w:eastAsia="en-GB"/>
              </w:rPr>
            </w:pPr>
            <w:r w:rsidRPr="00E91488">
              <w:rPr>
                <w:rFonts w:ascii="Arial" w:eastAsia="Times New Roman" w:hAnsi="Arial" w:cs="Arial"/>
                <w:color w:val="000000"/>
                <w:sz w:val="20"/>
                <w:szCs w:val="20"/>
                <w:lang w:eastAsia="en-GB"/>
              </w:rPr>
              <w:t>0.1</w:t>
            </w:r>
          </w:p>
        </w:tc>
        <w:tc>
          <w:tcPr>
            <w:tcW w:w="1801" w:type="dxa"/>
            <w:noWrap/>
            <w:hideMark/>
          </w:tcPr>
          <w:p w:rsidR="00DD1FCC" w:rsidRPr="00E91488" w:rsidRDefault="00DD1FCC" w:rsidP="00DD1FCC">
            <w:pPr>
              <w:jc w:val="right"/>
              <w:rPr>
                <w:rFonts w:ascii="Calibri" w:eastAsia="Times New Roman" w:hAnsi="Calibri" w:cs="Calibri"/>
                <w:color w:val="000000"/>
                <w:lang w:eastAsia="en-GB"/>
              </w:rPr>
            </w:pPr>
            <w:r w:rsidRPr="00E91488">
              <w:rPr>
                <w:rFonts w:ascii="Calibri" w:eastAsia="Times New Roman" w:hAnsi="Calibri" w:cs="Calibri"/>
                <w:color w:val="000000"/>
                <w:lang w:eastAsia="en-GB"/>
              </w:rPr>
              <w:t>11,048,568</w:t>
            </w:r>
          </w:p>
        </w:tc>
        <w:tc>
          <w:tcPr>
            <w:tcW w:w="1801" w:type="dxa"/>
            <w:noWrap/>
            <w:hideMark/>
          </w:tcPr>
          <w:p w:rsidR="00DD1FCC" w:rsidRPr="00E91488" w:rsidRDefault="00DD1FCC" w:rsidP="00DD1FCC">
            <w:pPr>
              <w:jc w:val="right"/>
              <w:rPr>
                <w:rFonts w:ascii="Calibri" w:eastAsia="Times New Roman" w:hAnsi="Calibri" w:cs="Calibri"/>
                <w:color w:val="000000"/>
                <w:lang w:eastAsia="en-GB"/>
              </w:rPr>
            </w:pPr>
            <w:r w:rsidRPr="00593F56">
              <w:t xml:space="preserve"> 13,416,118 </w:t>
            </w:r>
          </w:p>
        </w:tc>
        <w:tc>
          <w:tcPr>
            <w:tcW w:w="1801" w:type="dxa"/>
            <w:noWrap/>
            <w:hideMark/>
          </w:tcPr>
          <w:p w:rsidR="00DD1FCC" w:rsidRPr="00E91488" w:rsidRDefault="00DD1FCC" w:rsidP="00DD1FCC">
            <w:pPr>
              <w:jc w:val="right"/>
              <w:rPr>
                <w:rFonts w:ascii="Calibri" w:eastAsia="Times New Roman" w:hAnsi="Calibri" w:cs="Calibri"/>
                <w:color w:val="000000"/>
                <w:lang w:eastAsia="en-GB"/>
              </w:rPr>
            </w:pPr>
            <w:r w:rsidRPr="00083C5E">
              <w:t xml:space="preserve"> 13,416 </w:t>
            </w:r>
          </w:p>
        </w:tc>
      </w:tr>
      <w:tr w:rsidR="00DD1FCC" w:rsidRPr="00E91488" w:rsidTr="006563F9">
        <w:trPr>
          <w:trHeight w:val="315"/>
        </w:trPr>
        <w:tc>
          <w:tcPr>
            <w:tcW w:w="1801" w:type="dxa"/>
            <w:noWrap/>
            <w:hideMark/>
          </w:tcPr>
          <w:p w:rsidR="00DD1FCC" w:rsidRPr="00E91488" w:rsidRDefault="00DD1FCC" w:rsidP="00DD1FCC">
            <w:pPr>
              <w:rPr>
                <w:rFonts w:ascii="Arial" w:eastAsia="Times New Roman" w:hAnsi="Arial" w:cs="Arial"/>
                <w:color w:val="000000"/>
                <w:sz w:val="20"/>
                <w:szCs w:val="20"/>
                <w:lang w:eastAsia="en-GB"/>
              </w:rPr>
            </w:pPr>
            <w:r w:rsidRPr="00E91488">
              <w:rPr>
                <w:rFonts w:ascii="Arial" w:eastAsia="Times New Roman" w:hAnsi="Arial" w:cs="Arial"/>
                <w:color w:val="000000"/>
                <w:sz w:val="20"/>
                <w:szCs w:val="20"/>
                <w:lang w:eastAsia="en-GB"/>
              </w:rPr>
              <w:t>Greece</w:t>
            </w:r>
          </w:p>
        </w:tc>
        <w:tc>
          <w:tcPr>
            <w:tcW w:w="1812" w:type="dxa"/>
            <w:noWrap/>
            <w:hideMark/>
          </w:tcPr>
          <w:p w:rsidR="00DD1FCC" w:rsidRPr="00E91488" w:rsidRDefault="00DD1FCC" w:rsidP="00DD1FCC">
            <w:pPr>
              <w:jc w:val="right"/>
              <w:rPr>
                <w:rFonts w:ascii="Arial" w:eastAsia="Times New Roman" w:hAnsi="Arial" w:cs="Arial"/>
                <w:color w:val="000000"/>
                <w:sz w:val="20"/>
                <w:szCs w:val="20"/>
                <w:lang w:eastAsia="en-GB"/>
              </w:rPr>
            </w:pPr>
            <w:r w:rsidRPr="00E91488">
              <w:rPr>
                <w:rFonts w:ascii="Arial" w:eastAsia="Times New Roman" w:hAnsi="Arial" w:cs="Arial"/>
                <w:color w:val="000000"/>
                <w:sz w:val="20"/>
                <w:szCs w:val="20"/>
                <w:lang w:eastAsia="en-GB"/>
              </w:rPr>
              <w:t>2.4</w:t>
            </w:r>
          </w:p>
        </w:tc>
        <w:tc>
          <w:tcPr>
            <w:tcW w:w="1801" w:type="dxa"/>
            <w:noWrap/>
            <w:hideMark/>
          </w:tcPr>
          <w:p w:rsidR="00DD1FCC" w:rsidRPr="00E91488" w:rsidRDefault="00DD1FCC" w:rsidP="00DD1FCC">
            <w:pPr>
              <w:jc w:val="right"/>
              <w:rPr>
                <w:rFonts w:ascii="Calibri" w:eastAsia="Times New Roman" w:hAnsi="Calibri" w:cs="Calibri"/>
                <w:color w:val="000000"/>
                <w:lang w:eastAsia="en-GB"/>
              </w:rPr>
            </w:pPr>
            <w:r w:rsidRPr="00E91488">
              <w:rPr>
                <w:rFonts w:ascii="Calibri" w:eastAsia="Times New Roman" w:hAnsi="Calibri" w:cs="Calibri"/>
                <w:color w:val="000000"/>
                <w:lang w:eastAsia="en-GB"/>
              </w:rPr>
              <w:t>1,554,669</w:t>
            </w:r>
          </w:p>
        </w:tc>
        <w:tc>
          <w:tcPr>
            <w:tcW w:w="1801" w:type="dxa"/>
            <w:noWrap/>
            <w:hideMark/>
          </w:tcPr>
          <w:p w:rsidR="00DD1FCC" w:rsidRPr="00E91488" w:rsidRDefault="00DD1FCC" w:rsidP="00DD1FCC">
            <w:pPr>
              <w:jc w:val="right"/>
              <w:rPr>
                <w:rFonts w:ascii="Calibri" w:eastAsia="Times New Roman" w:hAnsi="Calibri" w:cs="Calibri"/>
                <w:color w:val="000000"/>
                <w:lang w:eastAsia="en-GB"/>
              </w:rPr>
            </w:pPr>
            <w:r w:rsidRPr="00593F56">
              <w:t xml:space="preserve"> 1,887,812 </w:t>
            </w:r>
          </w:p>
        </w:tc>
        <w:tc>
          <w:tcPr>
            <w:tcW w:w="1801" w:type="dxa"/>
            <w:noWrap/>
            <w:hideMark/>
          </w:tcPr>
          <w:p w:rsidR="00DD1FCC" w:rsidRPr="00E91488" w:rsidRDefault="00DD1FCC" w:rsidP="00DD1FCC">
            <w:pPr>
              <w:jc w:val="right"/>
              <w:rPr>
                <w:rFonts w:ascii="Calibri" w:eastAsia="Times New Roman" w:hAnsi="Calibri" w:cs="Calibri"/>
                <w:color w:val="000000"/>
                <w:lang w:eastAsia="en-GB"/>
              </w:rPr>
            </w:pPr>
            <w:r w:rsidRPr="00083C5E">
              <w:t xml:space="preserve"> 45,307 </w:t>
            </w:r>
          </w:p>
        </w:tc>
      </w:tr>
      <w:tr w:rsidR="00DD1FCC" w:rsidRPr="00E91488" w:rsidTr="006563F9">
        <w:trPr>
          <w:trHeight w:val="315"/>
        </w:trPr>
        <w:tc>
          <w:tcPr>
            <w:tcW w:w="1801" w:type="dxa"/>
            <w:noWrap/>
            <w:hideMark/>
          </w:tcPr>
          <w:p w:rsidR="00DD1FCC" w:rsidRPr="00E91488" w:rsidRDefault="00DD1FCC" w:rsidP="00DD1FCC">
            <w:pPr>
              <w:rPr>
                <w:rFonts w:ascii="Arial" w:eastAsia="Times New Roman" w:hAnsi="Arial" w:cs="Arial"/>
                <w:color w:val="000000"/>
                <w:sz w:val="20"/>
                <w:szCs w:val="20"/>
                <w:lang w:eastAsia="en-GB"/>
              </w:rPr>
            </w:pPr>
            <w:r w:rsidRPr="00E91488">
              <w:rPr>
                <w:rFonts w:ascii="Arial" w:eastAsia="Times New Roman" w:hAnsi="Arial" w:cs="Arial"/>
                <w:color w:val="000000"/>
                <w:sz w:val="20"/>
                <w:szCs w:val="20"/>
                <w:lang w:eastAsia="en-GB"/>
              </w:rPr>
              <w:t>Hungary</w:t>
            </w:r>
          </w:p>
        </w:tc>
        <w:tc>
          <w:tcPr>
            <w:tcW w:w="1812" w:type="dxa"/>
            <w:noWrap/>
            <w:hideMark/>
          </w:tcPr>
          <w:p w:rsidR="00DD1FCC" w:rsidRPr="00E91488" w:rsidRDefault="00DD1FCC" w:rsidP="00DD1FCC">
            <w:pPr>
              <w:jc w:val="right"/>
              <w:rPr>
                <w:rFonts w:ascii="Calibri" w:eastAsia="Times New Roman" w:hAnsi="Calibri" w:cs="Calibri"/>
                <w:color w:val="000000"/>
                <w:lang w:eastAsia="en-GB"/>
              </w:rPr>
            </w:pPr>
            <w:r w:rsidRPr="00E91488">
              <w:rPr>
                <w:rFonts w:ascii="Calibri" w:eastAsia="Times New Roman" w:hAnsi="Calibri" w:cs="Calibri"/>
                <w:color w:val="000000"/>
                <w:lang w:eastAsia="en-GB"/>
              </w:rPr>
              <w:t>0.2</w:t>
            </w:r>
          </w:p>
        </w:tc>
        <w:tc>
          <w:tcPr>
            <w:tcW w:w="1801" w:type="dxa"/>
            <w:noWrap/>
            <w:hideMark/>
          </w:tcPr>
          <w:p w:rsidR="00DD1FCC" w:rsidRPr="00E91488" w:rsidRDefault="00DD1FCC" w:rsidP="00DD1FCC">
            <w:pPr>
              <w:jc w:val="right"/>
              <w:rPr>
                <w:rFonts w:ascii="Calibri" w:eastAsia="Times New Roman" w:hAnsi="Calibri" w:cs="Calibri"/>
                <w:color w:val="000000"/>
                <w:lang w:eastAsia="en-GB"/>
              </w:rPr>
            </w:pPr>
            <w:r w:rsidRPr="00E91488">
              <w:rPr>
                <w:rFonts w:ascii="Calibri" w:eastAsia="Times New Roman" w:hAnsi="Calibri" w:cs="Calibri"/>
                <w:color w:val="000000"/>
                <w:lang w:eastAsia="en-GB"/>
              </w:rPr>
              <w:t>1,422,865</w:t>
            </w:r>
          </w:p>
        </w:tc>
        <w:tc>
          <w:tcPr>
            <w:tcW w:w="1801" w:type="dxa"/>
            <w:noWrap/>
            <w:hideMark/>
          </w:tcPr>
          <w:p w:rsidR="00DD1FCC" w:rsidRPr="00E91488" w:rsidRDefault="00DD1FCC" w:rsidP="00DD1FCC">
            <w:pPr>
              <w:jc w:val="right"/>
              <w:rPr>
                <w:rFonts w:ascii="Calibri" w:eastAsia="Times New Roman" w:hAnsi="Calibri" w:cs="Calibri"/>
                <w:color w:val="000000"/>
                <w:lang w:eastAsia="en-GB"/>
              </w:rPr>
            </w:pPr>
            <w:r w:rsidRPr="00593F56">
              <w:t xml:space="preserve"> 1,727,765 </w:t>
            </w:r>
          </w:p>
        </w:tc>
        <w:tc>
          <w:tcPr>
            <w:tcW w:w="1801" w:type="dxa"/>
            <w:noWrap/>
            <w:hideMark/>
          </w:tcPr>
          <w:p w:rsidR="00DD1FCC" w:rsidRPr="00E91488" w:rsidRDefault="00DD1FCC" w:rsidP="00DD1FCC">
            <w:pPr>
              <w:jc w:val="right"/>
              <w:rPr>
                <w:rFonts w:ascii="Calibri" w:eastAsia="Times New Roman" w:hAnsi="Calibri" w:cs="Calibri"/>
                <w:color w:val="000000"/>
                <w:lang w:eastAsia="en-GB"/>
              </w:rPr>
            </w:pPr>
            <w:r w:rsidRPr="00083C5E">
              <w:t xml:space="preserve"> 3,456 </w:t>
            </w:r>
          </w:p>
        </w:tc>
      </w:tr>
      <w:tr w:rsidR="00DD1FCC" w:rsidRPr="00E91488" w:rsidTr="006563F9">
        <w:trPr>
          <w:trHeight w:val="315"/>
        </w:trPr>
        <w:tc>
          <w:tcPr>
            <w:tcW w:w="1801" w:type="dxa"/>
            <w:noWrap/>
            <w:hideMark/>
          </w:tcPr>
          <w:p w:rsidR="00DD1FCC" w:rsidRPr="00E91488" w:rsidRDefault="00DD1FCC" w:rsidP="00DD1FCC">
            <w:pPr>
              <w:rPr>
                <w:rFonts w:ascii="Arial" w:eastAsia="Times New Roman" w:hAnsi="Arial" w:cs="Arial"/>
                <w:color w:val="000000"/>
                <w:sz w:val="20"/>
                <w:szCs w:val="20"/>
                <w:lang w:eastAsia="en-GB"/>
              </w:rPr>
            </w:pPr>
            <w:r w:rsidRPr="00E91488">
              <w:rPr>
                <w:rFonts w:ascii="Arial" w:eastAsia="Times New Roman" w:hAnsi="Arial" w:cs="Arial"/>
                <w:color w:val="000000"/>
                <w:sz w:val="20"/>
                <w:szCs w:val="20"/>
                <w:lang w:eastAsia="en-GB"/>
              </w:rPr>
              <w:t>Ireland</w:t>
            </w:r>
          </w:p>
        </w:tc>
        <w:tc>
          <w:tcPr>
            <w:tcW w:w="1812" w:type="dxa"/>
            <w:noWrap/>
            <w:hideMark/>
          </w:tcPr>
          <w:p w:rsidR="00DD1FCC" w:rsidRPr="00E91488" w:rsidRDefault="00DD1FCC" w:rsidP="00DD1FCC">
            <w:pPr>
              <w:jc w:val="center"/>
              <w:rPr>
                <w:rFonts w:ascii="Arial" w:eastAsia="Times New Roman" w:hAnsi="Arial" w:cs="Arial"/>
                <w:color w:val="000000"/>
                <w:sz w:val="20"/>
                <w:szCs w:val="20"/>
                <w:lang w:eastAsia="en-GB"/>
              </w:rPr>
            </w:pPr>
            <w:r w:rsidRPr="00E91488">
              <w:rPr>
                <w:rFonts w:ascii="Arial" w:eastAsia="Times New Roman" w:hAnsi="Arial" w:cs="Arial"/>
                <w:color w:val="000000"/>
                <w:sz w:val="20"/>
                <w:szCs w:val="20"/>
                <w:lang w:eastAsia="en-GB"/>
              </w:rPr>
              <w:t>no data</w:t>
            </w:r>
          </w:p>
        </w:tc>
        <w:tc>
          <w:tcPr>
            <w:tcW w:w="1801" w:type="dxa"/>
            <w:noWrap/>
            <w:hideMark/>
          </w:tcPr>
          <w:p w:rsidR="00DD1FCC" w:rsidRPr="00E91488" w:rsidRDefault="00DD1FCC" w:rsidP="00DD1FCC">
            <w:pPr>
              <w:jc w:val="right"/>
              <w:rPr>
                <w:rFonts w:ascii="Calibri" w:eastAsia="Times New Roman" w:hAnsi="Calibri" w:cs="Calibri"/>
                <w:color w:val="000000"/>
                <w:lang w:eastAsia="en-GB"/>
              </w:rPr>
            </w:pPr>
            <w:r w:rsidRPr="00E91488">
              <w:rPr>
                <w:rFonts w:ascii="Calibri" w:eastAsia="Times New Roman" w:hAnsi="Calibri" w:cs="Calibri"/>
                <w:color w:val="000000"/>
                <w:lang w:eastAsia="en-GB"/>
              </w:rPr>
              <w:t>1,008,455</w:t>
            </w:r>
          </w:p>
        </w:tc>
        <w:tc>
          <w:tcPr>
            <w:tcW w:w="1801" w:type="dxa"/>
            <w:noWrap/>
            <w:hideMark/>
          </w:tcPr>
          <w:p w:rsidR="00DD1FCC" w:rsidRPr="00E91488" w:rsidRDefault="00DD1FCC" w:rsidP="00DD1FCC">
            <w:pPr>
              <w:jc w:val="right"/>
              <w:rPr>
                <w:rFonts w:ascii="Calibri" w:eastAsia="Times New Roman" w:hAnsi="Calibri" w:cs="Calibri"/>
                <w:color w:val="000000"/>
                <w:lang w:eastAsia="en-GB"/>
              </w:rPr>
            </w:pPr>
            <w:r w:rsidRPr="00593F56">
              <w:t xml:space="preserve"> 1,224,553 </w:t>
            </w:r>
          </w:p>
        </w:tc>
        <w:tc>
          <w:tcPr>
            <w:tcW w:w="1801" w:type="dxa"/>
            <w:noWrap/>
            <w:hideMark/>
          </w:tcPr>
          <w:p w:rsidR="00DD1FCC" w:rsidRPr="00E91488" w:rsidRDefault="00DD1FCC" w:rsidP="00DD1FCC">
            <w:pPr>
              <w:jc w:val="center"/>
              <w:rPr>
                <w:rFonts w:ascii="Calibri" w:eastAsia="Times New Roman" w:hAnsi="Calibri" w:cs="Calibri"/>
                <w:color w:val="000000"/>
                <w:lang w:eastAsia="en-GB"/>
              </w:rPr>
            </w:pPr>
            <w:r w:rsidRPr="00083C5E">
              <w:t xml:space="preserve"> no data </w:t>
            </w:r>
          </w:p>
        </w:tc>
      </w:tr>
      <w:tr w:rsidR="00DD1FCC" w:rsidRPr="00E91488" w:rsidTr="006563F9">
        <w:trPr>
          <w:trHeight w:val="315"/>
        </w:trPr>
        <w:tc>
          <w:tcPr>
            <w:tcW w:w="1801" w:type="dxa"/>
            <w:noWrap/>
            <w:hideMark/>
          </w:tcPr>
          <w:p w:rsidR="00DD1FCC" w:rsidRPr="00E91488" w:rsidRDefault="00DD1FCC" w:rsidP="00DD1FCC">
            <w:pPr>
              <w:rPr>
                <w:rFonts w:ascii="Arial" w:eastAsia="Times New Roman" w:hAnsi="Arial" w:cs="Arial"/>
                <w:color w:val="000000"/>
                <w:sz w:val="20"/>
                <w:szCs w:val="20"/>
                <w:lang w:eastAsia="en-GB"/>
              </w:rPr>
            </w:pPr>
            <w:r w:rsidRPr="00E91488">
              <w:rPr>
                <w:rFonts w:ascii="Arial" w:eastAsia="Times New Roman" w:hAnsi="Arial" w:cs="Arial"/>
                <w:color w:val="000000"/>
                <w:sz w:val="20"/>
                <w:szCs w:val="20"/>
                <w:lang w:eastAsia="en-GB"/>
              </w:rPr>
              <w:t>Italy</w:t>
            </w:r>
          </w:p>
        </w:tc>
        <w:tc>
          <w:tcPr>
            <w:tcW w:w="1812" w:type="dxa"/>
            <w:noWrap/>
            <w:hideMark/>
          </w:tcPr>
          <w:p w:rsidR="00DD1FCC" w:rsidRPr="00E91488" w:rsidRDefault="00DD1FCC" w:rsidP="00DD1FCC">
            <w:pPr>
              <w:jc w:val="right"/>
              <w:rPr>
                <w:rFonts w:ascii="Arial" w:eastAsia="Times New Roman" w:hAnsi="Arial" w:cs="Arial"/>
                <w:color w:val="000000"/>
                <w:sz w:val="20"/>
                <w:szCs w:val="20"/>
                <w:lang w:eastAsia="en-GB"/>
              </w:rPr>
            </w:pPr>
            <w:r w:rsidRPr="00E91488">
              <w:rPr>
                <w:rFonts w:ascii="Arial" w:eastAsia="Times New Roman" w:hAnsi="Arial" w:cs="Arial"/>
                <w:color w:val="000000"/>
                <w:sz w:val="20"/>
                <w:szCs w:val="20"/>
                <w:lang w:eastAsia="en-GB"/>
              </w:rPr>
              <w:t>1.7</w:t>
            </w:r>
          </w:p>
        </w:tc>
        <w:tc>
          <w:tcPr>
            <w:tcW w:w="1801" w:type="dxa"/>
            <w:noWrap/>
            <w:hideMark/>
          </w:tcPr>
          <w:p w:rsidR="00DD1FCC" w:rsidRPr="00E91488" w:rsidRDefault="00DD1FCC" w:rsidP="00DD1FCC">
            <w:pPr>
              <w:jc w:val="right"/>
              <w:rPr>
                <w:rFonts w:ascii="Calibri" w:eastAsia="Times New Roman" w:hAnsi="Calibri" w:cs="Calibri"/>
                <w:color w:val="000000"/>
                <w:lang w:eastAsia="en-GB"/>
              </w:rPr>
            </w:pPr>
            <w:r w:rsidRPr="00E91488">
              <w:rPr>
                <w:rFonts w:ascii="Calibri" w:eastAsia="Times New Roman" w:hAnsi="Calibri" w:cs="Calibri"/>
                <w:color w:val="000000"/>
                <w:lang w:eastAsia="en-GB"/>
              </w:rPr>
              <w:t>8,182,584</w:t>
            </w:r>
          </w:p>
        </w:tc>
        <w:tc>
          <w:tcPr>
            <w:tcW w:w="1801" w:type="dxa"/>
            <w:noWrap/>
            <w:hideMark/>
          </w:tcPr>
          <w:p w:rsidR="00DD1FCC" w:rsidRPr="00E91488" w:rsidRDefault="00DD1FCC" w:rsidP="00DD1FCC">
            <w:pPr>
              <w:jc w:val="right"/>
              <w:rPr>
                <w:rFonts w:ascii="Calibri" w:eastAsia="Times New Roman" w:hAnsi="Calibri" w:cs="Calibri"/>
                <w:color w:val="000000"/>
                <w:lang w:eastAsia="en-GB"/>
              </w:rPr>
            </w:pPr>
            <w:r w:rsidRPr="00593F56">
              <w:t xml:space="preserve"> 9,935,995 </w:t>
            </w:r>
          </w:p>
        </w:tc>
        <w:tc>
          <w:tcPr>
            <w:tcW w:w="1801" w:type="dxa"/>
            <w:noWrap/>
            <w:hideMark/>
          </w:tcPr>
          <w:p w:rsidR="00DD1FCC" w:rsidRPr="00E91488" w:rsidRDefault="00DD1FCC" w:rsidP="00DD1FCC">
            <w:pPr>
              <w:jc w:val="right"/>
              <w:rPr>
                <w:rFonts w:ascii="Calibri" w:eastAsia="Times New Roman" w:hAnsi="Calibri" w:cs="Calibri"/>
                <w:color w:val="000000"/>
                <w:lang w:eastAsia="en-GB"/>
              </w:rPr>
            </w:pPr>
            <w:r w:rsidRPr="00083C5E">
              <w:t xml:space="preserve"> 168,912 </w:t>
            </w:r>
          </w:p>
        </w:tc>
      </w:tr>
      <w:tr w:rsidR="00DD1FCC" w:rsidRPr="00E91488" w:rsidTr="006563F9">
        <w:trPr>
          <w:trHeight w:val="315"/>
        </w:trPr>
        <w:tc>
          <w:tcPr>
            <w:tcW w:w="1801" w:type="dxa"/>
            <w:noWrap/>
            <w:hideMark/>
          </w:tcPr>
          <w:p w:rsidR="00DD1FCC" w:rsidRPr="00E91488" w:rsidRDefault="00DD1FCC" w:rsidP="00DD1FCC">
            <w:pPr>
              <w:rPr>
                <w:rFonts w:ascii="Arial" w:eastAsia="Times New Roman" w:hAnsi="Arial" w:cs="Arial"/>
                <w:color w:val="000000"/>
                <w:sz w:val="20"/>
                <w:szCs w:val="20"/>
                <w:lang w:eastAsia="en-GB"/>
              </w:rPr>
            </w:pPr>
            <w:r w:rsidRPr="00E91488">
              <w:rPr>
                <w:rFonts w:ascii="Arial" w:eastAsia="Times New Roman" w:hAnsi="Arial" w:cs="Arial"/>
                <w:color w:val="000000"/>
                <w:sz w:val="20"/>
                <w:szCs w:val="20"/>
                <w:lang w:eastAsia="en-GB"/>
              </w:rPr>
              <w:t>Latvia</w:t>
            </w:r>
          </w:p>
        </w:tc>
        <w:tc>
          <w:tcPr>
            <w:tcW w:w="1812" w:type="dxa"/>
            <w:noWrap/>
            <w:hideMark/>
          </w:tcPr>
          <w:p w:rsidR="00DD1FCC" w:rsidRPr="00E91488" w:rsidRDefault="00DD1FCC" w:rsidP="00DD1FCC">
            <w:pPr>
              <w:jc w:val="right"/>
              <w:rPr>
                <w:rFonts w:ascii="Arial" w:eastAsia="Times New Roman" w:hAnsi="Arial" w:cs="Arial"/>
                <w:color w:val="000000"/>
                <w:sz w:val="20"/>
                <w:szCs w:val="20"/>
                <w:lang w:eastAsia="en-GB"/>
              </w:rPr>
            </w:pPr>
            <w:r w:rsidRPr="00E91488">
              <w:rPr>
                <w:rFonts w:ascii="Arial" w:eastAsia="Times New Roman" w:hAnsi="Arial" w:cs="Arial"/>
                <w:color w:val="000000"/>
                <w:sz w:val="20"/>
                <w:szCs w:val="20"/>
                <w:lang w:eastAsia="en-GB"/>
              </w:rPr>
              <w:t>2.4</w:t>
            </w:r>
          </w:p>
        </w:tc>
        <w:tc>
          <w:tcPr>
            <w:tcW w:w="1801" w:type="dxa"/>
            <w:noWrap/>
            <w:hideMark/>
          </w:tcPr>
          <w:p w:rsidR="00DD1FCC" w:rsidRPr="00E91488" w:rsidRDefault="00DD1FCC" w:rsidP="00DD1FCC">
            <w:pPr>
              <w:jc w:val="right"/>
              <w:rPr>
                <w:rFonts w:ascii="Calibri" w:eastAsia="Times New Roman" w:hAnsi="Calibri" w:cs="Calibri"/>
                <w:color w:val="000000"/>
                <w:lang w:eastAsia="en-GB"/>
              </w:rPr>
            </w:pPr>
            <w:r w:rsidRPr="00E91488">
              <w:rPr>
                <w:rFonts w:ascii="Calibri" w:eastAsia="Times New Roman" w:hAnsi="Calibri" w:cs="Calibri"/>
                <w:color w:val="000000"/>
                <w:lang w:eastAsia="en-GB"/>
              </w:rPr>
              <w:t>303,587</w:t>
            </w:r>
          </w:p>
        </w:tc>
        <w:tc>
          <w:tcPr>
            <w:tcW w:w="1801" w:type="dxa"/>
            <w:noWrap/>
            <w:hideMark/>
          </w:tcPr>
          <w:p w:rsidR="00DD1FCC" w:rsidRPr="00E91488" w:rsidRDefault="00DD1FCC" w:rsidP="00DD1FCC">
            <w:pPr>
              <w:jc w:val="right"/>
              <w:rPr>
                <w:rFonts w:ascii="Calibri" w:eastAsia="Times New Roman" w:hAnsi="Calibri" w:cs="Calibri"/>
                <w:color w:val="000000"/>
                <w:lang w:eastAsia="en-GB"/>
              </w:rPr>
            </w:pPr>
            <w:r w:rsidRPr="00593F56">
              <w:t xml:space="preserve"> 368,641 </w:t>
            </w:r>
          </w:p>
        </w:tc>
        <w:tc>
          <w:tcPr>
            <w:tcW w:w="1801" w:type="dxa"/>
            <w:noWrap/>
            <w:hideMark/>
          </w:tcPr>
          <w:p w:rsidR="00DD1FCC" w:rsidRPr="00E91488" w:rsidRDefault="00DD1FCC" w:rsidP="00DD1FCC">
            <w:pPr>
              <w:jc w:val="right"/>
              <w:rPr>
                <w:rFonts w:ascii="Calibri" w:eastAsia="Times New Roman" w:hAnsi="Calibri" w:cs="Calibri"/>
                <w:color w:val="000000"/>
                <w:lang w:eastAsia="en-GB"/>
              </w:rPr>
            </w:pPr>
            <w:r w:rsidRPr="00083C5E">
              <w:t xml:space="preserve"> 8,847 </w:t>
            </w:r>
          </w:p>
        </w:tc>
      </w:tr>
      <w:tr w:rsidR="00DD1FCC" w:rsidRPr="00E91488" w:rsidTr="006563F9">
        <w:trPr>
          <w:trHeight w:val="315"/>
        </w:trPr>
        <w:tc>
          <w:tcPr>
            <w:tcW w:w="1801" w:type="dxa"/>
            <w:noWrap/>
            <w:hideMark/>
          </w:tcPr>
          <w:p w:rsidR="00DD1FCC" w:rsidRPr="00E91488" w:rsidRDefault="00DD1FCC" w:rsidP="00DD1FCC">
            <w:pPr>
              <w:rPr>
                <w:rFonts w:ascii="Arial" w:eastAsia="Times New Roman" w:hAnsi="Arial" w:cs="Arial"/>
                <w:color w:val="000000"/>
                <w:sz w:val="20"/>
                <w:szCs w:val="20"/>
                <w:lang w:eastAsia="en-GB"/>
              </w:rPr>
            </w:pPr>
            <w:r w:rsidRPr="00E91488">
              <w:rPr>
                <w:rFonts w:ascii="Arial" w:eastAsia="Times New Roman" w:hAnsi="Arial" w:cs="Arial"/>
                <w:color w:val="000000"/>
                <w:sz w:val="20"/>
                <w:szCs w:val="20"/>
                <w:lang w:eastAsia="en-GB"/>
              </w:rPr>
              <w:t>Lithuania</w:t>
            </w:r>
          </w:p>
        </w:tc>
        <w:tc>
          <w:tcPr>
            <w:tcW w:w="1812" w:type="dxa"/>
            <w:noWrap/>
            <w:hideMark/>
          </w:tcPr>
          <w:p w:rsidR="00DD1FCC" w:rsidRPr="00E91488" w:rsidRDefault="00DD1FCC" w:rsidP="00DD1FCC">
            <w:pPr>
              <w:jc w:val="right"/>
              <w:rPr>
                <w:rFonts w:ascii="Arial" w:eastAsia="Times New Roman" w:hAnsi="Arial" w:cs="Arial"/>
                <w:color w:val="000000"/>
                <w:sz w:val="20"/>
                <w:szCs w:val="20"/>
                <w:lang w:eastAsia="en-GB"/>
              </w:rPr>
            </w:pPr>
            <w:r w:rsidRPr="00E91488">
              <w:rPr>
                <w:rFonts w:ascii="Arial" w:eastAsia="Times New Roman" w:hAnsi="Arial" w:cs="Arial"/>
                <w:color w:val="000000"/>
                <w:sz w:val="20"/>
                <w:szCs w:val="20"/>
                <w:lang w:eastAsia="en-GB"/>
              </w:rPr>
              <w:t>2.3</w:t>
            </w:r>
          </w:p>
        </w:tc>
        <w:tc>
          <w:tcPr>
            <w:tcW w:w="1801" w:type="dxa"/>
            <w:noWrap/>
            <w:hideMark/>
          </w:tcPr>
          <w:p w:rsidR="00DD1FCC" w:rsidRPr="00E91488" w:rsidRDefault="00DD1FCC" w:rsidP="00DD1FCC">
            <w:pPr>
              <w:jc w:val="right"/>
              <w:rPr>
                <w:rFonts w:ascii="Calibri" w:eastAsia="Times New Roman" w:hAnsi="Calibri" w:cs="Calibri"/>
                <w:color w:val="000000"/>
                <w:lang w:eastAsia="en-GB"/>
              </w:rPr>
            </w:pPr>
            <w:r w:rsidRPr="00E91488">
              <w:rPr>
                <w:rFonts w:ascii="Calibri" w:eastAsia="Times New Roman" w:hAnsi="Calibri" w:cs="Calibri"/>
                <w:color w:val="000000"/>
                <w:lang w:eastAsia="en-GB"/>
              </w:rPr>
              <w:t>422,122</w:t>
            </w:r>
          </w:p>
        </w:tc>
        <w:tc>
          <w:tcPr>
            <w:tcW w:w="1801" w:type="dxa"/>
            <w:noWrap/>
            <w:hideMark/>
          </w:tcPr>
          <w:p w:rsidR="00DD1FCC" w:rsidRPr="00E91488" w:rsidRDefault="00DD1FCC" w:rsidP="00DD1FCC">
            <w:pPr>
              <w:jc w:val="right"/>
              <w:rPr>
                <w:rFonts w:ascii="Calibri" w:eastAsia="Times New Roman" w:hAnsi="Calibri" w:cs="Calibri"/>
                <w:color w:val="000000"/>
                <w:lang w:eastAsia="en-GB"/>
              </w:rPr>
            </w:pPr>
            <w:r w:rsidRPr="00593F56">
              <w:t xml:space="preserve"> 512,577 </w:t>
            </w:r>
          </w:p>
        </w:tc>
        <w:tc>
          <w:tcPr>
            <w:tcW w:w="1801" w:type="dxa"/>
            <w:noWrap/>
            <w:hideMark/>
          </w:tcPr>
          <w:p w:rsidR="00DD1FCC" w:rsidRPr="00E91488" w:rsidRDefault="00DD1FCC" w:rsidP="00DD1FCC">
            <w:pPr>
              <w:jc w:val="right"/>
              <w:rPr>
                <w:rFonts w:ascii="Calibri" w:eastAsia="Times New Roman" w:hAnsi="Calibri" w:cs="Calibri"/>
                <w:color w:val="000000"/>
                <w:lang w:eastAsia="en-GB"/>
              </w:rPr>
            </w:pPr>
            <w:r w:rsidRPr="00083C5E">
              <w:t xml:space="preserve"> 11,789 </w:t>
            </w:r>
          </w:p>
        </w:tc>
      </w:tr>
      <w:tr w:rsidR="00DD1FCC" w:rsidRPr="00E91488" w:rsidTr="006563F9">
        <w:trPr>
          <w:trHeight w:val="315"/>
        </w:trPr>
        <w:tc>
          <w:tcPr>
            <w:tcW w:w="1801" w:type="dxa"/>
            <w:noWrap/>
            <w:hideMark/>
          </w:tcPr>
          <w:p w:rsidR="00DD1FCC" w:rsidRPr="00E91488" w:rsidRDefault="00DD1FCC" w:rsidP="00DD1FCC">
            <w:pPr>
              <w:rPr>
                <w:rFonts w:ascii="Arial" w:eastAsia="Times New Roman" w:hAnsi="Arial" w:cs="Arial"/>
                <w:color w:val="000000"/>
                <w:sz w:val="20"/>
                <w:szCs w:val="20"/>
                <w:lang w:eastAsia="en-GB"/>
              </w:rPr>
            </w:pPr>
            <w:r w:rsidRPr="00E91488">
              <w:rPr>
                <w:rFonts w:ascii="Arial" w:eastAsia="Times New Roman" w:hAnsi="Arial" w:cs="Arial"/>
                <w:color w:val="000000"/>
                <w:sz w:val="20"/>
                <w:szCs w:val="20"/>
                <w:lang w:eastAsia="en-GB"/>
              </w:rPr>
              <w:t>Luxembourg</w:t>
            </w:r>
          </w:p>
        </w:tc>
        <w:tc>
          <w:tcPr>
            <w:tcW w:w="1812" w:type="dxa"/>
            <w:noWrap/>
            <w:hideMark/>
          </w:tcPr>
          <w:p w:rsidR="00DD1FCC" w:rsidRPr="00E91488" w:rsidRDefault="00DD1FCC" w:rsidP="00DD1FCC">
            <w:pPr>
              <w:jc w:val="right"/>
              <w:rPr>
                <w:rFonts w:ascii="Arial" w:eastAsia="Times New Roman" w:hAnsi="Arial" w:cs="Arial"/>
                <w:color w:val="000000"/>
                <w:sz w:val="20"/>
                <w:szCs w:val="20"/>
                <w:lang w:eastAsia="en-GB"/>
              </w:rPr>
            </w:pPr>
            <w:r w:rsidRPr="00E91488">
              <w:rPr>
                <w:rFonts w:ascii="Arial" w:eastAsia="Times New Roman" w:hAnsi="Arial" w:cs="Arial"/>
                <w:color w:val="000000"/>
                <w:sz w:val="20"/>
                <w:szCs w:val="20"/>
                <w:lang w:eastAsia="en-GB"/>
              </w:rPr>
              <w:t>1.1</w:t>
            </w:r>
          </w:p>
        </w:tc>
        <w:tc>
          <w:tcPr>
            <w:tcW w:w="1801" w:type="dxa"/>
            <w:noWrap/>
            <w:hideMark/>
          </w:tcPr>
          <w:p w:rsidR="00DD1FCC" w:rsidRPr="00E91488" w:rsidRDefault="00DD1FCC" w:rsidP="00DD1FCC">
            <w:pPr>
              <w:jc w:val="right"/>
              <w:rPr>
                <w:rFonts w:ascii="Calibri" w:eastAsia="Times New Roman" w:hAnsi="Calibri" w:cs="Calibri"/>
                <w:color w:val="000000"/>
                <w:lang w:eastAsia="en-GB"/>
              </w:rPr>
            </w:pPr>
            <w:r w:rsidRPr="00E91488">
              <w:rPr>
                <w:rFonts w:ascii="Calibri" w:eastAsia="Times New Roman" w:hAnsi="Calibri" w:cs="Calibri"/>
                <w:color w:val="000000"/>
                <w:lang w:eastAsia="en-GB"/>
              </w:rPr>
              <w:t>95,923</w:t>
            </w:r>
          </w:p>
        </w:tc>
        <w:tc>
          <w:tcPr>
            <w:tcW w:w="1801" w:type="dxa"/>
            <w:noWrap/>
            <w:hideMark/>
          </w:tcPr>
          <w:p w:rsidR="00DD1FCC" w:rsidRPr="00E91488" w:rsidRDefault="00DD1FCC" w:rsidP="00DD1FCC">
            <w:pPr>
              <w:jc w:val="right"/>
              <w:rPr>
                <w:rFonts w:ascii="Calibri" w:eastAsia="Times New Roman" w:hAnsi="Calibri" w:cs="Calibri"/>
                <w:color w:val="000000"/>
                <w:lang w:eastAsia="en-GB"/>
              </w:rPr>
            </w:pPr>
            <w:r w:rsidRPr="00593F56">
              <w:t xml:space="preserve"> 116,478 </w:t>
            </w:r>
          </w:p>
        </w:tc>
        <w:tc>
          <w:tcPr>
            <w:tcW w:w="1801" w:type="dxa"/>
            <w:noWrap/>
            <w:hideMark/>
          </w:tcPr>
          <w:p w:rsidR="00DD1FCC" w:rsidRPr="00E91488" w:rsidRDefault="00DD1FCC" w:rsidP="00DD1FCC">
            <w:pPr>
              <w:jc w:val="right"/>
              <w:rPr>
                <w:rFonts w:ascii="Calibri" w:eastAsia="Times New Roman" w:hAnsi="Calibri" w:cs="Calibri"/>
                <w:color w:val="000000"/>
                <w:lang w:eastAsia="en-GB"/>
              </w:rPr>
            </w:pPr>
            <w:r w:rsidRPr="00083C5E">
              <w:t xml:space="preserve"> 1,281 </w:t>
            </w:r>
          </w:p>
        </w:tc>
      </w:tr>
      <w:tr w:rsidR="00DD1FCC" w:rsidRPr="00E91488" w:rsidTr="006563F9">
        <w:trPr>
          <w:trHeight w:val="315"/>
        </w:trPr>
        <w:tc>
          <w:tcPr>
            <w:tcW w:w="1801" w:type="dxa"/>
            <w:noWrap/>
            <w:hideMark/>
          </w:tcPr>
          <w:p w:rsidR="00DD1FCC" w:rsidRPr="00E91488" w:rsidRDefault="00DD1FCC" w:rsidP="00DD1FCC">
            <w:pPr>
              <w:rPr>
                <w:rFonts w:ascii="Arial" w:eastAsia="Times New Roman" w:hAnsi="Arial" w:cs="Arial"/>
                <w:color w:val="000000"/>
                <w:sz w:val="20"/>
                <w:szCs w:val="20"/>
                <w:lang w:eastAsia="en-GB"/>
              </w:rPr>
            </w:pPr>
            <w:r w:rsidRPr="00E91488">
              <w:rPr>
                <w:rFonts w:ascii="Arial" w:eastAsia="Times New Roman" w:hAnsi="Arial" w:cs="Arial"/>
                <w:color w:val="000000"/>
                <w:sz w:val="20"/>
                <w:szCs w:val="20"/>
                <w:lang w:eastAsia="en-GB"/>
              </w:rPr>
              <w:t>Malta</w:t>
            </w:r>
          </w:p>
        </w:tc>
        <w:tc>
          <w:tcPr>
            <w:tcW w:w="1812" w:type="dxa"/>
            <w:noWrap/>
            <w:hideMark/>
          </w:tcPr>
          <w:p w:rsidR="00DD1FCC" w:rsidRPr="00E91488" w:rsidRDefault="00DD1FCC" w:rsidP="00DD1FCC">
            <w:pPr>
              <w:jc w:val="right"/>
              <w:rPr>
                <w:rFonts w:ascii="Arial" w:eastAsia="Times New Roman" w:hAnsi="Arial" w:cs="Arial"/>
                <w:color w:val="000000"/>
                <w:sz w:val="20"/>
                <w:szCs w:val="20"/>
                <w:lang w:eastAsia="en-GB"/>
              </w:rPr>
            </w:pPr>
            <w:r w:rsidRPr="00E91488">
              <w:rPr>
                <w:rFonts w:ascii="Arial" w:eastAsia="Times New Roman" w:hAnsi="Arial" w:cs="Arial"/>
                <w:color w:val="000000"/>
                <w:sz w:val="20"/>
                <w:szCs w:val="20"/>
                <w:lang w:eastAsia="en-GB"/>
              </w:rPr>
              <w:t>0.6</w:t>
            </w:r>
          </w:p>
        </w:tc>
        <w:tc>
          <w:tcPr>
            <w:tcW w:w="1801" w:type="dxa"/>
            <w:noWrap/>
            <w:hideMark/>
          </w:tcPr>
          <w:p w:rsidR="00DD1FCC" w:rsidRPr="00E91488" w:rsidRDefault="00DD1FCC" w:rsidP="00DD1FCC">
            <w:pPr>
              <w:jc w:val="right"/>
              <w:rPr>
                <w:rFonts w:ascii="Calibri" w:eastAsia="Times New Roman" w:hAnsi="Calibri" w:cs="Calibri"/>
                <w:color w:val="000000"/>
                <w:lang w:eastAsia="en-GB"/>
              </w:rPr>
            </w:pPr>
            <w:r w:rsidRPr="00E91488">
              <w:rPr>
                <w:rFonts w:ascii="Calibri" w:eastAsia="Times New Roman" w:hAnsi="Calibri" w:cs="Calibri"/>
                <w:color w:val="000000"/>
                <w:lang w:eastAsia="en-GB"/>
              </w:rPr>
              <w:t>65,084</w:t>
            </w:r>
          </w:p>
        </w:tc>
        <w:tc>
          <w:tcPr>
            <w:tcW w:w="1801" w:type="dxa"/>
            <w:noWrap/>
            <w:hideMark/>
          </w:tcPr>
          <w:p w:rsidR="00DD1FCC" w:rsidRPr="00E91488" w:rsidRDefault="00DD1FCC" w:rsidP="00DD1FCC">
            <w:pPr>
              <w:jc w:val="right"/>
              <w:rPr>
                <w:rFonts w:ascii="Calibri" w:eastAsia="Times New Roman" w:hAnsi="Calibri" w:cs="Calibri"/>
                <w:color w:val="000000"/>
                <w:lang w:eastAsia="en-GB"/>
              </w:rPr>
            </w:pPr>
            <w:r w:rsidRPr="00593F56">
              <w:t xml:space="preserve"> 79,031 </w:t>
            </w:r>
          </w:p>
        </w:tc>
        <w:tc>
          <w:tcPr>
            <w:tcW w:w="1801" w:type="dxa"/>
            <w:noWrap/>
            <w:hideMark/>
          </w:tcPr>
          <w:p w:rsidR="00DD1FCC" w:rsidRPr="00E91488" w:rsidRDefault="00DD1FCC" w:rsidP="00DD1FCC">
            <w:pPr>
              <w:jc w:val="right"/>
              <w:rPr>
                <w:rFonts w:ascii="Calibri" w:eastAsia="Times New Roman" w:hAnsi="Calibri" w:cs="Calibri"/>
                <w:color w:val="000000"/>
                <w:lang w:eastAsia="en-GB"/>
              </w:rPr>
            </w:pPr>
            <w:r w:rsidRPr="00083C5E">
              <w:t xml:space="preserve"> 474 </w:t>
            </w:r>
          </w:p>
        </w:tc>
      </w:tr>
      <w:tr w:rsidR="00DD1FCC" w:rsidRPr="00E91488" w:rsidTr="006563F9">
        <w:trPr>
          <w:trHeight w:val="315"/>
        </w:trPr>
        <w:tc>
          <w:tcPr>
            <w:tcW w:w="1801" w:type="dxa"/>
            <w:noWrap/>
            <w:hideMark/>
          </w:tcPr>
          <w:p w:rsidR="00DD1FCC" w:rsidRPr="00E91488" w:rsidRDefault="00DD1FCC" w:rsidP="00DD1FCC">
            <w:pPr>
              <w:rPr>
                <w:rFonts w:ascii="Arial" w:eastAsia="Times New Roman" w:hAnsi="Arial" w:cs="Arial"/>
                <w:color w:val="000000"/>
                <w:sz w:val="20"/>
                <w:szCs w:val="20"/>
                <w:lang w:eastAsia="en-GB"/>
              </w:rPr>
            </w:pPr>
            <w:r w:rsidRPr="00E91488">
              <w:rPr>
                <w:rFonts w:ascii="Arial" w:eastAsia="Times New Roman" w:hAnsi="Arial" w:cs="Arial"/>
                <w:color w:val="000000"/>
                <w:sz w:val="20"/>
                <w:szCs w:val="20"/>
                <w:lang w:eastAsia="en-GB"/>
              </w:rPr>
              <w:t>Netherlands</w:t>
            </w:r>
          </w:p>
        </w:tc>
        <w:tc>
          <w:tcPr>
            <w:tcW w:w="1812" w:type="dxa"/>
            <w:noWrap/>
            <w:hideMark/>
          </w:tcPr>
          <w:p w:rsidR="00DD1FCC" w:rsidRPr="00E91488" w:rsidRDefault="00DD1FCC" w:rsidP="00DD1FCC">
            <w:pPr>
              <w:jc w:val="center"/>
              <w:rPr>
                <w:rFonts w:ascii="Arial" w:eastAsia="Times New Roman" w:hAnsi="Arial" w:cs="Arial"/>
                <w:color w:val="000000"/>
                <w:sz w:val="20"/>
                <w:szCs w:val="20"/>
                <w:lang w:eastAsia="en-GB"/>
              </w:rPr>
            </w:pPr>
            <w:r w:rsidRPr="00E91488">
              <w:rPr>
                <w:rFonts w:ascii="Arial" w:eastAsia="Times New Roman" w:hAnsi="Arial" w:cs="Arial"/>
                <w:color w:val="000000"/>
                <w:sz w:val="20"/>
                <w:szCs w:val="20"/>
                <w:lang w:eastAsia="en-GB"/>
              </w:rPr>
              <w:t>no data</w:t>
            </w:r>
          </w:p>
        </w:tc>
        <w:tc>
          <w:tcPr>
            <w:tcW w:w="1801" w:type="dxa"/>
            <w:noWrap/>
            <w:hideMark/>
          </w:tcPr>
          <w:p w:rsidR="00DD1FCC" w:rsidRPr="00E91488" w:rsidRDefault="00DD1FCC" w:rsidP="00DD1FCC">
            <w:pPr>
              <w:jc w:val="right"/>
              <w:rPr>
                <w:rFonts w:ascii="Calibri" w:eastAsia="Times New Roman" w:hAnsi="Calibri" w:cs="Calibri"/>
                <w:color w:val="000000"/>
                <w:lang w:eastAsia="en-GB"/>
              </w:rPr>
            </w:pPr>
            <w:r w:rsidRPr="00E91488">
              <w:rPr>
                <w:rFonts w:ascii="Calibri" w:eastAsia="Times New Roman" w:hAnsi="Calibri" w:cs="Calibri"/>
                <w:color w:val="000000"/>
                <w:lang w:eastAsia="en-GB"/>
              </w:rPr>
              <w:t>2,781,768</w:t>
            </w:r>
          </w:p>
        </w:tc>
        <w:tc>
          <w:tcPr>
            <w:tcW w:w="1801" w:type="dxa"/>
            <w:noWrap/>
            <w:hideMark/>
          </w:tcPr>
          <w:p w:rsidR="00DD1FCC" w:rsidRPr="00E91488" w:rsidRDefault="00DD1FCC" w:rsidP="00DD1FCC">
            <w:pPr>
              <w:jc w:val="right"/>
              <w:rPr>
                <w:rFonts w:ascii="Calibri" w:eastAsia="Times New Roman" w:hAnsi="Calibri" w:cs="Calibri"/>
                <w:color w:val="000000"/>
                <w:lang w:eastAsia="en-GB"/>
              </w:rPr>
            </w:pPr>
            <w:r w:rsidRPr="00593F56">
              <w:t xml:space="preserve"> 3,377,861 </w:t>
            </w:r>
          </w:p>
        </w:tc>
        <w:tc>
          <w:tcPr>
            <w:tcW w:w="1801" w:type="dxa"/>
            <w:noWrap/>
            <w:hideMark/>
          </w:tcPr>
          <w:p w:rsidR="00DD1FCC" w:rsidRPr="00E91488" w:rsidRDefault="00DD1FCC" w:rsidP="00DD1FCC">
            <w:pPr>
              <w:jc w:val="center"/>
              <w:rPr>
                <w:rFonts w:ascii="Calibri" w:eastAsia="Times New Roman" w:hAnsi="Calibri" w:cs="Calibri"/>
                <w:color w:val="000000"/>
                <w:lang w:eastAsia="en-GB"/>
              </w:rPr>
            </w:pPr>
            <w:r w:rsidRPr="00083C5E">
              <w:t xml:space="preserve"> no data </w:t>
            </w:r>
          </w:p>
        </w:tc>
      </w:tr>
      <w:tr w:rsidR="00DD1FCC" w:rsidRPr="00E91488" w:rsidTr="006563F9">
        <w:trPr>
          <w:trHeight w:val="315"/>
        </w:trPr>
        <w:tc>
          <w:tcPr>
            <w:tcW w:w="1801" w:type="dxa"/>
            <w:noWrap/>
            <w:hideMark/>
          </w:tcPr>
          <w:p w:rsidR="00DD1FCC" w:rsidRPr="00E91488" w:rsidRDefault="00DD1FCC" w:rsidP="00DD1FCC">
            <w:pPr>
              <w:rPr>
                <w:rFonts w:ascii="Arial" w:eastAsia="Times New Roman" w:hAnsi="Arial" w:cs="Arial"/>
                <w:color w:val="000000"/>
                <w:sz w:val="20"/>
                <w:szCs w:val="20"/>
                <w:lang w:eastAsia="en-GB"/>
              </w:rPr>
            </w:pPr>
            <w:r w:rsidRPr="00E91488">
              <w:rPr>
                <w:rFonts w:ascii="Arial" w:eastAsia="Times New Roman" w:hAnsi="Arial" w:cs="Arial"/>
                <w:color w:val="000000"/>
                <w:sz w:val="20"/>
                <w:szCs w:val="20"/>
                <w:lang w:eastAsia="en-GB"/>
              </w:rPr>
              <w:t>Poland</w:t>
            </w:r>
          </w:p>
        </w:tc>
        <w:tc>
          <w:tcPr>
            <w:tcW w:w="1812" w:type="dxa"/>
            <w:noWrap/>
            <w:hideMark/>
          </w:tcPr>
          <w:p w:rsidR="00DD1FCC" w:rsidRPr="00E91488" w:rsidRDefault="00DD1FCC" w:rsidP="00DD1FCC">
            <w:pPr>
              <w:jc w:val="right"/>
              <w:rPr>
                <w:rFonts w:ascii="Arial" w:eastAsia="Times New Roman" w:hAnsi="Arial" w:cs="Arial"/>
                <w:color w:val="000000"/>
                <w:sz w:val="20"/>
                <w:szCs w:val="20"/>
                <w:lang w:eastAsia="en-GB"/>
              </w:rPr>
            </w:pPr>
            <w:r w:rsidRPr="00E91488">
              <w:rPr>
                <w:rFonts w:ascii="Arial" w:eastAsia="Times New Roman" w:hAnsi="Arial" w:cs="Arial"/>
                <w:color w:val="000000"/>
                <w:sz w:val="20"/>
                <w:szCs w:val="20"/>
                <w:lang w:eastAsia="en-GB"/>
              </w:rPr>
              <w:t>1.9</w:t>
            </w:r>
          </w:p>
        </w:tc>
        <w:tc>
          <w:tcPr>
            <w:tcW w:w="1801" w:type="dxa"/>
            <w:noWrap/>
            <w:hideMark/>
          </w:tcPr>
          <w:p w:rsidR="00DD1FCC" w:rsidRPr="00E91488" w:rsidRDefault="00DD1FCC" w:rsidP="00DD1FCC">
            <w:pPr>
              <w:jc w:val="right"/>
              <w:rPr>
                <w:rFonts w:ascii="Calibri" w:eastAsia="Times New Roman" w:hAnsi="Calibri" w:cs="Calibri"/>
                <w:color w:val="000000"/>
                <w:lang w:eastAsia="en-GB"/>
              </w:rPr>
            </w:pPr>
            <w:r w:rsidRPr="00E91488">
              <w:rPr>
                <w:rFonts w:ascii="Calibri" w:eastAsia="Times New Roman" w:hAnsi="Calibri" w:cs="Calibri"/>
                <w:color w:val="000000"/>
                <w:lang w:eastAsia="en-GB"/>
              </w:rPr>
              <w:t>5,732,323</w:t>
            </w:r>
          </w:p>
        </w:tc>
        <w:tc>
          <w:tcPr>
            <w:tcW w:w="1801" w:type="dxa"/>
            <w:noWrap/>
            <w:hideMark/>
          </w:tcPr>
          <w:p w:rsidR="00DD1FCC" w:rsidRPr="00E91488" w:rsidRDefault="00DD1FCC" w:rsidP="00DD1FCC">
            <w:pPr>
              <w:jc w:val="right"/>
              <w:rPr>
                <w:rFonts w:ascii="Calibri" w:eastAsia="Times New Roman" w:hAnsi="Calibri" w:cs="Calibri"/>
                <w:color w:val="000000"/>
                <w:lang w:eastAsia="en-GB"/>
              </w:rPr>
            </w:pPr>
            <w:r w:rsidRPr="00593F56">
              <w:t xml:space="preserve"> 6,960,678 </w:t>
            </w:r>
          </w:p>
        </w:tc>
        <w:tc>
          <w:tcPr>
            <w:tcW w:w="1801" w:type="dxa"/>
            <w:noWrap/>
            <w:hideMark/>
          </w:tcPr>
          <w:p w:rsidR="00DD1FCC" w:rsidRPr="00E91488" w:rsidRDefault="00DD1FCC" w:rsidP="00DD1FCC">
            <w:pPr>
              <w:jc w:val="right"/>
              <w:rPr>
                <w:rFonts w:ascii="Calibri" w:eastAsia="Times New Roman" w:hAnsi="Calibri" w:cs="Calibri"/>
                <w:color w:val="000000"/>
                <w:lang w:eastAsia="en-GB"/>
              </w:rPr>
            </w:pPr>
            <w:r w:rsidRPr="00083C5E">
              <w:t xml:space="preserve"> 132,253 </w:t>
            </w:r>
          </w:p>
        </w:tc>
      </w:tr>
      <w:tr w:rsidR="00DD1FCC" w:rsidRPr="00E91488" w:rsidTr="006563F9">
        <w:trPr>
          <w:trHeight w:val="315"/>
        </w:trPr>
        <w:tc>
          <w:tcPr>
            <w:tcW w:w="1801" w:type="dxa"/>
            <w:noWrap/>
            <w:hideMark/>
          </w:tcPr>
          <w:p w:rsidR="00DD1FCC" w:rsidRPr="00E91488" w:rsidRDefault="00DD1FCC" w:rsidP="00DD1FCC">
            <w:pPr>
              <w:rPr>
                <w:rFonts w:ascii="Arial" w:eastAsia="Times New Roman" w:hAnsi="Arial" w:cs="Arial"/>
                <w:color w:val="000000"/>
                <w:sz w:val="20"/>
                <w:szCs w:val="20"/>
                <w:lang w:eastAsia="en-GB"/>
              </w:rPr>
            </w:pPr>
            <w:r w:rsidRPr="00E91488">
              <w:rPr>
                <w:rFonts w:ascii="Arial" w:eastAsia="Times New Roman" w:hAnsi="Arial" w:cs="Arial"/>
                <w:color w:val="000000"/>
                <w:sz w:val="20"/>
                <w:szCs w:val="20"/>
                <w:lang w:eastAsia="en-GB"/>
              </w:rPr>
              <w:t>Portugal</w:t>
            </w:r>
          </w:p>
        </w:tc>
        <w:tc>
          <w:tcPr>
            <w:tcW w:w="1812" w:type="dxa"/>
            <w:noWrap/>
            <w:hideMark/>
          </w:tcPr>
          <w:p w:rsidR="00DD1FCC" w:rsidRPr="00E91488" w:rsidRDefault="00DD1FCC" w:rsidP="00DD1FCC">
            <w:pPr>
              <w:jc w:val="right"/>
              <w:rPr>
                <w:rFonts w:ascii="Arial" w:eastAsia="Times New Roman" w:hAnsi="Arial" w:cs="Arial"/>
                <w:color w:val="000000"/>
                <w:sz w:val="20"/>
                <w:szCs w:val="20"/>
                <w:lang w:eastAsia="en-GB"/>
              </w:rPr>
            </w:pPr>
            <w:r w:rsidRPr="00E91488">
              <w:rPr>
                <w:rFonts w:ascii="Arial" w:eastAsia="Times New Roman" w:hAnsi="Arial" w:cs="Arial"/>
                <w:color w:val="000000"/>
                <w:sz w:val="20"/>
                <w:szCs w:val="20"/>
                <w:lang w:eastAsia="en-GB"/>
              </w:rPr>
              <w:t>0.9</w:t>
            </w:r>
          </w:p>
        </w:tc>
        <w:tc>
          <w:tcPr>
            <w:tcW w:w="1801" w:type="dxa"/>
            <w:noWrap/>
            <w:hideMark/>
          </w:tcPr>
          <w:p w:rsidR="00DD1FCC" w:rsidRPr="00E91488" w:rsidRDefault="00DD1FCC" w:rsidP="00DD1FCC">
            <w:pPr>
              <w:jc w:val="right"/>
              <w:rPr>
                <w:rFonts w:ascii="Calibri" w:eastAsia="Times New Roman" w:hAnsi="Calibri" w:cs="Calibri"/>
                <w:color w:val="000000"/>
                <w:lang w:eastAsia="en-GB"/>
              </w:rPr>
            </w:pPr>
            <w:r w:rsidRPr="00E91488">
              <w:rPr>
                <w:rFonts w:ascii="Calibri" w:eastAsia="Times New Roman" w:hAnsi="Calibri" w:cs="Calibri"/>
                <w:color w:val="000000"/>
                <w:lang w:eastAsia="en-GB"/>
              </w:rPr>
              <w:t>1,442,416</w:t>
            </w:r>
          </w:p>
        </w:tc>
        <w:tc>
          <w:tcPr>
            <w:tcW w:w="1801" w:type="dxa"/>
            <w:noWrap/>
            <w:hideMark/>
          </w:tcPr>
          <w:p w:rsidR="00DD1FCC" w:rsidRPr="00E91488" w:rsidRDefault="00DD1FCC" w:rsidP="00DD1FCC">
            <w:pPr>
              <w:jc w:val="right"/>
              <w:rPr>
                <w:rFonts w:ascii="Calibri" w:eastAsia="Times New Roman" w:hAnsi="Calibri" w:cs="Calibri"/>
                <w:color w:val="000000"/>
                <w:lang w:eastAsia="en-GB"/>
              </w:rPr>
            </w:pPr>
            <w:r w:rsidRPr="00593F56">
              <w:t xml:space="preserve"> 1,751,505 </w:t>
            </w:r>
          </w:p>
        </w:tc>
        <w:tc>
          <w:tcPr>
            <w:tcW w:w="1801" w:type="dxa"/>
            <w:noWrap/>
            <w:hideMark/>
          </w:tcPr>
          <w:p w:rsidR="00DD1FCC" w:rsidRPr="00E91488" w:rsidRDefault="00DD1FCC" w:rsidP="00DD1FCC">
            <w:pPr>
              <w:jc w:val="right"/>
              <w:rPr>
                <w:rFonts w:ascii="Calibri" w:eastAsia="Times New Roman" w:hAnsi="Calibri" w:cs="Calibri"/>
                <w:color w:val="000000"/>
                <w:lang w:eastAsia="en-GB"/>
              </w:rPr>
            </w:pPr>
            <w:r w:rsidRPr="00083C5E">
              <w:t xml:space="preserve"> 15,764 </w:t>
            </w:r>
          </w:p>
        </w:tc>
      </w:tr>
      <w:tr w:rsidR="00DD1FCC" w:rsidRPr="00E91488" w:rsidTr="006563F9">
        <w:trPr>
          <w:trHeight w:val="315"/>
        </w:trPr>
        <w:tc>
          <w:tcPr>
            <w:tcW w:w="1801" w:type="dxa"/>
            <w:noWrap/>
            <w:hideMark/>
          </w:tcPr>
          <w:p w:rsidR="00DD1FCC" w:rsidRPr="00E91488" w:rsidRDefault="00DD1FCC" w:rsidP="00DD1FCC">
            <w:pPr>
              <w:rPr>
                <w:rFonts w:ascii="Arial" w:eastAsia="Times New Roman" w:hAnsi="Arial" w:cs="Arial"/>
                <w:color w:val="000000"/>
                <w:sz w:val="20"/>
                <w:szCs w:val="20"/>
                <w:lang w:eastAsia="en-GB"/>
              </w:rPr>
            </w:pPr>
            <w:r w:rsidRPr="00E91488">
              <w:rPr>
                <w:rFonts w:ascii="Arial" w:eastAsia="Times New Roman" w:hAnsi="Arial" w:cs="Arial"/>
                <w:color w:val="000000"/>
                <w:sz w:val="20"/>
                <w:szCs w:val="20"/>
                <w:lang w:eastAsia="en-GB"/>
              </w:rPr>
              <w:t>Romania</w:t>
            </w:r>
          </w:p>
        </w:tc>
        <w:tc>
          <w:tcPr>
            <w:tcW w:w="1812" w:type="dxa"/>
            <w:noWrap/>
            <w:hideMark/>
          </w:tcPr>
          <w:p w:rsidR="00DD1FCC" w:rsidRPr="00E91488" w:rsidRDefault="00DD1FCC" w:rsidP="00DD1FCC">
            <w:pPr>
              <w:jc w:val="right"/>
              <w:rPr>
                <w:rFonts w:ascii="Arial" w:eastAsia="Times New Roman" w:hAnsi="Arial" w:cs="Arial"/>
                <w:color w:val="000000"/>
                <w:sz w:val="20"/>
                <w:szCs w:val="20"/>
                <w:lang w:eastAsia="en-GB"/>
              </w:rPr>
            </w:pPr>
            <w:r w:rsidRPr="00E91488">
              <w:rPr>
                <w:rFonts w:ascii="Arial" w:eastAsia="Times New Roman" w:hAnsi="Arial" w:cs="Arial"/>
                <w:color w:val="000000"/>
                <w:sz w:val="20"/>
                <w:szCs w:val="20"/>
                <w:lang w:eastAsia="en-GB"/>
              </w:rPr>
              <w:t>7.4</w:t>
            </w:r>
          </w:p>
        </w:tc>
        <w:tc>
          <w:tcPr>
            <w:tcW w:w="1801" w:type="dxa"/>
            <w:noWrap/>
            <w:hideMark/>
          </w:tcPr>
          <w:p w:rsidR="00DD1FCC" w:rsidRPr="00E91488" w:rsidRDefault="00DD1FCC" w:rsidP="00DD1FCC">
            <w:pPr>
              <w:jc w:val="right"/>
              <w:rPr>
                <w:rFonts w:ascii="Calibri" w:eastAsia="Times New Roman" w:hAnsi="Calibri" w:cs="Calibri"/>
                <w:color w:val="000000"/>
                <w:lang w:eastAsia="en-GB"/>
              </w:rPr>
            </w:pPr>
            <w:r w:rsidRPr="00E91488">
              <w:rPr>
                <w:rFonts w:ascii="Calibri" w:eastAsia="Times New Roman" w:hAnsi="Calibri" w:cs="Calibri"/>
                <w:color w:val="000000"/>
                <w:lang w:eastAsia="en-GB"/>
              </w:rPr>
              <w:t>3,057,024</w:t>
            </w:r>
          </w:p>
        </w:tc>
        <w:tc>
          <w:tcPr>
            <w:tcW w:w="1801" w:type="dxa"/>
            <w:noWrap/>
            <w:hideMark/>
          </w:tcPr>
          <w:p w:rsidR="00DD1FCC" w:rsidRPr="00E91488" w:rsidRDefault="00DD1FCC" w:rsidP="00DD1FCC">
            <w:pPr>
              <w:jc w:val="right"/>
              <w:rPr>
                <w:rFonts w:ascii="Calibri" w:eastAsia="Times New Roman" w:hAnsi="Calibri" w:cs="Calibri"/>
                <w:color w:val="000000"/>
                <w:lang w:eastAsia="en-GB"/>
              </w:rPr>
            </w:pPr>
            <w:r w:rsidRPr="00593F56">
              <w:t xml:space="preserve"> 3,712,101 </w:t>
            </w:r>
          </w:p>
        </w:tc>
        <w:tc>
          <w:tcPr>
            <w:tcW w:w="1801" w:type="dxa"/>
            <w:noWrap/>
            <w:hideMark/>
          </w:tcPr>
          <w:p w:rsidR="00DD1FCC" w:rsidRPr="00E91488" w:rsidRDefault="00DD1FCC" w:rsidP="00DD1FCC">
            <w:pPr>
              <w:jc w:val="right"/>
              <w:rPr>
                <w:rFonts w:ascii="Calibri" w:eastAsia="Times New Roman" w:hAnsi="Calibri" w:cs="Calibri"/>
                <w:color w:val="000000"/>
                <w:lang w:eastAsia="en-GB"/>
              </w:rPr>
            </w:pPr>
            <w:r w:rsidRPr="00083C5E">
              <w:t xml:space="preserve"> 274,695 </w:t>
            </w:r>
          </w:p>
        </w:tc>
      </w:tr>
      <w:tr w:rsidR="00DD1FCC" w:rsidRPr="00E91488" w:rsidTr="006563F9">
        <w:trPr>
          <w:trHeight w:val="315"/>
        </w:trPr>
        <w:tc>
          <w:tcPr>
            <w:tcW w:w="1801" w:type="dxa"/>
            <w:noWrap/>
            <w:hideMark/>
          </w:tcPr>
          <w:p w:rsidR="00DD1FCC" w:rsidRPr="00E91488" w:rsidRDefault="00DD1FCC" w:rsidP="00DD1FCC">
            <w:pPr>
              <w:rPr>
                <w:rFonts w:ascii="Arial" w:eastAsia="Times New Roman" w:hAnsi="Arial" w:cs="Arial"/>
                <w:color w:val="000000"/>
                <w:sz w:val="20"/>
                <w:szCs w:val="20"/>
                <w:lang w:eastAsia="en-GB"/>
              </w:rPr>
            </w:pPr>
            <w:r w:rsidRPr="00E91488">
              <w:rPr>
                <w:rFonts w:ascii="Arial" w:eastAsia="Times New Roman" w:hAnsi="Arial" w:cs="Arial"/>
                <w:color w:val="000000"/>
                <w:sz w:val="20"/>
                <w:szCs w:val="20"/>
                <w:lang w:eastAsia="en-GB"/>
              </w:rPr>
              <w:lastRenderedPageBreak/>
              <w:t>Slovakia</w:t>
            </w:r>
          </w:p>
        </w:tc>
        <w:tc>
          <w:tcPr>
            <w:tcW w:w="1812" w:type="dxa"/>
            <w:noWrap/>
            <w:hideMark/>
          </w:tcPr>
          <w:p w:rsidR="00DD1FCC" w:rsidRPr="00E91488" w:rsidRDefault="00DD1FCC" w:rsidP="00DD1FCC">
            <w:pPr>
              <w:jc w:val="right"/>
              <w:rPr>
                <w:rFonts w:ascii="Arial" w:eastAsia="Times New Roman" w:hAnsi="Arial" w:cs="Arial"/>
                <w:color w:val="000000"/>
                <w:sz w:val="20"/>
                <w:szCs w:val="20"/>
                <w:lang w:eastAsia="en-GB"/>
              </w:rPr>
            </w:pPr>
            <w:r w:rsidRPr="00E91488">
              <w:rPr>
                <w:rFonts w:ascii="Arial" w:eastAsia="Times New Roman" w:hAnsi="Arial" w:cs="Arial"/>
                <w:color w:val="000000"/>
                <w:sz w:val="20"/>
                <w:szCs w:val="20"/>
                <w:lang w:eastAsia="en-GB"/>
              </w:rPr>
              <w:t>0.6</w:t>
            </w:r>
          </w:p>
        </w:tc>
        <w:tc>
          <w:tcPr>
            <w:tcW w:w="1801" w:type="dxa"/>
            <w:noWrap/>
            <w:hideMark/>
          </w:tcPr>
          <w:p w:rsidR="00DD1FCC" w:rsidRPr="00E91488" w:rsidRDefault="00DD1FCC" w:rsidP="00DD1FCC">
            <w:pPr>
              <w:jc w:val="right"/>
              <w:rPr>
                <w:rFonts w:ascii="Calibri" w:eastAsia="Times New Roman" w:hAnsi="Calibri" w:cs="Calibri"/>
                <w:color w:val="000000"/>
                <w:lang w:eastAsia="en-GB"/>
              </w:rPr>
            </w:pPr>
            <w:r w:rsidRPr="00E91488">
              <w:rPr>
                <w:rFonts w:ascii="Calibri" w:eastAsia="Times New Roman" w:hAnsi="Calibri" w:cs="Calibri"/>
                <w:color w:val="000000"/>
                <w:lang w:eastAsia="en-GB"/>
              </w:rPr>
              <w:t>840,228</w:t>
            </w:r>
          </w:p>
        </w:tc>
        <w:tc>
          <w:tcPr>
            <w:tcW w:w="1801" w:type="dxa"/>
            <w:noWrap/>
            <w:hideMark/>
          </w:tcPr>
          <w:p w:rsidR="00DD1FCC" w:rsidRPr="00E91488" w:rsidRDefault="00DD1FCC" w:rsidP="00DD1FCC">
            <w:pPr>
              <w:jc w:val="right"/>
              <w:rPr>
                <w:rFonts w:ascii="Calibri" w:eastAsia="Times New Roman" w:hAnsi="Calibri" w:cs="Calibri"/>
                <w:color w:val="000000"/>
                <w:lang w:eastAsia="en-GB"/>
              </w:rPr>
            </w:pPr>
            <w:r w:rsidRPr="00593F56">
              <w:t xml:space="preserve"> 1,020,277 </w:t>
            </w:r>
          </w:p>
        </w:tc>
        <w:tc>
          <w:tcPr>
            <w:tcW w:w="1801" w:type="dxa"/>
            <w:noWrap/>
            <w:hideMark/>
          </w:tcPr>
          <w:p w:rsidR="00DD1FCC" w:rsidRPr="00E91488" w:rsidRDefault="00DD1FCC" w:rsidP="00DD1FCC">
            <w:pPr>
              <w:jc w:val="right"/>
              <w:rPr>
                <w:rFonts w:ascii="Calibri" w:eastAsia="Times New Roman" w:hAnsi="Calibri" w:cs="Calibri"/>
                <w:color w:val="000000"/>
                <w:lang w:eastAsia="en-GB"/>
              </w:rPr>
            </w:pPr>
            <w:r w:rsidRPr="00083C5E">
              <w:t xml:space="preserve"> 6,122 </w:t>
            </w:r>
          </w:p>
        </w:tc>
      </w:tr>
      <w:tr w:rsidR="00DD1FCC" w:rsidRPr="00E91488" w:rsidTr="006563F9">
        <w:trPr>
          <w:trHeight w:val="315"/>
        </w:trPr>
        <w:tc>
          <w:tcPr>
            <w:tcW w:w="1801" w:type="dxa"/>
            <w:noWrap/>
            <w:hideMark/>
          </w:tcPr>
          <w:p w:rsidR="00DD1FCC" w:rsidRPr="00E91488" w:rsidRDefault="00DD1FCC" w:rsidP="00DD1FCC">
            <w:pPr>
              <w:rPr>
                <w:rFonts w:ascii="Arial" w:eastAsia="Times New Roman" w:hAnsi="Arial" w:cs="Arial"/>
                <w:color w:val="000000"/>
                <w:sz w:val="20"/>
                <w:szCs w:val="20"/>
                <w:lang w:eastAsia="en-GB"/>
              </w:rPr>
            </w:pPr>
            <w:r w:rsidRPr="00E91488">
              <w:rPr>
                <w:rFonts w:ascii="Arial" w:eastAsia="Times New Roman" w:hAnsi="Arial" w:cs="Arial"/>
                <w:color w:val="000000"/>
                <w:sz w:val="20"/>
                <w:szCs w:val="20"/>
                <w:lang w:eastAsia="en-GB"/>
              </w:rPr>
              <w:t>Slovenia</w:t>
            </w:r>
          </w:p>
        </w:tc>
        <w:tc>
          <w:tcPr>
            <w:tcW w:w="1812" w:type="dxa"/>
            <w:noWrap/>
            <w:hideMark/>
          </w:tcPr>
          <w:p w:rsidR="00DD1FCC" w:rsidRPr="00E91488" w:rsidRDefault="00DD1FCC" w:rsidP="00DD1FCC">
            <w:pPr>
              <w:jc w:val="center"/>
              <w:rPr>
                <w:rFonts w:ascii="Arial" w:eastAsia="Times New Roman" w:hAnsi="Arial" w:cs="Arial"/>
                <w:color w:val="000000"/>
                <w:sz w:val="20"/>
                <w:szCs w:val="20"/>
                <w:lang w:eastAsia="en-GB"/>
              </w:rPr>
            </w:pPr>
            <w:r w:rsidRPr="00E91488">
              <w:rPr>
                <w:rFonts w:ascii="Arial" w:eastAsia="Times New Roman" w:hAnsi="Arial" w:cs="Arial"/>
                <w:color w:val="000000"/>
                <w:sz w:val="20"/>
                <w:szCs w:val="20"/>
                <w:lang w:eastAsia="en-GB"/>
              </w:rPr>
              <w:t>no data</w:t>
            </w:r>
          </w:p>
        </w:tc>
        <w:tc>
          <w:tcPr>
            <w:tcW w:w="1801" w:type="dxa"/>
            <w:noWrap/>
            <w:hideMark/>
          </w:tcPr>
          <w:p w:rsidR="00DD1FCC" w:rsidRPr="00E91488" w:rsidRDefault="00DD1FCC" w:rsidP="00DD1FCC">
            <w:pPr>
              <w:jc w:val="right"/>
              <w:rPr>
                <w:rFonts w:ascii="Calibri" w:eastAsia="Times New Roman" w:hAnsi="Calibri" w:cs="Calibri"/>
                <w:color w:val="000000"/>
                <w:lang w:eastAsia="en-GB"/>
              </w:rPr>
            </w:pPr>
            <w:r w:rsidRPr="00E91488">
              <w:rPr>
                <w:rFonts w:ascii="Calibri" w:eastAsia="Times New Roman" w:hAnsi="Calibri" w:cs="Calibri"/>
                <w:color w:val="000000"/>
                <w:lang w:eastAsia="en-GB"/>
              </w:rPr>
              <w:t>308,594</w:t>
            </w:r>
          </w:p>
        </w:tc>
        <w:tc>
          <w:tcPr>
            <w:tcW w:w="1801" w:type="dxa"/>
            <w:noWrap/>
            <w:hideMark/>
          </w:tcPr>
          <w:p w:rsidR="00DD1FCC" w:rsidRPr="00E91488" w:rsidRDefault="00DD1FCC" w:rsidP="00DD1FCC">
            <w:pPr>
              <w:jc w:val="right"/>
              <w:rPr>
                <w:rFonts w:ascii="Calibri" w:eastAsia="Times New Roman" w:hAnsi="Calibri" w:cs="Calibri"/>
                <w:color w:val="000000"/>
                <w:lang w:eastAsia="en-GB"/>
              </w:rPr>
            </w:pPr>
            <w:r w:rsidRPr="00593F56">
              <w:t xml:space="preserve"> 374,721 </w:t>
            </w:r>
          </w:p>
        </w:tc>
        <w:tc>
          <w:tcPr>
            <w:tcW w:w="1801" w:type="dxa"/>
            <w:noWrap/>
            <w:hideMark/>
          </w:tcPr>
          <w:p w:rsidR="00DD1FCC" w:rsidRPr="00E91488" w:rsidRDefault="00DD1FCC" w:rsidP="00DD1FCC">
            <w:pPr>
              <w:jc w:val="center"/>
              <w:rPr>
                <w:rFonts w:ascii="Calibri" w:eastAsia="Times New Roman" w:hAnsi="Calibri" w:cs="Calibri"/>
                <w:color w:val="000000"/>
                <w:lang w:eastAsia="en-GB"/>
              </w:rPr>
            </w:pPr>
            <w:r w:rsidRPr="00083C5E">
              <w:t xml:space="preserve"> no data </w:t>
            </w:r>
          </w:p>
        </w:tc>
      </w:tr>
      <w:tr w:rsidR="00DD1FCC" w:rsidRPr="00E91488" w:rsidTr="006563F9">
        <w:trPr>
          <w:trHeight w:val="315"/>
        </w:trPr>
        <w:tc>
          <w:tcPr>
            <w:tcW w:w="1801" w:type="dxa"/>
            <w:noWrap/>
            <w:hideMark/>
          </w:tcPr>
          <w:p w:rsidR="00DD1FCC" w:rsidRPr="00E91488" w:rsidRDefault="00DD1FCC" w:rsidP="00DD1FCC">
            <w:pPr>
              <w:rPr>
                <w:rFonts w:ascii="Arial" w:eastAsia="Times New Roman" w:hAnsi="Arial" w:cs="Arial"/>
                <w:color w:val="000000"/>
                <w:sz w:val="20"/>
                <w:szCs w:val="20"/>
                <w:lang w:eastAsia="en-GB"/>
              </w:rPr>
            </w:pPr>
            <w:r w:rsidRPr="00E91488">
              <w:rPr>
                <w:rFonts w:ascii="Arial" w:eastAsia="Times New Roman" w:hAnsi="Arial" w:cs="Arial"/>
                <w:color w:val="000000"/>
                <w:sz w:val="20"/>
                <w:szCs w:val="20"/>
                <w:lang w:eastAsia="en-GB"/>
              </w:rPr>
              <w:t>Spain</w:t>
            </w:r>
          </w:p>
        </w:tc>
        <w:tc>
          <w:tcPr>
            <w:tcW w:w="1812" w:type="dxa"/>
            <w:noWrap/>
            <w:hideMark/>
          </w:tcPr>
          <w:p w:rsidR="00DD1FCC" w:rsidRPr="00E91488" w:rsidRDefault="00DD1FCC" w:rsidP="00DD1FCC">
            <w:pPr>
              <w:jc w:val="right"/>
              <w:rPr>
                <w:rFonts w:ascii="Arial" w:eastAsia="Times New Roman" w:hAnsi="Arial" w:cs="Arial"/>
                <w:color w:val="000000"/>
                <w:sz w:val="20"/>
                <w:szCs w:val="20"/>
                <w:lang w:eastAsia="en-GB"/>
              </w:rPr>
            </w:pPr>
            <w:r w:rsidRPr="00E91488">
              <w:rPr>
                <w:rFonts w:ascii="Arial" w:eastAsia="Times New Roman" w:hAnsi="Arial" w:cs="Arial"/>
                <w:color w:val="000000"/>
                <w:sz w:val="20"/>
                <w:szCs w:val="20"/>
                <w:lang w:eastAsia="en-GB"/>
              </w:rPr>
              <w:t>0.3</w:t>
            </w:r>
          </w:p>
        </w:tc>
        <w:tc>
          <w:tcPr>
            <w:tcW w:w="1801" w:type="dxa"/>
            <w:noWrap/>
            <w:hideMark/>
          </w:tcPr>
          <w:p w:rsidR="00DD1FCC" w:rsidRPr="00E91488" w:rsidRDefault="00DD1FCC" w:rsidP="00DD1FCC">
            <w:pPr>
              <w:jc w:val="right"/>
              <w:rPr>
                <w:rFonts w:ascii="Calibri" w:eastAsia="Times New Roman" w:hAnsi="Calibri" w:cs="Calibri"/>
                <w:color w:val="000000"/>
                <w:lang w:eastAsia="en-GB"/>
              </w:rPr>
            </w:pPr>
            <w:r w:rsidRPr="00E91488">
              <w:rPr>
                <w:rFonts w:ascii="Calibri" w:eastAsia="Times New Roman" w:hAnsi="Calibri" w:cs="Calibri"/>
                <w:color w:val="000000"/>
                <w:lang w:eastAsia="en-GB"/>
              </w:rPr>
              <w:t>7,005,179</w:t>
            </w:r>
          </w:p>
        </w:tc>
        <w:tc>
          <w:tcPr>
            <w:tcW w:w="1801" w:type="dxa"/>
            <w:noWrap/>
            <w:hideMark/>
          </w:tcPr>
          <w:p w:rsidR="00DD1FCC" w:rsidRPr="00E91488" w:rsidRDefault="00DD1FCC" w:rsidP="00DD1FCC">
            <w:pPr>
              <w:jc w:val="right"/>
              <w:rPr>
                <w:rFonts w:ascii="Calibri" w:eastAsia="Times New Roman" w:hAnsi="Calibri" w:cs="Calibri"/>
                <w:color w:val="000000"/>
                <w:lang w:eastAsia="en-GB"/>
              </w:rPr>
            </w:pPr>
            <w:r w:rsidRPr="00593F56">
              <w:t xml:space="preserve"> 8,506,289 </w:t>
            </w:r>
          </w:p>
        </w:tc>
        <w:tc>
          <w:tcPr>
            <w:tcW w:w="1801" w:type="dxa"/>
            <w:noWrap/>
            <w:hideMark/>
          </w:tcPr>
          <w:p w:rsidR="00DD1FCC" w:rsidRPr="00E91488" w:rsidRDefault="00DD1FCC" w:rsidP="00DD1FCC">
            <w:pPr>
              <w:jc w:val="right"/>
              <w:rPr>
                <w:rFonts w:ascii="Calibri" w:eastAsia="Times New Roman" w:hAnsi="Calibri" w:cs="Calibri"/>
                <w:color w:val="000000"/>
                <w:lang w:eastAsia="en-GB"/>
              </w:rPr>
            </w:pPr>
            <w:r w:rsidRPr="00083C5E">
              <w:t xml:space="preserve"> 25,519 </w:t>
            </w:r>
          </w:p>
        </w:tc>
      </w:tr>
      <w:tr w:rsidR="00DD1FCC" w:rsidRPr="00E91488" w:rsidTr="006563F9">
        <w:trPr>
          <w:trHeight w:val="315"/>
        </w:trPr>
        <w:tc>
          <w:tcPr>
            <w:tcW w:w="1801" w:type="dxa"/>
            <w:noWrap/>
            <w:hideMark/>
          </w:tcPr>
          <w:p w:rsidR="00DD1FCC" w:rsidRPr="00E91488" w:rsidRDefault="00DD1FCC" w:rsidP="00DD1FCC">
            <w:pPr>
              <w:rPr>
                <w:rFonts w:ascii="Arial" w:eastAsia="Times New Roman" w:hAnsi="Arial" w:cs="Arial"/>
                <w:color w:val="000000"/>
                <w:sz w:val="20"/>
                <w:szCs w:val="20"/>
                <w:lang w:eastAsia="en-GB"/>
              </w:rPr>
            </w:pPr>
            <w:r w:rsidRPr="00E91488">
              <w:rPr>
                <w:rFonts w:ascii="Arial" w:eastAsia="Times New Roman" w:hAnsi="Arial" w:cs="Arial"/>
                <w:color w:val="000000"/>
                <w:sz w:val="20"/>
                <w:szCs w:val="20"/>
                <w:lang w:eastAsia="en-GB"/>
              </w:rPr>
              <w:t>Sweden</w:t>
            </w:r>
          </w:p>
        </w:tc>
        <w:tc>
          <w:tcPr>
            <w:tcW w:w="1812" w:type="dxa"/>
            <w:noWrap/>
            <w:hideMark/>
          </w:tcPr>
          <w:p w:rsidR="00DD1FCC" w:rsidRPr="00E91488" w:rsidRDefault="00DD1FCC" w:rsidP="00DD1FCC">
            <w:pPr>
              <w:jc w:val="center"/>
              <w:rPr>
                <w:rFonts w:ascii="Arial" w:eastAsia="Times New Roman" w:hAnsi="Arial" w:cs="Arial"/>
                <w:color w:val="000000"/>
                <w:sz w:val="20"/>
                <w:szCs w:val="20"/>
                <w:lang w:eastAsia="en-GB"/>
              </w:rPr>
            </w:pPr>
            <w:r w:rsidRPr="00E91488">
              <w:rPr>
                <w:rFonts w:ascii="Arial" w:eastAsia="Times New Roman" w:hAnsi="Arial" w:cs="Arial"/>
                <w:color w:val="000000"/>
                <w:sz w:val="20"/>
                <w:szCs w:val="20"/>
                <w:lang w:eastAsia="en-GB"/>
              </w:rPr>
              <w:t>no data</w:t>
            </w:r>
          </w:p>
        </w:tc>
        <w:tc>
          <w:tcPr>
            <w:tcW w:w="1801" w:type="dxa"/>
            <w:noWrap/>
            <w:hideMark/>
          </w:tcPr>
          <w:p w:rsidR="00DD1FCC" w:rsidRPr="00E91488" w:rsidRDefault="00DD1FCC" w:rsidP="00DD1FCC">
            <w:pPr>
              <w:jc w:val="right"/>
              <w:rPr>
                <w:rFonts w:ascii="Calibri" w:eastAsia="Times New Roman" w:hAnsi="Calibri" w:cs="Calibri"/>
                <w:color w:val="000000"/>
                <w:lang w:eastAsia="en-GB"/>
              </w:rPr>
            </w:pPr>
            <w:r w:rsidRPr="00E91488">
              <w:rPr>
                <w:rFonts w:ascii="Calibri" w:eastAsia="Times New Roman" w:hAnsi="Calibri" w:cs="Calibri"/>
                <w:color w:val="000000"/>
                <w:lang w:eastAsia="en-GB"/>
              </w:rPr>
              <w:t>1,760,994</w:t>
            </w:r>
          </w:p>
        </w:tc>
        <w:tc>
          <w:tcPr>
            <w:tcW w:w="1801" w:type="dxa"/>
            <w:noWrap/>
            <w:hideMark/>
          </w:tcPr>
          <w:p w:rsidR="00DD1FCC" w:rsidRPr="00E91488" w:rsidRDefault="00DD1FCC" w:rsidP="00DD1FCC">
            <w:pPr>
              <w:jc w:val="right"/>
              <w:rPr>
                <w:rFonts w:ascii="Calibri" w:eastAsia="Times New Roman" w:hAnsi="Calibri" w:cs="Calibri"/>
                <w:color w:val="000000"/>
                <w:lang w:eastAsia="en-GB"/>
              </w:rPr>
            </w:pPr>
            <w:r w:rsidRPr="00593F56">
              <w:t xml:space="preserve"> 2,138,350 </w:t>
            </w:r>
          </w:p>
        </w:tc>
        <w:tc>
          <w:tcPr>
            <w:tcW w:w="1801" w:type="dxa"/>
            <w:noWrap/>
            <w:hideMark/>
          </w:tcPr>
          <w:p w:rsidR="00DD1FCC" w:rsidRPr="00E91488" w:rsidRDefault="00DD1FCC" w:rsidP="00DD1FCC">
            <w:pPr>
              <w:jc w:val="center"/>
              <w:rPr>
                <w:rFonts w:ascii="Calibri" w:eastAsia="Times New Roman" w:hAnsi="Calibri" w:cs="Calibri"/>
                <w:color w:val="000000"/>
                <w:lang w:eastAsia="en-GB"/>
              </w:rPr>
            </w:pPr>
            <w:r w:rsidRPr="00083C5E">
              <w:t xml:space="preserve"> no data </w:t>
            </w:r>
          </w:p>
        </w:tc>
      </w:tr>
      <w:tr w:rsidR="00DD1FCC" w:rsidRPr="00E91488" w:rsidTr="006563F9">
        <w:trPr>
          <w:trHeight w:val="315"/>
        </w:trPr>
        <w:tc>
          <w:tcPr>
            <w:tcW w:w="1801" w:type="dxa"/>
            <w:noWrap/>
            <w:hideMark/>
          </w:tcPr>
          <w:p w:rsidR="00DD1FCC" w:rsidRPr="00E91488" w:rsidRDefault="00DD1FCC" w:rsidP="00DD1FCC">
            <w:pPr>
              <w:rPr>
                <w:rFonts w:ascii="Arial" w:eastAsia="Times New Roman" w:hAnsi="Arial" w:cs="Arial"/>
                <w:color w:val="000000"/>
                <w:sz w:val="20"/>
                <w:szCs w:val="20"/>
                <w:lang w:eastAsia="en-GB"/>
              </w:rPr>
            </w:pPr>
            <w:r w:rsidRPr="00E91488">
              <w:rPr>
                <w:rFonts w:ascii="Arial" w:eastAsia="Times New Roman" w:hAnsi="Arial" w:cs="Arial"/>
                <w:color w:val="000000"/>
                <w:sz w:val="20"/>
                <w:szCs w:val="20"/>
                <w:lang w:eastAsia="en-GB"/>
              </w:rPr>
              <w:t>United Kingdom</w:t>
            </w:r>
          </w:p>
        </w:tc>
        <w:tc>
          <w:tcPr>
            <w:tcW w:w="1812" w:type="dxa"/>
            <w:noWrap/>
            <w:hideMark/>
          </w:tcPr>
          <w:p w:rsidR="00DD1FCC" w:rsidRPr="00E91488" w:rsidRDefault="00DD1FCC" w:rsidP="00DD1FCC">
            <w:pPr>
              <w:jc w:val="center"/>
              <w:rPr>
                <w:rFonts w:ascii="Arial" w:eastAsia="Times New Roman" w:hAnsi="Arial" w:cs="Arial"/>
                <w:color w:val="000000"/>
                <w:sz w:val="20"/>
                <w:szCs w:val="20"/>
                <w:lang w:eastAsia="en-GB"/>
              </w:rPr>
            </w:pPr>
            <w:r w:rsidRPr="00E91488">
              <w:rPr>
                <w:rFonts w:ascii="Arial" w:eastAsia="Times New Roman" w:hAnsi="Arial" w:cs="Arial"/>
                <w:color w:val="000000"/>
                <w:sz w:val="20"/>
                <w:szCs w:val="20"/>
                <w:lang w:eastAsia="en-GB"/>
              </w:rPr>
              <w:t>no data</w:t>
            </w:r>
          </w:p>
        </w:tc>
        <w:tc>
          <w:tcPr>
            <w:tcW w:w="1801" w:type="dxa"/>
            <w:noWrap/>
            <w:hideMark/>
          </w:tcPr>
          <w:p w:rsidR="00DD1FCC" w:rsidRPr="00E91488" w:rsidRDefault="00DD1FCC" w:rsidP="00DD1FCC">
            <w:pPr>
              <w:jc w:val="right"/>
              <w:rPr>
                <w:rFonts w:ascii="Calibri" w:eastAsia="Times New Roman" w:hAnsi="Calibri" w:cs="Calibri"/>
                <w:color w:val="000000"/>
                <w:lang w:eastAsia="en-GB"/>
              </w:rPr>
            </w:pPr>
            <w:r w:rsidRPr="00E91488">
              <w:rPr>
                <w:rFonts w:ascii="Calibri" w:eastAsia="Times New Roman" w:hAnsi="Calibri" w:cs="Calibri"/>
                <w:color w:val="000000"/>
                <w:lang w:eastAsia="en-GB"/>
              </w:rPr>
              <w:t>11,742,211</w:t>
            </w:r>
          </w:p>
        </w:tc>
        <w:tc>
          <w:tcPr>
            <w:tcW w:w="1801" w:type="dxa"/>
            <w:noWrap/>
            <w:hideMark/>
          </w:tcPr>
          <w:p w:rsidR="00DD1FCC" w:rsidRPr="00E91488" w:rsidRDefault="00DD1FCC" w:rsidP="00DD1FCC">
            <w:pPr>
              <w:jc w:val="right"/>
              <w:rPr>
                <w:rFonts w:ascii="Calibri" w:eastAsia="Times New Roman" w:hAnsi="Calibri" w:cs="Calibri"/>
                <w:color w:val="000000"/>
                <w:lang w:eastAsia="en-GB"/>
              </w:rPr>
            </w:pPr>
            <w:r w:rsidRPr="00593F56">
              <w:t xml:space="preserve"> 14,258,399 </w:t>
            </w:r>
          </w:p>
        </w:tc>
        <w:tc>
          <w:tcPr>
            <w:tcW w:w="1801" w:type="dxa"/>
            <w:noWrap/>
            <w:hideMark/>
          </w:tcPr>
          <w:p w:rsidR="00DD1FCC" w:rsidRPr="00E91488" w:rsidRDefault="00DD1FCC" w:rsidP="00DD1FCC">
            <w:pPr>
              <w:jc w:val="center"/>
              <w:rPr>
                <w:rFonts w:ascii="Calibri" w:eastAsia="Times New Roman" w:hAnsi="Calibri" w:cs="Calibri"/>
                <w:color w:val="000000"/>
                <w:lang w:eastAsia="en-GB"/>
              </w:rPr>
            </w:pPr>
            <w:r w:rsidRPr="00083C5E">
              <w:t xml:space="preserve"> no data </w:t>
            </w:r>
          </w:p>
        </w:tc>
      </w:tr>
      <w:tr w:rsidR="00DD1FCC" w:rsidRPr="00E91488" w:rsidTr="006563F9">
        <w:trPr>
          <w:trHeight w:val="315"/>
        </w:trPr>
        <w:tc>
          <w:tcPr>
            <w:tcW w:w="1801" w:type="dxa"/>
            <w:noWrap/>
            <w:hideMark/>
          </w:tcPr>
          <w:p w:rsidR="00DD1FCC" w:rsidRPr="00E91488" w:rsidRDefault="00DD1FCC" w:rsidP="00DD1FCC">
            <w:pPr>
              <w:rPr>
                <w:rFonts w:ascii="Arial" w:eastAsia="Times New Roman" w:hAnsi="Arial" w:cs="Arial"/>
                <w:b/>
                <w:color w:val="000000"/>
                <w:sz w:val="20"/>
                <w:szCs w:val="20"/>
                <w:lang w:eastAsia="en-GB"/>
              </w:rPr>
            </w:pPr>
            <w:r w:rsidRPr="00E91488">
              <w:rPr>
                <w:rFonts w:ascii="Arial" w:eastAsia="Times New Roman" w:hAnsi="Arial" w:cs="Arial"/>
                <w:b/>
                <w:color w:val="000000"/>
                <w:sz w:val="20"/>
                <w:szCs w:val="20"/>
                <w:lang w:eastAsia="en-GB"/>
              </w:rPr>
              <w:t>European Union - 28 countries</w:t>
            </w:r>
          </w:p>
        </w:tc>
        <w:tc>
          <w:tcPr>
            <w:tcW w:w="1812" w:type="dxa"/>
            <w:noWrap/>
            <w:hideMark/>
          </w:tcPr>
          <w:p w:rsidR="00DD1FCC" w:rsidRPr="00E91488" w:rsidRDefault="00DD1FCC" w:rsidP="00DD1FCC">
            <w:pPr>
              <w:jc w:val="right"/>
              <w:rPr>
                <w:rFonts w:ascii="Calibri" w:eastAsia="Times New Roman" w:hAnsi="Calibri" w:cs="Calibri"/>
                <w:b/>
                <w:color w:val="000000"/>
                <w:lang w:eastAsia="en-GB"/>
              </w:rPr>
            </w:pPr>
            <w:r w:rsidRPr="00E91488">
              <w:rPr>
                <w:rFonts w:ascii="Calibri" w:eastAsia="Times New Roman" w:hAnsi="Calibri" w:cs="Calibri"/>
                <w:b/>
                <w:color w:val="000000"/>
                <w:lang w:eastAsia="en-GB"/>
              </w:rPr>
              <w:t>1.6</w:t>
            </w:r>
          </w:p>
        </w:tc>
        <w:tc>
          <w:tcPr>
            <w:tcW w:w="1801" w:type="dxa"/>
            <w:noWrap/>
            <w:hideMark/>
          </w:tcPr>
          <w:p w:rsidR="00DD1FCC" w:rsidRPr="00E91488" w:rsidRDefault="00DD1FCC" w:rsidP="00DD1FCC">
            <w:pPr>
              <w:jc w:val="right"/>
              <w:rPr>
                <w:rFonts w:ascii="Calibri" w:eastAsia="Times New Roman" w:hAnsi="Calibri" w:cs="Calibri"/>
                <w:b/>
                <w:color w:val="000000"/>
                <w:lang w:eastAsia="en-GB"/>
              </w:rPr>
            </w:pPr>
            <w:r w:rsidRPr="00E91488">
              <w:rPr>
                <w:rFonts w:ascii="Calibri" w:eastAsia="Times New Roman" w:hAnsi="Calibri" w:cs="Calibri"/>
                <w:b/>
                <w:color w:val="000000"/>
                <w:lang w:eastAsia="en-GB"/>
              </w:rPr>
              <w:t>79,631,668</w:t>
            </w:r>
          </w:p>
        </w:tc>
        <w:tc>
          <w:tcPr>
            <w:tcW w:w="1801" w:type="dxa"/>
            <w:noWrap/>
            <w:hideMark/>
          </w:tcPr>
          <w:p w:rsidR="00DD1FCC" w:rsidRPr="00E91488" w:rsidRDefault="00DD1FCC" w:rsidP="00DD1FCC">
            <w:pPr>
              <w:jc w:val="right"/>
              <w:rPr>
                <w:rFonts w:ascii="Calibri" w:eastAsia="Times New Roman" w:hAnsi="Calibri" w:cs="Calibri"/>
                <w:b/>
                <w:color w:val="000000"/>
                <w:lang w:eastAsia="en-GB"/>
              </w:rPr>
            </w:pPr>
            <w:r w:rsidRPr="00593F56">
              <w:t xml:space="preserve"> 96,695,597 </w:t>
            </w:r>
          </w:p>
        </w:tc>
        <w:tc>
          <w:tcPr>
            <w:tcW w:w="1801" w:type="dxa"/>
            <w:noWrap/>
            <w:hideMark/>
          </w:tcPr>
          <w:p w:rsidR="00DD1FCC" w:rsidRPr="00E91488" w:rsidRDefault="00DD1FCC" w:rsidP="00DD1FCC">
            <w:pPr>
              <w:jc w:val="right"/>
              <w:rPr>
                <w:rFonts w:ascii="Calibri" w:eastAsia="Times New Roman" w:hAnsi="Calibri" w:cs="Calibri"/>
                <w:b/>
                <w:color w:val="000000"/>
                <w:sz w:val="18"/>
                <w:szCs w:val="18"/>
                <w:lang w:eastAsia="en-GB"/>
              </w:rPr>
            </w:pPr>
            <w:r w:rsidRPr="00083C5E">
              <w:t xml:space="preserve"> 1,547,130 </w:t>
            </w:r>
          </w:p>
        </w:tc>
      </w:tr>
    </w:tbl>
    <w:p w:rsidR="00F0235B" w:rsidRPr="000E0EA9" w:rsidRDefault="00F0235B" w:rsidP="00F0235B">
      <w:pPr>
        <w:rPr>
          <w:b/>
        </w:rPr>
      </w:pPr>
    </w:p>
    <w:p w:rsidR="00732F81" w:rsidRDefault="00732F81" w:rsidP="0084455B">
      <w:pPr>
        <w:spacing w:line="480" w:lineRule="auto"/>
      </w:pPr>
    </w:p>
    <w:p w:rsidR="000E0EA9" w:rsidRDefault="000E0EA9" w:rsidP="0084455B">
      <w:pPr>
        <w:spacing w:line="480" w:lineRule="auto"/>
      </w:pPr>
    </w:p>
    <w:p w:rsidR="00732F81" w:rsidRDefault="00732F81" w:rsidP="0084455B">
      <w:pPr>
        <w:spacing w:line="480" w:lineRule="auto"/>
      </w:pPr>
    </w:p>
    <w:p w:rsidR="003D5A47" w:rsidRDefault="003D5A47" w:rsidP="003D5A47"/>
    <w:p w:rsidR="003D5A47" w:rsidRPr="003D5A47" w:rsidRDefault="003D5A47" w:rsidP="0084455B">
      <w:pPr>
        <w:spacing w:line="480" w:lineRule="auto"/>
        <w:rPr>
          <w:i/>
          <w:u w:val="single"/>
        </w:rPr>
      </w:pPr>
      <w:r w:rsidRPr="003D5A47">
        <w:rPr>
          <w:i/>
          <w:u w:val="single"/>
        </w:rPr>
        <w:t>Reason</w:t>
      </w:r>
      <w:r w:rsidR="000E2AFD">
        <w:rPr>
          <w:i/>
          <w:u w:val="single"/>
        </w:rPr>
        <w:t>s</w:t>
      </w:r>
      <w:r w:rsidRPr="003D5A47">
        <w:rPr>
          <w:i/>
          <w:u w:val="single"/>
        </w:rPr>
        <w:t xml:space="preserve"> for Unmet Medical Need</w:t>
      </w:r>
    </w:p>
    <w:p w:rsidR="00860294" w:rsidRDefault="00860294" w:rsidP="0084455B">
      <w:pPr>
        <w:spacing w:line="480" w:lineRule="auto"/>
      </w:pPr>
      <w:r>
        <w:t>Respondents were asked for the</w:t>
      </w:r>
      <w:r w:rsidRPr="00860294">
        <w:t xml:space="preserve"> reasons for non-treatment</w:t>
      </w:r>
      <w:r>
        <w:t xml:space="preserve"> out of five </w:t>
      </w:r>
      <w:proofErr w:type="spellStart"/>
      <w:r>
        <w:t>preset</w:t>
      </w:r>
      <w:proofErr w:type="spellEnd"/>
      <w:r>
        <w:t xml:space="preserve"> categories, and the results are published</w:t>
      </w:r>
      <w:r w:rsidRPr="00860294">
        <w:t xml:space="preserve"> as percentages of those allegedly not being treated – though in fact the denominator suffers from the error of extrapolation by association already identified. However, this enquiry does for the first time seek systematically to shed light on the number of children prohibited by cost, parental time pressures, or other reasons from attending – with </w:t>
      </w:r>
      <w:r w:rsidR="007268DA">
        <w:t>C</w:t>
      </w:r>
      <w:r w:rsidRPr="00860294">
        <w:t xml:space="preserve">ost including the cost of travel and similar personal cost as well as direct medical costs, and </w:t>
      </w:r>
      <w:r w:rsidR="007268DA">
        <w:t>No T</w:t>
      </w:r>
      <w:r w:rsidRPr="00860294">
        <w:t>ime recognis</w:t>
      </w:r>
      <w:r w:rsidR="007268DA">
        <w:t>ing</w:t>
      </w:r>
      <w:r w:rsidRPr="00860294">
        <w:t xml:space="preserve"> the potential difficulty of parents fitting appointments round work and other</w:t>
      </w:r>
      <w:r w:rsidR="00B03F19">
        <w:t xml:space="preserve"> family,</w:t>
      </w:r>
      <w:r w:rsidRPr="00860294">
        <w:t xml:space="preserve"> </w:t>
      </w:r>
      <w:r w:rsidR="007268DA">
        <w:t xml:space="preserve">child and adult </w:t>
      </w:r>
      <w:r w:rsidRPr="00860294">
        <w:t>caring duties.</w:t>
      </w:r>
    </w:p>
    <w:p w:rsidR="002359DA" w:rsidRDefault="00B03F19" w:rsidP="0084455B">
      <w:pPr>
        <w:spacing w:line="480" w:lineRule="auto"/>
      </w:pPr>
      <w:r>
        <w:t>T</w:t>
      </w:r>
      <w:r w:rsidR="00754E2D">
        <w:t xml:space="preserve">he </w:t>
      </w:r>
      <w:r w:rsidR="008E5DFE">
        <w:t xml:space="preserve">published </w:t>
      </w:r>
      <w:r w:rsidR="00754E2D">
        <w:t xml:space="preserve">SILC data give the reported reason </w:t>
      </w:r>
      <w:r>
        <w:t xml:space="preserve">for fourteen countries, </w:t>
      </w:r>
      <w:r w:rsidR="00754E2D">
        <w:t xml:space="preserve">published as percentages </w:t>
      </w:r>
      <w:r w:rsidR="00890F6D">
        <w:t xml:space="preserve">and </w:t>
      </w:r>
      <w:r w:rsidR="00754E2D">
        <w:t xml:space="preserve">are shown in Table </w:t>
      </w:r>
      <w:r w:rsidR="00F94038">
        <w:t>2</w:t>
      </w:r>
      <w:r>
        <w:t>.</w:t>
      </w:r>
      <w:r w:rsidR="00754E2D">
        <w:t xml:space="preserve"> </w:t>
      </w:r>
      <w:r>
        <w:t>T</w:t>
      </w:r>
      <w:r w:rsidR="002359DA">
        <w:t xml:space="preserve">he different leading reasons vary significantly by country. Noteworthy is the publication of the reasons for UK children, while the numbers by household </w:t>
      </w:r>
      <w:r w:rsidR="00C550D7">
        <w:t xml:space="preserve">for that country </w:t>
      </w:r>
      <w:r w:rsidR="002359DA">
        <w:t>are not given</w:t>
      </w:r>
      <w:r>
        <w:t xml:space="preserve"> (see Table 1)</w:t>
      </w:r>
      <w:r w:rsidR="002359DA">
        <w:t>, making impossible any computation of the size of the problem in the UK.</w:t>
      </w:r>
      <w:r w:rsidR="00754E2D">
        <w:t xml:space="preserve"> </w:t>
      </w:r>
    </w:p>
    <w:p w:rsidR="002359DA" w:rsidRDefault="002359DA" w:rsidP="0084455B">
      <w:pPr>
        <w:spacing w:line="480" w:lineRule="auto"/>
      </w:pPr>
    </w:p>
    <w:p w:rsidR="002359DA" w:rsidRDefault="002359DA" w:rsidP="0084455B">
      <w:pPr>
        <w:spacing w:line="480" w:lineRule="auto"/>
      </w:pPr>
    </w:p>
    <w:p w:rsidR="002359DA" w:rsidRDefault="002359DA" w:rsidP="0084455B">
      <w:pPr>
        <w:spacing w:line="480" w:lineRule="auto"/>
      </w:pPr>
    </w:p>
    <w:p w:rsidR="002359DA" w:rsidRDefault="002359DA" w:rsidP="0084455B">
      <w:pPr>
        <w:spacing w:line="480" w:lineRule="auto"/>
      </w:pPr>
    </w:p>
    <w:p w:rsidR="002359DA" w:rsidRDefault="002359DA" w:rsidP="0084455B">
      <w:pPr>
        <w:spacing w:line="480" w:lineRule="auto"/>
      </w:pPr>
    </w:p>
    <w:p w:rsidR="00754E2D" w:rsidRDefault="00754E2D" w:rsidP="0084455B">
      <w:pPr>
        <w:spacing w:line="480" w:lineRule="auto"/>
      </w:pPr>
      <w:r>
        <w:t xml:space="preserve"> </w:t>
      </w:r>
    </w:p>
    <w:p w:rsidR="000E2AFD" w:rsidRDefault="000E2AFD" w:rsidP="000E2AFD">
      <w:r w:rsidRPr="000E2AFD">
        <w:rPr>
          <w:b/>
        </w:rPr>
        <w:t xml:space="preserve">Table </w:t>
      </w:r>
      <w:r w:rsidR="00F94038">
        <w:rPr>
          <w:b/>
        </w:rPr>
        <w:t>2</w:t>
      </w:r>
      <w:r w:rsidRPr="000E2AFD">
        <w:rPr>
          <w:b/>
        </w:rPr>
        <w:t xml:space="preserve">. Reasons </w:t>
      </w:r>
      <w:r w:rsidR="00F94038">
        <w:rPr>
          <w:b/>
        </w:rPr>
        <w:t>for</w:t>
      </w:r>
      <w:r w:rsidRPr="000E2AFD">
        <w:rPr>
          <w:b/>
        </w:rPr>
        <w:t xml:space="preserve"> Children </w:t>
      </w:r>
      <w:r w:rsidR="00F94038">
        <w:rPr>
          <w:b/>
        </w:rPr>
        <w:t>having</w:t>
      </w:r>
      <w:r w:rsidR="00F94038" w:rsidRPr="000E2AFD">
        <w:rPr>
          <w:b/>
        </w:rPr>
        <w:t xml:space="preserve"> </w:t>
      </w:r>
      <w:r w:rsidRPr="000E2AFD">
        <w:rPr>
          <w:b/>
        </w:rPr>
        <w:t>Unmet Medical Needs</w:t>
      </w:r>
      <w:r>
        <w:rPr>
          <w:b/>
        </w:rPr>
        <w:t>, 2017</w:t>
      </w:r>
      <w:r w:rsidR="00F94038">
        <w:rPr>
          <w:b/>
        </w:rPr>
        <w:t xml:space="preserve">, </w:t>
      </w:r>
      <w:r w:rsidR="00C550D7">
        <w:rPr>
          <w:b/>
        </w:rPr>
        <w:t>Thi</w:t>
      </w:r>
      <w:r w:rsidR="00F94038">
        <w:rPr>
          <w:b/>
        </w:rPr>
        <w:t>rteen Countries</w:t>
      </w:r>
    </w:p>
    <w:p w:rsidR="00587C85" w:rsidRPr="003D3ECA" w:rsidRDefault="00587C85" w:rsidP="00587C85">
      <w:pPr>
        <w:rPr>
          <w:rFonts w:ascii="Times New Roman" w:eastAsia="Times New Roman" w:hAnsi="Times New Roman" w:cs="Times New Roman"/>
          <w:sz w:val="24"/>
          <w:szCs w:val="24"/>
          <w:lang w:eastAsia="en-GB"/>
        </w:rPr>
      </w:pPr>
      <w:r w:rsidRPr="001E57E6">
        <w:rPr>
          <w:i/>
        </w:rPr>
        <w:t xml:space="preserve">Compiled </w:t>
      </w:r>
      <w:r>
        <w:rPr>
          <w:i/>
        </w:rPr>
        <w:t>based on</w:t>
      </w:r>
      <w:r w:rsidRPr="001E57E6">
        <w:rPr>
          <w:i/>
        </w:rPr>
        <w:t xml:space="preserve"> Eurostat </w:t>
      </w:r>
      <w:r w:rsidRPr="003D3ECA">
        <w:rPr>
          <w:i/>
        </w:rPr>
        <w:t>Source SILC - ilc_hch1</w:t>
      </w:r>
      <w:r>
        <w:rPr>
          <w:i/>
        </w:rPr>
        <w:t>5</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418"/>
        <w:gridCol w:w="1417"/>
        <w:gridCol w:w="1418"/>
        <w:gridCol w:w="1276"/>
        <w:gridCol w:w="1275"/>
      </w:tblGrid>
      <w:tr w:rsidR="00F94038" w:rsidRPr="00B03F19" w:rsidTr="006563F9">
        <w:trPr>
          <w:trHeight w:val="640"/>
        </w:trPr>
        <w:tc>
          <w:tcPr>
            <w:tcW w:w="1696" w:type="dxa"/>
            <w:shd w:val="clear" w:color="auto" w:fill="auto"/>
            <w:noWrap/>
            <w:vAlign w:val="bottom"/>
          </w:tcPr>
          <w:p w:rsidR="00F94038" w:rsidRPr="00B03F19" w:rsidRDefault="00F94038" w:rsidP="006563F9">
            <w:pPr>
              <w:spacing w:after="0" w:line="240" w:lineRule="auto"/>
              <w:jc w:val="center"/>
              <w:rPr>
                <w:rFonts w:ascii="Arial" w:eastAsia="Times New Roman" w:hAnsi="Arial" w:cs="Arial"/>
                <w:color w:val="000000"/>
                <w:sz w:val="20"/>
                <w:szCs w:val="20"/>
                <w:lang w:eastAsia="en-GB"/>
              </w:rPr>
            </w:pPr>
          </w:p>
        </w:tc>
        <w:tc>
          <w:tcPr>
            <w:tcW w:w="1418" w:type="dxa"/>
            <w:shd w:val="clear" w:color="auto" w:fill="auto"/>
            <w:noWrap/>
            <w:vAlign w:val="bottom"/>
          </w:tcPr>
          <w:p w:rsidR="00F94038" w:rsidRPr="00B03F19" w:rsidRDefault="00F94038" w:rsidP="006563F9">
            <w:pPr>
              <w:spacing w:after="0" w:line="240" w:lineRule="auto"/>
              <w:jc w:val="center"/>
              <w:rPr>
                <w:rFonts w:ascii="Arial" w:eastAsia="Times New Roman" w:hAnsi="Arial" w:cs="Arial"/>
                <w:color w:val="000000"/>
                <w:sz w:val="20"/>
                <w:szCs w:val="20"/>
                <w:lang w:eastAsia="en-GB"/>
              </w:rPr>
            </w:pPr>
            <w:r w:rsidRPr="00B03F19">
              <w:rPr>
                <w:rFonts w:ascii="Arial" w:eastAsia="Times New Roman" w:hAnsi="Arial" w:cs="Arial"/>
                <w:color w:val="000000"/>
                <w:sz w:val="20"/>
                <w:szCs w:val="20"/>
                <w:lang w:eastAsia="en-GB"/>
              </w:rPr>
              <w:t>Expense</w:t>
            </w:r>
          </w:p>
          <w:p w:rsidR="00F94038" w:rsidRPr="00B03F19" w:rsidRDefault="00F94038" w:rsidP="006563F9">
            <w:pPr>
              <w:spacing w:after="0" w:line="240" w:lineRule="auto"/>
              <w:jc w:val="center"/>
              <w:rPr>
                <w:rFonts w:ascii="Arial" w:eastAsia="Times New Roman" w:hAnsi="Arial" w:cs="Arial"/>
                <w:color w:val="000000"/>
                <w:sz w:val="20"/>
                <w:szCs w:val="20"/>
                <w:lang w:eastAsia="en-GB"/>
              </w:rPr>
            </w:pPr>
            <w:r w:rsidRPr="00B03F19">
              <w:rPr>
                <w:rFonts w:ascii="Arial" w:eastAsia="Times New Roman" w:hAnsi="Arial" w:cs="Arial"/>
                <w:color w:val="000000"/>
                <w:sz w:val="20"/>
                <w:szCs w:val="20"/>
                <w:lang w:eastAsia="en-GB"/>
              </w:rPr>
              <w:t>%</w:t>
            </w:r>
          </w:p>
        </w:tc>
        <w:tc>
          <w:tcPr>
            <w:tcW w:w="1417" w:type="dxa"/>
            <w:vAlign w:val="bottom"/>
          </w:tcPr>
          <w:p w:rsidR="00F94038" w:rsidRPr="00B03F19" w:rsidRDefault="00F94038" w:rsidP="006563F9">
            <w:pPr>
              <w:spacing w:after="0" w:line="240" w:lineRule="auto"/>
              <w:jc w:val="center"/>
              <w:rPr>
                <w:rFonts w:ascii="Arial" w:eastAsia="Times New Roman" w:hAnsi="Arial" w:cs="Arial"/>
                <w:color w:val="000000"/>
                <w:sz w:val="20"/>
                <w:szCs w:val="20"/>
                <w:lang w:eastAsia="en-GB"/>
              </w:rPr>
            </w:pPr>
            <w:r w:rsidRPr="00B03F19">
              <w:rPr>
                <w:rFonts w:ascii="Arial" w:hAnsi="Arial" w:cs="Arial"/>
                <w:color w:val="000000"/>
                <w:sz w:val="20"/>
                <w:szCs w:val="20"/>
              </w:rPr>
              <w:t>Too far</w:t>
            </w:r>
          </w:p>
          <w:p w:rsidR="00F94038" w:rsidRPr="00B03F19" w:rsidRDefault="00F94038" w:rsidP="006563F9">
            <w:pPr>
              <w:spacing w:after="0" w:line="240" w:lineRule="auto"/>
              <w:jc w:val="center"/>
              <w:rPr>
                <w:rFonts w:ascii="Arial" w:eastAsia="Times New Roman" w:hAnsi="Arial" w:cs="Arial"/>
                <w:color w:val="000000"/>
                <w:sz w:val="20"/>
                <w:szCs w:val="20"/>
                <w:lang w:eastAsia="en-GB"/>
              </w:rPr>
            </w:pPr>
            <w:r w:rsidRPr="00B03F19">
              <w:rPr>
                <w:rFonts w:ascii="Arial" w:eastAsia="Times New Roman" w:hAnsi="Arial" w:cs="Arial"/>
                <w:color w:val="000000"/>
                <w:sz w:val="20"/>
                <w:szCs w:val="20"/>
                <w:lang w:eastAsia="en-GB"/>
              </w:rPr>
              <w:t>%</w:t>
            </w:r>
          </w:p>
        </w:tc>
        <w:tc>
          <w:tcPr>
            <w:tcW w:w="1418" w:type="dxa"/>
            <w:vAlign w:val="bottom"/>
          </w:tcPr>
          <w:p w:rsidR="00F94038" w:rsidRPr="00B03F19" w:rsidRDefault="00F94038" w:rsidP="006563F9">
            <w:pPr>
              <w:spacing w:after="0" w:line="240" w:lineRule="auto"/>
              <w:jc w:val="center"/>
              <w:rPr>
                <w:rFonts w:ascii="Arial" w:eastAsia="Times New Roman" w:hAnsi="Arial" w:cs="Arial"/>
                <w:color w:val="000000"/>
                <w:sz w:val="20"/>
                <w:szCs w:val="20"/>
                <w:lang w:eastAsia="en-GB"/>
              </w:rPr>
            </w:pPr>
            <w:r w:rsidRPr="00B03F19">
              <w:rPr>
                <w:rFonts w:ascii="Arial" w:hAnsi="Arial" w:cs="Arial"/>
                <w:color w:val="000000"/>
                <w:sz w:val="20"/>
                <w:szCs w:val="20"/>
              </w:rPr>
              <w:t>No time</w:t>
            </w:r>
          </w:p>
          <w:p w:rsidR="00F94038" w:rsidRPr="00B03F19" w:rsidRDefault="00F94038" w:rsidP="006563F9">
            <w:pPr>
              <w:spacing w:after="0" w:line="240" w:lineRule="auto"/>
              <w:jc w:val="center"/>
              <w:rPr>
                <w:rFonts w:ascii="Arial" w:eastAsia="Times New Roman" w:hAnsi="Arial" w:cs="Arial"/>
                <w:color w:val="000000"/>
                <w:sz w:val="20"/>
                <w:szCs w:val="20"/>
                <w:lang w:eastAsia="en-GB"/>
              </w:rPr>
            </w:pPr>
            <w:r w:rsidRPr="00B03F19">
              <w:rPr>
                <w:rFonts w:ascii="Arial" w:eastAsia="Times New Roman" w:hAnsi="Arial" w:cs="Arial"/>
                <w:color w:val="000000"/>
                <w:sz w:val="20"/>
                <w:szCs w:val="20"/>
                <w:lang w:eastAsia="en-GB"/>
              </w:rPr>
              <w:t>%</w:t>
            </w:r>
          </w:p>
        </w:tc>
        <w:tc>
          <w:tcPr>
            <w:tcW w:w="1276" w:type="dxa"/>
            <w:vAlign w:val="bottom"/>
          </w:tcPr>
          <w:p w:rsidR="00F94038" w:rsidRPr="00B03F19" w:rsidRDefault="00F94038" w:rsidP="006563F9">
            <w:pPr>
              <w:spacing w:after="0" w:line="240" w:lineRule="auto"/>
              <w:jc w:val="center"/>
              <w:rPr>
                <w:rFonts w:ascii="Arial" w:eastAsia="Times New Roman" w:hAnsi="Arial" w:cs="Arial"/>
                <w:color w:val="000000"/>
                <w:sz w:val="20"/>
                <w:szCs w:val="20"/>
                <w:lang w:eastAsia="en-GB"/>
              </w:rPr>
            </w:pPr>
            <w:r w:rsidRPr="00B03F19">
              <w:rPr>
                <w:rFonts w:ascii="Arial" w:hAnsi="Arial" w:cs="Arial"/>
                <w:color w:val="000000"/>
                <w:sz w:val="20"/>
                <w:szCs w:val="20"/>
              </w:rPr>
              <w:t>Waiting List</w:t>
            </w:r>
          </w:p>
          <w:p w:rsidR="00F94038" w:rsidRPr="00B03F19" w:rsidRDefault="00F94038" w:rsidP="006563F9">
            <w:pPr>
              <w:spacing w:after="0" w:line="240" w:lineRule="auto"/>
              <w:jc w:val="center"/>
              <w:rPr>
                <w:rFonts w:ascii="Arial" w:eastAsia="Times New Roman" w:hAnsi="Arial" w:cs="Arial"/>
                <w:color w:val="000000"/>
                <w:sz w:val="20"/>
                <w:szCs w:val="20"/>
                <w:lang w:eastAsia="en-GB"/>
              </w:rPr>
            </w:pPr>
            <w:r w:rsidRPr="00B03F19">
              <w:rPr>
                <w:rFonts w:ascii="Arial" w:eastAsia="Times New Roman" w:hAnsi="Arial" w:cs="Arial"/>
                <w:color w:val="000000"/>
                <w:sz w:val="20"/>
                <w:szCs w:val="20"/>
                <w:lang w:eastAsia="en-GB"/>
              </w:rPr>
              <w:t>%</w:t>
            </w:r>
          </w:p>
        </w:tc>
        <w:tc>
          <w:tcPr>
            <w:tcW w:w="1275" w:type="dxa"/>
            <w:vAlign w:val="bottom"/>
          </w:tcPr>
          <w:p w:rsidR="00F94038" w:rsidRPr="00B03F19" w:rsidRDefault="00F94038" w:rsidP="006563F9">
            <w:pPr>
              <w:spacing w:after="0" w:line="240" w:lineRule="auto"/>
              <w:jc w:val="center"/>
              <w:rPr>
                <w:rFonts w:ascii="Arial" w:eastAsia="Times New Roman" w:hAnsi="Arial" w:cs="Arial"/>
                <w:color w:val="000000"/>
                <w:sz w:val="20"/>
                <w:szCs w:val="20"/>
                <w:lang w:eastAsia="en-GB"/>
              </w:rPr>
            </w:pPr>
            <w:r w:rsidRPr="00B03F19">
              <w:rPr>
                <w:rFonts w:ascii="Arial" w:hAnsi="Arial" w:cs="Arial"/>
                <w:color w:val="000000"/>
                <w:sz w:val="20"/>
                <w:szCs w:val="20"/>
              </w:rPr>
              <w:t>Other</w:t>
            </w:r>
          </w:p>
          <w:p w:rsidR="00F94038" w:rsidRPr="00B03F19" w:rsidRDefault="00F94038" w:rsidP="006563F9">
            <w:pPr>
              <w:spacing w:after="0" w:line="240" w:lineRule="auto"/>
              <w:jc w:val="center"/>
              <w:rPr>
                <w:rFonts w:ascii="Arial" w:eastAsia="Times New Roman" w:hAnsi="Arial" w:cs="Arial"/>
                <w:color w:val="000000"/>
                <w:sz w:val="20"/>
                <w:szCs w:val="20"/>
                <w:lang w:eastAsia="en-GB"/>
              </w:rPr>
            </w:pPr>
            <w:r w:rsidRPr="00B03F19">
              <w:rPr>
                <w:rFonts w:ascii="Arial" w:eastAsia="Times New Roman" w:hAnsi="Arial" w:cs="Arial"/>
                <w:color w:val="000000"/>
                <w:sz w:val="20"/>
                <w:szCs w:val="20"/>
                <w:lang w:eastAsia="en-GB"/>
              </w:rPr>
              <w:t>%</w:t>
            </w:r>
          </w:p>
        </w:tc>
      </w:tr>
      <w:tr w:rsidR="00F94038" w:rsidRPr="00DD2249" w:rsidTr="006563F9">
        <w:trPr>
          <w:trHeight w:val="315"/>
        </w:trPr>
        <w:tc>
          <w:tcPr>
            <w:tcW w:w="1696" w:type="dxa"/>
            <w:shd w:val="clear" w:color="auto" w:fill="auto"/>
            <w:noWrap/>
            <w:vAlign w:val="center"/>
            <w:hideMark/>
          </w:tcPr>
          <w:p w:rsidR="00F94038" w:rsidRPr="00F94038" w:rsidRDefault="00F94038" w:rsidP="006563F9">
            <w:pPr>
              <w:spacing w:after="0" w:line="240" w:lineRule="auto"/>
              <w:rPr>
                <w:rFonts w:ascii="Arial" w:eastAsia="Times New Roman" w:hAnsi="Arial" w:cs="Arial"/>
                <w:color w:val="000000"/>
                <w:sz w:val="20"/>
                <w:szCs w:val="20"/>
                <w:lang w:eastAsia="en-GB"/>
              </w:rPr>
            </w:pPr>
            <w:r w:rsidRPr="00F94038">
              <w:rPr>
                <w:rFonts w:ascii="Arial" w:eastAsia="Times New Roman" w:hAnsi="Arial" w:cs="Arial"/>
                <w:color w:val="000000"/>
                <w:sz w:val="20"/>
                <w:szCs w:val="20"/>
                <w:lang w:eastAsia="en-GB"/>
              </w:rPr>
              <w:t>Belgium</w:t>
            </w:r>
          </w:p>
        </w:tc>
        <w:tc>
          <w:tcPr>
            <w:tcW w:w="1418" w:type="dxa"/>
            <w:shd w:val="clear" w:color="auto" w:fill="auto"/>
            <w:noWrap/>
            <w:vAlign w:val="center"/>
          </w:tcPr>
          <w:p w:rsidR="00F94038" w:rsidRPr="00F94038" w:rsidRDefault="00F94038" w:rsidP="006563F9">
            <w:pPr>
              <w:jc w:val="right"/>
              <w:rPr>
                <w:rFonts w:ascii="Arial" w:hAnsi="Arial" w:cs="Arial"/>
                <w:color w:val="000000"/>
                <w:sz w:val="20"/>
                <w:szCs w:val="20"/>
              </w:rPr>
            </w:pPr>
            <w:r w:rsidRPr="00F94038">
              <w:rPr>
                <w:rFonts w:ascii="Arial" w:hAnsi="Arial" w:cs="Arial"/>
                <w:color w:val="000000"/>
                <w:sz w:val="20"/>
                <w:szCs w:val="20"/>
              </w:rPr>
              <w:t>92.1</w:t>
            </w:r>
          </w:p>
        </w:tc>
        <w:tc>
          <w:tcPr>
            <w:tcW w:w="1417" w:type="dxa"/>
            <w:vAlign w:val="center"/>
          </w:tcPr>
          <w:p w:rsidR="00F94038" w:rsidRPr="00F94038" w:rsidRDefault="00F94038" w:rsidP="006563F9">
            <w:pPr>
              <w:jc w:val="right"/>
              <w:rPr>
                <w:rFonts w:ascii="Arial" w:hAnsi="Arial" w:cs="Arial"/>
                <w:color w:val="000000"/>
                <w:sz w:val="20"/>
                <w:szCs w:val="20"/>
              </w:rPr>
            </w:pPr>
            <w:r w:rsidRPr="00F94038">
              <w:rPr>
                <w:rFonts w:ascii="Arial" w:hAnsi="Arial" w:cs="Arial"/>
                <w:color w:val="000000"/>
                <w:sz w:val="20"/>
                <w:szCs w:val="20"/>
              </w:rPr>
              <w:t>2.2</w:t>
            </w:r>
          </w:p>
        </w:tc>
        <w:tc>
          <w:tcPr>
            <w:tcW w:w="1418" w:type="dxa"/>
            <w:vAlign w:val="center"/>
          </w:tcPr>
          <w:p w:rsidR="00F94038" w:rsidRPr="00F94038" w:rsidRDefault="00F94038" w:rsidP="006563F9">
            <w:pPr>
              <w:jc w:val="right"/>
              <w:rPr>
                <w:rFonts w:ascii="Arial" w:hAnsi="Arial" w:cs="Arial"/>
                <w:color w:val="000000"/>
                <w:sz w:val="20"/>
                <w:szCs w:val="20"/>
              </w:rPr>
            </w:pPr>
            <w:r w:rsidRPr="00F94038">
              <w:rPr>
                <w:rFonts w:ascii="Arial" w:hAnsi="Arial" w:cs="Arial"/>
                <w:color w:val="000000"/>
                <w:sz w:val="20"/>
                <w:szCs w:val="20"/>
              </w:rPr>
              <w:t>0</w:t>
            </w:r>
          </w:p>
        </w:tc>
        <w:tc>
          <w:tcPr>
            <w:tcW w:w="1276" w:type="dxa"/>
            <w:vAlign w:val="center"/>
          </w:tcPr>
          <w:p w:rsidR="00F94038" w:rsidRPr="00F94038" w:rsidRDefault="00F94038" w:rsidP="006563F9">
            <w:pPr>
              <w:jc w:val="right"/>
              <w:rPr>
                <w:rFonts w:ascii="Arial" w:hAnsi="Arial" w:cs="Arial"/>
                <w:color w:val="000000"/>
                <w:sz w:val="20"/>
                <w:szCs w:val="20"/>
              </w:rPr>
            </w:pPr>
            <w:r w:rsidRPr="00F94038">
              <w:rPr>
                <w:rFonts w:ascii="Arial" w:hAnsi="Arial" w:cs="Arial"/>
                <w:color w:val="000000"/>
                <w:sz w:val="20"/>
                <w:szCs w:val="20"/>
              </w:rPr>
              <w:t>0</w:t>
            </w:r>
          </w:p>
        </w:tc>
        <w:tc>
          <w:tcPr>
            <w:tcW w:w="1275" w:type="dxa"/>
            <w:vAlign w:val="center"/>
          </w:tcPr>
          <w:p w:rsidR="00F94038" w:rsidRPr="00F94038" w:rsidRDefault="00F94038" w:rsidP="006563F9">
            <w:pPr>
              <w:jc w:val="right"/>
              <w:rPr>
                <w:rFonts w:ascii="Arial" w:hAnsi="Arial" w:cs="Arial"/>
                <w:color w:val="000000"/>
                <w:sz w:val="20"/>
                <w:szCs w:val="20"/>
              </w:rPr>
            </w:pPr>
            <w:r w:rsidRPr="00F94038">
              <w:rPr>
                <w:rFonts w:ascii="Arial" w:hAnsi="Arial" w:cs="Arial"/>
                <w:color w:val="000000"/>
                <w:sz w:val="20"/>
                <w:szCs w:val="20"/>
              </w:rPr>
              <w:t>5.2</w:t>
            </w:r>
          </w:p>
        </w:tc>
      </w:tr>
      <w:tr w:rsidR="00F94038" w:rsidRPr="00DD2249" w:rsidTr="006563F9">
        <w:trPr>
          <w:trHeight w:val="315"/>
        </w:trPr>
        <w:tc>
          <w:tcPr>
            <w:tcW w:w="1696" w:type="dxa"/>
            <w:shd w:val="clear" w:color="auto" w:fill="auto"/>
            <w:noWrap/>
            <w:vAlign w:val="center"/>
            <w:hideMark/>
          </w:tcPr>
          <w:p w:rsidR="00F94038" w:rsidRPr="00F94038" w:rsidRDefault="00F94038" w:rsidP="006563F9">
            <w:pPr>
              <w:spacing w:after="0" w:line="240" w:lineRule="auto"/>
              <w:rPr>
                <w:rFonts w:ascii="Arial" w:eastAsia="Times New Roman" w:hAnsi="Arial" w:cs="Arial"/>
                <w:color w:val="000000"/>
                <w:sz w:val="20"/>
                <w:szCs w:val="20"/>
                <w:lang w:eastAsia="en-GB"/>
              </w:rPr>
            </w:pPr>
            <w:r w:rsidRPr="00F94038">
              <w:rPr>
                <w:rFonts w:ascii="Arial" w:eastAsia="Times New Roman" w:hAnsi="Arial" w:cs="Arial"/>
                <w:color w:val="000000"/>
                <w:sz w:val="20"/>
                <w:szCs w:val="20"/>
                <w:lang w:eastAsia="en-GB"/>
              </w:rPr>
              <w:t>Bulgaria</w:t>
            </w:r>
          </w:p>
        </w:tc>
        <w:tc>
          <w:tcPr>
            <w:tcW w:w="1418" w:type="dxa"/>
            <w:shd w:val="clear" w:color="auto" w:fill="auto"/>
            <w:noWrap/>
            <w:vAlign w:val="center"/>
          </w:tcPr>
          <w:p w:rsidR="00F94038" w:rsidRPr="00F94038" w:rsidRDefault="00F94038" w:rsidP="006563F9">
            <w:pPr>
              <w:jc w:val="right"/>
              <w:rPr>
                <w:rFonts w:ascii="Arial" w:hAnsi="Arial" w:cs="Arial"/>
                <w:color w:val="000000"/>
                <w:sz w:val="20"/>
                <w:szCs w:val="20"/>
              </w:rPr>
            </w:pPr>
            <w:r w:rsidRPr="00F94038">
              <w:rPr>
                <w:rFonts w:ascii="Arial" w:hAnsi="Arial" w:cs="Arial"/>
                <w:color w:val="000000"/>
                <w:sz w:val="20"/>
                <w:szCs w:val="20"/>
              </w:rPr>
              <w:t>94.3</w:t>
            </w:r>
          </w:p>
        </w:tc>
        <w:tc>
          <w:tcPr>
            <w:tcW w:w="1417" w:type="dxa"/>
            <w:vAlign w:val="center"/>
          </w:tcPr>
          <w:p w:rsidR="00F94038" w:rsidRPr="00F94038" w:rsidRDefault="00F94038" w:rsidP="006563F9">
            <w:pPr>
              <w:jc w:val="right"/>
              <w:rPr>
                <w:rFonts w:ascii="Arial" w:hAnsi="Arial" w:cs="Arial"/>
                <w:color w:val="000000"/>
                <w:sz w:val="20"/>
                <w:szCs w:val="20"/>
              </w:rPr>
            </w:pPr>
            <w:r w:rsidRPr="00F94038">
              <w:rPr>
                <w:rFonts w:ascii="Arial" w:hAnsi="Arial" w:cs="Arial"/>
                <w:color w:val="000000"/>
                <w:sz w:val="20"/>
                <w:szCs w:val="20"/>
              </w:rPr>
              <w:t>5.7</w:t>
            </w:r>
          </w:p>
        </w:tc>
        <w:tc>
          <w:tcPr>
            <w:tcW w:w="1418" w:type="dxa"/>
            <w:vAlign w:val="center"/>
          </w:tcPr>
          <w:p w:rsidR="00F94038" w:rsidRPr="00F94038" w:rsidRDefault="00F94038" w:rsidP="006563F9">
            <w:pPr>
              <w:jc w:val="right"/>
              <w:rPr>
                <w:rFonts w:ascii="Arial" w:hAnsi="Arial" w:cs="Arial"/>
                <w:color w:val="000000"/>
                <w:sz w:val="20"/>
                <w:szCs w:val="20"/>
              </w:rPr>
            </w:pPr>
            <w:r w:rsidRPr="00F94038">
              <w:rPr>
                <w:rFonts w:ascii="Arial" w:hAnsi="Arial" w:cs="Arial"/>
                <w:color w:val="000000"/>
                <w:sz w:val="20"/>
                <w:szCs w:val="20"/>
              </w:rPr>
              <w:t>0</w:t>
            </w:r>
          </w:p>
        </w:tc>
        <w:tc>
          <w:tcPr>
            <w:tcW w:w="1276" w:type="dxa"/>
            <w:vAlign w:val="center"/>
          </w:tcPr>
          <w:p w:rsidR="00F94038" w:rsidRPr="00F94038" w:rsidRDefault="00F94038" w:rsidP="006563F9">
            <w:pPr>
              <w:jc w:val="right"/>
              <w:rPr>
                <w:rFonts w:ascii="Arial" w:hAnsi="Arial" w:cs="Arial"/>
                <w:color w:val="000000"/>
                <w:sz w:val="20"/>
                <w:szCs w:val="20"/>
              </w:rPr>
            </w:pPr>
            <w:r w:rsidRPr="00F94038">
              <w:rPr>
                <w:rFonts w:ascii="Arial" w:hAnsi="Arial" w:cs="Arial"/>
                <w:color w:val="000000"/>
                <w:sz w:val="20"/>
                <w:szCs w:val="20"/>
              </w:rPr>
              <w:t>0</w:t>
            </w:r>
          </w:p>
        </w:tc>
        <w:tc>
          <w:tcPr>
            <w:tcW w:w="1275" w:type="dxa"/>
            <w:vAlign w:val="center"/>
          </w:tcPr>
          <w:p w:rsidR="00F94038" w:rsidRPr="00F94038" w:rsidRDefault="00F94038" w:rsidP="006563F9">
            <w:pPr>
              <w:jc w:val="right"/>
              <w:rPr>
                <w:rFonts w:ascii="Arial" w:hAnsi="Arial" w:cs="Arial"/>
                <w:color w:val="000000"/>
                <w:sz w:val="20"/>
                <w:szCs w:val="20"/>
              </w:rPr>
            </w:pPr>
            <w:r w:rsidRPr="00F94038">
              <w:rPr>
                <w:rFonts w:ascii="Arial" w:hAnsi="Arial" w:cs="Arial"/>
                <w:color w:val="000000"/>
                <w:sz w:val="20"/>
                <w:szCs w:val="20"/>
              </w:rPr>
              <w:t>0</w:t>
            </w:r>
          </w:p>
        </w:tc>
      </w:tr>
      <w:tr w:rsidR="00F94038" w:rsidRPr="00DD2249" w:rsidTr="006563F9">
        <w:trPr>
          <w:trHeight w:val="315"/>
        </w:trPr>
        <w:tc>
          <w:tcPr>
            <w:tcW w:w="1696" w:type="dxa"/>
            <w:shd w:val="clear" w:color="auto" w:fill="auto"/>
            <w:noWrap/>
            <w:vAlign w:val="center"/>
            <w:hideMark/>
          </w:tcPr>
          <w:p w:rsidR="00F94038" w:rsidRPr="00F94038" w:rsidRDefault="00F94038" w:rsidP="006563F9">
            <w:pPr>
              <w:spacing w:after="0" w:line="240" w:lineRule="auto"/>
              <w:rPr>
                <w:rFonts w:ascii="Arial" w:eastAsia="Times New Roman" w:hAnsi="Arial" w:cs="Arial"/>
                <w:color w:val="000000"/>
                <w:sz w:val="20"/>
                <w:szCs w:val="20"/>
                <w:lang w:eastAsia="en-GB"/>
              </w:rPr>
            </w:pPr>
            <w:r w:rsidRPr="00F94038">
              <w:rPr>
                <w:rFonts w:ascii="Arial" w:eastAsia="Times New Roman" w:hAnsi="Arial" w:cs="Arial"/>
                <w:color w:val="000000"/>
                <w:sz w:val="20"/>
                <w:szCs w:val="20"/>
                <w:lang w:eastAsia="en-GB"/>
              </w:rPr>
              <w:t>Cyprus</w:t>
            </w:r>
          </w:p>
        </w:tc>
        <w:tc>
          <w:tcPr>
            <w:tcW w:w="1418" w:type="dxa"/>
            <w:shd w:val="clear" w:color="auto" w:fill="auto"/>
            <w:noWrap/>
            <w:vAlign w:val="center"/>
          </w:tcPr>
          <w:p w:rsidR="00F94038" w:rsidRPr="00F94038" w:rsidRDefault="00F94038" w:rsidP="006563F9">
            <w:pPr>
              <w:jc w:val="right"/>
              <w:rPr>
                <w:rFonts w:ascii="Arial" w:hAnsi="Arial" w:cs="Arial"/>
                <w:color w:val="000000"/>
                <w:sz w:val="20"/>
                <w:szCs w:val="20"/>
              </w:rPr>
            </w:pPr>
            <w:r w:rsidRPr="00F94038">
              <w:rPr>
                <w:rFonts w:ascii="Arial" w:hAnsi="Arial" w:cs="Arial"/>
                <w:color w:val="000000"/>
                <w:sz w:val="20"/>
                <w:szCs w:val="20"/>
              </w:rPr>
              <w:t>100</w:t>
            </w:r>
          </w:p>
        </w:tc>
        <w:tc>
          <w:tcPr>
            <w:tcW w:w="1417" w:type="dxa"/>
            <w:vAlign w:val="center"/>
          </w:tcPr>
          <w:p w:rsidR="00F94038" w:rsidRPr="00F94038" w:rsidRDefault="00F94038" w:rsidP="006563F9">
            <w:pPr>
              <w:jc w:val="right"/>
              <w:rPr>
                <w:rFonts w:ascii="Arial" w:hAnsi="Arial" w:cs="Arial"/>
                <w:color w:val="000000"/>
                <w:sz w:val="20"/>
                <w:szCs w:val="20"/>
              </w:rPr>
            </w:pPr>
            <w:r w:rsidRPr="00F94038">
              <w:rPr>
                <w:rFonts w:ascii="Arial" w:hAnsi="Arial" w:cs="Arial"/>
                <w:color w:val="000000"/>
                <w:sz w:val="20"/>
                <w:szCs w:val="20"/>
              </w:rPr>
              <w:t>0</w:t>
            </w:r>
          </w:p>
        </w:tc>
        <w:tc>
          <w:tcPr>
            <w:tcW w:w="1418" w:type="dxa"/>
            <w:vAlign w:val="center"/>
          </w:tcPr>
          <w:p w:rsidR="00F94038" w:rsidRPr="00F94038" w:rsidRDefault="00F94038" w:rsidP="006563F9">
            <w:pPr>
              <w:jc w:val="right"/>
              <w:rPr>
                <w:rFonts w:ascii="Arial" w:hAnsi="Arial" w:cs="Arial"/>
                <w:color w:val="000000"/>
                <w:sz w:val="20"/>
                <w:szCs w:val="20"/>
              </w:rPr>
            </w:pPr>
            <w:r w:rsidRPr="00F94038">
              <w:rPr>
                <w:rFonts w:ascii="Arial" w:hAnsi="Arial" w:cs="Arial"/>
                <w:color w:val="000000"/>
                <w:sz w:val="20"/>
                <w:szCs w:val="20"/>
              </w:rPr>
              <w:t>0</w:t>
            </w:r>
          </w:p>
        </w:tc>
        <w:tc>
          <w:tcPr>
            <w:tcW w:w="1276" w:type="dxa"/>
            <w:vAlign w:val="center"/>
          </w:tcPr>
          <w:p w:rsidR="00F94038" w:rsidRPr="00F94038" w:rsidRDefault="00F94038" w:rsidP="006563F9">
            <w:pPr>
              <w:jc w:val="right"/>
              <w:rPr>
                <w:rFonts w:ascii="Arial" w:hAnsi="Arial" w:cs="Arial"/>
                <w:color w:val="000000"/>
                <w:sz w:val="20"/>
                <w:szCs w:val="20"/>
              </w:rPr>
            </w:pPr>
            <w:r w:rsidRPr="00F94038">
              <w:rPr>
                <w:rFonts w:ascii="Arial" w:hAnsi="Arial" w:cs="Arial"/>
                <w:color w:val="000000"/>
                <w:sz w:val="20"/>
                <w:szCs w:val="20"/>
              </w:rPr>
              <w:t>0</w:t>
            </w:r>
          </w:p>
        </w:tc>
        <w:tc>
          <w:tcPr>
            <w:tcW w:w="1275" w:type="dxa"/>
            <w:vAlign w:val="center"/>
          </w:tcPr>
          <w:p w:rsidR="00F94038" w:rsidRPr="00F94038" w:rsidRDefault="00F94038" w:rsidP="006563F9">
            <w:pPr>
              <w:jc w:val="right"/>
              <w:rPr>
                <w:rFonts w:ascii="Arial" w:hAnsi="Arial" w:cs="Arial"/>
                <w:color w:val="000000"/>
                <w:sz w:val="20"/>
                <w:szCs w:val="20"/>
              </w:rPr>
            </w:pPr>
            <w:r w:rsidRPr="00F94038">
              <w:rPr>
                <w:rFonts w:ascii="Arial" w:hAnsi="Arial" w:cs="Arial"/>
                <w:color w:val="000000"/>
                <w:sz w:val="20"/>
                <w:szCs w:val="20"/>
              </w:rPr>
              <w:t>0</w:t>
            </w:r>
          </w:p>
        </w:tc>
      </w:tr>
      <w:tr w:rsidR="00F94038" w:rsidRPr="00DD2249" w:rsidTr="006563F9">
        <w:trPr>
          <w:trHeight w:val="315"/>
        </w:trPr>
        <w:tc>
          <w:tcPr>
            <w:tcW w:w="1696" w:type="dxa"/>
            <w:shd w:val="clear" w:color="auto" w:fill="auto"/>
            <w:noWrap/>
            <w:vAlign w:val="center"/>
            <w:hideMark/>
          </w:tcPr>
          <w:p w:rsidR="00F94038" w:rsidRPr="00F94038" w:rsidRDefault="00F94038" w:rsidP="006563F9">
            <w:pPr>
              <w:spacing w:after="0" w:line="240" w:lineRule="auto"/>
              <w:rPr>
                <w:rFonts w:ascii="Arial" w:eastAsia="Times New Roman" w:hAnsi="Arial" w:cs="Arial"/>
                <w:color w:val="000000"/>
                <w:sz w:val="20"/>
                <w:szCs w:val="20"/>
                <w:lang w:eastAsia="en-GB"/>
              </w:rPr>
            </w:pPr>
            <w:r w:rsidRPr="00F94038">
              <w:rPr>
                <w:rFonts w:ascii="Arial" w:eastAsia="Times New Roman" w:hAnsi="Arial" w:cs="Arial"/>
                <w:color w:val="000000"/>
                <w:sz w:val="20"/>
                <w:szCs w:val="20"/>
                <w:lang w:eastAsia="en-GB"/>
              </w:rPr>
              <w:t>Czech Republic</w:t>
            </w:r>
          </w:p>
        </w:tc>
        <w:tc>
          <w:tcPr>
            <w:tcW w:w="1418" w:type="dxa"/>
            <w:shd w:val="clear" w:color="auto" w:fill="auto"/>
            <w:noWrap/>
            <w:vAlign w:val="center"/>
          </w:tcPr>
          <w:p w:rsidR="00F94038" w:rsidRPr="00F94038" w:rsidRDefault="00F94038" w:rsidP="006563F9">
            <w:pPr>
              <w:jc w:val="right"/>
              <w:rPr>
                <w:rFonts w:ascii="Arial" w:hAnsi="Arial" w:cs="Arial"/>
                <w:color w:val="000000"/>
                <w:sz w:val="20"/>
                <w:szCs w:val="20"/>
              </w:rPr>
            </w:pPr>
            <w:r w:rsidRPr="00F94038">
              <w:rPr>
                <w:rFonts w:ascii="Arial" w:hAnsi="Arial" w:cs="Arial"/>
                <w:color w:val="000000"/>
                <w:sz w:val="20"/>
                <w:szCs w:val="20"/>
              </w:rPr>
              <w:t>8.2</w:t>
            </w:r>
          </w:p>
        </w:tc>
        <w:tc>
          <w:tcPr>
            <w:tcW w:w="1417" w:type="dxa"/>
            <w:vAlign w:val="center"/>
          </w:tcPr>
          <w:p w:rsidR="00F94038" w:rsidRPr="00F94038" w:rsidRDefault="00F94038" w:rsidP="006563F9">
            <w:pPr>
              <w:jc w:val="right"/>
              <w:rPr>
                <w:rFonts w:ascii="Arial" w:hAnsi="Arial" w:cs="Arial"/>
                <w:color w:val="000000"/>
                <w:sz w:val="20"/>
                <w:szCs w:val="20"/>
              </w:rPr>
            </w:pPr>
            <w:r w:rsidRPr="00F94038">
              <w:rPr>
                <w:rFonts w:ascii="Arial" w:hAnsi="Arial" w:cs="Arial"/>
                <w:color w:val="000000"/>
                <w:sz w:val="20"/>
                <w:szCs w:val="20"/>
              </w:rPr>
              <w:t>5.4</w:t>
            </w:r>
          </w:p>
        </w:tc>
        <w:tc>
          <w:tcPr>
            <w:tcW w:w="1418" w:type="dxa"/>
            <w:vAlign w:val="center"/>
          </w:tcPr>
          <w:p w:rsidR="00F94038" w:rsidRPr="00F94038" w:rsidRDefault="00F94038" w:rsidP="006563F9">
            <w:pPr>
              <w:jc w:val="right"/>
              <w:rPr>
                <w:rFonts w:ascii="Arial" w:hAnsi="Arial" w:cs="Arial"/>
                <w:color w:val="000000"/>
                <w:sz w:val="20"/>
                <w:szCs w:val="20"/>
              </w:rPr>
            </w:pPr>
            <w:r w:rsidRPr="00F94038">
              <w:rPr>
                <w:rFonts w:ascii="Arial" w:hAnsi="Arial" w:cs="Arial"/>
                <w:color w:val="000000"/>
                <w:sz w:val="20"/>
                <w:szCs w:val="20"/>
              </w:rPr>
              <w:t>24.3</w:t>
            </w:r>
          </w:p>
        </w:tc>
        <w:tc>
          <w:tcPr>
            <w:tcW w:w="1276" w:type="dxa"/>
            <w:vAlign w:val="center"/>
          </w:tcPr>
          <w:p w:rsidR="00F94038" w:rsidRPr="00F94038" w:rsidRDefault="00F94038" w:rsidP="006563F9">
            <w:pPr>
              <w:jc w:val="right"/>
              <w:rPr>
                <w:rFonts w:ascii="Arial" w:hAnsi="Arial" w:cs="Arial"/>
                <w:color w:val="000000"/>
                <w:sz w:val="20"/>
                <w:szCs w:val="20"/>
              </w:rPr>
            </w:pPr>
            <w:r w:rsidRPr="00F94038">
              <w:rPr>
                <w:rFonts w:ascii="Arial" w:hAnsi="Arial" w:cs="Arial"/>
                <w:color w:val="000000"/>
                <w:sz w:val="20"/>
                <w:szCs w:val="20"/>
              </w:rPr>
              <w:t>9.7</w:t>
            </w:r>
          </w:p>
        </w:tc>
        <w:tc>
          <w:tcPr>
            <w:tcW w:w="1275" w:type="dxa"/>
            <w:vAlign w:val="center"/>
          </w:tcPr>
          <w:p w:rsidR="00F94038" w:rsidRPr="00F94038" w:rsidRDefault="00F94038" w:rsidP="006563F9">
            <w:pPr>
              <w:jc w:val="right"/>
              <w:rPr>
                <w:rFonts w:ascii="Arial" w:hAnsi="Arial" w:cs="Arial"/>
                <w:color w:val="000000"/>
                <w:sz w:val="20"/>
                <w:szCs w:val="20"/>
              </w:rPr>
            </w:pPr>
            <w:r w:rsidRPr="00F94038">
              <w:rPr>
                <w:rFonts w:ascii="Arial" w:hAnsi="Arial" w:cs="Arial"/>
                <w:color w:val="000000"/>
                <w:sz w:val="20"/>
                <w:szCs w:val="20"/>
              </w:rPr>
              <w:t>52.4</w:t>
            </w:r>
          </w:p>
        </w:tc>
      </w:tr>
      <w:tr w:rsidR="00F94038" w:rsidRPr="00DD2249" w:rsidTr="006563F9">
        <w:trPr>
          <w:trHeight w:val="315"/>
        </w:trPr>
        <w:tc>
          <w:tcPr>
            <w:tcW w:w="1696" w:type="dxa"/>
            <w:shd w:val="clear" w:color="auto" w:fill="auto"/>
            <w:noWrap/>
            <w:vAlign w:val="center"/>
            <w:hideMark/>
          </w:tcPr>
          <w:p w:rsidR="00F94038" w:rsidRPr="00F94038" w:rsidRDefault="00F94038" w:rsidP="006563F9">
            <w:pPr>
              <w:spacing w:after="0" w:line="240" w:lineRule="auto"/>
              <w:rPr>
                <w:rFonts w:ascii="Arial" w:eastAsia="Times New Roman" w:hAnsi="Arial" w:cs="Arial"/>
                <w:color w:val="000000"/>
                <w:sz w:val="20"/>
                <w:szCs w:val="20"/>
                <w:lang w:eastAsia="en-GB"/>
              </w:rPr>
            </w:pPr>
            <w:r w:rsidRPr="00F94038">
              <w:rPr>
                <w:rFonts w:ascii="Arial" w:eastAsia="Times New Roman" w:hAnsi="Arial" w:cs="Arial"/>
                <w:color w:val="000000"/>
                <w:sz w:val="20"/>
                <w:szCs w:val="20"/>
                <w:lang w:eastAsia="en-GB"/>
              </w:rPr>
              <w:t>Estonia</w:t>
            </w:r>
          </w:p>
        </w:tc>
        <w:tc>
          <w:tcPr>
            <w:tcW w:w="1418" w:type="dxa"/>
            <w:shd w:val="clear" w:color="auto" w:fill="auto"/>
            <w:noWrap/>
            <w:vAlign w:val="center"/>
          </w:tcPr>
          <w:p w:rsidR="00F94038" w:rsidRPr="00F94038" w:rsidRDefault="00F94038" w:rsidP="006563F9">
            <w:pPr>
              <w:jc w:val="right"/>
              <w:rPr>
                <w:rFonts w:ascii="Arial" w:hAnsi="Arial" w:cs="Arial"/>
                <w:color w:val="000000"/>
                <w:sz w:val="20"/>
                <w:szCs w:val="20"/>
              </w:rPr>
            </w:pPr>
            <w:r w:rsidRPr="00F94038">
              <w:rPr>
                <w:rFonts w:ascii="Arial" w:hAnsi="Arial" w:cs="Arial"/>
                <w:color w:val="000000"/>
                <w:sz w:val="20"/>
                <w:szCs w:val="20"/>
              </w:rPr>
              <w:t>9.7</w:t>
            </w:r>
          </w:p>
        </w:tc>
        <w:tc>
          <w:tcPr>
            <w:tcW w:w="1417" w:type="dxa"/>
            <w:vAlign w:val="center"/>
          </w:tcPr>
          <w:p w:rsidR="00F94038" w:rsidRPr="00F94038" w:rsidRDefault="00F94038" w:rsidP="006563F9">
            <w:pPr>
              <w:jc w:val="right"/>
              <w:rPr>
                <w:rFonts w:ascii="Arial" w:hAnsi="Arial" w:cs="Arial"/>
                <w:color w:val="000000"/>
                <w:sz w:val="20"/>
                <w:szCs w:val="20"/>
              </w:rPr>
            </w:pPr>
            <w:r w:rsidRPr="00F94038">
              <w:rPr>
                <w:rFonts w:ascii="Arial" w:hAnsi="Arial" w:cs="Arial"/>
                <w:color w:val="000000"/>
                <w:sz w:val="20"/>
                <w:szCs w:val="20"/>
              </w:rPr>
              <w:t>0</w:t>
            </w:r>
          </w:p>
        </w:tc>
        <w:tc>
          <w:tcPr>
            <w:tcW w:w="1418" w:type="dxa"/>
            <w:vAlign w:val="center"/>
          </w:tcPr>
          <w:p w:rsidR="00F94038" w:rsidRPr="00F94038" w:rsidRDefault="00F94038" w:rsidP="006563F9">
            <w:pPr>
              <w:jc w:val="right"/>
              <w:rPr>
                <w:rFonts w:ascii="Arial" w:hAnsi="Arial" w:cs="Arial"/>
                <w:color w:val="000000"/>
                <w:sz w:val="20"/>
                <w:szCs w:val="20"/>
              </w:rPr>
            </w:pPr>
            <w:r w:rsidRPr="00F94038">
              <w:rPr>
                <w:rFonts w:ascii="Arial" w:hAnsi="Arial" w:cs="Arial"/>
                <w:color w:val="000000"/>
                <w:sz w:val="20"/>
                <w:szCs w:val="20"/>
              </w:rPr>
              <w:t>0</w:t>
            </w:r>
          </w:p>
        </w:tc>
        <w:tc>
          <w:tcPr>
            <w:tcW w:w="1276" w:type="dxa"/>
            <w:vAlign w:val="center"/>
          </w:tcPr>
          <w:p w:rsidR="00F94038" w:rsidRPr="00F94038" w:rsidRDefault="00F94038" w:rsidP="006563F9">
            <w:pPr>
              <w:jc w:val="right"/>
              <w:rPr>
                <w:rFonts w:ascii="Arial" w:hAnsi="Arial" w:cs="Arial"/>
                <w:color w:val="000000"/>
                <w:sz w:val="20"/>
                <w:szCs w:val="20"/>
              </w:rPr>
            </w:pPr>
            <w:r w:rsidRPr="00F94038">
              <w:rPr>
                <w:rFonts w:ascii="Arial" w:hAnsi="Arial" w:cs="Arial"/>
                <w:color w:val="000000"/>
                <w:sz w:val="20"/>
                <w:szCs w:val="20"/>
              </w:rPr>
              <w:t>65.9</w:t>
            </w:r>
          </w:p>
        </w:tc>
        <w:tc>
          <w:tcPr>
            <w:tcW w:w="1275" w:type="dxa"/>
            <w:vAlign w:val="center"/>
          </w:tcPr>
          <w:p w:rsidR="00F94038" w:rsidRPr="00F94038" w:rsidRDefault="00F94038" w:rsidP="006563F9">
            <w:pPr>
              <w:jc w:val="right"/>
              <w:rPr>
                <w:rFonts w:ascii="Arial" w:hAnsi="Arial" w:cs="Arial"/>
                <w:color w:val="000000"/>
                <w:sz w:val="20"/>
                <w:szCs w:val="20"/>
              </w:rPr>
            </w:pPr>
            <w:r w:rsidRPr="00F94038">
              <w:rPr>
                <w:rFonts w:ascii="Arial" w:hAnsi="Arial" w:cs="Arial"/>
                <w:color w:val="000000"/>
                <w:sz w:val="20"/>
                <w:szCs w:val="20"/>
              </w:rPr>
              <w:t>24.4</w:t>
            </w:r>
          </w:p>
        </w:tc>
      </w:tr>
      <w:tr w:rsidR="00F94038" w:rsidRPr="00DD2249" w:rsidTr="006563F9">
        <w:trPr>
          <w:trHeight w:val="315"/>
        </w:trPr>
        <w:tc>
          <w:tcPr>
            <w:tcW w:w="1696" w:type="dxa"/>
            <w:shd w:val="clear" w:color="auto" w:fill="auto"/>
            <w:noWrap/>
            <w:vAlign w:val="center"/>
            <w:hideMark/>
          </w:tcPr>
          <w:p w:rsidR="00F94038" w:rsidRPr="00F94038" w:rsidRDefault="00F94038" w:rsidP="006563F9">
            <w:pPr>
              <w:spacing w:after="0" w:line="240" w:lineRule="auto"/>
              <w:rPr>
                <w:rFonts w:ascii="Arial" w:eastAsia="Times New Roman" w:hAnsi="Arial" w:cs="Arial"/>
                <w:color w:val="000000"/>
                <w:sz w:val="20"/>
                <w:szCs w:val="20"/>
                <w:lang w:eastAsia="en-GB"/>
              </w:rPr>
            </w:pPr>
            <w:r w:rsidRPr="00F94038">
              <w:rPr>
                <w:rFonts w:ascii="Arial" w:eastAsia="Times New Roman" w:hAnsi="Arial" w:cs="Arial"/>
                <w:color w:val="000000"/>
                <w:sz w:val="20"/>
                <w:szCs w:val="20"/>
                <w:lang w:eastAsia="en-GB"/>
              </w:rPr>
              <w:t>France</w:t>
            </w:r>
          </w:p>
        </w:tc>
        <w:tc>
          <w:tcPr>
            <w:tcW w:w="1418" w:type="dxa"/>
            <w:shd w:val="clear" w:color="auto" w:fill="auto"/>
            <w:noWrap/>
            <w:vAlign w:val="center"/>
          </w:tcPr>
          <w:p w:rsidR="00F94038" w:rsidRPr="00F94038" w:rsidRDefault="00F94038" w:rsidP="006563F9">
            <w:pPr>
              <w:jc w:val="right"/>
              <w:rPr>
                <w:rFonts w:ascii="Arial" w:hAnsi="Arial" w:cs="Arial"/>
                <w:color w:val="000000"/>
                <w:sz w:val="20"/>
                <w:szCs w:val="20"/>
              </w:rPr>
            </w:pPr>
            <w:r w:rsidRPr="00F94038">
              <w:rPr>
                <w:rFonts w:ascii="Arial" w:hAnsi="Arial" w:cs="Arial"/>
                <w:color w:val="000000"/>
                <w:sz w:val="20"/>
                <w:szCs w:val="20"/>
              </w:rPr>
              <w:t>18.9</w:t>
            </w:r>
          </w:p>
        </w:tc>
        <w:tc>
          <w:tcPr>
            <w:tcW w:w="1417" w:type="dxa"/>
            <w:vAlign w:val="center"/>
          </w:tcPr>
          <w:p w:rsidR="00F94038" w:rsidRPr="00F94038" w:rsidRDefault="00F94038" w:rsidP="006563F9">
            <w:pPr>
              <w:jc w:val="right"/>
              <w:rPr>
                <w:rFonts w:ascii="Arial" w:hAnsi="Arial" w:cs="Arial"/>
                <w:color w:val="000000"/>
                <w:sz w:val="20"/>
                <w:szCs w:val="20"/>
              </w:rPr>
            </w:pPr>
            <w:r w:rsidRPr="00F94038">
              <w:rPr>
                <w:rFonts w:ascii="Arial" w:hAnsi="Arial" w:cs="Arial"/>
                <w:color w:val="000000"/>
                <w:sz w:val="20"/>
                <w:szCs w:val="20"/>
              </w:rPr>
              <w:t>1.4</w:t>
            </w:r>
          </w:p>
        </w:tc>
        <w:tc>
          <w:tcPr>
            <w:tcW w:w="1418" w:type="dxa"/>
            <w:vAlign w:val="center"/>
          </w:tcPr>
          <w:p w:rsidR="00F94038" w:rsidRPr="00F94038" w:rsidRDefault="00F94038" w:rsidP="006563F9">
            <w:pPr>
              <w:jc w:val="right"/>
              <w:rPr>
                <w:rFonts w:ascii="Arial" w:hAnsi="Arial" w:cs="Arial"/>
                <w:color w:val="000000"/>
                <w:sz w:val="20"/>
                <w:szCs w:val="20"/>
              </w:rPr>
            </w:pPr>
            <w:r w:rsidRPr="00F94038">
              <w:rPr>
                <w:rFonts w:ascii="Arial" w:hAnsi="Arial" w:cs="Arial"/>
                <w:color w:val="000000"/>
                <w:sz w:val="20"/>
                <w:szCs w:val="20"/>
              </w:rPr>
              <w:t>2.8</w:t>
            </w:r>
          </w:p>
        </w:tc>
        <w:tc>
          <w:tcPr>
            <w:tcW w:w="1276" w:type="dxa"/>
            <w:vAlign w:val="center"/>
          </w:tcPr>
          <w:p w:rsidR="00F94038" w:rsidRPr="00F94038" w:rsidRDefault="00F94038" w:rsidP="006563F9">
            <w:pPr>
              <w:jc w:val="right"/>
              <w:rPr>
                <w:rFonts w:ascii="Arial" w:hAnsi="Arial" w:cs="Arial"/>
                <w:color w:val="000000"/>
                <w:sz w:val="20"/>
                <w:szCs w:val="20"/>
              </w:rPr>
            </w:pPr>
            <w:r w:rsidRPr="00F94038">
              <w:rPr>
                <w:rFonts w:ascii="Arial" w:hAnsi="Arial" w:cs="Arial"/>
                <w:color w:val="000000"/>
                <w:sz w:val="20"/>
                <w:szCs w:val="20"/>
              </w:rPr>
              <w:t>17.5</w:t>
            </w:r>
          </w:p>
        </w:tc>
        <w:tc>
          <w:tcPr>
            <w:tcW w:w="1275" w:type="dxa"/>
            <w:vAlign w:val="center"/>
          </w:tcPr>
          <w:p w:rsidR="00F94038" w:rsidRPr="00F94038" w:rsidRDefault="00F94038" w:rsidP="006563F9">
            <w:pPr>
              <w:jc w:val="right"/>
              <w:rPr>
                <w:rFonts w:ascii="Arial" w:hAnsi="Arial" w:cs="Arial"/>
                <w:color w:val="000000"/>
                <w:sz w:val="20"/>
                <w:szCs w:val="20"/>
              </w:rPr>
            </w:pPr>
            <w:r w:rsidRPr="00F94038">
              <w:rPr>
                <w:rFonts w:ascii="Arial" w:hAnsi="Arial" w:cs="Arial"/>
                <w:color w:val="000000"/>
                <w:sz w:val="20"/>
                <w:szCs w:val="20"/>
              </w:rPr>
              <w:t>59.3</w:t>
            </w:r>
          </w:p>
        </w:tc>
      </w:tr>
      <w:tr w:rsidR="00F94038" w:rsidRPr="00DD2249" w:rsidTr="006563F9">
        <w:trPr>
          <w:trHeight w:val="315"/>
        </w:trPr>
        <w:tc>
          <w:tcPr>
            <w:tcW w:w="1696" w:type="dxa"/>
            <w:shd w:val="clear" w:color="auto" w:fill="auto"/>
            <w:noWrap/>
            <w:vAlign w:val="center"/>
            <w:hideMark/>
          </w:tcPr>
          <w:p w:rsidR="00F94038" w:rsidRPr="00F94038" w:rsidRDefault="00F94038" w:rsidP="006563F9">
            <w:pPr>
              <w:spacing w:after="0" w:line="240" w:lineRule="auto"/>
              <w:rPr>
                <w:rFonts w:ascii="Arial" w:eastAsia="Times New Roman" w:hAnsi="Arial" w:cs="Arial"/>
                <w:color w:val="000000"/>
                <w:sz w:val="20"/>
                <w:szCs w:val="20"/>
                <w:lang w:eastAsia="en-GB"/>
              </w:rPr>
            </w:pPr>
            <w:r w:rsidRPr="00F94038">
              <w:rPr>
                <w:rFonts w:ascii="Arial" w:eastAsia="Times New Roman" w:hAnsi="Arial" w:cs="Arial"/>
                <w:color w:val="000000"/>
                <w:sz w:val="20"/>
                <w:szCs w:val="20"/>
                <w:lang w:eastAsia="en-GB"/>
              </w:rPr>
              <w:t>Greece</w:t>
            </w:r>
          </w:p>
        </w:tc>
        <w:tc>
          <w:tcPr>
            <w:tcW w:w="1418" w:type="dxa"/>
            <w:shd w:val="clear" w:color="auto" w:fill="auto"/>
            <w:noWrap/>
            <w:vAlign w:val="center"/>
          </w:tcPr>
          <w:p w:rsidR="00F94038" w:rsidRPr="00F94038" w:rsidRDefault="00F94038" w:rsidP="006563F9">
            <w:pPr>
              <w:jc w:val="right"/>
              <w:rPr>
                <w:rFonts w:ascii="Arial" w:hAnsi="Arial" w:cs="Arial"/>
                <w:color w:val="000000"/>
                <w:sz w:val="20"/>
                <w:szCs w:val="20"/>
              </w:rPr>
            </w:pPr>
            <w:r w:rsidRPr="00F94038">
              <w:rPr>
                <w:rFonts w:ascii="Arial" w:hAnsi="Arial" w:cs="Arial"/>
                <w:color w:val="000000"/>
                <w:sz w:val="20"/>
                <w:szCs w:val="20"/>
              </w:rPr>
              <w:t>77.7</w:t>
            </w:r>
          </w:p>
        </w:tc>
        <w:tc>
          <w:tcPr>
            <w:tcW w:w="1417" w:type="dxa"/>
            <w:vAlign w:val="center"/>
          </w:tcPr>
          <w:p w:rsidR="00F94038" w:rsidRPr="00F94038" w:rsidRDefault="00F94038" w:rsidP="006563F9">
            <w:pPr>
              <w:jc w:val="right"/>
              <w:rPr>
                <w:rFonts w:ascii="Arial" w:hAnsi="Arial" w:cs="Arial"/>
                <w:color w:val="000000"/>
                <w:sz w:val="20"/>
                <w:szCs w:val="20"/>
              </w:rPr>
            </w:pPr>
            <w:r w:rsidRPr="00F94038">
              <w:rPr>
                <w:rFonts w:ascii="Arial" w:hAnsi="Arial" w:cs="Arial"/>
                <w:color w:val="000000"/>
                <w:sz w:val="20"/>
                <w:szCs w:val="20"/>
              </w:rPr>
              <w:t>7.2</w:t>
            </w:r>
          </w:p>
        </w:tc>
        <w:tc>
          <w:tcPr>
            <w:tcW w:w="1418" w:type="dxa"/>
            <w:vAlign w:val="center"/>
          </w:tcPr>
          <w:p w:rsidR="00F94038" w:rsidRPr="00F94038" w:rsidRDefault="00F94038" w:rsidP="006563F9">
            <w:pPr>
              <w:jc w:val="right"/>
              <w:rPr>
                <w:rFonts w:ascii="Arial" w:hAnsi="Arial" w:cs="Arial"/>
                <w:color w:val="000000"/>
                <w:sz w:val="20"/>
                <w:szCs w:val="20"/>
              </w:rPr>
            </w:pPr>
            <w:r w:rsidRPr="00F94038">
              <w:rPr>
                <w:rFonts w:ascii="Arial" w:hAnsi="Arial" w:cs="Arial"/>
                <w:color w:val="000000"/>
                <w:sz w:val="20"/>
                <w:szCs w:val="20"/>
              </w:rPr>
              <w:t>1</w:t>
            </w:r>
          </w:p>
        </w:tc>
        <w:tc>
          <w:tcPr>
            <w:tcW w:w="1276" w:type="dxa"/>
            <w:vAlign w:val="center"/>
          </w:tcPr>
          <w:p w:rsidR="00F94038" w:rsidRPr="00F94038" w:rsidRDefault="00F94038" w:rsidP="006563F9">
            <w:pPr>
              <w:jc w:val="right"/>
              <w:rPr>
                <w:rFonts w:ascii="Arial" w:hAnsi="Arial" w:cs="Arial"/>
                <w:color w:val="000000"/>
                <w:sz w:val="20"/>
                <w:szCs w:val="20"/>
              </w:rPr>
            </w:pPr>
            <w:r w:rsidRPr="00F94038">
              <w:rPr>
                <w:rFonts w:ascii="Arial" w:hAnsi="Arial" w:cs="Arial"/>
                <w:color w:val="000000"/>
                <w:sz w:val="20"/>
                <w:szCs w:val="20"/>
              </w:rPr>
              <w:t>5.2</w:t>
            </w:r>
          </w:p>
        </w:tc>
        <w:tc>
          <w:tcPr>
            <w:tcW w:w="1275" w:type="dxa"/>
            <w:vAlign w:val="center"/>
          </w:tcPr>
          <w:p w:rsidR="00F94038" w:rsidRPr="00F94038" w:rsidRDefault="00F94038" w:rsidP="006563F9">
            <w:pPr>
              <w:jc w:val="right"/>
              <w:rPr>
                <w:rFonts w:ascii="Arial" w:hAnsi="Arial" w:cs="Arial"/>
                <w:color w:val="000000"/>
                <w:sz w:val="20"/>
                <w:szCs w:val="20"/>
              </w:rPr>
            </w:pPr>
            <w:r w:rsidRPr="00F94038">
              <w:rPr>
                <w:rFonts w:ascii="Arial" w:hAnsi="Arial" w:cs="Arial"/>
                <w:color w:val="000000"/>
                <w:sz w:val="20"/>
                <w:szCs w:val="20"/>
              </w:rPr>
              <w:t>8.9</w:t>
            </w:r>
          </w:p>
        </w:tc>
      </w:tr>
      <w:tr w:rsidR="00F94038" w:rsidRPr="00DD2249" w:rsidTr="006563F9">
        <w:trPr>
          <w:trHeight w:val="315"/>
        </w:trPr>
        <w:tc>
          <w:tcPr>
            <w:tcW w:w="1696" w:type="dxa"/>
            <w:shd w:val="clear" w:color="auto" w:fill="auto"/>
            <w:noWrap/>
            <w:vAlign w:val="center"/>
            <w:hideMark/>
          </w:tcPr>
          <w:p w:rsidR="00F94038" w:rsidRPr="00F94038" w:rsidRDefault="00F94038" w:rsidP="006563F9">
            <w:pPr>
              <w:spacing w:after="0" w:line="240" w:lineRule="auto"/>
              <w:rPr>
                <w:rFonts w:ascii="Arial" w:eastAsia="Times New Roman" w:hAnsi="Arial" w:cs="Arial"/>
                <w:color w:val="000000"/>
                <w:sz w:val="20"/>
                <w:szCs w:val="20"/>
                <w:lang w:eastAsia="en-GB"/>
              </w:rPr>
            </w:pPr>
            <w:r w:rsidRPr="00F94038">
              <w:rPr>
                <w:rFonts w:ascii="Arial" w:eastAsia="Times New Roman" w:hAnsi="Arial" w:cs="Arial"/>
                <w:color w:val="000000"/>
                <w:sz w:val="20"/>
                <w:szCs w:val="20"/>
                <w:lang w:eastAsia="en-GB"/>
              </w:rPr>
              <w:t>Italy</w:t>
            </w:r>
          </w:p>
        </w:tc>
        <w:tc>
          <w:tcPr>
            <w:tcW w:w="1418" w:type="dxa"/>
            <w:shd w:val="clear" w:color="auto" w:fill="auto"/>
            <w:noWrap/>
            <w:vAlign w:val="center"/>
          </w:tcPr>
          <w:p w:rsidR="00F94038" w:rsidRPr="00F94038" w:rsidRDefault="00F94038" w:rsidP="006563F9">
            <w:pPr>
              <w:jc w:val="right"/>
              <w:rPr>
                <w:rFonts w:ascii="Arial" w:hAnsi="Arial" w:cs="Arial"/>
                <w:color w:val="000000"/>
                <w:sz w:val="20"/>
                <w:szCs w:val="20"/>
              </w:rPr>
            </w:pPr>
            <w:r w:rsidRPr="00F94038">
              <w:rPr>
                <w:rFonts w:ascii="Arial" w:hAnsi="Arial" w:cs="Arial"/>
                <w:color w:val="000000"/>
                <w:sz w:val="20"/>
                <w:szCs w:val="20"/>
              </w:rPr>
              <w:t>86.7</w:t>
            </w:r>
          </w:p>
        </w:tc>
        <w:tc>
          <w:tcPr>
            <w:tcW w:w="1417" w:type="dxa"/>
            <w:vAlign w:val="center"/>
          </w:tcPr>
          <w:p w:rsidR="00F94038" w:rsidRPr="00F94038" w:rsidRDefault="00F94038" w:rsidP="006563F9">
            <w:pPr>
              <w:jc w:val="right"/>
              <w:rPr>
                <w:rFonts w:ascii="Arial" w:hAnsi="Arial" w:cs="Arial"/>
                <w:color w:val="000000"/>
                <w:sz w:val="20"/>
                <w:szCs w:val="20"/>
              </w:rPr>
            </w:pPr>
            <w:r w:rsidRPr="00F94038">
              <w:rPr>
                <w:rFonts w:ascii="Arial" w:hAnsi="Arial" w:cs="Arial"/>
                <w:color w:val="000000"/>
                <w:sz w:val="20"/>
                <w:szCs w:val="20"/>
              </w:rPr>
              <w:t>0</w:t>
            </w:r>
          </w:p>
        </w:tc>
        <w:tc>
          <w:tcPr>
            <w:tcW w:w="1418" w:type="dxa"/>
            <w:vAlign w:val="center"/>
          </w:tcPr>
          <w:p w:rsidR="00F94038" w:rsidRPr="00F94038" w:rsidRDefault="00F94038" w:rsidP="006563F9">
            <w:pPr>
              <w:jc w:val="right"/>
              <w:rPr>
                <w:rFonts w:ascii="Arial" w:hAnsi="Arial" w:cs="Arial"/>
                <w:color w:val="000000"/>
                <w:sz w:val="20"/>
                <w:szCs w:val="20"/>
              </w:rPr>
            </w:pPr>
            <w:r w:rsidRPr="00F94038">
              <w:rPr>
                <w:rFonts w:ascii="Arial" w:hAnsi="Arial" w:cs="Arial"/>
                <w:color w:val="000000"/>
                <w:sz w:val="20"/>
                <w:szCs w:val="20"/>
              </w:rPr>
              <w:t>2.5</w:t>
            </w:r>
          </w:p>
        </w:tc>
        <w:tc>
          <w:tcPr>
            <w:tcW w:w="1276" w:type="dxa"/>
            <w:vAlign w:val="center"/>
          </w:tcPr>
          <w:p w:rsidR="00F94038" w:rsidRPr="00F94038" w:rsidRDefault="00F94038" w:rsidP="006563F9">
            <w:pPr>
              <w:jc w:val="right"/>
              <w:rPr>
                <w:rFonts w:ascii="Arial" w:hAnsi="Arial" w:cs="Arial"/>
                <w:color w:val="000000"/>
                <w:sz w:val="20"/>
                <w:szCs w:val="20"/>
              </w:rPr>
            </w:pPr>
            <w:r w:rsidRPr="00F94038">
              <w:rPr>
                <w:rFonts w:ascii="Arial" w:hAnsi="Arial" w:cs="Arial"/>
                <w:color w:val="000000"/>
                <w:sz w:val="20"/>
                <w:szCs w:val="20"/>
              </w:rPr>
              <w:t>10.8</w:t>
            </w:r>
          </w:p>
        </w:tc>
        <w:tc>
          <w:tcPr>
            <w:tcW w:w="1275" w:type="dxa"/>
            <w:vAlign w:val="center"/>
          </w:tcPr>
          <w:p w:rsidR="00F94038" w:rsidRPr="00F94038" w:rsidRDefault="00F94038" w:rsidP="006563F9">
            <w:pPr>
              <w:jc w:val="right"/>
              <w:rPr>
                <w:rFonts w:ascii="Arial" w:hAnsi="Arial" w:cs="Arial"/>
                <w:color w:val="000000"/>
                <w:sz w:val="20"/>
                <w:szCs w:val="20"/>
              </w:rPr>
            </w:pPr>
            <w:r w:rsidRPr="00F94038">
              <w:rPr>
                <w:rFonts w:ascii="Arial" w:hAnsi="Arial" w:cs="Arial"/>
                <w:color w:val="000000"/>
                <w:sz w:val="20"/>
                <w:szCs w:val="20"/>
              </w:rPr>
              <w:t>0</w:t>
            </w:r>
          </w:p>
        </w:tc>
      </w:tr>
      <w:tr w:rsidR="00F94038" w:rsidRPr="00DD2249" w:rsidTr="006563F9">
        <w:trPr>
          <w:trHeight w:val="315"/>
        </w:trPr>
        <w:tc>
          <w:tcPr>
            <w:tcW w:w="1696" w:type="dxa"/>
            <w:shd w:val="clear" w:color="auto" w:fill="auto"/>
            <w:noWrap/>
            <w:vAlign w:val="center"/>
            <w:hideMark/>
          </w:tcPr>
          <w:p w:rsidR="00F94038" w:rsidRPr="00F94038" w:rsidRDefault="00F94038" w:rsidP="006563F9">
            <w:pPr>
              <w:spacing w:after="0" w:line="240" w:lineRule="auto"/>
              <w:rPr>
                <w:rFonts w:ascii="Arial" w:eastAsia="Times New Roman" w:hAnsi="Arial" w:cs="Arial"/>
                <w:color w:val="000000"/>
                <w:sz w:val="20"/>
                <w:szCs w:val="20"/>
                <w:lang w:eastAsia="en-GB"/>
              </w:rPr>
            </w:pPr>
            <w:r w:rsidRPr="00F94038">
              <w:rPr>
                <w:rFonts w:ascii="Arial" w:eastAsia="Times New Roman" w:hAnsi="Arial" w:cs="Arial"/>
                <w:color w:val="000000"/>
                <w:sz w:val="20"/>
                <w:szCs w:val="20"/>
                <w:lang w:eastAsia="en-GB"/>
              </w:rPr>
              <w:t>Latvia</w:t>
            </w:r>
          </w:p>
        </w:tc>
        <w:tc>
          <w:tcPr>
            <w:tcW w:w="1418" w:type="dxa"/>
            <w:shd w:val="clear" w:color="auto" w:fill="auto"/>
            <w:noWrap/>
            <w:vAlign w:val="center"/>
          </w:tcPr>
          <w:p w:rsidR="00F94038" w:rsidRPr="00F94038" w:rsidRDefault="00F94038" w:rsidP="006563F9">
            <w:pPr>
              <w:jc w:val="right"/>
              <w:rPr>
                <w:rFonts w:ascii="Arial" w:hAnsi="Arial" w:cs="Arial"/>
                <w:color w:val="000000"/>
                <w:sz w:val="20"/>
                <w:szCs w:val="20"/>
              </w:rPr>
            </w:pPr>
            <w:r w:rsidRPr="00F94038">
              <w:rPr>
                <w:rFonts w:ascii="Arial" w:hAnsi="Arial" w:cs="Arial"/>
                <w:color w:val="000000"/>
                <w:sz w:val="20"/>
                <w:szCs w:val="20"/>
              </w:rPr>
              <w:t>34.1</w:t>
            </w:r>
          </w:p>
        </w:tc>
        <w:tc>
          <w:tcPr>
            <w:tcW w:w="1417" w:type="dxa"/>
            <w:vAlign w:val="center"/>
          </w:tcPr>
          <w:p w:rsidR="00F94038" w:rsidRPr="00F94038" w:rsidRDefault="00F94038" w:rsidP="006563F9">
            <w:pPr>
              <w:jc w:val="right"/>
              <w:rPr>
                <w:rFonts w:ascii="Arial" w:hAnsi="Arial" w:cs="Arial"/>
                <w:color w:val="000000"/>
                <w:sz w:val="20"/>
                <w:szCs w:val="20"/>
              </w:rPr>
            </w:pPr>
            <w:r w:rsidRPr="00F94038">
              <w:rPr>
                <w:rFonts w:ascii="Arial" w:hAnsi="Arial" w:cs="Arial"/>
                <w:color w:val="000000"/>
                <w:sz w:val="20"/>
                <w:szCs w:val="20"/>
              </w:rPr>
              <w:t>0</w:t>
            </w:r>
          </w:p>
        </w:tc>
        <w:tc>
          <w:tcPr>
            <w:tcW w:w="1418" w:type="dxa"/>
            <w:vAlign w:val="center"/>
          </w:tcPr>
          <w:p w:rsidR="00F94038" w:rsidRPr="00F94038" w:rsidRDefault="00F94038" w:rsidP="006563F9">
            <w:pPr>
              <w:jc w:val="right"/>
              <w:rPr>
                <w:rFonts w:ascii="Arial" w:hAnsi="Arial" w:cs="Arial"/>
                <w:color w:val="000000"/>
                <w:sz w:val="20"/>
                <w:szCs w:val="20"/>
              </w:rPr>
            </w:pPr>
            <w:r w:rsidRPr="00F94038">
              <w:rPr>
                <w:rFonts w:ascii="Arial" w:hAnsi="Arial" w:cs="Arial"/>
                <w:color w:val="000000"/>
                <w:sz w:val="20"/>
                <w:szCs w:val="20"/>
              </w:rPr>
              <w:t>15.5</w:t>
            </w:r>
          </w:p>
        </w:tc>
        <w:tc>
          <w:tcPr>
            <w:tcW w:w="1276" w:type="dxa"/>
            <w:vAlign w:val="center"/>
          </w:tcPr>
          <w:p w:rsidR="00F94038" w:rsidRPr="00F94038" w:rsidRDefault="00F94038" w:rsidP="006563F9">
            <w:pPr>
              <w:jc w:val="right"/>
              <w:rPr>
                <w:rFonts w:ascii="Arial" w:hAnsi="Arial" w:cs="Arial"/>
                <w:color w:val="000000"/>
                <w:sz w:val="20"/>
                <w:szCs w:val="20"/>
              </w:rPr>
            </w:pPr>
            <w:r w:rsidRPr="00F94038">
              <w:rPr>
                <w:rFonts w:ascii="Arial" w:hAnsi="Arial" w:cs="Arial"/>
                <w:color w:val="000000"/>
                <w:sz w:val="20"/>
                <w:szCs w:val="20"/>
              </w:rPr>
              <w:t>46.3</w:t>
            </w:r>
          </w:p>
        </w:tc>
        <w:tc>
          <w:tcPr>
            <w:tcW w:w="1275" w:type="dxa"/>
            <w:vAlign w:val="center"/>
          </w:tcPr>
          <w:p w:rsidR="00F94038" w:rsidRPr="00F94038" w:rsidRDefault="00F94038" w:rsidP="006563F9">
            <w:pPr>
              <w:jc w:val="right"/>
              <w:rPr>
                <w:rFonts w:ascii="Arial" w:hAnsi="Arial" w:cs="Arial"/>
                <w:color w:val="000000"/>
                <w:sz w:val="20"/>
                <w:szCs w:val="20"/>
              </w:rPr>
            </w:pPr>
            <w:r w:rsidRPr="00F94038">
              <w:rPr>
                <w:rFonts w:ascii="Arial" w:hAnsi="Arial" w:cs="Arial"/>
                <w:color w:val="000000"/>
                <w:sz w:val="20"/>
                <w:szCs w:val="20"/>
              </w:rPr>
              <w:t>4.1</w:t>
            </w:r>
          </w:p>
        </w:tc>
      </w:tr>
      <w:tr w:rsidR="00F94038" w:rsidRPr="00DD2249" w:rsidTr="006563F9">
        <w:trPr>
          <w:trHeight w:val="315"/>
        </w:trPr>
        <w:tc>
          <w:tcPr>
            <w:tcW w:w="1696" w:type="dxa"/>
            <w:shd w:val="clear" w:color="auto" w:fill="auto"/>
            <w:noWrap/>
            <w:vAlign w:val="center"/>
            <w:hideMark/>
          </w:tcPr>
          <w:p w:rsidR="00F94038" w:rsidRPr="00F94038" w:rsidRDefault="00F94038" w:rsidP="006563F9">
            <w:pPr>
              <w:spacing w:after="0" w:line="240" w:lineRule="auto"/>
              <w:rPr>
                <w:rFonts w:ascii="Arial" w:eastAsia="Times New Roman" w:hAnsi="Arial" w:cs="Arial"/>
                <w:color w:val="000000"/>
                <w:sz w:val="20"/>
                <w:szCs w:val="20"/>
                <w:lang w:eastAsia="en-GB"/>
              </w:rPr>
            </w:pPr>
            <w:r w:rsidRPr="00F94038">
              <w:rPr>
                <w:rFonts w:ascii="Arial" w:eastAsia="Times New Roman" w:hAnsi="Arial" w:cs="Arial"/>
                <w:color w:val="000000"/>
                <w:sz w:val="20"/>
                <w:szCs w:val="20"/>
                <w:lang w:eastAsia="en-GB"/>
              </w:rPr>
              <w:t>Poland</w:t>
            </w:r>
          </w:p>
        </w:tc>
        <w:tc>
          <w:tcPr>
            <w:tcW w:w="1418" w:type="dxa"/>
            <w:shd w:val="clear" w:color="auto" w:fill="auto"/>
            <w:noWrap/>
            <w:vAlign w:val="center"/>
          </w:tcPr>
          <w:p w:rsidR="00F94038" w:rsidRPr="00F94038" w:rsidRDefault="00F94038" w:rsidP="006563F9">
            <w:pPr>
              <w:jc w:val="right"/>
              <w:rPr>
                <w:rFonts w:ascii="Arial" w:hAnsi="Arial" w:cs="Arial"/>
                <w:color w:val="000000"/>
                <w:sz w:val="20"/>
                <w:szCs w:val="20"/>
              </w:rPr>
            </w:pPr>
            <w:r w:rsidRPr="00F94038">
              <w:rPr>
                <w:rFonts w:ascii="Arial" w:hAnsi="Arial" w:cs="Arial"/>
                <w:color w:val="000000"/>
                <w:sz w:val="20"/>
                <w:szCs w:val="20"/>
              </w:rPr>
              <w:t>7.4</w:t>
            </w:r>
          </w:p>
        </w:tc>
        <w:tc>
          <w:tcPr>
            <w:tcW w:w="1417" w:type="dxa"/>
            <w:vAlign w:val="center"/>
          </w:tcPr>
          <w:p w:rsidR="00F94038" w:rsidRPr="00F94038" w:rsidRDefault="00F94038" w:rsidP="006563F9">
            <w:pPr>
              <w:jc w:val="right"/>
              <w:rPr>
                <w:rFonts w:ascii="Arial" w:hAnsi="Arial" w:cs="Arial"/>
                <w:color w:val="000000"/>
                <w:sz w:val="20"/>
                <w:szCs w:val="20"/>
              </w:rPr>
            </w:pPr>
            <w:r w:rsidRPr="00F94038">
              <w:rPr>
                <w:rFonts w:ascii="Arial" w:hAnsi="Arial" w:cs="Arial"/>
                <w:color w:val="000000"/>
                <w:sz w:val="20"/>
                <w:szCs w:val="20"/>
              </w:rPr>
              <w:t>4.5</w:t>
            </w:r>
          </w:p>
        </w:tc>
        <w:tc>
          <w:tcPr>
            <w:tcW w:w="1418" w:type="dxa"/>
            <w:vAlign w:val="center"/>
          </w:tcPr>
          <w:p w:rsidR="00F94038" w:rsidRPr="00F94038" w:rsidRDefault="00F94038" w:rsidP="006563F9">
            <w:pPr>
              <w:jc w:val="right"/>
              <w:rPr>
                <w:rFonts w:ascii="Arial" w:hAnsi="Arial" w:cs="Arial"/>
                <w:color w:val="000000"/>
                <w:sz w:val="20"/>
                <w:szCs w:val="20"/>
              </w:rPr>
            </w:pPr>
            <w:r w:rsidRPr="00F94038">
              <w:rPr>
                <w:rFonts w:ascii="Arial" w:hAnsi="Arial" w:cs="Arial"/>
                <w:color w:val="000000"/>
                <w:sz w:val="20"/>
                <w:szCs w:val="20"/>
              </w:rPr>
              <w:t>2.2</w:t>
            </w:r>
          </w:p>
        </w:tc>
        <w:tc>
          <w:tcPr>
            <w:tcW w:w="1276" w:type="dxa"/>
            <w:vAlign w:val="center"/>
          </w:tcPr>
          <w:p w:rsidR="00F94038" w:rsidRPr="00F94038" w:rsidRDefault="00F94038" w:rsidP="006563F9">
            <w:pPr>
              <w:jc w:val="right"/>
              <w:rPr>
                <w:rFonts w:ascii="Arial" w:hAnsi="Arial" w:cs="Arial"/>
                <w:color w:val="000000"/>
                <w:sz w:val="20"/>
                <w:szCs w:val="20"/>
              </w:rPr>
            </w:pPr>
            <w:r w:rsidRPr="00F94038">
              <w:rPr>
                <w:rFonts w:ascii="Arial" w:hAnsi="Arial" w:cs="Arial"/>
                <w:color w:val="000000"/>
                <w:sz w:val="20"/>
                <w:szCs w:val="20"/>
              </w:rPr>
              <w:t>73.2</w:t>
            </w:r>
          </w:p>
        </w:tc>
        <w:tc>
          <w:tcPr>
            <w:tcW w:w="1275" w:type="dxa"/>
            <w:vAlign w:val="center"/>
          </w:tcPr>
          <w:p w:rsidR="00F94038" w:rsidRPr="00F94038" w:rsidRDefault="00F94038" w:rsidP="006563F9">
            <w:pPr>
              <w:jc w:val="right"/>
              <w:rPr>
                <w:rFonts w:ascii="Arial" w:hAnsi="Arial" w:cs="Arial"/>
                <w:color w:val="000000"/>
                <w:sz w:val="20"/>
                <w:szCs w:val="20"/>
              </w:rPr>
            </w:pPr>
            <w:r w:rsidRPr="00F94038">
              <w:rPr>
                <w:rFonts w:ascii="Arial" w:hAnsi="Arial" w:cs="Arial"/>
                <w:color w:val="000000"/>
                <w:sz w:val="20"/>
                <w:szCs w:val="20"/>
              </w:rPr>
              <w:t>12.8</w:t>
            </w:r>
          </w:p>
        </w:tc>
      </w:tr>
      <w:tr w:rsidR="00F94038" w:rsidRPr="00DD2249" w:rsidTr="006563F9">
        <w:trPr>
          <w:trHeight w:val="315"/>
        </w:trPr>
        <w:tc>
          <w:tcPr>
            <w:tcW w:w="1696" w:type="dxa"/>
            <w:shd w:val="clear" w:color="auto" w:fill="auto"/>
            <w:noWrap/>
            <w:vAlign w:val="center"/>
            <w:hideMark/>
          </w:tcPr>
          <w:p w:rsidR="00F94038" w:rsidRPr="00F94038" w:rsidRDefault="00F94038" w:rsidP="006563F9">
            <w:pPr>
              <w:spacing w:after="0" w:line="240" w:lineRule="auto"/>
              <w:rPr>
                <w:rFonts w:ascii="Arial" w:eastAsia="Times New Roman" w:hAnsi="Arial" w:cs="Arial"/>
                <w:color w:val="000000"/>
                <w:sz w:val="20"/>
                <w:szCs w:val="20"/>
                <w:lang w:eastAsia="en-GB"/>
              </w:rPr>
            </w:pPr>
            <w:r w:rsidRPr="00F94038">
              <w:rPr>
                <w:rFonts w:ascii="Arial" w:eastAsia="Times New Roman" w:hAnsi="Arial" w:cs="Arial"/>
                <w:color w:val="000000"/>
                <w:sz w:val="20"/>
                <w:szCs w:val="20"/>
                <w:lang w:eastAsia="en-GB"/>
              </w:rPr>
              <w:t>Portugal</w:t>
            </w:r>
          </w:p>
        </w:tc>
        <w:tc>
          <w:tcPr>
            <w:tcW w:w="1418" w:type="dxa"/>
            <w:shd w:val="clear" w:color="auto" w:fill="auto"/>
            <w:noWrap/>
            <w:vAlign w:val="center"/>
          </w:tcPr>
          <w:p w:rsidR="00F94038" w:rsidRPr="00F94038" w:rsidRDefault="00F94038" w:rsidP="006563F9">
            <w:pPr>
              <w:jc w:val="right"/>
              <w:rPr>
                <w:rFonts w:ascii="Arial" w:hAnsi="Arial" w:cs="Arial"/>
                <w:color w:val="000000"/>
                <w:sz w:val="20"/>
                <w:szCs w:val="20"/>
              </w:rPr>
            </w:pPr>
            <w:r w:rsidRPr="00F94038">
              <w:rPr>
                <w:rFonts w:ascii="Arial" w:hAnsi="Arial" w:cs="Arial"/>
                <w:color w:val="000000"/>
                <w:sz w:val="20"/>
                <w:szCs w:val="20"/>
              </w:rPr>
              <w:t>81.2</w:t>
            </w:r>
          </w:p>
        </w:tc>
        <w:tc>
          <w:tcPr>
            <w:tcW w:w="1417" w:type="dxa"/>
            <w:vAlign w:val="center"/>
          </w:tcPr>
          <w:p w:rsidR="00F94038" w:rsidRPr="00F94038" w:rsidRDefault="00F94038" w:rsidP="006563F9">
            <w:pPr>
              <w:jc w:val="right"/>
              <w:rPr>
                <w:rFonts w:ascii="Arial" w:hAnsi="Arial" w:cs="Arial"/>
                <w:color w:val="000000"/>
                <w:sz w:val="20"/>
                <w:szCs w:val="20"/>
              </w:rPr>
            </w:pPr>
            <w:r w:rsidRPr="00F94038">
              <w:rPr>
                <w:rFonts w:ascii="Arial" w:hAnsi="Arial" w:cs="Arial"/>
                <w:color w:val="000000"/>
                <w:sz w:val="20"/>
                <w:szCs w:val="20"/>
              </w:rPr>
              <w:t>0</w:t>
            </w:r>
          </w:p>
        </w:tc>
        <w:tc>
          <w:tcPr>
            <w:tcW w:w="1418" w:type="dxa"/>
            <w:vAlign w:val="center"/>
          </w:tcPr>
          <w:p w:rsidR="00F94038" w:rsidRPr="00F94038" w:rsidRDefault="00F94038" w:rsidP="006563F9">
            <w:pPr>
              <w:jc w:val="right"/>
              <w:rPr>
                <w:rFonts w:ascii="Arial" w:hAnsi="Arial" w:cs="Arial"/>
                <w:color w:val="000000"/>
                <w:sz w:val="20"/>
                <w:szCs w:val="20"/>
              </w:rPr>
            </w:pPr>
            <w:r w:rsidRPr="00F94038">
              <w:rPr>
                <w:rFonts w:ascii="Arial" w:hAnsi="Arial" w:cs="Arial"/>
                <w:color w:val="000000"/>
                <w:sz w:val="20"/>
                <w:szCs w:val="20"/>
              </w:rPr>
              <w:t>0</w:t>
            </w:r>
          </w:p>
        </w:tc>
        <w:tc>
          <w:tcPr>
            <w:tcW w:w="1276" w:type="dxa"/>
            <w:vAlign w:val="center"/>
          </w:tcPr>
          <w:p w:rsidR="00F94038" w:rsidRPr="00F94038" w:rsidRDefault="00F94038" w:rsidP="006563F9">
            <w:pPr>
              <w:jc w:val="right"/>
              <w:rPr>
                <w:rFonts w:ascii="Arial" w:hAnsi="Arial" w:cs="Arial"/>
                <w:color w:val="000000"/>
                <w:sz w:val="20"/>
                <w:szCs w:val="20"/>
              </w:rPr>
            </w:pPr>
            <w:r w:rsidRPr="00F94038">
              <w:rPr>
                <w:rFonts w:ascii="Arial" w:hAnsi="Arial" w:cs="Arial"/>
                <w:color w:val="000000"/>
                <w:sz w:val="20"/>
                <w:szCs w:val="20"/>
              </w:rPr>
              <w:t>13.8</w:t>
            </w:r>
          </w:p>
        </w:tc>
        <w:tc>
          <w:tcPr>
            <w:tcW w:w="1275" w:type="dxa"/>
            <w:vAlign w:val="center"/>
          </w:tcPr>
          <w:p w:rsidR="00F94038" w:rsidRPr="00F94038" w:rsidRDefault="00F94038" w:rsidP="006563F9">
            <w:pPr>
              <w:jc w:val="right"/>
              <w:rPr>
                <w:rFonts w:ascii="Arial" w:hAnsi="Arial" w:cs="Arial"/>
                <w:color w:val="000000"/>
                <w:sz w:val="20"/>
                <w:szCs w:val="20"/>
              </w:rPr>
            </w:pPr>
            <w:r w:rsidRPr="00F94038">
              <w:rPr>
                <w:rFonts w:ascii="Arial" w:hAnsi="Arial" w:cs="Arial"/>
                <w:color w:val="000000"/>
                <w:sz w:val="20"/>
                <w:szCs w:val="20"/>
              </w:rPr>
              <w:t>5</w:t>
            </w:r>
          </w:p>
        </w:tc>
      </w:tr>
      <w:tr w:rsidR="00F94038" w:rsidRPr="00DD2249" w:rsidTr="006563F9">
        <w:trPr>
          <w:trHeight w:val="315"/>
        </w:trPr>
        <w:tc>
          <w:tcPr>
            <w:tcW w:w="1696" w:type="dxa"/>
            <w:shd w:val="clear" w:color="auto" w:fill="auto"/>
            <w:noWrap/>
            <w:vAlign w:val="center"/>
            <w:hideMark/>
          </w:tcPr>
          <w:p w:rsidR="00F94038" w:rsidRPr="00F94038" w:rsidRDefault="00F94038" w:rsidP="006563F9">
            <w:pPr>
              <w:spacing w:after="0" w:line="240" w:lineRule="auto"/>
              <w:rPr>
                <w:rFonts w:ascii="Arial" w:eastAsia="Times New Roman" w:hAnsi="Arial" w:cs="Arial"/>
                <w:color w:val="000000"/>
                <w:sz w:val="20"/>
                <w:szCs w:val="20"/>
                <w:lang w:eastAsia="en-GB"/>
              </w:rPr>
            </w:pPr>
            <w:r w:rsidRPr="00F94038">
              <w:rPr>
                <w:rFonts w:ascii="Arial" w:eastAsia="Times New Roman" w:hAnsi="Arial" w:cs="Arial"/>
                <w:color w:val="000000"/>
                <w:sz w:val="20"/>
                <w:szCs w:val="20"/>
                <w:lang w:eastAsia="en-GB"/>
              </w:rPr>
              <w:t>Romania</w:t>
            </w:r>
          </w:p>
        </w:tc>
        <w:tc>
          <w:tcPr>
            <w:tcW w:w="1418" w:type="dxa"/>
            <w:shd w:val="clear" w:color="auto" w:fill="auto"/>
            <w:noWrap/>
            <w:vAlign w:val="center"/>
          </w:tcPr>
          <w:p w:rsidR="00F94038" w:rsidRPr="00F94038" w:rsidRDefault="00F94038" w:rsidP="006563F9">
            <w:pPr>
              <w:jc w:val="right"/>
              <w:rPr>
                <w:rFonts w:ascii="Arial" w:hAnsi="Arial" w:cs="Arial"/>
                <w:color w:val="000000"/>
                <w:sz w:val="20"/>
                <w:szCs w:val="20"/>
              </w:rPr>
            </w:pPr>
            <w:r w:rsidRPr="00F94038">
              <w:rPr>
                <w:rFonts w:ascii="Arial" w:hAnsi="Arial" w:cs="Arial"/>
                <w:color w:val="000000"/>
                <w:sz w:val="20"/>
                <w:szCs w:val="20"/>
              </w:rPr>
              <w:t>62.9</w:t>
            </w:r>
          </w:p>
        </w:tc>
        <w:tc>
          <w:tcPr>
            <w:tcW w:w="1417" w:type="dxa"/>
            <w:vAlign w:val="center"/>
          </w:tcPr>
          <w:p w:rsidR="00F94038" w:rsidRPr="00F94038" w:rsidRDefault="00F94038" w:rsidP="006563F9">
            <w:pPr>
              <w:jc w:val="right"/>
              <w:rPr>
                <w:rFonts w:ascii="Arial" w:hAnsi="Arial" w:cs="Arial"/>
                <w:color w:val="000000"/>
                <w:sz w:val="20"/>
                <w:szCs w:val="20"/>
              </w:rPr>
            </w:pPr>
            <w:r w:rsidRPr="00F94038">
              <w:rPr>
                <w:rFonts w:ascii="Arial" w:hAnsi="Arial" w:cs="Arial"/>
                <w:color w:val="000000"/>
                <w:sz w:val="20"/>
                <w:szCs w:val="20"/>
              </w:rPr>
              <w:t>10.6</w:t>
            </w:r>
          </w:p>
        </w:tc>
        <w:tc>
          <w:tcPr>
            <w:tcW w:w="1418" w:type="dxa"/>
            <w:vAlign w:val="center"/>
          </w:tcPr>
          <w:p w:rsidR="00F94038" w:rsidRPr="00F94038" w:rsidRDefault="00F94038" w:rsidP="006563F9">
            <w:pPr>
              <w:jc w:val="right"/>
              <w:rPr>
                <w:rFonts w:ascii="Arial" w:hAnsi="Arial" w:cs="Arial"/>
                <w:color w:val="000000"/>
                <w:sz w:val="20"/>
                <w:szCs w:val="20"/>
              </w:rPr>
            </w:pPr>
            <w:r w:rsidRPr="00F94038">
              <w:rPr>
                <w:rFonts w:ascii="Arial" w:hAnsi="Arial" w:cs="Arial"/>
                <w:color w:val="000000"/>
                <w:sz w:val="20"/>
                <w:szCs w:val="20"/>
              </w:rPr>
              <w:t>4.5</w:t>
            </w:r>
          </w:p>
        </w:tc>
        <w:tc>
          <w:tcPr>
            <w:tcW w:w="1276" w:type="dxa"/>
            <w:vAlign w:val="center"/>
          </w:tcPr>
          <w:p w:rsidR="00F94038" w:rsidRPr="00F94038" w:rsidRDefault="00F94038" w:rsidP="006563F9">
            <w:pPr>
              <w:jc w:val="right"/>
              <w:rPr>
                <w:rFonts w:ascii="Arial" w:hAnsi="Arial" w:cs="Arial"/>
                <w:color w:val="000000"/>
                <w:sz w:val="20"/>
                <w:szCs w:val="20"/>
              </w:rPr>
            </w:pPr>
            <w:r w:rsidRPr="00F94038">
              <w:rPr>
                <w:rFonts w:ascii="Arial" w:hAnsi="Arial" w:cs="Arial"/>
                <w:color w:val="000000"/>
                <w:sz w:val="20"/>
                <w:szCs w:val="20"/>
              </w:rPr>
              <w:t>11</w:t>
            </w:r>
          </w:p>
        </w:tc>
        <w:tc>
          <w:tcPr>
            <w:tcW w:w="1275" w:type="dxa"/>
            <w:vAlign w:val="center"/>
          </w:tcPr>
          <w:p w:rsidR="00F94038" w:rsidRPr="00F94038" w:rsidRDefault="00F94038" w:rsidP="006563F9">
            <w:pPr>
              <w:jc w:val="right"/>
              <w:rPr>
                <w:rFonts w:ascii="Arial" w:hAnsi="Arial" w:cs="Arial"/>
                <w:color w:val="000000"/>
                <w:sz w:val="20"/>
                <w:szCs w:val="20"/>
              </w:rPr>
            </w:pPr>
            <w:r w:rsidRPr="00F94038">
              <w:rPr>
                <w:rFonts w:ascii="Arial" w:hAnsi="Arial" w:cs="Arial"/>
                <w:color w:val="000000"/>
                <w:sz w:val="20"/>
                <w:szCs w:val="20"/>
              </w:rPr>
              <w:t>11.1</w:t>
            </w:r>
          </w:p>
        </w:tc>
      </w:tr>
      <w:tr w:rsidR="00F94038" w:rsidRPr="00DD2249" w:rsidTr="006563F9">
        <w:trPr>
          <w:trHeight w:val="315"/>
        </w:trPr>
        <w:tc>
          <w:tcPr>
            <w:tcW w:w="1696" w:type="dxa"/>
            <w:shd w:val="clear" w:color="auto" w:fill="auto"/>
            <w:noWrap/>
            <w:vAlign w:val="center"/>
            <w:hideMark/>
          </w:tcPr>
          <w:p w:rsidR="00F94038" w:rsidRPr="00F94038" w:rsidRDefault="00F94038" w:rsidP="006563F9">
            <w:pPr>
              <w:spacing w:after="0" w:line="240" w:lineRule="auto"/>
              <w:rPr>
                <w:rFonts w:ascii="Arial" w:eastAsia="Times New Roman" w:hAnsi="Arial" w:cs="Arial"/>
                <w:color w:val="000000"/>
                <w:sz w:val="20"/>
                <w:szCs w:val="20"/>
                <w:lang w:eastAsia="en-GB"/>
              </w:rPr>
            </w:pPr>
            <w:r w:rsidRPr="00F94038">
              <w:rPr>
                <w:rFonts w:ascii="Arial" w:eastAsia="Times New Roman" w:hAnsi="Arial" w:cs="Arial"/>
                <w:color w:val="000000"/>
                <w:sz w:val="20"/>
                <w:szCs w:val="20"/>
                <w:lang w:eastAsia="en-GB"/>
              </w:rPr>
              <w:t>United Kingdom</w:t>
            </w:r>
          </w:p>
        </w:tc>
        <w:tc>
          <w:tcPr>
            <w:tcW w:w="1418" w:type="dxa"/>
            <w:shd w:val="clear" w:color="auto" w:fill="auto"/>
            <w:noWrap/>
            <w:vAlign w:val="center"/>
          </w:tcPr>
          <w:p w:rsidR="00F94038" w:rsidRPr="00F94038" w:rsidRDefault="00F94038" w:rsidP="006563F9">
            <w:pPr>
              <w:jc w:val="right"/>
              <w:rPr>
                <w:rFonts w:ascii="Arial" w:hAnsi="Arial" w:cs="Arial"/>
                <w:color w:val="000000"/>
                <w:sz w:val="20"/>
                <w:szCs w:val="20"/>
              </w:rPr>
            </w:pPr>
            <w:r w:rsidRPr="00F94038">
              <w:rPr>
                <w:rFonts w:ascii="Arial" w:hAnsi="Arial" w:cs="Arial"/>
                <w:color w:val="000000"/>
                <w:sz w:val="20"/>
                <w:szCs w:val="20"/>
              </w:rPr>
              <w:t>0</w:t>
            </w:r>
          </w:p>
        </w:tc>
        <w:tc>
          <w:tcPr>
            <w:tcW w:w="1417" w:type="dxa"/>
            <w:vAlign w:val="center"/>
          </w:tcPr>
          <w:p w:rsidR="00F94038" w:rsidRPr="00F94038" w:rsidRDefault="00F94038" w:rsidP="006563F9">
            <w:pPr>
              <w:jc w:val="right"/>
              <w:rPr>
                <w:rFonts w:ascii="Arial" w:hAnsi="Arial" w:cs="Arial"/>
                <w:color w:val="000000"/>
                <w:sz w:val="20"/>
                <w:szCs w:val="20"/>
              </w:rPr>
            </w:pPr>
            <w:r w:rsidRPr="00F94038">
              <w:rPr>
                <w:rFonts w:ascii="Arial" w:hAnsi="Arial" w:cs="Arial"/>
                <w:color w:val="000000"/>
                <w:sz w:val="20"/>
                <w:szCs w:val="20"/>
              </w:rPr>
              <w:t>0</w:t>
            </w:r>
          </w:p>
        </w:tc>
        <w:tc>
          <w:tcPr>
            <w:tcW w:w="1418" w:type="dxa"/>
            <w:vAlign w:val="center"/>
          </w:tcPr>
          <w:p w:rsidR="00F94038" w:rsidRPr="00F94038" w:rsidRDefault="00F94038" w:rsidP="006563F9">
            <w:pPr>
              <w:jc w:val="right"/>
              <w:rPr>
                <w:rFonts w:ascii="Arial" w:hAnsi="Arial" w:cs="Arial"/>
                <w:color w:val="000000"/>
                <w:sz w:val="20"/>
                <w:szCs w:val="20"/>
              </w:rPr>
            </w:pPr>
            <w:r w:rsidRPr="00F94038">
              <w:rPr>
                <w:rFonts w:ascii="Arial" w:hAnsi="Arial" w:cs="Arial"/>
                <w:color w:val="000000"/>
                <w:sz w:val="20"/>
                <w:szCs w:val="20"/>
              </w:rPr>
              <w:t>0</w:t>
            </w:r>
          </w:p>
        </w:tc>
        <w:tc>
          <w:tcPr>
            <w:tcW w:w="1276" w:type="dxa"/>
            <w:vAlign w:val="center"/>
          </w:tcPr>
          <w:p w:rsidR="00F94038" w:rsidRPr="00F94038" w:rsidRDefault="00F94038" w:rsidP="006563F9">
            <w:pPr>
              <w:jc w:val="right"/>
              <w:rPr>
                <w:rFonts w:ascii="Arial" w:hAnsi="Arial" w:cs="Arial"/>
                <w:color w:val="000000"/>
                <w:sz w:val="20"/>
                <w:szCs w:val="20"/>
              </w:rPr>
            </w:pPr>
            <w:r w:rsidRPr="00F94038">
              <w:rPr>
                <w:rFonts w:ascii="Arial" w:hAnsi="Arial" w:cs="Arial"/>
                <w:color w:val="000000"/>
                <w:sz w:val="20"/>
                <w:szCs w:val="20"/>
              </w:rPr>
              <w:t>82.8</w:t>
            </w:r>
          </w:p>
        </w:tc>
        <w:tc>
          <w:tcPr>
            <w:tcW w:w="1275" w:type="dxa"/>
            <w:vAlign w:val="center"/>
          </w:tcPr>
          <w:p w:rsidR="00F94038" w:rsidRPr="00F94038" w:rsidRDefault="00F94038" w:rsidP="006563F9">
            <w:pPr>
              <w:jc w:val="right"/>
              <w:rPr>
                <w:rFonts w:ascii="Arial" w:hAnsi="Arial" w:cs="Arial"/>
                <w:color w:val="000000"/>
                <w:sz w:val="20"/>
                <w:szCs w:val="20"/>
              </w:rPr>
            </w:pPr>
            <w:r w:rsidRPr="00F94038">
              <w:rPr>
                <w:rFonts w:ascii="Arial" w:hAnsi="Arial" w:cs="Arial"/>
                <w:color w:val="000000"/>
                <w:sz w:val="20"/>
                <w:szCs w:val="20"/>
              </w:rPr>
              <w:t>17.2</w:t>
            </w:r>
          </w:p>
        </w:tc>
      </w:tr>
    </w:tbl>
    <w:p w:rsidR="00587C85" w:rsidRDefault="00587C85" w:rsidP="000E2AFD"/>
    <w:p w:rsidR="000E2AFD" w:rsidRDefault="000E2AFD" w:rsidP="000E2AFD"/>
    <w:p w:rsidR="00016443" w:rsidRPr="00587C85" w:rsidRDefault="00016443" w:rsidP="0084455B">
      <w:pPr>
        <w:spacing w:line="480" w:lineRule="auto"/>
        <w:rPr>
          <w:i/>
          <w:u w:val="single"/>
        </w:rPr>
      </w:pPr>
      <w:r w:rsidRPr="00587C85">
        <w:rPr>
          <w:i/>
          <w:u w:val="single"/>
        </w:rPr>
        <w:t xml:space="preserve">Unmet </w:t>
      </w:r>
      <w:r w:rsidR="004E3858" w:rsidRPr="00587C85">
        <w:rPr>
          <w:i/>
          <w:u w:val="single"/>
        </w:rPr>
        <w:t>Dental</w:t>
      </w:r>
      <w:r w:rsidRPr="00587C85">
        <w:rPr>
          <w:i/>
          <w:u w:val="single"/>
        </w:rPr>
        <w:t xml:space="preserve"> Needs</w:t>
      </w:r>
    </w:p>
    <w:p w:rsidR="00970D08" w:rsidRDefault="00890F6D" w:rsidP="006563F9">
      <w:bookmarkStart w:id="3" w:name="_Hlk30093018"/>
      <w:r>
        <w:t xml:space="preserve">Equivalent data for unmet dental needs </w:t>
      </w:r>
      <w:proofErr w:type="gramStart"/>
      <w:r>
        <w:t>are</w:t>
      </w:r>
      <w:proofErr w:type="gramEnd"/>
      <w:r>
        <w:t xml:space="preserve"> shown in Table 3.</w:t>
      </w:r>
    </w:p>
    <w:bookmarkEnd w:id="3"/>
    <w:p w:rsidR="00970D08" w:rsidRDefault="00970D08" w:rsidP="006563F9"/>
    <w:p w:rsidR="00970D08" w:rsidRDefault="00970D08" w:rsidP="006563F9"/>
    <w:p w:rsidR="00970D08" w:rsidRDefault="00970D08" w:rsidP="006563F9"/>
    <w:p w:rsidR="00970D08" w:rsidRDefault="00970D08" w:rsidP="006563F9"/>
    <w:p w:rsidR="00970D08" w:rsidRDefault="00970D08" w:rsidP="006563F9"/>
    <w:p w:rsidR="00970D08" w:rsidRDefault="00970D08" w:rsidP="006563F9"/>
    <w:p w:rsidR="00970D08" w:rsidRDefault="00970D08" w:rsidP="006563F9"/>
    <w:p w:rsidR="00970D08" w:rsidRDefault="00970D08" w:rsidP="006563F9"/>
    <w:p w:rsidR="006563F9" w:rsidRDefault="006563F9" w:rsidP="006563F9">
      <w:r>
        <w:t>Table 3. Proportions</w:t>
      </w:r>
      <w:r>
        <w:rPr>
          <w:rFonts w:ascii="Calibri" w:eastAsia="Times New Roman" w:hAnsi="Calibri" w:cs="Times New Roman"/>
          <w:color w:val="000000"/>
          <w:lang w:eastAsia="en-GB"/>
        </w:rPr>
        <w:t xml:space="preserve"> </w:t>
      </w:r>
      <w:r>
        <w:t>of Children with Unmet Dental Needs</w:t>
      </w:r>
      <w:r w:rsidRPr="008D6E4C">
        <w:t xml:space="preserve"> </w:t>
      </w:r>
      <w:r>
        <w:t xml:space="preserve">and Reasons </w:t>
      </w:r>
      <w:r w:rsidR="00B03F19">
        <w:t>– 21 Countries</w:t>
      </w:r>
    </w:p>
    <w:p w:rsidR="006563F9" w:rsidRPr="005D082E" w:rsidRDefault="006563F9" w:rsidP="006563F9">
      <w:pPr>
        <w:rPr>
          <w:rFonts w:ascii="Times New Roman" w:eastAsia="Times New Roman" w:hAnsi="Times New Roman" w:cs="Times New Roman"/>
          <w:sz w:val="24"/>
          <w:szCs w:val="24"/>
          <w:lang w:eastAsia="en-GB"/>
        </w:rPr>
      </w:pPr>
      <w:r w:rsidRPr="001E57E6">
        <w:rPr>
          <w:i/>
        </w:rPr>
        <w:t xml:space="preserve">Compiled </w:t>
      </w:r>
      <w:r>
        <w:rPr>
          <w:i/>
        </w:rPr>
        <w:t>based on</w:t>
      </w:r>
      <w:r w:rsidRPr="001E57E6">
        <w:rPr>
          <w:i/>
        </w:rPr>
        <w:t xml:space="preserve"> Eurostat </w:t>
      </w:r>
      <w:r w:rsidRPr="003D3ECA">
        <w:rPr>
          <w:i/>
        </w:rPr>
        <w:t>Source SILC - ilc_hch1</w:t>
      </w:r>
      <w:r>
        <w:rPr>
          <w:i/>
        </w:rPr>
        <w:t>5</w:t>
      </w:r>
    </w:p>
    <w:p w:rsidR="006563F9" w:rsidRDefault="006563F9" w:rsidP="006563F9"/>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275"/>
        <w:gridCol w:w="1276"/>
        <w:gridCol w:w="1276"/>
        <w:gridCol w:w="1276"/>
        <w:gridCol w:w="1276"/>
        <w:gridCol w:w="1275"/>
        <w:gridCol w:w="1418"/>
      </w:tblGrid>
      <w:tr w:rsidR="00491BE6" w:rsidRPr="00DD2249" w:rsidTr="00DD2249">
        <w:trPr>
          <w:trHeight w:val="381"/>
        </w:trPr>
        <w:tc>
          <w:tcPr>
            <w:tcW w:w="988" w:type="dxa"/>
            <w:vMerge w:val="restart"/>
            <w:shd w:val="clear" w:color="auto" w:fill="auto"/>
            <w:noWrap/>
          </w:tcPr>
          <w:p w:rsidR="00491BE6" w:rsidRPr="00491BE6" w:rsidRDefault="00491BE6" w:rsidP="006563F9">
            <w:pPr>
              <w:spacing w:after="0" w:line="240" w:lineRule="auto"/>
              <w:rPr>
                <w:rFonts w:eastAsia="Times New Roman" w:cs="Times New Roman"/>
                <w:color w:val="000000"/>
                <w:sz w:val="20"/>
                <w:szCs w:val="20"/>
                <w:lang w:eastAsia="en-GB"/>
              </w:rPr>
            </w:pPr>
          </w:p>
        </w:tc>
        <w:tc>
          <w:tcPr>
            <w:tcW w:w="1275" w:type="dxa"/>
            <w:vMerge w:val="restart"/>
          </w:tcPr>
          <w:p w:rsidR="00491BE6" w:rsidRPr="00DD7AFB" w:rsidRDefault="00491BE6" w:rsidP="006563F9">
            <w:pPr>
              <w:spacing w:after="0" w:line="240" w:lineRule="auto"/>
              <w:rPr>
                <w:rFonts w:eastAsia="Times New Roman" w:cs="Times New Roman"/>
                <w:b/>
                <w:color w:val="000000"/>
                <w:sz w:val="20"/>
                <w:szCs w:val="20"/>
                <w:lang w:eastAsia="en-GB"/>
              </w:rPr>
            </w:pPr>
            <w:r w:rsidRPr="00DD7AFB">
              <w:rPr>
                <w:rFonts w:eastAsia="Times New Roman" w:cs="Times New Roman"/>
                <w:b/>
                <w:color w:val="000000"/>
                <w:sz w:val="20"/>
                <w:szCs w:val="20"/>
                <w:lang w:eastAsia="en-GB"/>
              </w:rPr>
              <w:t>Purported % of children with unmet Dental Need</w:t>
            </w:r>
          </w:p>
        </w:tc>
        <w:tc>
          <w:tcPr>
            <w:tcW w:w="1276" w:type="dxa"/>
            <w:vMerge w:val="restart"/>
          </w:tcPr>
          <w:p w:rsidR="00491BE6" w:rsidRPr="00DD7AFB" w:rsidRDefault="00491BE6" w:rsidP="006563F9">
            <w:pPr>
              <w:spacing w:after="0" w:line="240" w:lineRule="auto"/>
              <w:rPr>
                <w:rFonts w:eastAsia="Times New Roman" w:cs="Times New Roman"/>
                <w:b/>
                <w:color w:val="000000"/>
                <w:sz w:val="20"/>
                <w:szCs w:val="20"/>
                <w:lang w:eastAsia="en-GB"/>
              </w:rPr>
            </w:pPr>
            <w:r w:rsidRPr="00DD7AFB">
              <w:rPr>
                <w:rFonts w:ascii="Calibri" w:eastAsia="Times New Roman" w:hAnsi="Calibri" w:cs="Calibri"/>
                <w:b/>
                <w:color w:val="000000"/>
                <w:sz w:val="20"/>
                <w:lang w:eastAsia="en-GB"/>
              </w:rPr>
              <w:t>Indicative estimate of children with unmet Dental Need</w:t>
            </w:r>
          </w:p>
        </w:tc>
        <w:tc>
          <w:tcPr>
            <w:tcW w:w="6521" w:type="dxa"/>
            <w:gridSpan w:val="5"/>
            <w:shd w:val="clear" w:color="auto" w:fill="auto"/>
            <w:noWrap/>
          </w:tcPr>
          <w:p w:rsidR="00491BE6" w:rsidRPr="00DD7AFB" w:rsidRDefault="00491BE6" w:rsidP="00DD7AFB">
            <w:pPr>
              <w:spacing w:after="0" w:line="240" w:lineRule="auto"/>
              <w:jc w:val="center"/>
              <w:rPr>
                <w:rFonts w:eastAsia="Times New Roman" w:cs="Times New Roman"/>
                <w:b/>
                <w:color w:val="000000"/>
                <w:sz w:val="20"/>
                <w:szCs w:val="20"/>
                <w:lang w:eastAsia="en-GB"/>
              </w:rPr>
            </w:pPr>
            <w:r w:rsidRPr="00DD7AFB">
              <w:rPr>
                <w:rFonts w:eastAsia="Times New Roman" w:cs="Times New Roman"/>
                <w:b/>
                <w:color w:val="000000"/>
                <w:sz w:val="20"/>
                <w:szCs w:val="20"/>
                <w:lang w:eastAsia="en-GB"/>
              </w:rPr>
              <w:t>Reason for not Attending</w:t>
            </w:r>
            <w:r w:rsidR="00C550D7">
              <w:rPr>
                <w:rFonts w:eastAsia="Times New Roman" w:cs="Times New Roman"/>
                <w:b/>
                <w:color w:val="000000"/>
                <w:sz w:val="20"/>
                <w:szCs w:val="20"/>
                <w:lang w:eastAsia="en-GB"/>
              </w:rPr>
              <w:t xml:space="preserve"> (Data supplied for Nine Countries)</w:t>
            </w:r>
          </w:p>
        </w:tc>
      </w:tr>
      <w:tr w:rsidR="00491BE6" w:rsidRPr="00DD7AFB" w:rsidTr="00DD2249">
        <w:trPr>
          <w:trHeight w:val="1092"/>
        </w:trPr>
        <w:tc>
          <w:tcPr>
            <w:tcW w:w="988" w:type="dxa"/>
            <w:vMerge/>
            <w:shd w:val="clear" w:color="auto" w:fill="auto"/>
            <w:noWrap/>
          </w:tcPr>
          <w:p w:rsidR="00491BE6" w:rsidRPr="00766915" w:rsidRDefault="00491BE6" w:rsidP="00491BE6">
            <w:pPr>
              <w:spacing w:after="0" w:line="240" w:lineRule="auto"/>
              <w:rPr>
                <w:rFonts w:eastAsia="Times New Roman" w:cs="Times New Roman"/>
                <w:color w:val="000000"/>
                <w:sz w:val="20"/>
                <w:szCs w:val="20"/>
                <w:lang w:eastAsia="en-GB"/>
              </w:rPr>
            </w:pPr>
          </w:p>
        </w:tc>
        <w:tc>
          <w:tcPr>
            <w:tcW w:w="1275" w:type="dxa"/>
            <w:vMerge/>
          </w:tcPr>
          <w:p w:rsidR="00491BE6" w:rsidRPr="00DD2249" w:rsidRDefault="00491BE6" w:rsidP="00491BE6">
            <w:pPr>
              <w:spacing w:after="0" w:line="240" w:lineRule="auto"/>
              <w:rPr>
                <w:rFonts w:eastAsia="Times New Roman" w:cs="Times New Roman"/>
                <w:b/>
                <w:color w:val="000000"/>
                <w:sz w:val="20"/>
                <w:szCs w:val="20"/>
                <w:lang w:eastAsia="en-GB"/>
              </w:rPr>
            </w:pPr>
          </w:p>
        </w:tc>
        <w:tc>
          <w:tcPr>
            <w:tcW w:w="1276" w:type="dxa"/>
            <w:vMerge/>
            <w:shd w:val="clear" w:color="auto" w:fill="auto"/>
            <w:noWrap/>
          </w:tcPr>
          <w:p w:rsidR="00491BE6" w:rsidRPr="00DD2249" w:rsidRDefault="00491BE6" w:rsidP="00491BE6">
            <w:pPr>
              <w:spacing w:after="0" w:line="240" w:lineRule="auto"/>
              <w:rPr>
                <w:rFonts w:eastAsia="Times New Roman" w:cs="Times New Roman"/>
                <w:b/>
                <w:color w:val="000000"/>
                <w:sz w:val="20"/>
                <w:szCs w:val="20"/>
                <w:lang w:eastAsia="en-GB"/>
              </w:rPr>
            </w:pPr>
          </w:p>
        </w:tc>
        <w:tc>
          <w:tcPr>
            <w:tcW w:w="1276" w:type="dxa"/>
          </w:tcPr>
          <w:p w:rsidR="00491BE6" w:rsidRPr="00DD7AFB" w:rsidRDefault="00491BE6" w:rsidP="00DD7AFB">
            <w:pPr>
              <w:spacing w:after="0" w:line="240" w:lineRule="auto"/>
              <w:rPr>
                <w:rFonts w:eastAsia="Times New Roman" w:cs="Times New Roman"/>
                <w:b/>
                <w:color w:val="000000"/>
                <w:sz w:val="20"/>
                <w:szCs w:val="20"/>
                <w:lang w:eastAsia="en-GB"/>
              </w:rPr>
            </w:pPr>
            <w:r w:rsidRPr="00DD7AFB">
              <w:rPr>
                <w:rFonts w:eastAsia="Times New Roman" w:cs="Times New Roman"/>
                <w:b/>
                <w:color w:val="000000"/>
                <w:sz w:val="20"/>
                <w:szCs w:val="20"/>
                <w:lang w:eastAsia="en-GB"/>
              </w:rPr>
              <w:t>Expense as %</w:t>
            </w:r>
            <w:r w:rsidR="00DD7AFB">
              <w:rPr>
                <w:rFonts w:eastAsia="Times New Roman" w:cs="Times New Roman"/>
                <w:b/>
                <w:color w:val="000000"/>
                <w:sz w:val="20"/>
                <w:szCs w:val="20"/>
                <w:lang w:eastAsia="en-GB"/>
              </w:rPr>
              <w:t xml:space="preserve"> </w:t>
            </w:r>
            <w:r w:rsidRPr="00DD7AFB">
              <w:rPr>
                <w:rFonts w:eastAsia="Times New Roman" w:cs="Times New Roman"/>
                <w:b/>
                <w:color w:val="000000"/>
                <w:sz w:val="20"/>
                <w:szCs w:val="20"/>
                <w:lang w:eastAsia="en-GB"/>
              </w:rPr>
              <w:t>of untreated</w:t>
            </w:r>
          </w:p>
        </w:tc>
        <w:tc>
          <w:tcPr>
            <w:tcW w:w="1276" w:type="dxa"/>
          </w:tcPr>
          <w:p w:rsidR="00491BE6" w:rsidRPr="00DD7AFB" w:rsidRDefault="00491BE6" w:rsidP="00491BE6">
            <w:pPr>
              <w:spacing w:after="0" w:line="240" w:lineRule="auto"/>
              <w:rPr>
                <w:rFonts w:eastAsia="Times New Roman" w:cs="Times New Roman"/>
                <w:b/>
                <w:color w:val="000000"/>
                <w:sz w:val="20"/>
                <w:szCs w:val="20"/>
                <w:lang w:eastAsia="en-GB"/>
              </w:rPr>
            </w:pPr>
            <w:r w:rsidRPr="00DD7AFB">
              <w:rPr>
                <w:rFonts w:eastAsia="Times New Roman" w:cs="Times New Roman"/>
                <w:b/>
                <w:color w:val="000000"/>
                <w:sz w:val="20"/>
                <w:szCs w:val="20"/>
                <w:lang w:eastAsia="en-GB"/>
              </w:rPr>
              <w:t>Too far as</w:t>
            </w:r>
          </w:p>
          <w:p w:rsidR="00491BE6" w:rsidRPr="00DD7AFB" w:rsidRDefault="00491BE6" w:rsidP="00DD7AFB">
            <w:pPr>
              <w:spacing w:after="0" w:line="240" w:lineRule="auto"/>
              <w:rPr>
                <w:rFonts w:eastAsia="Times New Roman" w:cs="Times New Roman"/>
                <w:b/>
                <w:color w:val="000000"/>
                <w:sz w:val="20"/>
                <w:szCs w:val="20"/>
                <w:lang w:eastAsia="en-GB"/>
              </w:rPr>
            </w:pPr>
            <w:r w:rsidRPr="00DD7AFB">
              <w:rPr>
                <w:rFonts w:eastAsia="Times New Roman" w:cs="Times New Roman"/>
                <w:b/>
                <w:color w:val="000000"/>
                <w:sz w:val="20"/>
                <w:szCs w:val="20"/>
                <w:lang w:eastAsia="en-GB"/>
              </w:rPr>
              <w:t>%</w:t>
            </w:r>
            <w:r w:rsidR="00DD7AFB">
              <w:rPr>
                <w:rFonts w:eastAsia="Times New Roman" w:cs="Times New Roman"/>
                <w:b/>
                <w:color w:val="000000"/>
                <w:sz w:val="20"/>
                <w:szCs w:val="20"/>
                <w:lang w:eastAsia="en-GB"/>
              </w:rPr>
              <w:t xml:space="preserve"> </w:t>
            </w:r>
            <w:r w:rsidRPr="00DD7AFB">
              <w:rPr>
                <w:rFonts w:eastAsia="Times New Roman" w:cs="Times New Roman"/>
                <w:b/>
                <w:color w:val="000000"/>
                <w:sz w:val="20"/>
                <w:szCs w:val="20"/>
                <w:lang w:eastAsia="en-GB"/>
              </w:rPr>
              <w:t>of untreated</w:t>
            </w:r>
          </w:p>
        </w:tc>
        <w:tc>
          <w:tcPr>
            <w:tcW w:w="1276" w:type="dxa"/>
          </w:tcPr>
          <w:p w:rsidR="00491BE6" w:rsidRPr="00DD7AFB" w:rsidRDefault="00491BE6" w:rsidP="00491BE6">
            <w:pPr>
              <w:spacing w:after="0" w:line="240" w:lineRule="auto"/>
              <w:rPr>
                <w:rFonts w:eastAsia="Times New Roman" w:cs="Times New Roman"/>
                <w:b/>
                <w:color w:val="000000"/>
                <w:sz w:val="20"/>
                <w:szCs w:val="20"/>
                <w:lang w:eastAsia="en-GB"/>
              </w:rPr>
            </w:pPr>
            <w:r w:rsidRPr="00DD7AFB">
              <w:rPr>
                <w:rFonts w:eastAsia="Times New Roman" w:cs="Times New Roman"/>
                <w:b/>
                <w:color w:val="000000"/>
                <w:sz w:val="20"/>
                <w:szCs w:val="20"/>
                <w:lang w:eastAsia="en-GB"/>
              </w:rPr>
              <w:t>No Time as</w:t>
            </w:r>
          </w:p>
          <w:p w:rsidR="00491BE6" w:rsidRPr="00DD7AFB" w:rsidRDefault="00491BE6" w:rsidP="00DD7AFB">
            <w:pPr>
              <w:spacing w:after="0" w:line="240" w:lineRule="auto"/>
              <w:rPr>
                <w:rFonts w:eastAsia="Times New Roman" w:cs="Times New Roman"/>
                <w:b/>
                <w:color w:val="000000"/>
                <w:sz w:val="20"/>
                <w:szCs w:val="20"/>
                <w:lang w:eastAsia="en-GB"/>
              </w:rPr>
            </w:pPr>
            <w:r w:rsidRPr="00DD7AFB">
              <w:rPr>
                <w:rFonts w:eastAsia="Times New Roman" w:cs="Times New Roman"/>
                <w:b/>
                <w:color w:val="000000"/>
                <w:sz w:val="20"/>
                <w:szCs w:val="20"/>
                <w:lang w:eastAsia="en-GB"/>
              </w:rPr>
              <w:t>%</w:t>
            </w:r>
            <w:r w:rsidR="00DD7AFB">
              <w:rPr>
                <w:rFonts w:eastAsia="Times New Roman" w:cs="Times New Roman"/>
                <w:b/>
                <w:color w:val="000000"/>
                <w:sz w:val="20"/>
                <w:szCs w:val="20"/>
                <w:lang w:eastAsia="en-GB"/>
              </w:rPr>
              <w:t xml:space="preserve"> </w:t>
            </w:r>
            <w:r w:rsidRPr="00DD7AFB">
              <w:rPr>
                <w:rFonts w:eastAsia="Times New Roman" w:cs="Times New Roman"/>
                <w:b/>
                <w:color w:val="000000"/>
                <w:sz w:val="20"/>
                <w:szCs w:val="20"/>
                <w:lang w:eastAsia="en-GB"/>
              </w:rPr>
              <w:t>of untreated</w:t>
            </w:r>
          </w:p>
        </w:tc>
        <w:tc>
          <w:tcPr>
            <w:tcW w:w="1275" w:type="dxa"/>
          </w:tcPr>
          <w:p w:rsidR="00491BE6" w:rsidRPr="00DD7AFB" w:rsidRDefault="00491BE6" w:rsidP="00DD7AFB">
            <w:pPr>
              <w:spacing w:after="0" w:line="240" w:lineRule="auto"/>
              <w:rPr>
                <w:rFonts w:eastAsia="Times New Roman" w:cs="Times New Roman"/>
                <w:b/>
                <w:color w:val="000000"/>
                <w:sz w:val="20"/>
                <w:szCs w:val="20"/>
                <w:lang w:eastAsia="en-GB"/>
              </w:rPr>
            </w:pPr>
            <w:r w:rsidRPr="00DD7AFB">
              <w:rPr>
                <w:rFonts w:eastAsia="Times New Roman" w:cs="Times New Roman"/>
                <w:b/>
                <w:color w:val="000000"/>
                <w:sz w:val="20"/>
                <w:szCs w:val="20"/>
                <w:lang w:eastAsia="en-GB"/>
              </w:rPr>
              <w:t>Waiting List as %</w:t>
            </w:r>
            <w:r w:rsidR="00DD7AFB">
              <w:rPr>
                <w:rFonts w:eastAsia="Times New Roman" w:cs="Times New Roman"/>
                <w:b/>
                <w:color w:val="000000"/>
                <w:sz w:val="20"/>
                <w:szCs w:val="20"/>
                <w:lang w:eastAsia="en-GB"/>
              </w:rPr>
              <w:t xml:space="preserve"> </w:t>
            </w:r>
            <w:r w:rsidRPr="00DD7AFB">
              <w:rPr>
                <w:rFonts w:eastAsia="Times New Roman" w:cs="Times New Roman"/>
                <w:b/>
                <w:color w:val="000000"/>
                <w:sz w:val="20"/>
                <w:szCs w:val="20"/>
                <w:lang w:eastAsia="en-GB"/>
              </w:rPr>
              <w:t>of untreated</w:t>
            </w:r>
          </w:p>
        </w:tc>
        <w:tc>
          <w:tcPr>
            <w:tcW w:w="1418" w:type="dxa"/>
          </w:tcPr>
          <w:p w:rsidR="00491BE6" w:rsidRPr="00DD7AFB" w:rsidRDefault="00491BE6" w:rsidP="00DD7AFB">
            <w:pPr>
              <w:spacing w:after="0" w:line="240" w:lineRule="auto"/>
              <w:rPr>
                <w:rFonts w:eastAsia="Times New Roman" w:cs="Times New Roman"/>
                <w:b/>
                <w:color w:val="000000"/>
                <w:sz w:val="20"/>
                <w:szCs w:val="20"/>
                <w:lang w:eastAsia="en-GB"/>
              </w:rPr>
            </w:pPr>
            <w:r w:rsidRPr="00DD7AFB">
              <w:rPr>
                <w:rFonts w:eastAsia="Times New Roman" w:cs="Times New Roman"/>
                <w:b/>
                <w:color w:val="000000"/>
                <w:sz w:val="20"/>
                <w:szCs w:val="20"/>
                <w:lang w:eastAsia="en-GB"/>
              </w:rPr>
              <w:t>Other Reason as %</w:t>
            </w:r>
            <w:r w:rsidR="00DD7AFB">
              <w:rPr>
                <w:rFonts w:eastAsia="Times New Roman" w:cs="Times New Roman"/>
                <w:b/>
                <w:color w:val="000000"/>
                <w:sz w:val="20"/>
                <w:szCs w:val="20"/>
                <w:lang w:eastAsia="en-GB"/>
              </w:rPr>
              <w:t xml:space="preserve"> </w:t>
            </w:r>
            <w:r w:rsidRPr="00DD7AFB">
              <w:rPr>
                <w:rFonts w:eastAsia="Times New Roman" w:cs="Times New Roman"/>
                <w:b/>
                <w:color w:val="000000"/>
                <w:sz w:val="20"/>
                <w:szCs w:val="20"/>
                <w:lang w:eastAsia="en-GB"/>
              </w:rPr>
              <w:t>of untreated</w:t>
            </w:r>
          </w:p>
        </w:tc>
      </w:tr>
      <w:tr w:rsidR="00DD7AFB" w:rsidRPr="00766915" w:rsidTr="00DD2249">
        <w:trPr>
          <w:trHeight w:val="315"/>
        </w:trPr>
        <w:tc>
          <w:tcPr>
            <w:tcW w:w="988" w:type="dxa"/>
            <w:shd w:val="clear" w:color="auto" w:fill="auto"/>
            <w:noWrap/>
            <w:vAlign w:val="center"/>
            <w:hideMark/>
          </w:tcPr>
          <w:p w:rsidR="00DD7AFB" w:rsidRPr="00766915" w:rsidRDefault="00DD7AFB" w:rsidP="00DD7AFB">
            <w:pPr>
              <w:spacing w:after="0" w:line="240" w:lineRule="auto"/>
              <w:rPr>
                <w:rFonts w:eastAsia="Times New Roman" w:cs="Arial"/>
                <w:color w:val="000000"/>
                <w:sz w:val="20"/>
                <w:szCs w:val="20"/>
                <w:lang w:eastAsia="en-GB"/>
              </w:rPr>
            </w:pPr>
            <w:r w:rsidRPr="00766915">
              <w:rPr>
                <w:rFonts w:eastAsia="Times New Roman" w:cs="Arial"/>
                <w:color w:val="000000"/>
                <w:sz w:val="20"/>
                <w:szCs w:val="20"/>
                <w:lang w:eastAsia="en-GB"/>
              </w:rPr>
              <w:t>Austria</w:t>
            </w:r>
          </w:p>
        </w:tc>
        <w:tc>
          <w:tcPr>
            <w:tcW w:w="1275" w:type="dxa"/>
            <w:vAlign w:val="center"/>
          </w:tcPr>
          <w:p w:rsidR="00DD7AFB" w:rsidRPr="00766915" w:rsidRDefault="00DD7AFB" w:rsidP="00DD7AFB">
            <w:pPr>
              <w:jc w:val="right"/>
              <w:rPr>
                <w:rFonts w:cs="Arial"/>
                <w:color w:val="000000"/>
                <w:sz w:val="20"/>
                <w:szCs w:val="20"/>
              </w:rPr>
            </w:pPr>
            <w:r w:rsidRPr="00766915">
              <w:rPr>
                <w:rFonts w:cs="Arial"/>
                <w:color w:val="000000"/>
                <w:sz w:val="20"/>
                <w:szCs w:val="20"/>
              </w:rPr>
              <w:t>0.9</w:t>
            </w:r>
          </w:p>
        </w:tc>
        <w:tc>
          <w:tcPr>
            <w:tcW w:w="1276" w:type="dxa"/>
            <w:shd w:val="clear" w:color="auto" w:fill="auto"/>
            <w:noWrap/>
            <w:vAlign w:val="bottom"/>
          </w:tcPr>
          <w:p w:rsidR="00DD7AFB" w:rsidRPr="00766915" w:rsidRDefault="00DD7AFB" w:rsidP="00DD7AFB">
            <w:pPr>
              <w:jc w:val="right"/>
              <w:rPr>
                <w:rFonts w:cs="Arial"/>
                <w:color w:val="000000"/>
                <w:sz w:val="20"/>
                <w:szCs w:val="20"/>
              </w:rPr>
            </w:pPr>
            <w:r>
              <w:rPr>
                <w:rFonts w:ascii="Calibri" w:hAnsi="Calibri"/>
                <w:color w:val="000000"/>
              </w:rPr>
              <w:t xml:space="preserve">         13,811 </w:t>
            </w:r>
          </w:p>
        </w:tc>
        <w:tc>
          <w:tcPr>
            <w:tcW w:w="1276" w:type="dxa"/>
            <w:vAlign w:val="center"/>
          </w:tcPr>
          <w:p w:rsidR="00DD7AFB" w:rsidRPr="00766915" w:rsidRDefault="00DD7AFB" w:rsidP="00DD7AFB">
            <w:pPr>
              <w:rPr>
                <w:sz w:val="20"/>
                <w:szCs w:val="20"/>
              </w:rPr>
            </w:pPr>
            <w:r w:rsidRPr="00766915">
              <w:rPr>
                <w:rFonts w:cs="Arial"/>
                <w:color w:val="000000"/>
                <w:sz w:val="20"/>
                <w:szCs w:val="20"/>
              </w:rPr>
              <w:t> </w:t>
            </w:r>
          </w:p>
        </w:tc>
        <w:tc>
          <w:tcPr>
            <w:tcW w:w="1276" w:type="dxa"/>
            <w:vAlign w:val="bottom"/>
          </w:tcPr>
          <w:p w:rsidR="00DD7AFB" w:rsidRPr="00766915" w:rsidRDefault="00DD7AFB" w:rsidP="00DD7AFB">
            <w:pPr>
              <w:rPr>
                <w:sz w:val="20"/>
                <w:szCs w:val="20"/>
              </w:rPr>
            </w:pPr>
          </w:p>
        </w:tc>
        <w:tc>
          <w:tcPr>
            <w:tcW w:w="1276" w:type="dxa"/>
            <w:vAlign w:val="bottom"/>
          </w:tcPr>
          <w:p w:rsidR="00DD7AFB" w:rsidRPr="00766915" w:rsidRDefault="00DD7AFB" w:rsidP="00DD7AFB">
            <w:pPr>
              <w:rPr>
                <w:sz w:val="20"/>
                <w:szCs w:val="20"/>
              </w:rPr>
            </w:pPr>
          </w:p>
        </w:tc>
        <w:tc>
          <w:tcPr>
            <w:tcW w:w="1275" w:type="dxa"/>
            <w:vAlign w:val="bottom"/>
          </w:tcPr>
          <w:p w:rsidR="00DD7AFB" w:rsidRPr="00766915" w:rsidRDefault="00DD7AFB" w:rsidP="00DD7AFB">
            <w:pPr>
              <w:rPr>
                <w:sz w:val="20"/>
                <w:szCs w:val="20"/>
              </w:rPr>
            </w:pPr>
          </w:p>
        </w:tc>
        <w:tc>
          <w:tcPr>
            <w:tcW w:w="1418" w:type="dxa"/>
            <w:vAlign w:val="bottom"/>
          </w:tcPr>
          <w:p w:rsidR="00DD7AFB" w:rsidRPr="00766915" w:rsidRDefault="00DD7AFB" w:rsidP="00DD7AFB">
            <w:pPr>
              <w:rPr>
                <w:sz w:val="20"/>
                <w:szCs w:val="20"/>
              </w:rPr>
            </w:pPr>
          </w:p>
        </w:tc>
      </w:tr>
      <w:tr w:rsidR="00DD7AFB" w:rsidRPr="00766915" w:rsidTr="00DD2249">
        <w:trPr>
          <w:trHeight w:val="315"/>
        </w:trPr>
        <w:tc>
          <w:tcPr>
            <w:tcW w:w="988" w:type="dxa"/>
            <w:shd w:val="clear" w:color="auto" w:fill="auto"/>
            <w:noWrap/>
            <w:vAlign w:val="center"/>
            <w:hideMark/>
          </w:tcPr>
          <w:p w:rsidR="00DD7AFB" w:rsidRPr="00766915" w:rsidRDefault="00DD7AFB" w:rsidP="00DD7AFB">
            <w:pPr>
              <w:spacing w:after="0" w:line="240" w:lineRule="auto"/>
              <w:rPr>
                <w:rFonts w:eastAsia="Times New Roman" w:cs="Arial"/>
                <w:color w:val="000000"/>
                <w:sz w:val="20"/>
                <w:szCs w:val="20"/>
                <w:lang w:eastAsia="en-GB"/>
              </w:rPr>
            </w:pPr>
            <w:r w:rsidRPr="00766915">
              <w:rPr>
                <w:rFonts w:eastAsia="Times New Roman" w:cs="Arial"/>
                <w:color w:val="000000"/>
                <w:sz w:val="20"/>
                <w:szCs w:val="20"/>
                <w:lang w:eastAsia="en-GB"/>
              </w:rPr>
              <w:t>Belgium</w:t>
            </w:r>
          </w:p>
        </w:tc>
        <w:tc>
          <w:tcPr>
            <w:tcW w:w="1275" w:type="dxa"/>
            <w:vAlign w:val="center"/>
          </w:tcPr>
          <w:p w:rsidR="00DD7AFB" w:rsidRPr="00766915" w:rsidRDefault="00DD7AFB" w:rsidP="00DD7AFB">
            <w:pPr>
              <w:jc w:val="right"/>
              <w:rPr>
                <w:rFonts w:cs="Arial"/>
                <w:color w:val="000000"/>
                <w:sz w:val="20"/>
                <w:szCs w:val="20"/>
              </w:rPr>
            </w:pPr>
            <w:r>
              <w:rPr>
                <w:rFonts w:cs="Arial"/>
                <w:color w:val="000000"/>
                <w:sz w:val="20"/>
                <w:szCs w:val="20"/>
              </w:rPr>
              <w:t>7.8</w:t>
            </w:r>
          </w:p>
        </w:tc>
        <w:tc>
          <w:tcPr>
            <w:tcW w:w="1276" w:type="dxa"/>
            <w:shd w:val="clear" w:color="auto" w:fill="auto"/>
            <w:noWrap/>
            <w:vAlign w:val="bottom"/>
          </w:tcPr>
          <w:p w:rsidR="00DD7AFB" w:rsidRPr="00766915" w:rsidRDefault="00DD7AFB" w:rsidP="00DD7AFB">
            <w:pPr>
              <w:jc w:val="right"/>
              <w:rPr>
                <w:rFonts w:cs="Arial"/>
                <w:color w:val="000000"/>
                <w:sz w:val="20"/>
                <w:szCs w:val="20"/>
              </w:rPr>
            </w:pPr>
            <w:r>
              <w:rPr>
                <w:rFonts w:ascii="Calibri" w:hAnsi="Calibri"/>
                <w:color w:val="000000"/>
              </w:rPr>
              <w:t xml:space="preserve">      182,592 </w:t>
            </w:r>
          </w:p>
        </w:tc>
        <w:tc>
          <w:tcPr>
            <w:tcW w:w="1276" w:type="dxa"/>
            <w:vAlign w:val="center"/>
          </w:tcPr>
          <w:p w:rsidR="00DD7AFB" w:rsidRDefault="00DD7AFB" w:rsidP="00DD7AFB">
            <w:pPr>
              <w:jc w:val="right"/>
              <w:rPr>
                <w:rFonts w:cs="Arial"/>
                <w:color w:val="000000"/>
                <w:sz w:val="20"/>
                <w:szCs w:val="20"/>
              </w:rPr>
            </w:pPr>
            <w:r>
              <w:rPr>
                <w:rFonts w:cs="Arial"/>
                <w:color w:val="000000"/>
                <w:sz w:val="20"/>
                <w:szCs w:val="20"/>
              </w:rPr>
              <w:t>89.4</w:t>
            </w:r>
          </w:p>
        </w:tc>
        <w:tc>
          <w:tcPr>
            <w:tcW w:w="1276" w:type="dxa"/>
            <w:vAlign w:val="center"/>
          </w:tcPr>
          <w:p w:rsidR="00DD7AFB" w:rsidRPr="00766915" w:rsidRDefault="00DD7AFB" w:rsidP="00DD7AFB">
            <w:pPr>
              <w:jc w:val="right"/>
              <w:rPr>
                <w:rFonts w:cs="Arial"/>
                <w:color w:val="000000"/>
                <w:sz w:val="20"/>
                <w:szCs w:val="20"/>
              </w:rPr>
            </w:pPr>
            <w:r>
              <w:rPr>
                <w:rFonts w:cs="Arial"/>
                <w:color w:val="000000"/>
                <w:sz w:val="20"/>
                <w:szCs w:val="20"/>
              </w:rPr>
              <w:t>0</w:t>
            </w:r>
          </w:p>
        </w:tc>
        <w:tc>
          <w:tcPr>
            <w:tcW w:w="1276" w:type="dxa"/>
            <w:vAlign w:val="center"/>
          </w:tcPr>
          <w:p w:rsidR="00DD7AFB" w:rsidRPr="00766915" w:rsidRDefault="00DD7AFB" w:rsidP="00DD7AFB">
            <w:pPr>
              <w:jc w:val="right"/>
              <w:rPr>
                <w:rFonts w:cs="Arial"/>
                <w:color w:val="000000"/>
                <w:sz w:val="20"/>
                <w:szCs w:val="20"/>
              </w:rPr>
            </w:pPr>
            <w:r>
              <w:rPr>
                <w:rFonts w:cs="Arial"/>
                <w:color w:val="000000"/>
                <w:sz w:val="20"/>
                <w:szCs w:val="20"/>
              </w:rPr>
              <w:t>2.1</w:t>
            </w:r>
            <w:r w:rsidRPr="00766915">
              <w:rPr>
                <w:rFonts w:cs="Arial"/>
                <w:color w:val="000000"/>
                <w:sz w:val="20"/>
                <w:szCs w:val="20"/>
              </w:rPr>
              <w:t> </w:t>
            </w:r>
          </w:p>
        </w:tc>
        <w:tc>
          <w:tcPr>
            <w:tcW w:w="1275" w:type="dxa"/>
            <w:vAlign w:val="center"/>
          </w:tcPr>
          <w:p w:rsidR="00DD7AFB" w:rsidRPr="00766915" w:rsidRDefault="00DD7AFB" w:rsidP="00DD7AFB">
            <w:pPr>
              <w:jc w:val="right"/>
              <w:rPr>
                <w:rFonts w:cs="Arial"/>
                <w:color w:val="000000"/>
                <w:sz w:val="20"/>
                <w:szCs w:val="20"/>
              </w:rPr>
            </w:pPr>
            <w:r w:rsidRPr="00766915">
              <w:rPr>
                <w:rFonts w:cs="Arial"/>
                <w:color w:val="000000"/>
                <w:sz w:val="20"/>
                <w:szCs w:val="20"/>
              </w:rPr>
              <w:t> </w:t>
            </w:r>
          </w:p>
        </w:tc>
        <w:tc>
          <w:tcPr>
            <w:tcW w:w="1418" w:type="dxa"/>
            <w:vAlign w:val="center"/>
          </w:tcPr>
          <w:p w:rsidR="00DD7AFB" w:rsidRPr="00766915" w:rsidRDefault="00DD7AFB" w:rsidP="00DD7AFB">
            <w:pPr>
              <w:jc w:val="right"/>
              <w:rPr>
                <w:rFonts w:cs="Arial"/>
                <w:color w:val="000000"/>
                <w:sz w:val="20"/>
                <w:szCs w:val="20"/>
              </w:rPr>
            </w:pPr>
            <w:r>
              <w:rPr>
                <w:rFonts w:cs="Arial"/>
                <w:color w:val="000000"/>
                <w:sz w:val="20"/>
                <w:szCs w:val="20"/>
              </w:rPr>
              <w:t>8.5</w:t>
            </w:r>
          </w:p>
        </w:tc>
      </w:tr>
      <w:tr w:rsidR="00DD7AFB" w:rsidRPr="00766915" w:rsidTr="00DD2249">
        <w:trPr>
          <w:trHeight w:val="315"/>
        </w:trPr>
        <w:tc>
          <w:tcPr>
            <w:tcW w:w="988" w:type="dxa"/>
            <w:shd w:val="clear" w:color="auto" w:fill="auto"/>
            <w:noWrap/>
            <w:vAlign w:val="center"/>
            <w:hideMark/>
          </w:tcPr>
          <w:p w:rsidR="00DD7AFB" w:rsidRPr="00766915" w:rsidRDefault="00DD7AFB" w:rsidP="00DD7AFB">
            <w:pPr>
              <w:spacing w:after="0" w:line="240" w:lineRule="auto"/>
              <w:rPr>
                <w:rFonts w:eastAsia="Times New Roman" w:cs="Arial"/>
                <w:color w:val="000000"/>
                <w:sz w:val="20"/>
                <w:szCs w:val="20"/>
                <w:lang w:eastAsia="en-GB"/>
              </w:rPr>
            </w:pPr>
            <w:r w:rsidRPr="00766915">
              <w:rPr>
                <w:rFonts w:eastAsia="Times New Roman" w:cs="Arial"/>
                <w:color w:val="000000"/>
                <w:sz w:val="20"/>
                <w:szCs w:val="20"/>
                <w:lang w:eastAsia="en-GB"/>
              </w:rPr>
              <w:t>Bulgaria</w:t>
            </w:r>
          </w:p>
        </w:tc>
        <w:tc>
          <w:tcPr>
            <w:tcW w:w="1275" w:type="dxa"/>
            <w:vAlign w:val="center"/>
          </w:tcPr>
          <w:p w:rsidR="00DD7AFB" w:rsidRPr="00766915" w:rsidRDefault="00DD7AFB" w:rsidP="00DD7AFB">
            <w:pPr>
              <w:jc w:val="right"/>
              <w:rPr>
                <w:rFonts w:cs="Arial"/>
                <w:color w:val="000000"/>
                <w:sz w:val="20"/>
                <w:szCs w:val="20"/>
              </w:rPr>
            </w:pPr>
            <w:r w:rsidRPr="00766915">
              <w:rPr>
                <w:rFonts w:cs="Arial"/>
                <w:color w:val="000000"/>
                <w:sz w:val="20"/>
                <w:szCs w:val="20"/>
              </w:rPr>
              <w:t>2.4</w:t>
            </w:r>
          </w:p>
        </w:tc>
        <w:tc>
          <w:tcPr>
            <w:tcW w:w="1276" w:type="dxa"/>
            <w:shd w:val="clear" w:color="auto" w:fill="auto"/>
            <w:noWrap/>
            <w:vAlign w:val="bottom"/>
          </w:tcPr>
          <w:p w:rsidR="00DD7AFB" w:rsidRPr="00766915" w:rsidRDefault="00DD7AFB" w:rsidP="00DD7AFB">
            <w:pPr>
              <w:jc w:val="right"/>
              <w:rPr>
                <w:rFonts w:cs="Arial"/>
                <w:color w:val="000000"/>
                <w:sz w:val="20"/>
                <w:szCs w:val="20"/>
              </w:rPr>
            </w:pPr>
            <w:r>
              <w:rPr>
                <w:rFonts w:ascii="Calibri" w:hAnsi="Calibri"/>
                <w:color w:val="000000"/>
              </w:rPr>
              <w:t xml:space="preserve">         29,173 </w:t>
            </w:r>
          </w:p>
        </w:tc>
        <w:tc>
          <w:tcPr>
            <w:tcW w:w="1276" w:type="dxa"/>
            <w:vAlign w:val="center"/>
          </w:tcPr>
          <w:p w:rsidR="00DD7AFB" w:rsidRPr="00766915" w:rsidRDefault="00DD7AFB" w:rsidP="00DD7AFB">
            <w:pPr>
              <w:jc w:val="right"/>
              <w:rPr>
                <w:rFonts w:cs="Arial"/>
                <w:color w:val="000000"/>
                <w:sz w:val="20"/>
                <w:szCs w:val="20"/>
              </w:rPr>
            </w:pPr>
            <w:r w:rsidRPr="00766915">
              <w:rPr>
                <w:rFonts w:cs="Arial"/>
                <w:color w:val="000000"/>
                <w:sz w:val="20"/>
                <w:szCs w:val="20"/>
              </w:rPr>
              <w:t>94.9</w:t>
            </w:r>
          </w:p>
        </w:tc>
        <w:tc>
          <w:tcPr>
            <w:tcW w:w="1276" w:type="dxa"/>
            <w:vAlign w:val="center"/>
          </w:tcPr>
          <w:p w:rsidR="00DD7AFB" w:rsidRPr="00766915" w:rsidRDefault="00DD7AFB" w:rsidP="00DD7AFB">
            <w:pPr>
              <w:jc w:val="right"/>
              <w:rPr>
                <w:rFonts w:cs="Arial"/>
                <w:color w:val="000000"/>
                <w:sz w:val="20"/>
                <w:szCs w:val="20"/>
              </w:rPr>
            </w:pPr>
            <w:r w:rsidRPr="00766915">
              <w:rPr>
                <w:rFonts w:cs="Arial"/>
                <w:color w:val="000000"/>
                <w:sz w:val="20"/>
                <w:szCs w:val="20"/>
              </w:rPr>
              <w:t>5.1</w:t>
            </w:r>
          </w:p>
        </w:tc>
        <w:tc>
          <w:tcPr>
            <w:tcW w:w="1276" w:type="dxa"/>
            <w:vAlign w:val="center"/>
          </w:tcPr>
          <w:p w:rsidR="00DD7AFB" w:rsidRPr="00766915" w:rsidRDefault="00DD7AFB" w:rsidP="00DD7AFB">
            <w:pPr>
              <w:jc w:val="right"/>
              <w:rPr>
                <w:rFonts w:cs="Arial"/>
                <w:color w:val="000000"/>
                <w:sz w:val="20"/>
                <w:szCs w:val="20"/>
              </w:rPr>
            </w:pPr>
            <w:r w:rsidRPr="00766915">
              <w:rPr>
                <w:rFonts w:cs="Arial"/>
                <w:color w:val="000000"/>
                <w:sz w:val="20"/>
                <w:szCs w:val="20"/>
              </w:rPr>
              <w:t> </w:t>
            </w:r>
          </w:p>
        </w:tc>
        <w:tc>
          <w:tcPr>
            <w:tcW w:w="1275" w:type="dxa"/>
            <w:vAlign w:val="center"/>
          </w:tcPr>
          <w:p w:rsidR="00DD7AFB" w:rsidRPr="00766915" w:rsidRDefault="00DD7AFB" w:rsidP="00DD7AFB">
            <w:pPr>
              <w:jc w:val="right"/>
              <w:rPr>
                <w:rFonts w:cs="Arial"/>
                <w:color w:val="000000"/>
                <w:sz w:val="20"/>
                <w:szCs w:val="20"/>
              </w:rPr>
            </w:pPr>
            <w:r w:rsidRPr="00766915">
              <w:rPr>
                <w:rFonts w:cs="Arial"/>
                <w:color w:val="000000"/>
                <w:sz w:val="20"/>
                <w:szCs w:val="20"/>
              </w:rPr>
              <w:t> </w:t>
            </w:r>
          </w:p>
        </w:tc>
        <w:tc>
          <w:tcPr>
            <w:tcW w:w="1418" w:type="dxa"/>
            <w:vAlign w:val="center"/>
          </w:tcPr>
          <w:p w:rsidR="00DD7AFB" w:rsidRPr="00766915" w:rsidRDefault="00DD7AFB" w:rsidP="00DD7AFB">
            <w:pPr>
              <w:jc w:val="right"/>
              <w:rPr>
                <w:rFonts w:cs="Arial"/>
                <w:color w:val="000000"/>
                <w:sz w:val="20"/>
                <w:szCs w:val="20"/>
              </w:rPr>
            </w:pPr>
            <w:r w:rsidRPr="00766915">
              <w:rPr>
                <w:rFonts w:cs="Arial"/>
                <w:color w:val="000000"/>
                <w:sz w:val="20"/>
                <w:szCs w:val="20"/>
              </w:rPr>
              <w:t> </w:t>
            </w:r>
          </w:p>
        </w:tc>
      </w:tr>
      <w:tr w:rsidR="00DD7AFB" w:rsidRPr="00766915" w:rsidTr="00DD2249">
        <w:trPr>
          <w:trHeight w:val="315"/>
        </w:trPr>
        <w:tc>
          <w:tcPr>
            <w:tcW w:w="988" w:type="dxa"/>
            <w:shd w:val="clear" w:color="auto" w:fill="auto"/>
            <w:noWrap/>
            <w:vAlign w:val="center"/>
            <w:hideMark/>
          </w:tcPr>
          <w:p w:rsidR="00DD7AFB" w:rsidRPr="00766915" w:rsidRDefault="00DD7AFB" w:rsidP="00DD7AFB">
            <w:pPr>
              <w:spacing w:after="0" w:line="240" w:lineRule="auto"/>
              <w:rPr>
                <w:rFonts w:eastAsia="Times New Roman" w:cs="Arial"/>
                <w:color w:val="000000"/>
                <w:sz w:val="20"/>
                <w:szCs w:val="20"/>
                <w:lang w:eastAsia="en-GB"/>
              </w:rPr>
            </w:pPr>
            <w:r w:rsidRPr="00766915">
              <w:rPr>
                <w:rFonts w:eastAsia="Times New Roman" w:cs="Arial"/>
                <w:color w:val="000000"/>
                <w:sz w:val="20"/>
                <w:szCs w:val="20"/>
                <w:lang w:eastAsia="en-GB"/>
              </w:rPr>
              <w:t>Croatia</w:t>
            </w:r>
          </w:p>
        </w:tc>
        <w:tc>
          <w:tcPr>
            <w:tcW w:w="1275" w:type="dxa"/>
            <w:vAlign w:val="center"/>
          </w:tcPr>
          <w:p w:rsidR="00DD7AFB" w:rsidRPr="00766915" w:rsidRDefault="00DD7AFB" w:rsidP="00DD7AFB">
            <w:pPr>
              <w:jc w:val="right"/>
              <w:rPr>
                <w:rFonts w:cs="Arial"/>
                <w:color w:val="000000"/>
                <w:sz w:val="20"/>
                <w:szCs w:val="20"/>
              </w:rPr>
            </w:pPr>
            <w:r w:rsidRPr="00766915">
              <w:rPr>
                <w:rFonts w:cs="Arial"/>
                <w:color w:val="000000"/>
                <w:sz w:val="20"/>
                <w:szCs w:val="20"/>
              </w:rPr>
              <w:t>0.4</w:t>
            </w:r>
          </w:p>
        </w:tc>
        <w:tc>
          <w:tcPr>
            <w:tcW w:w="1276" w:type="dxa"/>
            <w:shd w:val="clear" w:color="auto" w:fill="auto"/>
            <w:noWrap/>
            <w:vAlign w:val="bottom"/>
          </w:tcPr>
          <w:p w:rsidR="00DD7AFB" w:rsidRPr="00766915" w:rsidRDefault="00DD7AFB" w:rsidP="00DD7AFB">
            <w:pPr>
              <w:jc w:val="right"/>
              <w:rPr>
                <w:rFonts w:cs="Arial"/>
                <w:color w:val="000000"/>
                <w:sz w:val="20"/>
                <w:szCs w:val="20"/>
              </w:rPr>
            </w:pPr>
            <w:r>
              <w:rPr>
                <w:rFonts w:ascii="Calibri" w:hAnsi="Calibri"/>
                <w:color w:val="000000"/>
              </w:rPr>
              <w:t xml:space="preserve">           2,931 </w:t>
            </w:r>
          </w:p>
        </w:tc>
        <w:tc>
          <w:tcPr>
            <w:tcW w:w="1276" w:type="dxa"/>
            <w:vAlign w:val="center"/>
          </w:tcPr>
          <w:p w:rsidR="00DD7AFB" w:rsidRPr="00766915" w:rsidRDefault="00DD7AFB" w:rsidP="00DD7AFB">
            <w:pPr>
              <w:rPr>
                <w:rFonts w:cs="Arial"/>
                <w:color w:val="000000"/>
                <w:sz w:val="20"/>
                <w:szCs w:val="20"/>
              </w:rPr>
            </w:pPr>
            <w:r w:rsidRPr="00766915">
              <w:rPr>
                <w:rFonts w:cs="Arial"/>
                <w:color w:val="000000"/>
                <w:sz w:val="20"/>
                <w:szCs w:val="20"/>
              </w:rPr>
              <w:t> </w:t>
            </w:r>
          </w:p>
        </w:tc>
        <w:tc>
          <w:tcPr>
            <w:tcW w:w="1276" w:type="dxa"/>
            <w:vAlign w:val="center"/>
          </w:tcPr>
          <w:p w:rsidR="00DD7AFB" w:rsidRPr="00766915" w:rsidRDefault="00DD7AFB" w:rsidP="00DD7AFB">
            <w:pPr>
              <w:rPr>
                <w:rFonts w:cs="Arial"/>
                <w:color w:val="000000"/>
                <w:sz w:val="20"/>
                <w:szCs w:val="20"/>
              </w:rPr>
            </w:pPr>
            <w:r w:rsidRPr="00766915">
              <w:rPr>
                <w:rFonts w:cs="Arial"/>
                <w:color w:val="000000"/>
                <w:sz w:val="20"/>
                <w:szCs w:val="20"/>
              </w:rPr>
              <w:t> </w:t>
            </w:r>
          </w:p>
        </w:tc>
        <w:tc>
          <w:tcPr>
            <w:tcW w:w="1276" w:type="dxa"/>
            <w:vAlign w:val="center"/>
          </w:tcPr>
          <w:p w:rsidR="00DD7AFB" w:rsidRPr="00766915" w:rsidRDefault="00DD7AFB" w:rsidP="00DD7AFB">
            <w:pPr>
              <w:rPr>
                <w:rFonts w:cs="Arial"/>
                <w:color w:val="000000"/>
                <w:sz w:val="20"/>
                <w:szCs w:val="20"/>
              </w:rPr>
            </w:pPr>
            <w:r w:rsidRPr="00766915">
              <w:rPr>
                <w:rFonts w:cs="Arial"/>
                <w:color w:val="000000"/>
                <w:sz w:val="20"/>
                <w:szCs w:val="20"/>
              </w:rPr>
              <w:t> </w:t>
            </w:r>
          </w:p>
        </w:tc>
        <w:tc>
          <w:tcPr>
            <w:tcW w:w="1275" w:type="dxa"/>
            <w:vAlign w:val="center"/>
          </w:tcPr>
          <w:p w:rsidR="00DD7AFB" w:rsidRPr="00766915" w:rsidRDefault="00DD7AFB" w:rsidP="00DD7AFB">
            <w:pPr>
              <w:rPr>
                <w:rFonts w:cs="Arial"/>
                <w:color w:val="000000"/>
                <w:sz w:val="20"/>
                <w:szCs w:val="20"/>
              </w:rPr>
            </w:pPr>
            <w:r w:rsidRPr="00766915">
              <w:rPr>
                <w:rFonts w:cs="Arial"/>
                <w:color w:val="000000"/>
                <w:sz w:val="20"/>
                <w:szCs w:val="20"/>
              </w:rPr>
              <w:t> </w:t>
            </w:r>
          </w:p>
        </w:tc>
        <w:tc>
          <w:tcPr>
            <w:tcW w:w="1418" w:type="dxa"/>
            <w:vAlign w:val="center"/>
          </w:tcPr>
          <w:p w:rsidR="00DD7AFB" w:rsidRPr="00766915" w:rsidRDefault="00DD7AFB" w:rsidP="00DD7AFB">
            <w:pPr>
              <w:rPr>
                <w:rFonts w:cs="Arial"/>
                <w:color w:val="000000"/>
                <w:sz w:val="20"/>
                <w:szCs w:val="20"/>
              </w:rPr>
            </w:pPr>
            <w:r w:rsidRPr="00766915">
              <w:rPr>
                <w:rFonts w:cs="Arial"/>
                <w:color w:val="000000"/>
                <w:sz w:val="20"/>
                <w:szCs w:val="20"/>
              </w:rPr>
              <w:t> </w:t>
            </w:r>
          </w:p>
        </w:tc>
      </w:tr>
      <w:tr w:rsidR="00DD7AFB" w:rsidRPr="00766915" w:rsidTr="00DD2249">
        <w:trPr>
          <w:trHeight w:val="315"/>
        </w:trPr>
        <w:tc>
          <w:tcPr>
            <w:tcW w:w="988" w:type="dxa"/>
            <w:shd w:val="clear" w:color="auto" w:fill="auto"/>
            <w:noWrap/>
            <w:vAlign w:val="center"/>
            <w:hideMark/>
          </w:tcPr>
          <w:p w:rsidR="00DD7AFB" w:rsidRPr="00766915" w:rsidRDefault="00DD7AFB" w:rsidP="00DD7AFB">
            <w:pPr>
              <w:spacing w:after="0" w:line="240" w:lineRule="auto"/>
              <w:rPr>
                <w:rFonts w:eastAsia="Times New Roman" w:cs="Arial"/>
                <w:color w:val="000000"/>
                <w:sz w:val="20"/>
                <w:szCs w:val="20"/>
                <w:lang w:eastAsia="en-GB"/>
              </w:rPr>
            </w:pPr>
            <w:r w:rsidRPr="00766915">
              <w:rPr>
                <w:rFonts w:eastAsia="Times New Roman" w:cs="Arial"/>
                <w:color w:val="000000"/>
                <w:sz w:val="20"/>
                <w:szCs w:val="20"/>
                <w:lang w:eastAsia="en-GB"/>
              </w:rPr>
              <w:t>Cyprus</w:t>
            </w:r>
          </w:p>
        </w:tc>
        <w:tc>
          <w:tcPr>
            <w:tcW w:w="1275" w:type="dxa"/>
            <w:vAlign w:val="center"/>
          </w:tcPr>
          <w:p w:rsidR="00DD7AFB" w:rsidRPr="00766915" w:rsidRDefault="00DD7AFB" w:rsidP="00DD7AFB">
            <w:pPr>
              <w:jc w:val="right"/>
              <w:rPr>
                <w:rFonts w:cs="Arial"/>
                <w:color w:val="000000"/>
                <w:sz w:val="20"/>
                <w:szCs w:val="20"/>
              </w:rPr>
            </w:pPr>
            <w:r>
              <w:rPr>
                <w:rFonts w:cs="Arial"/>
                <w:color w:val="000000"/>
                <w:sz w:val="20"/>
                <w:szCs w:val="20"/>
              </w:rPr>
              <w:t>3.1</w:t>
            </w:r>
          </w:p>
        </w:tc>
        <w:tc>
          <w:tcPr>
            <w:tcW w:w="1276" w:type="dxa"/>
            <w:shd w:val="clear" w:color="auto" w:fill="auto"/>
            <w:noWrap/>
            <w:vAlign w:val="bottom"/>
          </w:tcPr>
          <w:p w:rsidR="00DD7AFB" w:rsidRPr="00766915" w:rsidRDefault="00DD7AFB" w:rsidP="00DD7AFB">
            <w:pPr>
              <w:jc w:val="right"/>
              <w:rPr>
                <w:rFonts w:cs="Arial"/>
                <w:color w:val="000000"/>
                <w:sz w:val="20"/>
                <w:szCs w:val="20"/>
              </w:rPr>
            </w:pPr>
            <w:r>
              <w:rPr>
                <w:rFonts w:ascii="Calibri" w:hAnsi="Calibri"/>
                <w:color w:val="000000"/>
              </w:rPr>
              <w:t xml:space="preserve">           5,244 </w:t>
            </w:r>
          </w:p>
        </w:tc>
        <w:tc>
          <w:tcPr>
            <w:tcW w:w="1276" w:type="dxa"/>
            <w:vAlign w:val="center"/>
          </w:tcPr>
          <w:p w:rsidR="00DD7AFB" w:rsidRPr="00766915" w:rsidRDefault="00DD7AFB" w:rsidP="00DD7AFB">
            <w:pPr>
              <w:jc w:val="right"/>
              <w:rPr>
                <w:rFonts w:cs="Arial"/>
                <w:color w:val="000000"/>
                <w:sz w:val="20"/>
                <w:szCs w:val="20"/>
              </w:rPr>
            </w:pPr>
            <w:r w:rsidRPr="00766915">
              <w:rPr>
                <w:rFonts w:cs="Arial"/>
                <w:color w:val="000000"/>
                <w:sz w:val="20"/>
                <w:szCs w:val="20"/>
              </w:rPr>
              <w:t>95.8</w:t>
            </w:r>
          </w:p>
        </w:tc>
        <w:tc>
          <w:tcPr>
            <w:tcW w:w="1276" w:type="dxa"/>
            <w:vAlign w:val="center"/>
          </w:tcPr>
          <w:p w:rsidR="00DD7AFB" w:rsidRPr="00766915" w:rsidRDefault="00DD7AFB" w:rsidP="00DD7AFB">
            <w:pPr>
              <w:jc w:val="right"/>
              <w:rPr>
                <w:rFonts w:cs="Arial"/>
                <w:color w:val="000000"/>
                <w:sz w:val="20"/>
                <w:szCs w:val="20"/>
              </w:rPr>
            </w:pPr>
            <w:r w:rsidRPr="00766915">
              <w:rPr>
                <w:rFonts w:cs="Arial"/>
                <w:color w:val="000000"/>
                <w:sz w:val="20"/>
                <w:szCs w:val="20"/>
              </w:rPr>
              <w:t> </w:t>
            </w:r>
          </w:p>
        </w:tc>
        <w:tc>
          <w:tcPr>
            <w:tcW w:w="1276" w:type="dxa"/>
            <w:vAlign w:val="center"/>
          </w:tcPr>
          <w:p w:rsidR="00DD7AFB" w:rsidRPr="00766915" w:rsidRDefault="00DD7AFB" w:rsidP="00DD7AFB">
            <w:pPr>
              <w:jc w:val="right"/>
              <w:rPr>
                <w:rFonts w:cs="Arial"/>
                <w:color w:val="000000"/>
                <w:sz w:val="20"/>
                <w:szCs w:val="20"/>
              </w:rPr>
            </w:pPr>
            <w:r w:rsidRPr="00766915">
              <w:rPr>
                <w:rFonts w:cs="Arial"/>
                <w:color w:val="000000"/>
                <w:sz w:val="20"/>
                <w:szCs w:val="20"/>
              </w:rPr>
              <w:t> </w:t>
            </w:r>
          </w:p>
        </w:tc>
        <w:tc>
          <w:tcPr>
            <w:tcW w:w="1275" w:type="dxa"/>
            <w:vAlign w:val="center"/>
          </w:tcPr>
          <w:p w:rsidR="00DD7AFB" w:rsidRPr="00766915" w:rsidRDefault="00DD7AFB" w:rsidP="00DD7AFB">
            <w:pPr>
              <w:jc w:val="right"/>
              <w:rPr>
                <w:rFonts w:cs="Arial"/>
                <w:color w:val="000000"/>
                <w:sz w:val="20"/>
                <w:szCs w:val="20"/>
              </w:rPr>
            </w:pPr>
            <w:r w:rsidRPr="00766915">
              <w:rPr>
                <w:rFonts w:cs="Arial"/>
                <w:color w:val="000000"/>
                <w:sz w:val="20"/>
                <w:szCs w:val="20"/>
              </w:rPr>
              <w:t> </w:t>
            </w:r>
          </w:p>
        </w:tc>
        <w:tc>
          <w:tcPr>
            <w:tcW w:w="1418" w:type="dxa"/>
            <w:vAlign w:val="center"/>
          </w:tcPr>
          <w:p w:rsidR="00DD7AFB" w:rsidRPr="00766915" w:rsidRDefault="00DD7AFB" w:rsidP="00DD7AFB">
            <w:pPr>
              <w:jc w:val="right"/>
              <w:rPr>
                <w:rFonts w:cs="Arial"/>
                <w:color w:val="000000"/>
                <w:sz w:val="20"/>
                <w:szCs w:val="20"/>
              </w:rPr>
            </w:pPr>
            <w:r w:rsidRPr="00766915">
              <w:rPr>
                <w:rFonts w:cs="Arial"/>
                <w:color w:val="000000"/>
                <w:sz w:val="20"/>
                <w:szCs w:val="20"/>
              </w:rPr>
              <w:t>4.2</w:t>
            </w:r>
          </w:p>
        </w:tc>
      </w:tr>
      <w:tr w:rsidR="00DD7AFB" w:rsidRPr="00766915" w:rsidTr="00DD2249">
        <w:trPr>
          <w:trHeight w:val="315"/>
        </w:trPr>
        <w:tc>
          <w:tcPr>
            <w:tcW w:w="988" w:type="dxa"/>
            <w:shd w:val="clear" w:color="auto" w:fill="auto"/>
            <w:noWrap/>
            <w:vAlign w:val="center"/>
            <w:hideMark/>
          </w:tcPr>
          <w:p w:rsidR="00DD7AFB" w:rsidRPr="00766915" w:rsidRDefault="00DD7AFB" w:rsidP="00DD7AFB">
            <w:pPr>
              <w:spacing w:after="0" w:line="240" w:lineRule="auto"/>
              <w:rPr>
                <w:rFonts w:eastAsia="Times New Roman" w:cs="Arial"/>
                <w:color w:val="000000"/>
                <w:sz w:val="20"/>
                <w:szCs w:val="20"/>
                <w:lang w:eastAsia="en-GB"/>
              </w:rPr>
            </w:pPr>
            <w:r w:rsidRPr="00766915">
              <w:rPr>
                <w:rFonts w:eastAsia="Times New Roman" w:cs="Arial"/>
                <w:color w:val="000000"/>
                <w:sz w:val="20"/>
                <w:szCs w:val="20"/>
                <w:lang w:eastAsia="en-GB"/>
              </w:rPr>
              <w:t>Czech Republic</w:t>
            </w:r>
          </w:p>
        </w:tc>
        <w:tc>
          <w:tcPr>
            <w:tcW w:w="1275" w:type="dxa"/>
            <w:vAlign w:val="center"/>
          </w:tcPr>
          <w:p w:rsidR="00DD7AFB" w:rsidRPr="00766915" w:rsidRDefault="00DD7AFB" w:rsidP="00DD7AFB">
            <w:pPr>
              <w:jc w:val="right"/>
              <w:rPr>
                <w:rFonts w:cs="Arial"/>
                <w:color w:val="000000"/>
                <w:sz w:val="20"/>
                <w:szCs w:val="20"/>
              </w:rPr>
            </w:pPr>
            <w:r>
              <w:rPr>
                <w:rFonts w:cs="Arial"/>
                <w:color w:val="000000"/>
                <w:sz w:val="20"/>
                <w:szCs w:val="20"/>
              </w:rPr>
              <w:t>2.0</w:t>
            </w:r>
          </w:p>
        </w:tc>
        <w:tc>
          <w:tcPr>
            <w:tcW w:w="1276" w:type="dxa"/>
            <w:shd w:val="clear" w:color="auto" w:fill="auto"/>
            <w:noWrap/>
            <w:vAlign w:val="bottom"/>
          </w:tcPr>
          <w:p w:rsidR="00DD7AFB" w:rsidRPr="00766915" w:rsidRDefault="00DD7AFB" w:rsidP="00DD7AFB">
            <w:pPr>
              <w:jc w:val="right"/>
              <w:rPr>
                <w:rFonts w:cs="Arial"/>
                <w:color w:val="000000"/>
                <w:sz w:val="20"/>
                <w:szCs w:val="20"/>
              </w:rPr>
            </w:pPr>
            <w:r>
              <w:rPr>
                <w:rFonts w:ascii="Calibri" w:hAnsi="Calibri"/>
                <w:color w:val="000000"/>
              </w:rPr>
              <w:t xml:space="preserve">         40,005 </w:t>
            </w:r>
          </w:p>
        </w:tc>
        <w:tc>
          <w:tcPr>
            <w:tcW w:w="1276" w:type="dxa"/>
            <w:vAlign w:val="center"/>
          </w:tcPr>
          <w:p w:rsidR="00DD7AFB" w:rsidRPr="00766915" w:rsidRDefault="00DD7AFB" w:rsidP="00DD7AFB">
            <w:pPr>
              <w:jc w:val="right"/>
              <w:rPr>
                <w:rFonts w:cs="Arial"/>
                <w:color w:val="000000"/>
                <w:sz w:val="20"/>
                <w:szCs w:val="20"/>
              </w:rPr>
            </w:pPr>
            <w:r w:rsidRPr="00766915">
              <w:rPr>
                <w:rFonts w:cs="Arial"/>
                <w:color w:val="000000"/>
                <w:sz w:val="20"/>
                <w:szCs w:val="20"/>
              </w:rPr>
              <w:t>5.8</w:t>
            </w:r>
          </w:p>
        </w:tc>
        <w:tc>
          <w:tcPr>
            <w:tcW w:w="1276" w:type="dxa"/>
            <w:vAlign w:val="center"/>
          </w:tcPr>
          <w:p w:rsidR="00DD7AFB" w:rsidRPr="00766915" w:rsidRDefault="00DD7AFB" w:rsidP="00DD7AFB">
            <w:pPr>
              <w:jc w:val="right"/>
              <w:rPr>
                <w:rFonts w:cs="Arial"/>
                <w:color w:val="000000"/>
                <w:sz w:val="20"/>
                <w:szCs w:val="20"/>
              </w:rPr>
            </w:pPr>
            <w:r w:rsidRPr="00766915">
              <w:rPr>
                <w:rFonts w:cs="Arial"/>
                <w:color w:val="000000"/>
                <w:sz w:val="20"/>
                <w:szCs w:val="20"/>
              </w:rPr>
              <w:t>4.2</w:t>
            </w:r>
          </w:p>
        </w:tc>
        <w:tc>
          <w:tcPr>
            <w:tcW w:w="1276" w:type="dxa"/>
            <w:vAlign w:val="center"/>
          </w:tcPr>
          <w:p w:rsidR="00DD7AFB" w:rsidRPr="00766915" w:rsidRDefault="00DD7AFB" w:rsidP="00DD7AFB">
            <w:pPr>
              <w:jc w:val="right"/>
              <w:rPr>
                <w:rFonts w:cs="Arial"/>
                <w:color w:val="000000"/>
                <w:sz w:val="20"/>
                <w:szCs w:val="20"/>
              </w:rPr>
            </w:pPr>
            <w:r w:rsidRPr="00766915">
              <w:rPr>
                <w:rFonts w:cs="Arial"/>
                <w:color w:val="000000"/>
                <w:sz w:val="20"/>
                <w:szCs w:val="20"/>
              </w:rPr>
              <w:t>16.8</w:t>
            </w:r>
          </w:p>
        </w:tc>
        <w:tc>
          <w:tcPr>
            <w:tcW w:w="1275" w:type="dxa"/>
            <w:vAlign w:val="center"/>
          </w:tcPr>
          <w:p w:rsidR="00DD7AFB" w:rsidRPr="00766915" w:rsidRDefault="00DD7AFB" w:rsidP="00DD7AFB">
            <w:pPr>
              <w:jc w:val="right"/>
              <w:rPr>
                <w:rFonts w:cs="Arial"/>
                <w:color w:val="000000"/>
                <w:sz w:val="20"/>
                <w:szCs w:val="20"/>
              </w:rPr>
            </w:pPr>
            <w:r w:rsidRPr="00766915">
              <w:rPr>
                <w:rFonts w:cs="Arial"/>
                <w:color w:val="000000"/>
                <w:sz w:val="20"/>
                <w:szCs w:val="20"/>
              </w:rPr>
              <w:t>25.4</w:t>
            </w:r>
          </w:p>
        </w:tc>
        <w:tc>
          <w:tcPr>
            <w:tcW w:w="1418" w:type="dxa"/>
            <w:vAlign w:val="center"/>
          </w:tcPr>
          <w:p w:rsidR="00DD7AFB" w:rsidRPr="00766915" w:rsidRDefault="00DD7AFB" w:rsidP="00DD7AFB">
            <w:pPr>
              <w:jc w:val="right"/>
              <w:rPr>
                <w:rFonts w:cs="Arial"/>
                <w:color w:val="000000"/>
                <w:sz w:val="20"/>
                <w:szCs w:val="20"/>
              </w:rPr>
            </w:pPr>
            <w:r w:rsidRPr="00766915">
              <w:rPr>
                <w:rFonts w:cs="Arial"/>
                <w:color w:val="000000"/>
                <w:sz w:val="20"/>
                <w:szCs w:val="20"/>
              </w:rPr>
              <w:t>47.8</w:t>
            </w:r>
          </w:p>
        </w:tc>
      </w:tr>
      <w:tr w:rsidR="00DD7AFB" w:rsidRPr="00766915" w:rsidTr="00DD2249">
        <w:trPr>
          <w:trHeight w:val="315"/>
        </w:trPr>
        <w:tc>
          <w:tcPr>
            <w:tcW w:w="988" w:type="dxa"/>
            <w:shd w:val="clear" w:color="auto" w:fill="auto"/>
            <w:noWrap/>
            <w:vAlign w:val="center"/>
            <w:hideMark/>
          </w:tcPr>
          <w:p w:rsidR="00DD7AFB" w:rsidRPr="00766915" w:rsidRDefault="00DD7AFB" w:rsidP="00DD7AFB">
            <w:pPr>
              <w:spacing w:after="0" w:line="240" w:lineRule="auto"/>
              <w:rPr>
                <w:rFonts w:eastAsia="Times New Roman" w:cs="Arial"/>
                <w:color w:val="000000"/>
                <w:sz w:val="20"/>
                <w:szCs w:val="20"/>
                <w:lang w:eastAsia="en-GB"/>
              </w:rPr>
            </w:pPr>
            <w:r w:rsidRPr="00766915">
              <w:rPr>
                <w:rFonts w:eastAsia="Times New Roman" w:cs="Arial"/>
                <w:color w:val="000000"/>
                <w:sz w:val="20"/>
                <w:szCs w:val="20"/>
                <w:lang w:eastAsia="en-GB"/>
              </w:rPr>
              <w:t>Estonia</w:t>
            </w:r>
          </w:p>
        </w:tc>
        <w:tc>
          <w:tcPr>
            <w:tcW w:w="1275" w:type="dxa"/>
            <w:vAlign w:val="center"/>
          </w:tcPr>
          <w:p w:rsidR="00DD7AFB" w:rsidRPr="00766915" w:rsidRDefault="00DD7AFB" w:rsidP="00DD7AFB">
            <w:pPr>
              <w:jc w:val="right"/>
              <w:rPr>
                <w:rFonts w:cs="Arial"/>
                <w:color w:val="000000"/>
                <w:sz w:val="20"/>
                <w:szCs w:val="20"/>
              </w:rPr>
            </w:pPr>
            <w:r w:rsidRPr="00766915">
              <w:rPr>
                <w:rFonts w:cs="Arial"/>
                <w:color w:val="000000"/>
                <w:sz w:val="20"/>
                <w:szCs w:val="20"/>
              </w:rPr>
              <w:t>2.8</w:t>
            </w:r>
          </w:p>
        </w:tc>
        <w:tc>
          <w:tcPr>
            <w:tcW w:w="1276" w:type="dxa"/>
            <w:shd w:val="clear" w:color="auto" w:fill="auto"/>
            <w:noWrap/>
            <w:vAlign w:val="bottom"/>
          </w:tcPr>
          <w:p w:rsidR="00DD7AFB" w:rsidRPr="00766915" w:rsidRDefault="00DD7AFB" w:rsidP="00DD7AFB">
            <w:pPr>
              <w:jc w:val="right"/>
              <w:rPr>
                <w:rFonts w:cs="Arial"/>
                <w:color w:val="000000"/>
                <w:sz w:val="20"/>
                <w:szCs w:val="20"/>
              </w:rPr>
            </w:pPr>
            <w:r>
              <w:rPr>
                <w:rFonts w:ascii="Calibri" w:hAnsi="Calibri"/>
                <w:color w:val="000000"/>
              </w:rPr>
              <w:t xml:space="preserve">           7,263 </w:t>
            </w:r>
          </w:p>
        </w:tc>
        <w:tc>
          <w:tcPr>
            <w:tcW w:w="1276" w:type="dxa"/>
            <w:vAlign w:val="center"/>
          </w:tcPr>
          <w:p w:rsidR="00DD7AFB" w:rsidRPr="00766915" w:rsidRDefault="00DD7AFB" w:rsidP="00DD7AFB">
            <w:pPr>
              <w:jc w:val="right"/>
              <w:rPr>
                <w:rFonts w:cs="Arial"/>
                <w:color w:val="000000"/>
                <w:sz w:val="20"/>
                <w:szCs w:val="20"/>
              </w:rPr>
            </w:pPr>
            <w:r w:rsidRPr="00766915">
              <w:rPr>
                <w:rFonts w:cs="Arial"/>
                <w:color w:val="000000"/>
                <w:sz w:val="20"/>
                <w:szCs w:val="20"/>
              </w:rPr>
              <w:t>52.2</w:t>
            </w:r>
          </w:p>
        </w:tc>
        <w:tc>
          <w:tcPr>
            <w:tcW w:w="1276" w:type="dxa"/>
            <w:vAlign w:val="center"/>
          </w:tcPr>
          <w:p w:rsidR="00DD7AFB" w:rsidRPr="00766915" w:rsidRDefault="00DD7AFB" w:rsidP="00DD7AFB">
            <w:pPr>
              <w:jc w:val="right"/>
              <w:rPr>
                <w:rFonts w:cs="Arial"/>
                <w:color w:val="000000"/>
                <w:sz w:val="20"/>
                <w:szCs w:val="20"/>
              </w:rPr>
            </w:pPr>
            <w:r w:rsidRPr="00766915">
              <w:rPr>
                <w:rFonts w:cs="Arial"/>
                <w:color w:val="000000"/>
                <w:sz w:val="20"/>
                <w:szCs w:val="20"/>
              </w:rPr>
              <w:t>4.6</w:t>
            </w:r>
          </w:p>
        </w:tc>
        <w:tc>
          <w:tcPr>
            <w:tcW w:w="1276" w:type="dxa"/>
            <w:vAlign w:val="center"/>
          </w:tcPr>
          <w:p w:rsidR="00DD7AFB" w:rsidRPr="00766915" w:rsidRDefault="00DD7AFB" w:rsidP="00DD7AFB">
            <w:pPr>
              <w:jc w:val="right"/>
              <w:rPr>
                <w:rFonts w:cs="Arial"/>
                <w:color w:val="000000"/>
                <w:sz w:val="20"/>
                <w:szCs w:val="20"/>
              </w:rPr>
            </w:pPr>
            <w:r w:rsidRPr="00766915">
              <w:rPr>
                <w:rFonts w:cs="Arial"/>
                <w:color w:val="000000"/>
                <w:sz w:val="20"/>
                <w:szCs w:val="20"/>
              </w:rPr>
              <w:t>1.3</w:t>
            </w:r>
          </w:p>
        </w:tc>
        <w:tc>
          <w:tcPr>
            <w:tcW w:w="1275" w:type="dxa"/>
            <w:vAlign w:val="center"/>
          </w:tcPr>
          <w:p w:rsidR="00DD7AFB" w:rsidRPr="00766915" w:rsidRDefault="00DD7AFB" w:rsidP="00DD7AFB">
            <w:pPr>
              <w:jc w:val="right"/>
              <w:rPr>
                <w:rFonts w:cs="Arial"/>
                <w:color w:val="000000"/>
                <w:sz w:val="20"/>
                <w:szCs w:val="20"/>
              </w:rPr>
            </w:pPr>
            <w:r w:rsidRPr="00766915">
              <w:rPr>
                <w:rFonts w:cs="Arial"/>
                <w:color w:val="000000"/>
                <w:sz w:val="20"/>
                <w:szCs w:val="20"/>
              </w:rPr>
              <w:t>20</w:t>
            </w:r>
            <w:r>
              <w:rPr>
                <w:rFonts w:cs="Arial"/>
                <w:color w:val="000000"/>
                <w:sz w:val="20"/>
                <w:szCs w:val="20"/>
              </w:rPr>
              <w:t>.0</w:t>
            </w:r>
          </w:p>
        </w:tc>
        <w:tc>
          <w:tcPr>
            <w:tcW w:w="1418" w:type="dxa"/>
            <w:vAlign w:val="center"/>
          </w:tcPr>
          <w:p w:rsidR="00DD7AFB" w:rsidRPr="00766915" w:rsidRDefault="00DD7AFB" w:rsidP="00DD7AFB">
            <w:pPr>
              <w:jc w:val="right"/>
              <w:rPr>
                <w:rFonts w:cs="Arial"/>
                <w:color w:val="000000"/>
                <w:sz w:val="20"/>
                <w:szCs w:val="20"/>
              </w:rPr>
            </w:pPr>
            <w:r w:rsidRPr="00766915">
              <w:rPr>
                <w:rFonts w:cs="Arial"/>
                <w:color w:val="000000"/>
                <w:sz w:val="20"/>
                <w:szCs w:val="20"/>
              </w:rPr>
              <w:t>21.9</w:t>
            </w:r>
          </w:p>
        </w:tc>
      </w:tr>
      <w:tr w:rsidR="00DD7AFB" w:rsidRPr="00766915" w:rsidTr="00DD2249">
        <w:trPr>
          <w:trHeight w:val="315"/>
        </w:trPr>
        <w:tc>
          <w:tcPr>
            <w:tcW w:w="988" w:type="dxa"/>
            <w:shd w:val="clear" w:color="auto" w:fill="auto"/>
            <w:noWrap/>
            <w:vAlign w:val="center"/>
            <w:hideMark/>
          </w:tcPr>
          <w:p w:rsidR="00DD7AFB" w:rsidRPr="00766915" w:rsidRDefault="00DD7AFB" w:rsidP="00DD7AFB">
            <w:pPr>
              <w:spacing w:after="0" w:line="240" w:lineRule="auto"/>
              <w:rPr>
                <w:rFonts w:eastAsia="Times New Roman" w:cs="Arial"/>
                <w:color w:val="000000"/>
                <w:sz w:val="20"/>
                <w:szCs w:val="20"/>
                <w:lang w:eastAsia="en-GB"/>
              </w:rPr>
            </w:pPr>
            <w:r w:rsidRPr="00766915">
              <w:rPr>
                <w:rFonts w:eastAsia="Times New Roman" w:cs="Arial"/>
                <w:color w:val="000000"/>
                <w:sz w:val="20"/>
                <w:szCs w:val="20"/>
                <w:lang w:eastAsia="en-GB"/>
              </w:rPr>
              <w:t>France</w:t>
            </w:r>
          </w:p>
        </w:tc>
        <w:tc>
          <w:tcPr>
            <w:tcW w:w="1275" w:type="dxa"/>
            <w:vAlign w:val="center"/>
          </w:tcPr>
          <w:p w:rsidR="00DD7AFB" w:rsidRPr="00766915" w:rsidRDefault="00DD7AFB" w:rsidP="00DD7AFB">
            <w:pPr>
              <w:jc w:val="right"/>
              <w:rPr>
                <w:rFonts w:cs="Arial"/>
                <w:color w:val="000000"/>
                <w:sz w:val="20"/>
                <w:szCs w:val="20"/>
              </w:rPr>
            </w:pPr>
            <w:r w:rsidRPr="00766915">
              <w:rPr>
                <w:rFonts w:cs="Arial"/>
                <w:color w:val="000000"/>
                <w:sz w:val="20"/>
                <w:szCs w:val="20"/>
              </w:rPr>
              <w:t>0.9</w:t>
            </w:r>
          </w:p>
        </w:tc>
        <w:tc>
          <w:tcPr>
            <w:tcW w:w="1276" w:type="dxa"/>
            <w:shd w:val="clear" w:color="auto" w:fill="auto"/>
            <w:noWrap/>
            <w:vAlign w:val="bottom"/>
          </w:tcPr>
          <w:p w:rsidR="00DD7AFB" w:rsidRPr="00766915" w:rsidRDefault="00DD7AFB" w:rsidP="00DD7AFB">
            <w:pPr>
              <w:jc w:val="right"/>
              <w:rPr>
                <w:rFonts w:cs="Arial"/>
                <w:color w:val="000000"/>
                <w:sz w:val="20"/>
                <w:szCs w:val="20"/>
              </w:rPr>
            </w:pPr>
            <w:r>
              <w:rPr>
                <w:rFonts w:ascii="Calibri" w:hAnsi="Calibri"/>
                <w:color w:val="000000"/>
              </w:rPr>
              <w:t xml:space="preserve">      133,384 </w:t>
            </w:r>
          </w:p>
        </w:tc>
        <w:tc>
          <w:tcPr>
            <w:tcW w:w="1276" w:type="dxa"/>
            <w:vAlign w:val="center"/>
          </w:tcPr>
          <w:p w:rsidR="00DD7AFB" w:rsidRPr="00766915" w:rsidRDefault="00DD7AFB" w:rsidP="00DD7AFB">
            <w:pPr>
              <w:jc w:val="right"/>
              <w:rPr>
                <w:rFonts w:cs="Arial"/>
                <w:color w:val="000000"/>
                <w:sz w:val="20"/>
                <w:szCs w:val="20"/>
              </w:rPr>
            </w:pPr>
            <w:r w:rsidRPr="00766915">
              <w:rPr>
                <w:rFonts w:cs="Arial"/>
                <w:color w:val="000000"/>
                <w:sz w:val="20"/>
                <w:szCs w:val="20"/>
              </w:rPr>
              <w:t>38.9</w:t>
            </w:r>
          </w:p>
        </w:tc>
        <w:tc>
          <w:tcPr>
            <w:tcW w:w="1276" w:type="dxa"/>
            <w:vAlign w:val="center"/>
          </w:tcPr>
          <w:p w:rsidR="00DD7AFB" w:rsidRPr="00766915" w:rsidRDefault="00DD7AFB" w:rsidP="00DD7AFB">
            <w:pPr>
              <w:jc w:val="right"/>
              <w:rPr>
                <w:rFonts w:cs="Arial"/>
                <w:color w:val="000000"/>
                <w:sz w:val="20"/>
                <w:szCs w:val="20"/>
              </w:rPr>
            </w:pPr>
            <w:r w:rsidRPr="00766915">
              <w:rPr>
                <w:rFonts w:cs="Arial"/>
                <w:color w:val="000000"/>
                <w:sz w:val="20"/>
                <w:szCs w:val="20"/>
              </w:rPr>
              <w:t> </w:t>
            </w:r>
          </w:p>
        </w:tc>
        <w:tc>
          <w:tcPr>
            <w:tcW w:w="1276" w:type="dxa"/>
            <w:vAlign w:val="center"/>
          </w:tcPr>
          <w:p w:rsidR="00DD7AFB" w:rsidRPr="00766915" w:rsidRDefault="00DD7AFB" w:rsidP="00DD7AFB">
            <w:pPr>
              <w:jc w:val="right"/>
              <w:rPr>
                <w:rFonts w:cs="Arial"/>
                <w:color w:val="000000"/>
                <w:sz w:val="20"/>
                <w:szCs w:val="20"/>
              </w:rPr>
            </w:pPr>
            <w:r w:rsidRPr="00766915">
              <w:rPr>
                <w:rFonts w:cs="Arial"/>
                <w:color w:val="000000"/>
                <w:sz w:val="20"/>
                <w:szCs w:val="20"/>
              </w:rPr>
              <w:t>4.6</w:t>
            </w:r>
          </w:p>
        </w:tc>
        <w:tc>
          <w:tcPr>
            <w:tcW w:w="1275" w:type="dxa"/>
            <w:vAlign w:val="center"/>
          </w:tcPr>
          <w:p w:rsidR="00DD7AFB" w:rsidRPr="00766915" w:rsidRDefault="00DD7AFB" w:rsidP="00DD7AFB">
            <w:pPr>
              <w:jc w:val="right"/>
              <w:rPr>
                <w:rFonts w:cs="Arial"/>
                <w:color w:val="000000"/>
                <w:sz w:val="20"/>
                <w:szCs w:val="20"/>
              </w:rPr>
            </w:pPr>
            <w:r w:rsidRPr="00766915">
              <w:rPr>
                <w:rFonts w:cs="Arial"/>
                <w:color w:val="000000"/>
                <w:sz w:val="20"/>
                <w:szCs w:val="20"/>
              </w:rPr>
              <w:t>25.5</w:t>
            </w:r>
          </w:p>
        </w:tc>
        <w:tc>
          <w:tcPr>
            <w:tcW w:w="1418" w:type="dxa"/>
            <w:vAlign w:val="center"/>
          </w:tcPr>
          <w:p w:rsidR="00DD7AFB" w:rsidRPr="00766915" w:rsidRDefault="00DD7AFB" w:rsidP="00DD7AFB">
            <w:pPr>
              <w:jc w:val="right"/>
              <w:rPr>
                <w:rFonts w:cs="Arial"/>
                <w:color w:val="000000"/>
                <w:sz w:val="20"/>
                <w:szCs w:val="20"/>
              </w:rPr>
            </w:pPr>
            <w:r w:rsidRPr="00766915">
              <w:rPr>
                <w:rFonts w:cs="Arial"/>
                <w:color w:val="000000"/>
                <w:sz w:val="20"/>
                <w:szCs w:val="20"/>
              </w:rPr>
              <w:t>31.1</w:t>
            </w:r>
          </w:p>
        </w:tc>
      </w:tr>
      <w:tr w:rsidR="00DD7AFB" w:rsidRPr="00766915" w:rsidTr="00DD2249">
        <w:trPr>
          <w:trHeight w:val="315"/>
        </w:trPr>
        <w:tc>
          <w:tcPr>
            <w:tcW w:w="988" w:type="dxa"/>
            <w:shd w:val="clear" w:color="auto" w:fill="auto"/>
            <w:noWrap/>
            <w:vAlign w:val="center"/>
            <w:hideMark/>
          </w:tcPr>
          <w:p w:rsidR="00DD7AFB" w:rsidRPr="00766915" w:rsidRDefault="00DD7AFB" w:rsidP="00DD7AFB">
            <w:pPr>
              <w:spacing w:after="0" w:line="240" w:lineRule="auto"/>
              <w:rPr>
                <w:rFonts w:eastAsia="Times New Roman" w:cs="Arial"/>
                <w:color w:val="000000"/>
                <w:sz w:val="20"/>
                <w:szCs w:val="20"/>
                <w:lang w:eastAsia="en-GB"/>
              </w:rPr>
            </w:pPr>
            <w:r w:rsidRPr="00766915">
              <w:rPr>
                <w:rFonts w:eastAsia="Times New Roman" w:cs="Arial"/>
                <w:color w:val="000000"/>
                <w:sz w:val="20"/>
                <w:szCs w:val="20"/>
                <w:lang w:eastAsia="en-GB"/>
              </w:rPr>
              <w:t>Germany</w:t>
            </w:r>
          </w:p>
        </w:tc>
        <w:tc>
          <w:tcPr>
            <w:tcW w:w="1275" w:type="dxa"/>
            <w:vAlign w:val="center"/>
          </w:tcPr>
          <w:p w:rsidR="00DD7AFB" w:rsidRPr="00766915" w:rsidRDefault="00DD7AFB" w:rsidP="00DD7AFB">
            <w:pPr>
              <w:jc w:val="right"/>
              <w:rPr>
                <w:rFonts w:cs="Arial"/>
                <w:color w:val="000000"/>
                <w:sz w:val="20"/>
                <w:szCs w:val="20"/>
              </w:rPr>
            </w:pPr>
            <w:r w:rsidRPr="00766915">
              <w:rPr>
                <w:rFonts w:cs="Arial"/>
                <w:color w:val="000000"/>
                <w:sz w:val="20"/>
                <w:szCs w:val="20"/>
              </w:rPr>
              <w:t>0.5</w:t>
            </w:r>
          </w:p>
        </w:tc>
        <w:tc>
          <w:tcPr>
            <w:tcW w:w="1276" w:type="dxa"/>
            <w:shd w:val="clear" w:color="auto" w:fill="auto"/>
            <w:noWrap/>
            <w:vAlign w:val="bottom"/>
          </w:tcPr>
          <w:p w:rsidR="00DD7AFB" w:rsidRPr="00766915" w:rsidRDefault="00DD7AFB" w:rsidP="00DD7AFB">
            <w:pPr>
              <w:jc w:val="right"/>
              <w:rPr>
                <w:rFonts w:cs="Arial"/>
                <w:color w:val="000000"/>
                <w:sz w:val="20"/>
                <w:szCs w:val="20"/>
              </w:rPr>
            </w:pPr>
            <w:r>
              <w:rPr>
                <w:rFonts w:ascii="Calibri" w:hAnsi="Calibri"/>
                <w:color w:val="000000"/>
              </w:rPr>
              <w:t xml:space="preserve">         67,081 </w:t>
            </w:r>
          </w:p>
        </w:tc>
        <w:tc>
          <w:tcPr>
            <w:tcW w:w="1276" w:type="dxa"/>
            <w:vAlign w:val="center"/>
          </w:tcPr>
          <w:p w:rsidR="00DD7AFB" w:rsidRPr="00766915" w:rsidRDefault="00DD7AFB" w:rsidP="00DD7AFB">
            <w:pPr>
              <w:rPr>
                <w:rFonts w:cs="Arial"/>
                <w:color w:val="000000"/>
                <w:sz w:val="20"/>
                <w:szCs w:val="20"/>
              </w:rPr>
            </w:pPr>
            <w:r w:rsidRPr="00766915">
              <w:rPr>
                <w:rFonts w:cs="Arial"/>
                <w:color w:val="000000"/>
                <w:sz w:val="20"/>
                <w:szCs w:val="20"/>
              </w:rPr>
              <w:t> </w:t>
            </w:r>
          </w:p>
        </w:tc>
        <w:tc>
          <w:tcPr>
            <w:tcW w:w="1276" w:type="dxa"/>
            <w:vAlign w:val="center"/>
          </w:tcPr>
          <w:p w:rsidR="00DD7AFB" w:rsidRPr="00766915" w:rsidRDefault="00DD7AFB" w:rsidP="00DD7AFB">
            <w:pPr>
              <w:rPr>
                <w:rFonts w:cs="Arial"/>
                <w:color w:val="000000"/>
                <w:sz w:val="20"/>
                <w:szCs w:val="20"/>
              </w:rPr>
            </w:pPr>
            <w:r w:rsidRPr="00766915">
              <w:rPr>
                <w:rFonts w:cs="Arial"/>
                <w:color w:val="000000"/>
                <w:sz w:val="20"/>
                <w:szCs w:val="20"/>
              </w:rPr>
              <w:t> </w:t>
            </w:r>
          </w:p>
        </w:tc>
        <w:tc>
          <w:tcPr>
            <w:tcW w:w="1276" w:type="dxa"/>
            <w:vAlign w:val="center"/>
          </w:tcPr>
          <w:p w:rsidR="00DD7AFB" w:rsidRPr="00766915" w:rsidRDefault="00DD7AFB" w:rsidP="00DD7AFB">
            <w:pPr>
              <w:rPr>
                <w:rFonts w:cs="Arial"/>
                <w:color w:val="000000"/>
                <w:sz w:val="20"/>
                <w:szCs w:val="20"/>
              </w:rPr>
            </w:pPr>
            <w:r w:rsidRPr="00766915">
              <w:rPr>
                <w:rFonts w:cs="Arial"/>
                <w:color w:val="000000"/>
                <w:sz w:val="20"/>
                <w:szCs w:val="20"/>
              </w:rPr>
              <w:t> </w:t>
            </w:r>
          </w:p>
        </w:tc>
        <w:tc>
          <w:tcPr>
            <w:tcW w:w="1275" w:type="dxa"/>
            <w:vAlign w:val="center"/>
          </w:tcPr>
          <w:p w:rsidR="00DD7AFB" w:rsidRPr="00766915" w:rsidRDefault="00DD7AFB" w:rsidP="00DD7AFB">
            <w:pPr>
              <w:rPr>
                <w:rFonts w:cs="Arial"/>
                <w:color w:val="000000"/>
                <w:sz w:val="20"/>
                <w:szCs w:val="20"/>
              </w:rPr>
            </w:pPr>
            <w:r w:rsidRPr="00766915">
              <w:rPr>
                <w:rFonts w:cs="Arial"/>
                <w:color w:val="000000"/>
                <w:sz w:val="20"/>
                <w:szCs w:val="20"/>
              </w:rPr>
              <w:t> </w:t>
            </w:r>
          </w:p>
        </w:tc>
        <w:tc>
          <w:tcPr>
            <w:tcW w:w="1418" w:type="dxa"/>
            <w:vAlign w:val="center"/>
          </w:tcPr>
          <w:p w:rsidR="00DD7AFB" w:rsidRPr="00766915" w:rsidRDefault="00DD7AFB" w:rsidP="00DD7AFB">
            <w:pPr>
              <w:rPr>
                <w:rFonts w:cs="Arial"/>
                <w:color w:val="000000"/>
                <w:sz w:val="20"/>
                <w:szCs w:val="20"/>
              </w:rPr>
            </w:pPr>
            <w:r w:rsidRPr="00766915">
              <w:rPr>
                <w:rFonts w:cs="Arial"/>
                <w:color w:val="000000"/>
                <w:sz w:val="20"/>
                <w:szCs w:val="20"/>
              </w:rPr>
              <w:t> </w:t>
            </w:r>
          </w:p>
        </w:tc>
      </w:tr>
      <w:tr w:rsidR="00DD7AFB" w:rsidRPr="00766915" w:rsidTr="00DD2249">
        <w:trPr>
          <w:trHeight w:val="315"/>
        </w:trPr>
        <w:tc>
          <w:tcPr>
            <w:tcW w:w="988" w:type="dxa"/>
            <w:shd w:val="clear" w:color="auto" w:fill="auto"/>
            <w:noWrap/>
            <w:vAlign w:val="center"/>
            <w:hideMark/>
          </w:tcPr>
          <w:p w:rsidR="00DD7AFB" w:rsidRPr="00766915" w:rsidRDefault="00DD7AFB" w:rsidP="00DD7AFB">
            <w:pPr>
              <w:spacing w:after="0" w:line="240" w:lineRule="auto"/>
              <w:rPr>
                <w:rFonts w:eastAsia="Times New Roman" w:cs="Arial"/>
                <w:color w:val="000000"/>
                <w:sz w:val="20"/>
                <w:szCs w:val="20"/>
                <w:lang w:eastAsia="en-GB"/>
              </w:rPr>
            </w:pPr>
            <w:r w:rsidRPr="00766915">
              <w:rPr>
                <w:rFonts w:eastAsia="Times New Roman" w:cs="Arial"/>
                <w:color w:val="000000"/>
                <w:sz w:val="20"/>
                <w:szCs w:val="20"/>
                <w:lang w:eastAsia="en-GB"/>
              </w:rPr>
              <w:t>Greece</w:t>
            </w:r>
          </w:p>
        </w:tc>
        <w:tc>
          <w:tcPr>
            <w:tcW w:w="1275" w:type="dxa"/>
            <w:vAlign w:val="center"/>
          </w:tcPr>
          <w:p w:rsidR="00DD7AFB" w:rsidRPr="00766915" w:rsidRDefault="00DD7AFB" w:rsidP="00DD7AFB">
            <w:pPr>
              <w:jc w:val="right"/>
              <w:rPr>
                <w:rFonts w:cs="Arial"/>
                <w:color w:val="000000"/>
                <w:sz w:val="20"/>
                <w:szCs w:val="20"/>
              </w:rPr>
            </w:pPr>
            <w:r w:rsidRPr="00766915">
              <w:rPr>
                <w:rFonts w:cs="Arial"/>
                <w:color w:val="000000"/>
                <w:sz w:val="20"/>
                <w:szCs w:val="20"/>
              </w:rPr>
              <w:t>4.4</w:t>
            </w:r>
          </w:p>
        </w:tc>
        <w:tc>
          <w:tcPr>
            <w:tcW w:w="1276" w:type="dxa"/>
            <w:shd w:val="clear" w:color="auto" w:fill="auto"/>
            <w:noWrap/>
            <w:vAlign w:val="bottom"/>
          </w:tcPr>
          <w:p w:rsidR="00DD7AFB" w:rsidRPr="00766915" w:rsidRDefault="00DD7AFB" w:rsidP="00DD7AFB">
            <w:pPr>
              <w:jc w:val="right"/>
              <w:rPr>
                <w:rFonts w:cs="Arial"/>
                <w:color w:val="000000"/>
                <w:sz w:val="20"/>
                <w:szCs w:val="20"/>
              </w:rPr>
            </w:pPr>
            <w:r>
              <w:rPr>
                <w:rFonts w:ascii="Calibri" w:hAnsi="Calibri"/>
                <w:color w:val="000000"/>
              </w:rPr>
              <w:t xml:space="preserve">         83,064 </w:t>
            </w:r>
          </w:p>
        </w:tc>
        <w:tc>
          <w:tcPr>
            <w:tcW w:w="1276" w:type="dxa"/>
            <w:vAlign w:val="center"/>
          </w:tcPr>
          <w:p w:rsidR="00DD7AFB" w:rsidRPr="00766915" w:rsidRDefault="00DD7AFB" w:rsidP="00DD7AFB">
            <w:pPr>
              <w:jc w:val="right"/>
              <w:rPr>
                <w:rFonts w:cs="Arial"/>
                <w:color w:val="000000"/>
                <w:sz w:val="20"/>
                <w:szCs w:val="20"/>
              </w:rPr>
            </w:pPr>
            <w:r w:rsidRPr="00766915">
              <w:rPr>
                <w:rFonts w:cs="Arial"/>
                <w:color w:val="000000"/>
                <w:sz w:val="20"/>
                <w:szCs w:val="20"/>
              </w:rPr>
              <w:t>98.2</w:t>
            </w:r>
          </w:p>
        </w:tc>
        <w:tc>
          <w:tcPr>
            <w:tcW w:w="1276" w:type="dxa"/>
            <w:vAlign w:val="center"/>
          </w:tcPr>
          <w:p w:rsidR="00DD7AFB" w:rsidRPr="00766915" w:rsidRDefault="00DD7AFB" w:rsidP="00DD7AFB">
            <w:pPr>
              <w:jc w:val="right"/>
              <w:rPr>
                <w:rFonts w:cs="Arial"/>
                <w:color w:val="000000"/>
                <w:sz w:val="20"/>
                <w:szCs w:val="20"/>
              </w:rPr>
            </w:pPr>
            <w:r w:rsidRPr="00766915">
              <w:rPr>
                <w:rFonts w:cs="Arial"/>
                <w:color w:val="000000"/>
                <w:sz w:val="20"/>
                <w:szCs w:val="20"/>
              </w:rPr>
              <w:t>1.8</w:t>
            </w:r>
          </w:p>
        </w:tc>
        <w:tc>
          <w:tcPr>
            <w:tcW w:w="1276" w:type="dxa"/>
            <w:vAlign w:val="center"/>
          </w:tcPr>
          <w:p w:rsidR="00DD7AFB" w:rsidRPr="00766915" w:rsidRDefault="00DD7AFB" w:rsidP="00DD7AFB">
            <w:pPr>
              <w:jc w:val="right"/>
              <w:rPr>
                <w:rFonts w:cs="Arial"/>
                <w:color w:val="000000"/>
                <w:sz w:val="20"/>
                <w:szCs w:val="20"/>
              </w:rPr>
            </w:pPr>
            <w:r w:rsidRPr="00766915">
              <w:rPr>
                <w:rFonts w:cs="Arial"/>
                <w:color w:val="000000"/>
                <w:sz w:val="20"/>
                <w:szCs w:val="20"/>
              </w:rPr>
              <w:t> </w:t>
            </w:r>
          </w:p>
        </w:tc>
        <w:tc>
          <w:tcPr>
            <w:tcW w:w="1275" w:type="dxa"/>
            <w:vAlign w:val="center"/>
          </w:tcPr>
          <w:p w:rsidR="00DD7AFB" w:rsidRPr="00766915" w:rsidRDefault="00DD7AFB" w:rsidP="00DD7AFB">
            <w:pPr>
              <w:jc w:val="right"/>
              <w:rPr>
                <w:rFonts w:cs="Arial"/>
                <w:color w:val="000000"/>
                <w:sz w:val="20"/>
                <w:szCs w:val="20"/>
              </w:rPr>
            </w:pPr>
            <w:r w:rsidRPr="00766915">
              <w:rPr>
                <w:rFonts w:cs="Arial"/>
                <w:color w:val="000000"/>
                <w:sz w:val="20"/>
                <w:szCs w:val="20"/>
              </w:rPr>
              <w:t> </w:t>
            </w:r>
          </w:p>
        </w:tc>
        <w:tc>
          <w:tcPr>
            <w:tcW w:w="1418" w:type="dxa"/>
            <w:vAlign w:val="center"/>
          </w:tcPr>
          <w:p w:rsidR="00DD7AFB" w:rsidRPr="00766915" w:rsidRDefault="00DD7AFB" w:rsidP="00DD7AFB">
            <w:pPr>
              <w:jc w:val="right"/>
              <w:rPr>
                <w:rFonts w:cs="Arial"/>
                <w:color w:val="000000"/>
                <w:sz w:val="20"/>
                <w:szCs w:val="20"/>
              </w:rPr>
            </w:pPr>
            <w:r w:rsidRPr="00766915">
              <w:rPr>
                <w:rFonts w:cs="Arial"/>
                <w:color w:val="000000"/>
                <w:sz w:val="20"/>
                <w:szCs w:val="20"/>
              </w:rPr>
              <w:t> </w:t>
            </w:r>
          </w:p>
        </w:tc>
      </w:tr>
      <w:tr w:rsidR="00DD7AFB" w:rsidRPr="00766915" w:rsidTr="00DD2249">
        <w:trPr>
          <w:trHeight w:val="315"/>
        </w:trPr>
        <w:tc>
          <w:tcPr>
            <w:tcW w:w="988" w:type="dxa"/>
            <w:shd w:val="clear" w:color="auto" w:fill="auto"/>
            <w:noWrap/>
            <w:vAlign w:val="center"/>
            <w:hideMark/>
          </w:tcPr>
          <w:p w:rsidR="00DD7AFB" w:rsidRPr="00766915" w:rsidRDefault="00DD7AFB" w:rsidP="00DD7AFB">
            <w:pPr>
              <w:spacing w:after="0" w:line="240" w:lineRule="auto"/>
              <w:rPr>
                <w:rFonts w:eastAsia="Times New Roman" w:cs="Arial"/>
                <w:color w:val="000000"/>
                <w:sz w:val="20"/>
                <w:szCs w:val="20"/>
                <w:lang w:eastAsia="en-GB"/>
              </w:rPr>
            </w:pPr>
            <w:r w:rsidRPr="00766915">
              <w:rPr>
                <w:rFonts w:eastAsia="Times New Roman" w:cs="Arial"/>
                <w:color w:val="000000"/>
                <w:sz w:val="20"/>
                <w:szCs w:val="20"/>
                <w:lang w:eastAsia="en-GB"/>
              </w:rPr>
              <w:t>Hungary</w:t>
            </w:r>
          </w:p>
        </w:tc>
        <w:tc>
          <w:tcPr>
            <w:tcW w:w="1275" w:type="dxa"/>
            <w:vAlign w:val="center"/>
          </w:tcPr>
          <w:p w:rsidR="00DD7AFB" w:rsidRPr="00766915" w:rsidRDefault="00DD7AFB" w:rsidP="00DD7AFB">
            <w:pPr>
              <w:jc w:val="right"/>
              <w:rPr>
                <w:rFonts w:cs="Arial"/>
                <w:color w:val="000000"/>
                <w:sz w:val="20"/>
                <w:szCs w:val="20"/>
              </w:rPr>
            </w:pPr>
            <w:r w:rsidRPr="00766915">
              <w:rPr>
                <w:rFonts w:cs="Arial"/>
                <w:color w:val="000000"/>
                <w:sz w:val="20"/>
                <w:szCs w:val="20"/>
              </w:rPr>
              <w:t>0.3</w:t>
            </w:r>
          </w:p>
        </w:tc>
        <w:tc>
          <w:tcPr>
            <w:tcW w:w="1276" w:type="dxa"/>
            <w:shd w:val="clear" w:color="auto" w:fill="auto"/>
            <w:noWrap/>
            <w:vAlign w:val="bottom"/>
          </w:tcPr>
          <w:p w:rsidR="00DD7AFB" w:rsidRPr="00766915" w:rsidRDefault="00DD7AFB" w:rsidP="00DD7AFB">
            <w:pPr>
              <w:jc w:val="right"/>
              <w:rPr>
                <w:rFonts w:cs="Arial"/>
                <w:color w:val="000000"/>
                <w:sz w:val="20"/>
                <w:szCs w:val="20"/>
              </w:rPr>
            </w:pPr>
            <w:r>
              <w:rPr>
                <w:rFonts w:ascii="Calibri" w:hAnsi="Calibri"/>
                <w:color w:val="000000"/>
              </w:rPr>
              <w:t xml:space="preserve">           5,183 </w:t>
            </w:r>
          </w:p>
        </w:tc>
        <w:tc>
          <w:tcPr>
            <w:tcW w:w="1276" w:type="dxa"/>
            <w:vAlign w:val="center"/>
          </w:tcPr>
          <w:p w:rsidR="00DD7AFB" w:rsidRPr="00766915" w:rsidRDefault="00DD7AFB" w:rsidP="00DD7AFB">
            <w:pPr>
              <w:rPr>
                <w:rFonts w:cs="Arial"/>
                <w:color w:val="000000"/>
                <w:sz w:val="20"/>
                <w:szCs w:val="20"/>
              </w:rPr>
            </w:pPr>
            <w:r w:rsidRPr="00766915">
              <w:rPr>
                <w:rFonts w:cs="Arial"/>
                <w:color w:val="000000"/>
                <w:sz w:val="20"/>
                <w:szCs w:val="20"/>
              </w:rPr>
              <w:t> </w:t>
            </w:r>
          </w:p>
        </w:tc>
        <w:tc>
          <w:tcPr>
            <w:tcW w:w="1276" w:type="dxa"/>
            <w:vAlign w:val="center"/>
          </w:tcPr>
          <w:p w:rsidR="00DD7AFB" w:rsidRPr="00766915" w:rsidRDefault="00DD7AFB" w:rsidP="00DD7AFB">
            <w:pPr>
              <w:rPr>
                <w:rFonts w:cs="Arial"/>
                <w:color w:val="000000"/>
                <w:sz w:val="20"/>
                <w:szCs w:val="20"/>
              </w:rPr>
            </w:pPr>
            <w:r w:rsidRPr="00766915">
              <w:rPr>
                <w:rFonts w:cs="Arial"/>
                <w:color w:val="000000"/>
                <w:sz w:val="20"/>
                <w:szCs w:val="20"/>
              </w:rPr>
              <w:t> </w:t>
            </w:r>
          </w:p>
        </w:tc>
        <w:tc>
          <w:tcPr>
            <w:tcW w:w="1276" w:type="dxa"/>
            <w:vAlign w:val="center"/>
          </w:tcPr>
          <w:p w:rsidR="00DD7AFB" w:rsidRPr="00766915" w:rsidRDefault="00DD7AFB" w:rsidP="00DD7AFB">
            <w:pPr>
              <w:rPr>
                <w:rFonts w:cs="Arial"/>
                <w:color w:val="000000"/>
                <w:sz w:val="20"/>
                <w:szCs w:val="20"/>
              </w:rPr>
            </w:pPr>
            <w:r w:rsidRPr="00766915">
              <w:rPr>
                <w:rFonts w:cs="Arial"/>
                <w:color w:val="000000"/>
                <w:sz w:val="20"/>
                <w:szCs w:val="20"/>
              </w:rPr>
              <w:t> </w:t>
            </w:r>
          </w:p>
        </w:tc>
        <w:tc>
          <w:tcPr>
            <w:tcW w:w="1275" w:type="dxa"/>
            <w:vAlign w:val="center"/>
          </w:tcPr>
          <w:p w:rsidR="00DD7AFB" w:rsidRPr="00766915" w:rsidRDefault="00DD7AFB" w:rsidP="00DD7AFB">
            <w:pPr>
              <w:rPr>
                <w:rFonts w:cs="Arial"/>
                <w:color w:val="000000"/>
                <w:sz w:val="20"/>
                <w:szCs w:val="20"/>
              </w:rPr>
            </w:pPr>
            <w:r w:rsidRPr="00766915">
              <w:rPr>
                <w:rFonts w:cs="Arial"/>
                <w:color w:val="000000"/>
                <w:sz w:val="20"/>
                <w:szCs w:val="20"/>
              </w:rPr>
              <w:t> </w:t>
            </w:r>
          </w:p>
        </w:tc>
        <w:tc>
          <w:tcPr>
            <w:tcW w:w="1418" w:type="dxa"/>
            <w:vAlign w:val="center"/>
          </w:tcPr>
          <w:p w:rsidR="00DD7AFB" w:rsidRPr="00766915" w:rsidRDefault="00DD7AFB" w:rsidP="00DD7AFB">
            <w:pPr>
              <w:rPr>
                <w:rFonts w:cs="Arial"/>
                <w:color w:val="000000"/>
                <w:sz w:val="20"/>
                <w:szCs w:val="20"/>
              </w:rPr>
            </w:pPr>
            <w:r w:rsidRPr="00766915">
              <w:rPr>
                <w:rFonts w:cs="Arial"/>
                <w:color w:val="000000"/>
                <w:sz w:val="20"/>
                <w:szCs w:val="20"/>
              </w:rPr>
              <w:t> </w:t>
            </w:r>
          </w:p>
        </w:tc>
      </w:tr>
      <w:tr w:rsidR="00DD7AFB" w:rsidRPr="00766915" w:rsidTr="00DD2249">
        <w:trPr>
          <w:trHeight w:val="315"/>
        </w:trPr>
        <w:tc>
          <w:tcPr>
            <w:tcW w:w="988" w:type="dxa"/>
            <w:shd w:val="clear" w:color="auto" w:fill="auto"/>
            <w:noWrap/>
            <w:vAlign w:val="center"/>
            <w:hideMark/>
          </w:tcPr>
          <w:p w:rsidR="00DD7AFB" w:rsidRPr="00766915" w:rsidRDefault="00DD7AFB" w:rsidP="00DD7AFB">
            <w:pPr>
              <w:spacing w:after="0" w:line="240" w:lineRule="auto"/>
              <w:rPr>
                <w:rFonts w:eastAsia="Times New Roman" w:cs="Arial"/>
                <w:color w:val="000000"/>
                <w:sz w:val="20"/>
                <w:szCs w:val="20"/>
                <w:lang w:eastAsia="en-GB"/>
              </w:rPr>
            </w:pPr>
            <w:r w:rsidRPr="00766915">
              <w:rPr>
                <w:rFonts w:eastAsia="Times New Roman" w:cs="Arial"/>
                <w:color w:val="000000"/>
                <w:sz w:val="20"/>
                <w:szCs w:val="20"/>
                <w:lang w:eastAsia="en-GB"/>
              </w:rPr>
              <w:t>Italy</w:t>
            </w:r>
          </w:p>
        </w:tc>
        <w:tc>
          <w:tcPr>
            <w:tcW w:w="1275" w:type="dxa"/>
            <w:vAlign w:val="center"/>
          </w:tcPr>
          <w:p w:rsidR="00DD7AFB" w:rsidRPr="00766915" w:rsidRDefault="00DD7AFB" w:rsidP="00DD7AFB">
            <w:pPr>
              <w:jc w:val="right"/>
              <w:rPr>
                <w:rFonts w:cs="Arial"/>
                <w:color w:val="000000"/>
                <w:sz w:val="20"/>
                <w:szCs w:val="20"/>
              </w:rPr>
            </w:pPr>
            <w:r w:rsidRPr="00766915">
              <w:rPr>
                <w:rFonts w:cs="Arial"/>
                <w:color w:val="000000"/>
                <w:sz w:val="20"/>
                <w:szCs w:val="20"/>
              </w:rPr>
              <w:t>1.7</w:t>
            </w:r>
          </w:p>
        </w:tc>
        <w:tc>
          <w:tcPr>
            <w:tcW w:w="1276" w:type="dxa"/>
            <w:shd w:val="clear" w:color="auto" w:fill="auto"/>
            <w:noWrap/>
            <w:vAlign w:val="bottom"/>
          </w:tcPr>
          <w:p w:rsidR="00DD7AFB" w:rsidRPr="00766915" w:rsidRDefault="00DD7AFB" w:rsidP="00DD7AFB">
            <w:pPr>
              <w:jc w:val="right"/>
              <w:rPr>
                <w:rFonts w:cs="Arial"/>
                <w:color w:val="000000"/>
                <w:sz w:val="20"/>
                <w:szCs w:val="20"/>
              </w:rPr>
            </w:pPr>
            <w:r>
              <w:rPr>
                <w:rFonts w:ascii="Calibri" w:hAnsi="Calibri"/>
                <w:color w:val="000000"/>
              </w:rPr>
              <w:t xml:space="preserve">      168,912 </w:t>
            </w:r>
          </w:p>
        </w:tc>
        <w:tc>
          <w:tcPr>
            <w:tcW w:w="1276" w:type="dxa"/>
            <w:vAlign w:val="center"/>
          </w:tcPr>
          <w:p w:rsidR="00DD7AFB" w:rsidRPr="00766915" w:rsidRDefault="00DD7AFB" w:rsidP="00DD7AFB">
            <w:pPr>
              <w:jc w:val="right"/>
              <w:rPr>
                <w:rFonts w:cs="Arial"/>
                <w:color w:val="000000"/>
                <w:sz w:val="20"/>
                <w:szCs w:val="20"/>
              </w:rPr>
            </w:pPr>
            <w:r w:rsidRPr="00766915">
              <w:rPr>
                <w:rFonts w:cs="Arial"/>
                <w:color w:val="000000"/>
                <w:sz w:val="20"/>
                <w:szCs w:val="20"/>
              </w:rPr>
              <w:t>81.5</w:t>
            </w:r>
          </w:p>
        </w:tc>
        <w:tc>
          <w:tcPr>
            <w:tcW w:w="1276" w:type="dxa"/>
            <w:vAlign w:val="center"/>
          </w:tcPr>
          <w:p w:rsidR="00DD7AFB" w:rsidRPr="00766915" w:rsidRDefault="00DD7AFB" w:rsidP="00DD7AFB">
            <w:pPr>
              <w:jc w:val="right"/>
              <w:rPr>
                <w:rFonts w:cs="Arial"/>
                <w:color w:val="000000"/>
                <w:sz w:val="20"/>
                <w:szCs w:val="20"/>
              </w:rPr>
            </w:pPr>
            <w:r w:rsidRPr="00766915">
              <w:rPr>
                <w:rFonts w:cs="Arial"/>
                <w:color w:val="000000"/>
                <w:sz w:val="20"/>
                <w:szCs w:val="20"/>
              </w:rPr>
              <w:t> </w:t>
            </w:r>
          </w:p>
        </w:tc>
        <w:tc>
          <w:tcPr>
            <w:tcW w:w="1276" w:type="dxa"/>
            <w:vAlign w:val="center"/>
          </w:tcPr>
          <w:p w:rsidR="00DD7AFB" w:rsidRPr="00766915" w:rsidRDefault="00DD7AFB" w:rsidP="00DD7AFB">
            <w:pPr>
              <w:jc w:val="right"/>
              <w:rPr>
                <w:rFonts w:cs="Arial"/>
                <w:color w:val="000000"/>
                <w:sz w:val="20"/>
                <w:szCs w:val="20"/>
              </w:rPr>
            </w:pPr>
            <w:r w:rsidRPr="00766915">
              <w:rPr>
                <w:rFonts w:cs="Arial"/>
                <w:color w:val="000000"/>
                <w:sz w:val="20"/>
                <w:szCs w:val="20"/>
              </w:rPr>
              <w:t> </w:t>
            </w:r>
          </w:p>
        </w:tc>
        <w:tc>
          <w:tcPr>
            <w:tcW w:w="1275" w:type="dxa"/>
            <w:vAlign w:val="center"/>
          </w:tcPr>
          <w:p w:rsidR="00DD7AFB" w:rsidRPr="00766915" w:rsidRDefault="00DD7AFB" w:rsidP="00DD7AFB">
            <w:pPr>
              <w:jc w:val="right"/>
              <w:rPr>
                <w:rFonts w:cs="Arial"/>
                <w:color w:val="000000"/>
                <w:sz w:val="20"/>
                <w:szCs w:val="20"/>
              </w:rPr>
            </w:pPr>
            <w:r w:rsidRPr="00766915">
              <w:rPr>
                <w:rFonts w:cs="Arial"/>
                <w:color w:val="000000"/>
                <w:sz w:val="20"/>
                <w:szCs w:val="20"/>
              </w:rPr>
              <w:t>18.5</w:t>
            </w:r>
          </w:p>
        </w:tc>
        <w:tc>
          <w:tcPr>
            <w:tcW w:w="1418" w:type="dxa"/>
            <w:vAlign w:val="center"/>
          </w:tcPr>
          <w:p w:rsidR="00DD7AFB" w:rsidRPr="00766915" w:rsidRDefault="00DD7AFB" w:rsidP="00DD7AFB">
            <w:pPr>
              <w:jc w:val="right"/>
              <w:rPr>
                <w:rFonts w:cs="Arial"/>
                <w:color w:val="000000"/>
                <w:sz w:val="20"/>
                <w:szCs w:val="20"/>
              </w:rPr>
            </w:pPr>
            <w:r w:rsidRPr="00766915">
              <w:rPr>
                <w:rFonts w:cs="Arial"/>
                <w:color w:val="000000"/>
                <w:sz w:val="20"/>
                <w:szCs w:val="20"/>
              </w:rPr>
              <w:t> </w:t>
            </w:r>
          </w:p>
        </w:tc>
      </w:tr>
      <w:tr w:rsidR="00DD7AFB" w:rsidRPr="00766915" w:rsidTr="00DD2249">
        <w:trPr>
          <w:trHeight w:val="315"/>
        </w:trPr>
        <w:tc>
          <w:tcPr>
            <w:tcW w:w="988" w:type="dxa"/>
            <w:shd w:val="clear" w:color="auto" w:fill="auto"/>
            <w:noWrap/>
            <w:vAlign w:val="center"/>
            <w:hideMark/>
          </w:tcPr>
          <w:p w:rsidR="00DD7AFB" w:rsidRPr="00766915" w:rsidRDefault="00DD7AFB" w:rsidP="00DD7AFB">
            <w:pPr>
              <w:spacing w:after="0" w:line="240" w:lineRule="auto"/>
              <w:rPr>
                <w:rFonts w:eastAsia="Times New Roman" w:cs="Arial"/>
                <w:color w:val="000000"/>
                <w:sz w:val="20"/>
                <w:szCs w:val="20"/>
                <w:lang w:eastAsia="en-GB"/>
              </w:rPr>
            </w:pPr>
            <w:r w:rsidRPr="00766915">
              <w:rPr>
                <w:rFonts w:eastAsia="Times New Roman" w:cs="Arial"/>
                <w:color w:val="000000"/>
                <w:sz w:val="20"/>
                <w:szCs w:val="20"/>
                <w:lang w:eastAsia="en-GB"/>
              </w:rPr>
              <w:t>Latvia</w:t>
            </w:r>
          </w:p>
        </w:tc>
        <w:tc>
          <w:tcPr>
            <w:tcW w:w="1275" w:type="dxa"/>
            <w:vAlign w:val="center"/>
          </w:tcPr>
          <w:p w:rsidR="00DD7AFB" w:rsidRPr="00766915" w:rsidRDefault="00DD7AFB" w:rsidP="00DD7AFB">
            <w:pPr>
              <w:jc w:val="right"/>
              <w:rPr>
                <w:rFonts w:cs="Arial"/>
                <w:color w:val="000000"/>
                <w:sz w:val="20"/>
                <w:szCs w:val="20"/>
              </w:rPr>
            </w:pPr>
            <w:r w:rsidRPr="00766915">
              <w:rPr>
                <w:rFonts w:cs="Arial"/>
                <w:color w:val="000000"/>
                <w:sz w:val="20"/>
                <w:szCs w:val="20"/>
              </w:rPr>
              <w:t>7.3</w:t>
            </w:r>
          </w:p>
        </w:tc>
        <w:tc>
          <w:tcPr>
            <w:tcW w:w="1276" w:type="dxa"/>
            <w:shd w:val="clear" w:color="auto" w:fill="auto"/>
            <w:noWrap/>
            <w:vAlign w:val="bottom"/>
          </w:tcPr>
          <w:p w:rsidR="00DD7AFB" w:rsidRPr="00766915" w:rsidRDefault="00DD7AFB" w:rsidP="00DD7AFB">
            <w:pPr>
              <w:jc w:val="right"/>
              <w:rPr>
                <w:rFonts w:cs="Arial"/>
                <w:color w:val="000000"/>
                <w:sz w:val="20"/>
                <w:szCs w:val="20"/>
              </w:rPr>
            </w:pPr>
            <w:r>
              <w:rPr>
                <w:rFonts w:ascii="Calibri" w:hAnsi="Calibri"/>
                <w:color w:val="000000"/>
              </w:rPr>
              <w:t xml:space="preserve">         26,911 </w:t>
            </w:r>
          </w:p>
        </w:tc>
        <w:tc>
          <w:tcPr>
            <w:tcW w:w="1276" w:type="dxa"/>
            <w:vAlign w:val="center"/>
          </w:tcPr>
          <w:p w:rsidR="00DD7AFB" w:rsidRPr="00766915" w:rsidRDefault="00DD7AFB" w:rsidP="00DD7AFB">
            <w:pPr>
              <w:jc w:val="right"/>
              <w:rPr>
                <w:rFonts w:cs="Arial"/>
                <w:color w:val="000000"/>
                <w:sz w:val="20"/>
                <w:szCs w:val="20"/>
              </w:rPr>
            </w:pPr>
            <w:r w:rsidRPr="00766915">
              <w:rPr>
                <w:rFonts w:cs="Arial"/>
                <w:color w:val="000000"/>
                <w:sz w:val="20"/>
                <w:szCs w:val="20"/>
              </w:rPr>
              <w:t>57.8</w:t>
            </w:r>
          </w:p>
        </w:tc>
        <w:tc>
          <w:tcPr>
            <w:tcW w:w="1276" w:type="dxa"/>
            <w:vAlign w:val="center"/>
          </w:tcPr>
          <w:p w:rsidR="00DD7AFB" w:rsidRPr="00766915" w:rsidRDefault="00DD7AFB" w:rsidP="00DD7AFB">
            <w:pPr>
              <w:jc w:val="right"/>
              <w:rPr>
                <w:rFonts w:cs="Arial"/>
                <w:color w:val="000000"/>
                <w:sz w:val="20"/>
                <w:szCs w:val="20"/>
              </w:rPr>
            </w:pPr>
            <w:r w:rsidRPr="00766915">
              <w:rPr>
                <w:rFonts w:cs="Arial"/>
                <w:color w:val="000000"/>
                <w:sz w:val="20"/>
                <w:szCs w:val="20"/>
              </w:rPr>
              <w:t>1.9</w:t>
            </w:r>
          </w:p>
        </w:tc>
        <w:tc>
          <w:tcPr>
            <w:tcW w:w="1276" w:type="dxa"/>
            <w:vAlign w:val="center"/>
          </w:tcPr>
          <w:p w:rsidR="00DD7AFB" w:rsidRPr="00766915" w:rsidRDefault="00DD7AFB" w:rsidP="00DD7AFB">
            <w:pPr>
              <w:jc w:val="right"/>
              <w:rPr>
                <w:rFonts w:cs="Arial"/>
                <w:color w:val="000000"/>
                <w:sz w:val="20"/>
                <w:szCs w:val="20"/>
              </w:rPr>
            </w:pPr>
            <w:r w:rsidRPr="00766915">
              <w:rPr>
                <w:rFonts w:cs="Arial"/>
                <w:color w:val="000000"/>
                <w:sz w:val="20"/>
                <w:szCs w:val="20"/>
              </w:rPr>
              <w:t>8.9</w:t>
            </w:r>
          </w:p>
        </w:tc>
        <w:tc>
          <w:tcPr>
            <w:tcW w:w="1275" w:type="dxa"/>
            <w:vAlign w:val="center"/>
          </w:tcPr>
          <w:p w:rsidR="00DD7AFB" w:rsidRPr="00766915" w:rsidRDefault="00DD7AFB" w:rsidP="00DD7AFB">
            <w:pPr>
              <w:jc w:val="right"/>
              <w:rPr>
                <w:rFonts w:cs="Arial"/>
                <w:color w:val="000000"/>
                <w:sz w:val="20"/>
                <w:szCs w:val="20"/>
              </w:rPr>
            </w:pPr>
            <w:r w:rsidRPr="00766915">
              <w:rPr>
                <w:rFonts w:cs="Arial"/>
                <w:color w:val="000000"/>
                <w:sz w:val="20"/>
                <w:szCs w:val="20"/>
              </w:rPr>
              <w:t>30.6</w:t>
            </w:r>
          </w:p>
        </w:tc>
        <w:tc>
          <w:tcPr>
            <w:tcW w:w="1418" w:type="dxa"/>
            <w:vAlign w:val="center"/>
          </w:tcPr>
          <w:p w:rsidR="00DD7AFB" w:rsidRPr="00766915" w:rsidRDefault="00DD7AFB" w:rsidP="00DD7AFB">
            <w:pPr>
              <w:jc w:val="right"/>
              <w:rPr>
                <w:rFonts w:cs="Arial"/>
                <w:color w:val="000000"/>
                <w:sz w:val="20"/>
                <w:szCs w:val="20"/>
              </w:rPr>
            </w:pPr>
            <w:r w:rsidRPr="00766915">
              <w:rPr>
                <w:rFonts w:cs="Arial"/>
                <w:color w:val="000000"/>
                <w:sz w:val="20"/>
                <w:szCs w:val="20"/>
              </w:rPr>
              <w:t>0.7</w:t>
            </w:r>
          </w:p>
        </w:tc>
      </w:tr>
      <w:tr w:rsidR="00DD7AFB" w:rsidRPr="00766915" w:rsidTr="00DD2249">
        <w:trPr>
          <w:trHeight w:val="315"/>
        </w:trPr>
        <w:tc>
          <w:tcPr>
            <w:tcW w:w="988" w:type="dxa"/>
            <w:shd w:val="clear" w:color="auto" w:fill="auto"/>
            <w:noWrap/>
            <w:vAlign w:val="center"/>
            <w:hideMark/>
          </w:tcPr>
          <w:p w:rsidR="00DD7AFB" w:rsidRPr="00766915" w:rsidRDefault="00DD7AFB" w:rsidP="00DD7AFB">
            <w:pPr>
              <w:spacing w:after="0" w:line="240" w:lineRule="auto"/>
              <w:rPr>
                <w:rFonts w:eastAsia="Times New Roman" w:cs="Arial"/>
                <w:color w:val="000000"/>
                <w:sz w:val="20"/>
                <w:szCs w:val="20"/>
                <w:lang w:eastAsia="en-GB"/>
              </w:rPr>
            </w:pPr>
            <w:r w:rsidRPr="00766915">
              <w:rPr>
                <w:rFonts w:eastAsia="Times New Roman" w:cs="Arial"/>
                <w:color w:val="000000"/>
                <w:sz w:val="20"/>
                <w:szCs w:val="20"/>
                <w:lang w:eastAsia="en-GB"/>
              </w:rPr>
              <w:t>Lithuania</w:t>
            </w:r>
          </w:p>
        </w:tc>
        <w:tc>
          <w:tcPr>
            <w:tcW w:w="1275" w:type="dxa"/>
            <w:vAlign w:val="center"/>
          </w:tcPr>
          <w:p w:rsidR="00DD7AFB" w:rsidRPr="00766915" w:rsidRDefault="00DD7AFB" w:rsidP="00DD7AFB">
            <w:pPr>
              <w:jc w:val="right"/>
              <w:rPr>
                <w:rFonts w:cs="Arial"/>
                <w:color w:val="000000"/>
                <w:sz w:val="20"/>
                <w:szCs w:val="20"/>
              </w:rPr>
            </w:pPr>
            <w:r w:rsidRPr="00766915">
              <w:rPr>
                <w:rFonts w:cs="Arial"/>
                <w:color w:val="000000"/>
                <w:sz w:val="20"/>
                <w:szCs w:val="20"/>
              </w:rPr>
              <w:t>3.6</w:t>
            </w:r>
          </w:p>
        </w:tc>
        <w:tc>
          <w:tcPr>
            <w:tcW w:w="1276" w:type="dxa"/>
            <w:shd w:val="clear" w:color="auto" w:fill="auto"/>
            <w:noWrap/>
            <w:vAlign w:val="bottom"/>
          </w:tcPr>
          <w:p w:rsidR="00DD7AFB" w:rsidRPr="00766915" w:rsidRDefault="00DD7AFB" w:rsidP="00DD7AFB">
            <w:pPr>
              <w:jc w:val="right"/>
              <w:rPr>
                <w:rFonts w:cs="Arial"/>
                <w:color w:val="000000"/>
                <w:sz w:val="20"/>
                <w:szCs w:val="20"/>
              </w:rPr>
            </w:pPr>
            <w:r>
              <w:rPr>
                <w:rFonts w:ascii="Calibri" w:hAnsi="Calibri"/>
                <w:color w:val="000000"/>
              </w:rPr>
              <w:t xml:space="preserve">         18,453 </w:t>
            </w:r>
          </w:p>
        </w:tc>
        <w:tc>
          <w:tcPr>
            <w:tcW w:w="1276" w:type="dxa"/>
            <w:vAlign w:val="center"/>
          </w:tcPr>
          <w:p w:rsidR="00DD7AFB" w:rsidRPr="00766915" w:rsidRDefault="00DD7AFB" w:rsidP="00DD7AFB">
            <w:pPr>
              <w:rPr>
                <w:rFonts w:cs="Arial"/>
                <w:color w:val="000000"/>
                <w:sz w:val="20"/>
                <w:szCs w:val="20"/>
              </w:rPr>
            </w:pPr>
            <w:r w:rsidRPr="00766915">
              <w:rPr>
                <w:rFonts w:cs="Arial"/>
                <w:color w:val="000000"/>
                <w:sz w:val="20"/>
                <w:szCs w:val="20"/>
              </w:rPr>
              <w:t> </w:t>
            </w:r>
          </w:p>
        </w:tc>
        <w:tc>
          <w:tcPr>
            <w:tcW w:w="1276" w:type="dxa"/>
            <w:vAlign w:val="center"/>
          </w:tcPr>
          <w:p w:rsidR="00DD7AFB" w:rsidRPr="00766915" w:rsidRDefault="00DD7AFB" w:rsidP="00DD7AFB">
            <w:pPr>
              <w:rPr>
                <w:rFonts w:cs="Arial"/>
                <w:color w:val="000000"/>
                <w:sz w:val="20"/>
                <w:szCs w:val="20"/>
              </w:rPr>
            </w:pPr>
            <w:r w:rsidRPr="00766915">
              <w:rPr>
                <w:rFonts w:cs="Arial"/>
                <w:color w:val="000000"/>
                <w:sz w:val="20"/>
                <w:szCs w:val="20"/>
              </w:rPr>
              <w:t> </w:t>
            </w:r>
          </w:p>
        </w:tc>
        <w:tc>
          <w:tcPr>
            <w:tcW w:w="1276" w:type="dxa"/>
            <w:vAlign w:val="center"/>
          </w:tcPr>
          <w:p w:rsidR="00DD7AFB" w:rsidRPr="00766915" w:rsidRDefault="00DD7AFB" w:rsidP="00DD7AFB">
            <w:pPr>
              <w:rPr>
                <w:rFonts w:cs="Arial"/>
                <w:color w:val="000000"/>
                <w:sz w:val="20"/>
                <w:szCs w:val="20"/>
              </w:rPr>
            </w:pPr>
            <w:r w:rsidRPr="00766915">
              <w:rPr>
                <w:rFonts w:cs="Arial"/>
                <w:color w:val="000000"/>
                <w:sz w:val="20"/>
                <w:szCs w:val="20"/>
              </w:rPr>
              <w:t> </w:t>
            </w:r>
          </w:p>
        </w:tc>
        <w:tc>
          <w:tcPr>
            <w:tcW w:w="1275" w:type="dxa"/>
            <w:vAlign w:val="center"/>
          </w:tcPr>
          <w:p w:rsidR="00DD7AFB" w:rsidRPr="00766915" w:rsidRDefault="00DD7AFB" w:rsidP="00DD7AFB">
            <w:pPr>
              <w:rPr>
                <w:rFonts w:cs="Arial"/>
                <w:color w:val="000000"/>
                <w:sz w:val="20"/>
                <w:szCs w:val="20"/>
              </w:rPr>
            </w:pPr>
            <w:r w:rsidRPr="00766915">
              <w:rPr>
                <w:rFonts w:cs="Arial"/>
                <w:color w:val="000000"/>
                <w:sz w:val="20"/>
                <w:szCs w:val="20"/>
              </w:rPr>
              <w:t> </w:t>
            </w:r>
          </w:p>
        </w:tc>
        <w:tc>
          <w:tcPr>
            <w:tcW w:w="1418" w:type="dxa"/>
            <w:vAlign w:val="center"/>
          </w:tcPr>
          <w:p w:rsidR="00DD7AFB" w:rsidRPr="00766915" w:rsidRDefault="00DD7AFB" w:rsidP="00DD7AFB">
            <w:pPr>
              <w:rPr>
                <w:rFonts w:cs="Arial"/>
                <w:color w:val="000000"/>
                <w:sz w:val="20"/>
                <w:szCs w:val="20"/>
              </w:rPr>
            </w:pPr>
            <w:r w:rsidRPr="00766915">
              <w:rPr>
                <w:rFonts w:cs="Arial"/>
                <w:color w:val="000000"/>
                <w:sz w:val="20"/>
                <w:szCs w:val="20"/>
              </w:rPr>
              <w:t> </w:t>
            </w:r>
          </w:p>
        </w:tc>
      </w:tr>
      <w:tr w:rsidR="00DD7AFB" w:rsidRPr="00766915" w:rsidTr="00DD2249">
        <w:trPr>
          <w:trHeight w:val="315"/>
        </w:trPr>
        <w:tc>
          <w:tcPr>
            <w:tcW w:w="988" w:type="dxa"/>
            <w:shd w:val="clear" w:color="auto" w:fill="auto"/>
            <w:noWrap/>
            <w:vAlign w:val="center"/>
            <w:hideMark/>
          </w:tcPr>
          <w:p w:rsidR="00DD7AFB" w:rsidRPr="00766915" w:rsidRDefault="00DD7AFB" w:rsidP="00DD7AFB">
            <w:pPr>
              <w:spacing w:after="0" w:line="240" w:lineRule="auto"/>
              <w:rPr>
                <w:rFonts w:eastAsia="Times New Roman" w:cs="Arial"/>
                <w:color w:val="000000"/>
                <w:sz w:val="20"/>
                <w:szCs w:val="20"/>
                <w:lang w:eastAsia="en-GB"/>
              </w:rPr>
            </w:pPr>
            <w:proofErr w:type="spellStart"/>
            <w:r w:rsidRPr="00766915">
              <w:rPr>
                <w:rFonts w:eastAsia="Times New Roman" w:cs="Arial"/>
                <w:color w:val="000000"/>
                <w:sz w:val="20"/>
                <w:szCs w:val="20"/>
                <w:lang w:eastAsia="en-GB"/>
              </w:rPr>
              <w:t>Luxemb</w:t>
            </w:r>
            <w:r>
              <w:rPr>
                <w:rFonts w:eastAsia="Times New Roman" w:cs="Arial"/>
                <w:color w:val="000000"/>
                <w:sz w:val="20"/>
                <w:szCs w:val="20"/>
                <w:lang w:eastAsia="en-GB"/>
              </w:rPr>
              <w:t>’</w:t>
            </w:r>
            <w:r w:rsidRPr="00766915">
              <w:rPr>
                <w:rFonts w:eastAsia="Times New Roman" w:cs="Arial"/>
                <w:color w:val="000000"/>
                <w:sz w:val="20"/>
                <w:szCs w:val="20"/>
                <w:lang w:eastAsia="en-GB"/>
              </w:rPr>
              <w:t>rg</w:t>
            </w:r>
            <w:proofErr w:type="spellEnd"/>
          </w:p>
        </w:tc>
        <w:tc>
          <w:tcPr>
            <w:tcW w:w="1275" w:type="dxa"/>
            <w:vAlign w:val="center"/>
          </w:tcPr>
          <w:p w:rsidR="00DD7AFB" w:rsidRPr="00766915" w:rsidRDefault="00DD7AFB" w:rsidP="00DD7AFB">
            <w:pPr>
              <w:jc w:val="right"/>
              <w:rPr>
                <w:rFonts w:cs="Arial"/>
                <w:color w:val="000000"/>
                <w:sz w:val="20"/>
                <w:szCs w:val="20"/>
              </w:rPr>
            </w:pPr>
            <w:r w:rsidRPr="00766915">
              <w:rPr>
                <w:rFonts w:cs="Arial"/>
                <w:color w:val="000000"/>
                <w:sz w:val="20"/>
                <w:szCs w:val="20"/>
              </w:rPr>
              <w:t>0.7</w:t>
            </w:r>
          </w:p>
        </w:tc>
        <w:tc>
          <w:tcPr>
            <w:tcW w:w="1276" w:type="dxa"/>
            <w:shd w:val="clear" w:color="auto" w:fill="auto"/>
            <w:noWrap/>
            <w:vAlign w:val="bottom"/>
          </w:tcPr>
          <w:p w:rsidR="00DD7AFB" w:rsidRPr="00766915" w:rsidRDefault="00DD7AFB" w:rsidP="00DD7AFB">
            <w:pPr>
              <w:jc w:val="right"/>
              <w:rPr>
                <w:rFonts w:cs="Arial"/>
                <w:color w:val="000000"/>
                <w:sz w:val="20"/>
                <w:szCs w:val="20"/>
              </w:rPr>
            </w:pPr>
            <w:r>
              <w:rPr>
                <w:rFonts w:ascii="Calibri" w:hAnsi="Calibri"/>
                <w:color w:val="000000"/>
              </w:rPr>
              <w:t xml:space="preserve">               815 </w:t>
            </w:r>
          </w:p>
        </w:tc>
        <w:tc>
          <w:tcPr>
            <w:tcW w:w="1276" w:type="dxa"/>
            <w:vAlign w:val="center"/>
          </w:tcPr>
          <w:p w:rsidR="00DD7AFB" w:rsidRPr="00766915" w:rsidRDefault="00DD7AFB" w:rsidP="00DD7AFB">
            <w:pPr>
              <w:rPr>
                <w:rFonts w:cs="Arial"/>
                <w:color w:val="000000"/>
                <w:sz w:val="20"/>
                <w:szCs w:val="20"/>
              </w:rPr>
            </w:pPr>
            <w:r w:rsidRPr="00766915">
              <w:rPr>
                <w:rFonts w:cs="Arial"/>
                <w:color w:val="000000"/>
                <w:sz w:val="20"/>
                <w:szCs w:val="20"/>
              </w:rPr>
              <w:t> </w:t>
            </w:r>
          </w:p>
        </w:tc>
        <w:tc>
          <w:tcPr>
            <w:tcW w:w="1276" w:type="dxa"/>
            <w:vAlign w:val="center"/>
          </w:tcPr>
          <w:p w:rsidR="00DD7AFB" w:rsidRPr="00766915" w:rsidRDefault="00DD7AFB" w:rsidP="00DD7AFB">
            <w:pPr>
              <w:rPr>
                <w:rFonts w:cs="Arial"/>
                <w:color w:val="000000"/>
                <w:sz w:val="20"/>
                <w:szCs w:val="20"/>
              </w:rPr>
            </w:pPr>
            <w:r w:rsidRPr="00766915">
              <w:rPr>
                <w:rFonts w:cs="Arial"/>
                <w:color w:val="000000"/>
                <w:sz w:val="20"/>
                <w:szCs w:val="20"/>
              </w:rPr>
              <w:t> </w:t>
            </w:r>
          </w:p>
        </w:tc>
        <w:tc>
          <w:tcPr>
            <w:tcW w:w="1276" w:type="dxa"/>
            <w:vAlign w:val="center"/>
          </w:tcPr>
          <w:p w:rsidR="00DD7AFB" w:rsidRPr="00766915" w:rsidRDefault="00DD7AFB" w:rsidP="00DD7AFB">
            <w:pPr>
              <w:rPr>
                <w:rFonts w:cs="Arial"/>
                <w:color w:val="000000"/>
                <w:sz w:val="20"/>
                <w:szCs w:val="20"/>
              </w:rPr>
            </w:pPr>
            <w:r w:rsidRPr="00766915">
              <w:rPr>
                <w:rFonts w:cs="Arial"/>
                <w:color w:val="000000"/>
                <w:sz w:val="20"/>
                <w:szCs w:val="20"/>
              </w:rPr>
              <w:t> </w:t>
            </w:r>
          </w:p>
        </w:tc>
        <w:tc>
          <w:tcPr>
            <w:tcW w:w="1275" w:type="dxa"/>
            <w:vAlign w:val="center"/>
          </w:tcPr>
          <w:p w:rsidR="00DD7AFB" w:rsidRPr="00766915" w:rsidRDefault="00DD7AFB" w:rsidP="00DD7AFB">
            <w:pPr>
              <w:rPr>
                <w:rFonts w:cs="Arial"/>
                <w:color w:val="000000"/>
                <w:sz w:val="20"/>
                <w:szCs w:val="20"/>
              </w:rPr>
            </w:pPr>
            <w:r w:rsidRPr="00766915">
              <w:rPr>
                <w:rFonts w:cs="Arial"/>
                <w:color w:val="000000"/>
                <w:sz w:val="20"/>
                <w:szCs w:val="20"/>
              </w:rPr>
              <w:t> </w:t>
            </w:r>
          </w:p>
        </w:tc>
        <w:tc>
          <w:tcPr>
            <w:tcW w:w="1418" w:type="dxa"/>
            <w:vAlign w:val="center"/>
          </w:tcPr>
          <w:p w:rsidR="00DD7AFB" w:rsidRPr="00766915" w:rsidRDefault="00DD7AFB" w:rsidP="00DD7AFB">
            <w:pPr>
              <w:rPr>
                <w:rFonts w:cs="Arial"/>
                <w:color w:val="000000"/>
                <w:sz w:val="20"/>
                <w:szCs w:val="20"/>
              </w:rPr>
            </w:pPr>
            <w:r w:rsidRPr="00766915">
              <w:rPr>
                <w:rFonts w:cs="Arial"/>
                <w:color w:val="000000"/>
                <w:sz w:val="20"/>
                <w:szCs w:val="20"/>
              </w:rPr>
              <w:t> </w:t>
            </w:r>
          </w:p>
        </w:tc>
      </w:tr>
      <w:tr w:rsidR="00DD7AFB" w:rsidRPr="00766915" w:rsidTr="00DD2249">
        <w:trPr>
          <w:trHeight w:val="315"/>
        </w:trPr>
        <w:tc>
          <w:tcPr>
            <w:tcW w:w="988" w:type="dxa"/>
            <w:shd w:val="clear" w:color="auto" w:fill="auto"/>
            <w:noWrap/>
            <w:vAlign w:val="center"/>
            <w:hideMark/>
          </w:tcPr>
          <w:p w:rsidR="00DD7AFB" w:rsidRPr="00766915" w:rsidRDefault="00DD7AFB" w:rsidP="00DD7AFB">
            <w:pPr>
              <w:spacing w:after="0" w:line="240" w:lineRule="auto"/>
              <w:rPr>
                <w:rFonts w:eastAsia="Times New Roman" w:cs="Arial"/>
                <w:color w:val="000000"/>
                <w:sz w:val="20"/>
                <w:szCs w:val="20"/>
                <w:lang w:eastAsia="en-GB"/>
              </w:rPr>
            </w:pPr>
            <w:r w:rsidRPr="00766915">
              <w:rPr>
                <w:rFonts w:eastAsia="Times New Roman" w:cs="Arial"/>
                <w:color w:val="000000"/>
                <w:sz w:val="20"/>
                <w:szCs w:val="20"/>
                <w:lang w:eastAsia="en-GB"/>
              </w:rPr>
              <w:t>Malta</w:t>
            </w:r>
          </w:p>
        </w:tc>
        <w:tc>
          <w:tcPr>
            <w:tcW w:w="1275" w:type="dxa"/>
            <w:vAlign w:val="center"/>
          </w:tcPr>
          <w:p w:rsidR="00DD7AFB" w:rsidRPr="00766915" w:rsidRDefault="00DD7AFB" w:rsidP="00DD7AFB">
            <w:pPr>
              <w:jc w:val="right"/>
              <w:rPr>
                <w:rFonts w:cs="Arial"/>
                <w:color w:val="000000"/>
                <w:sz w:val="20"/>
                <w:szCs w:val="20"/>
              </w:rPr>
            </w:pPr>
            <w:r w:rsidRPr="00766915">
              <w:rPr>
                <w:rFonts w:cs="Arial"/>
                <w:color w:val="000000"/>
                <w:sz w:val="20"/>
                <w:szCs w:val="20"/>
              </w:rPr>
              <w:t>2.8</w:t>
            </w:r>
          </w:p>
        </w:tc>
        <w:tc>
          <w:tcPr>
            <w:tcW w:w="1276" w:type="dxa"/>
            <w:shd w:val="clear" w:color="auto" w:fill="auto"/>
            <w:noWrap/>
            <w:vAlign w:val="bottom"/>
          </w:tcPr>
          <w:p w:rsidR="00DD7AFB" w:rsidRPr="00766915" w:rsidRDefault="00DD7AFB" w:rsidP="00DD7AFB">
            <w:pPr>
              <w:jc w:val="right"/>
              <w:rPr>
                <w:rFonts w:cs="Arial"/>
                <w:color w:val="000000"/>
                <w:sz w:val="20"/>
                <w:szCs w:val="20"/>
              </w:rPr>
            </w:pPr>
            <w:r>
              <w:rPr>
                <w:rFonts w:ascii="Calibri" w:hAnsi="Calibri"/>
                <w:color w:val="000000"/>
              </w:rPr>
              <w:t xml:space="preserve">           2,213 </w:t>
            </w:r>
          </w:p>
        </w:tc>
        <w:tc>
          <w:tcPr>
            <w:tcW w:w="1276" w:type="dxa"/>
            <w:vAlign w:val="center"/>
          </w:tcPr>
          <w:p w:rsidR="00DD7AFB" w:rsidRPr="00766915" w:rsidRDefault="00DD7AFB" w:rsidP="00DD7AFB">
            <w:pPr>
              <w:rPr>
                <w:rFonts w:cs="Arial"/>
                <w:color w:val="000000"/>
                <w:sz w:val="20"/>
                <w:szCs w:val="20"/>
              </w:rPr>
            </w:pPr>
            <w:r w:rsidRPr="00766915">
              <w:rPr>
                <w:rFonts w:cs="Arial"/>
                <w:color w:val="000000"/>
                <w:sz w:val="20"/>
                <w:szCs w:val="20"/>
              </w:rPr>
              <w:t> </w:t>
            </w:r>
          </w:p>
        </w:tc>
        <w:tc>
          <w:tcPr>
            <w:tcW w:w="1276" w:type="dxa"/>
            <w:vAlign w:val="center"/>
          </w:tcPr>
          <w:p w:rsidR="00DD7AFB" w:rsidRPr="00766915" w:rsidRDefault="00DD7AFB" w:rsidP="00DD7AFB">
            <w:pPr>
              <w:rPr>
                <w:rFonts w:cs="Arial"/>
                <w:color w:val="000000"/>
                <w:sz w:val="20"/>
                <w:szCs w:val="20"/>
              </w:rPr>
            </w:pPr>
            <w:r w:rsidRPr="00766915">
              <w:rPr>
                <w:rFonts w:cs="Arial"/>
                <w:color w:val="000000"/>
                <w:sz w:val="20"/>
                <w:szCs w:val="20"/>
              </w:rPr>
              <w:t> </w:t>
            </w:r>
          </w:p>
        </w:tc>
        <w:tc>
          <w:tcPr>
            <w:tcW w:w="1276" w:type="dxa"/>
            <w:vAlign w:val="center"/>
          </w:tcPr>
          <w:p w:rsidR="00DD7AFB" w:rsidRPr="00766915" w:rsidRDefault="00DD7AFB" w:rsidP="00DD7AFB">
            <w:pPr>
              <w:rPr>
                <w:rFonts w:cs="Arial"/>
                <w:color w:val="000000"/>
                <w:sz w:val="20"/>
                <w:szCs w:val="20"/>
              </w:rPr>
            </w:pPr>
            <w:r w:rsidRPr="00766915">
              <w:rPr>
                <w:rFonts w:cs="Arial"/>
                <w:color w:val="000000"/>
                <w:sz w:val="20"/>
                <w:szCs w:val="20"/>
              </w:rPr>
              <w:t> </w:t>
            </w:r>
          </w:p>
        </w:tc>
        <w:tc>
          <w:tcPr>
            <w:tcW w:w="1275" w:type="dxa"/>
            <w:vAlign w:val="center"/>
          </w:tcPr>
          <w:p w:rsidR="00DD7AFB" w:rsidRPr="00766915" w:rsidRDefault="00DD7AFB" w:rsidP="00DD7AFB">
            <w:pPr>
              <w:rPr>
                <w:rFonts w:cs="Arial"/>
                <w:color w:val="000000"/>
                <w:sz w:val="20"/>
                <w:szCs w:val="20"/>
              </w:rPr>
            </w:pPr>
            <w:r w:rsidRPr="00766915">
              <w:rPr>
                <w:rFonts w:cs="Arial"/>
                <w:color w:val="000000"/>
                <w:sz w:val="20"/>
                <w:szCs w:val="20"/>
              </w:rPr>
              <w:t> </w:t>
            </w:r>
          </w:p>
        </w:tc>
        <w:tc>
          <w:tcPr>
            <w:tcW w:w="1418" w:type="dxa"/>
            <w:vAlign w:val="center"/>
          </w:tcPr>
          <w:p w:rsidR="00DD7AFB" w:rsidRPr="00766915" w:rsidRDefault="00DD7AFB" w:rsidP="00DD7AFB">
            <w:pPr>
              <w:rPr>
                <w:rFonts w:cs="Arial"/>
                <w:color w:val="000000"/>
                <w:sz w:val="20"/>
                <w:szCs w:val="20"/>
              </w:rPr>
            </w:pPr>
            <w:r w:rsidRPr="00766915">
              <w:rPr>
                <w:rFonts w:cs="Arial"/>
                <w:color w:val="000000"/>
                <w:sz w:val="20"/>
                <w:szCs w:val="20"/>
              </w:rPr>
              <w:t> </w:t>
            </w:r>
          </w:p>
        </w:tc>
      </w:tr>
      <w:tr w:rsidR="00DD7AFB" w:rsidRPr="00766915" w:rsidTr="00DD2249">
        <w:trPr>
          <w:trHeight w:val="315"/>
        </w:trPr>
        <w:tc>
          <w:tcPr>
            <w:tcW w:w="988" w:type="dxa"/>
            <w:shd w:val="clear" w:color="auto" w:fill="auto"/>
            <w:noWrap/>
            <w:vAlign w:val="center"/>
            <w:hideMark/>
          </w:tcPr>
          <w:p w:rsidR="00DD7AFB" w:rsidRPr="00766915" w:rsidRDefault="00DD7AFB" w:rsidP="00DD7AFB">
            <w:pPr>
              <w:spacing w:after="0" w:line="240" w:lineRule="auto"/>
              <w:rPr>
                <w:rFonts w:eastAsia="Times New Roman" w:cs="Arial"/>
                <w:color w:val="000000"/>
                <w:sz w:val="20"/>
                <w:szCs w:val="20"/>
                <w:lang w:eastAsia="en-GB"/>
              </w:rPr>
            </w:pPr>
            <w:r w:rsidRPr="00766915">
              <w:rPr>
                <w:rFonts w:eastAsia="Times New Roman" w:cs="Arial"/>
                <w:color w:val="000000"/>
                <w:sz w:val="20"/>
                <w:szCs w:val="20"/>
                <w:lang w:eastAsia="en-GB"/>
              </w:rPr>
              <w:lastRenderedPageBreak/>
              <w:t>Poland</w:t>
            </w:r>
          </w:p>
        </w:tc>
        <w:tc>
          <w:tcPr>
            <w:tcW w:w="1275" w:type="dxa"/>
            <w:vAlign w:val="center"/>
          </w:tcPr>
          <w:p w:rsidR="00DD7AFB" w:rsidRPr="00766915" w:rsidRDefault="00DD7AFB" w:rsidP="00DD7AFB">
            <w:pPr>
              <w:jc w:val="right"/>
              <w:rPr>
                <w:rFonts w:cs="Arial"/>
                <w:color w:val="000000"/>
                <w:sz w:val="20"/>
                <w:szCs w:val="20"/>
              </w:rPr>
            </w:pPr>
            <w:r w:rsidRPr="00766915">
              <w:rPr>
                <w:rFonts w:cs="Arial"/>
                <w:color w:val="000000"/>
                <w:sz w:val="20"/>
                <w:szCs w:val="20"/>
              </w:rPr>
              <w:t>2</w:t>
            </w:r>
            <w:r>
              <w:rPr>
                <w:rFonts w:cs="Arial"/>
                <w:color w:val="000000"/>
                <w:sz w:val="20"/>
                <w:szCs w:val="20"/>
              </w:rPr>
              <w:t>.0</w:t>
            </w:r>
          </w:p>
        </w:tc>
        <w:tc>
          <w:tcPr>
            <w:tcW w:w="1276" w:type="dxa"/>
            <w:shd w:val="clear" w:color="auto" w:fill="auto"/>
            <w:noWrap/>
            <w:vAlign w:val="bottom"/>
          </w:tcPr>
          <w:p w:rsidR="00DD7AFB" w:rsidRPr="00766915" w:rsidRDefault="00DD7AFB" w:rsidP="00DD7AFB">
            <w:pPr>
              <w:jc w:val="right"/>
              <w:rPr>
                <w:rFonts w:cs="Arial"/>
                <w:color w:val="000000"/>
                <w:sz w:val="20"/>
                <w:szCs w:val="20"/>
              </w:rPr>
            </w:pPr>
            <w:r>
              <w:rPr>
                <w:rFonts w:ascii="Calibri" w:hAnsi="Calibri"/>
                <w:color w:val="000000"/>
              </w:rPr>
              <w:t xml:space="preserve">      139,214 </w:t>
            </w:r>
          </w:p>
        </w:tc>
        <w:tc>
          <w:tcPr>
            <w:tcW w:w="1276" w:type="dxa"/>
            <w:vAlign w:val="center"/>
          </w:tcPr>
          <w:p w:rsidR="00DD7AFB" w:rsidRPr="00766915" w:rsidRDefault="00DD7AFB" w:rsidP="00DD7AFB">
            <w:pPr>
              <w:jc w:val="right"/>
              <w:rPr>
                <w:rFonts w:cs="Arial"/>
                <w:color w:val="000000"/>
                <w:sz w:val="20"/>
                <w:szCs w:val="20"/>
              </w:rPr>
            </w:pPr>
            <w:r w:rsidRPr="00766915">
              <w:rPr>
                <w:rFonts w:cs="Arial"/>
                <w:color w:val="000000"/>
                <w:sz w:val="20"/>
                <w:szCs w:val="20"/>
              </w:rPr>
              <w:t>12.7</w:t>
            </w:r>
          </w:p>
        </w:tc>
        <w:tc>
          <w:tcPr>
            <w:tcW w:w="1276" w:type="dxa"/>
            <w:vAlign w:val="center"/>
          </w:tcPr>
          <w:p w:rsidR="00DD7AFB" w:rsidRPr="00766915" w:rsidRDefault="00DD7AFB" w:rsidP="00DD7AFB">
            <w:pPr>
              <w:jc w:val="right"/>
              <w:rPr>
                <w:rFonts w:cs="Arial"/>
                <w:color w:val="000000"/>
                <w:sz w:val="20"/>
                <w:szCs w:val="20"/>
              </w:rPr>
            </w:pPr>
            <w:r w:rsidRPr="00766915">
              <w:rPr>
                <w:rFonts w:cs="Arial"/>
                <w:color w:val="000000"/>
                <w:sz w:val="20"/>
                <w:szCs w:val="20"/>
              </w:rPr>
              <w:t>3.4</w:t>
            </w:r>
          </w:p>
        </w:tc>
        <w:tc>
          <w:tcPr>
            <w:tcW w:w="1276" w:type="dxa"/>
            <w:vAlign w:val="center"/>
          </w:tcPr>
          <w:p w:rsidR="00DD7AFB" w:rsidRPr="00766915" w:rsidRDefault="00DD7AFB" w:rsidP="00DD7AFB">
            <w:pPr>
              <w:jc w:val="right"/>
              <w:rPr>
                <w:rFonts w:cs="Arial"/>
                <w:color w:val="000000"/>
                <w:sz w:val="20"/>
                <w:szCs w:val="20"/>
              </w:rPr>
            </w:pPr>
            <w:r w:rsidRPr="00766915">
              <w:rPr>
                <w:rFonts w:cs="Arial"/>
                <w:color w:val="000000"/>
                <w:sz w:val="20"/>
                <w:szCs w:val="20"/>
              </w:rPr>
              <w:t>21</w:t>
            </w:r>
            <w:r>
              <w:rPr>
                <w:rFonts w:cs="Arial"/>
                <w:color w:val="000000"/>
                <w:sz w:val="20"/>
                <w:szCs w:val="20"/>
              </w:rPr>
              <w:t>.0</w:t>
            </w:r>
          </w:p>
        </w:tc>
        <w:tc>
          <w:tcPr>
            <w:tcW w:w="1275" w:type="dxa"/>
            <w:vAlign w:val="bottom"/>
          </w:tcPr>
          <w:p w:rsidR="00DD7AFB" w:rsidRPr="00766915" w:rsidRDefault="00DD7AFB" w:rsidP="00DD7AFB">
            <w:pPr>
              <w:jc w:val="right"/>
              <w:rPr>
                <w:rFonts w:cs="Times New Roman"/>
                <w:color w:val="000000"/>
                <w:sz w:val="20"/>
                <w:szCs w:val="20"/>
              </w:rPr>
            </w:pPr>
            <w:r w:rsidRPr="00766915">
              <w:rPr>
                <w:color w:val="000000"/>
                <w:sz w:val="20"/>
                <w:szCs w:val="20"/>
              </w:rPr>
              <w:t>40.4</w:t>
            </w:r>
          </w:p>
        </w:tc>
        <w:tc>
          <w:tcPr>
            <w:tcW w:w="1418" w:type="dxa"/>
            <w:vAlign w:val="center"/>
          </w:tcPr>
          <w:p w:rsidR="00DD7AFB" w:rsidRPr="00766915" w:rsidRDefault="00DD7AFB" w:rsidP="00DD7AFB">
            <w:pPr>
              <w:jc w:val="right"/>
              <w:rPr>
                <w:rFonts w:cs="Arial"/>
                <w:color w:val="000000"/>
                <w:sz w:val="20"/>
                <w:szCs w:val="20"/>
              </w:rPr>
            </w:pPr>
            <w:r w:rsidRPr="00766915">
              <w:rPr>
                <w:rFonts w:cs="Arial"/>
                <w:color w:val="000000"/>
                <w:sz w:val="20"/>
                <w:szCs w:val="20"/>
              </w:rPr>
              <w:t>22.6</w:t>
            </w:r>
          </w:p>
        </w:tc>
      </w:tr>
      <w:tr w:rsidR="00DD7AFB" w:rsidRPr="00766915" w:rsidTr="00DD2249">
        <w:trPr>
          <w:trHeight w:val="315"/>
        </w:trPr>
        <w:tc>
          <w:tcPr>
            <w:tcW w:w="988" w:type="dxa"/>
            <w:shd w:val="clear" w:color="auto" w:fill="auto"/>
            <w:noWrap/>
            <w:vAlign w:val="center"/>
            <w:hideMark/>
          </w:tcPr>
          <w:p w:rsidR="00DD7AFB" w:rsidRPr="00766915" w:rsidRDefault="00DD7AFB" w:rsidP="00DD7AFB">
            <w:pPr>
              <w:spacing w:after="0" w:line="240" w:lineRule="auto"/>
              <w:rPr>
                <w:rFonts w:eastAsia="Times New Roman" w:cs="Arial"/>
                <w:color w:val="000000"/>
                <w:sz w:val="20"/>
                <w:szCs w:val="20"/>
                <w:lang w:eastAsia="en-GB"/>
              </w:rPr>
            </w:pPr>
            <w:r w:rsidRPr="00766915">
              <w:rPr>
                <w:rFonts w:eastAsia="Times New Roman" w:cs="Arial"/>
                <w:color w:val="000000"/>
                <w:sz w:val="20"/>
                <w:szCs w:val="20"/>
                <w:lang w:eastAsia="en-GB"/>
              </w:rPr>
              <w:t>Portugal</w:t>
            </w:r>
          </w:p>
        </w:tc>
        <w:tc>
          <w:tcPr>
            <w:tcW w:w="1275" w:type="dxa"/>
            <w:vAlign w:val="center"/>
          </w:tcPr>
          <w:p w:rsidR="00DD7AFB" w:rsidRPr="00766915" w:rsidRDefault="00DD7AFB" w:rsidP="00DD7AFB">
            <w:pPr>
              <w:jc w:val="right"/>
              <w:rPr>
                <w:rFonts w:cs="Arial"/>
                <w:color w:val="000000"/>
                <w:sz w:val="20"/>
                <w:szCs w:val="20"/>
              </w:rPr>
            </w:pPr>
            <w:r w:rsidRPr="00766915">
              <w:rPr>
                <w:rFonts w:cs="Arial"/>
                <w:color w:val="000000"/>
                <w:sz w:val="20"/>
                <w:szCs w:val="20"/>
              </w:rPr>
              <w:t>6</w:t>
            </w:r>
            <w:r>
              <w:rPr>
                <w:rFonts w:cs="Arial"/>
                <w:color w:val="000000"/>
                <w:sz w:val="20"/>
                <w:szCs w:val="20"/>
              </w:rPr>
              <w:t>.0</w:t>
            </w:r>
          </w:p>
        </w:tc>
        <w:tc>
          <w:tcPr>
            <w:tcW w:w="1276" w:type="dxa"/>
            <w:shd w:val="clear" w:color="auto" w:fill="auto"/>
            <w:noWrap/>
            <w:vAlign w:val="bottom"/>
          </w:tcPr>
          <w:p w:rsidR="00DD7AFB" w:rsidRPr="00766915" w:rsidRDefault="00DD7AFB" w:rsidP="00DD7AFB">
            <w:pPr>
              <w:jc w:val="right"/>
              <w:rPr>
                <w:rFonts w:cs="Arial"/>
                <w:color w:val="000000"/>
                <w:sz w:val="20"/>
                <w:szCs w:val="20"/>
              </w:rPr>
            </w:pPr>
            <w:r>
              <w:rPr>
                <w:rFonts w:ascii="Calibri" w:hAnsi="Calibri"/>
                <w:color w:val="000000"/>
              </w:rPr>
              <w:t xml:space="preserve">      105,090 </w:t>
            </w:r>
          </w:p>
        </w:tc>
        <w:tc>
          <w:tcPr>
            <w:tcW w:w="1276" w:type="dxa"/>
            <w:vAlign w:val="center"/>
          </w:tcPr>
          <w:p w:rsidR="00DD7AFB" w:rsidRPr="00766915" w:rsidRDefault="00DD7AFB" w:rsidP="00DD7AFB">
            <w:pPr>
              <w:jc w:val="right"/>
              <w:rPr>
                <w:rFonts w:cs="Arial"/>
                <w:color w:val="000000"/>
                <w:sz w:val="20"/>
                <w:szCs w:val="20"/>
              </w:rPr>
            </w:pPr>
            <w:r w:rsidRPr="00766915">
              <w:rPr>
                <w:rFonts w:cs="Arial"/>
                <w:color w:val="000000"/>
                <w:sz w:val="20"/>
                <w:szCs w:val="20"/>
              </w:rPr>
              <w:t>89.2</w:t>
            </w:r>
          </w:p>
        </w:tc>
        <w:tc>
          <w:tcPr>
            <w:tcW w:w="1276" w:type="dxa"/>
            <w:vAlign w:val="center"/>
          </w:tcPr>
          <w:p w:rsidR="00DD7AFB" w:rsidRPr="00766915" w:rsidRDefault="00DD7AFB" w:rsidP="00DD7AFB">
            <w:pPr>
              <w:jc w:val="right"/>
              <w:rPr>
                <w:rFonts w:cs="Arial"/>
                <w:color w:val="000000"/>
                <w:sz w:val="20"/>
                <w:szCs w:val="20"/>
              </w:rPr>
            </w:pPr>
            <w:r w:rsidRPr="00766915">
              <w:rPr>
                <w:rFonts w:cs="Arial"/>
                <w:color w:val="000000"/>
                <w:sz w:val="20"/>
                <w:szCs w:val="20"/>
              </w:rPr>
              <w:t>0.7</w:t>
            </w:r>
          </w:p>
        </w:tc>
        <w:tc>
          <w:tcPr>
            <w:tcW w:w="1276" w:type="dxa"/>
            <w:vAlign w:val="center"/>
          </w:tcPr>
          <w:p w:rsidR="00DD7AFB" w:rsidRPr="00766915" w:rsidRDefault="00DD7AFB" w:rsidP="00DD7AFB">
            <w:pPr>
              <w:jc w:val="right"/>
              <w:rPr>
                <w:rFonts w:cs="Arial"/>
                <w:color w:val="000000"/>
                <w:sz w:val="20"/>
                <w:szCs w:val="20"/>
              </w:rPr>
            </w:pPr>
            <w:r w:rsidRPr="00766915">
              <w:rPr>
                <w:rFonts w:cs="Arial"/>
                <w:color w:val="000000"/>
                <w:sz w:val="20"/>
                <w:szCs w:val="20"/>
              </w:rPr>
              <w:t>7.2</w:t>
            </w:r>
          </w:p>
        </w:tc>
        <w:tc>
          <w:tcPr>
            <w:tcW w:w="1275" w:type="dxa"/>
            <w:vAlign w:val="center"/>
          </w:tcPr>
          <w:p w:rsidR="00DD7AFB" w:rsidRPr="00766915" w:rsidRDefault="00DD7AFB" w:rsidP="00DD7AFB">
            <w:pPr>
              <w:jc w:val="right"/>
              <w:rPr>
                <w:rFonts w:cs="Arial"/>
                <w:color w:val="000000"/>
                <w:sz w:val="20"/>
                <w:szCs w:val="20"/>
              </w:rPr>
            </w:pPr>
            <w:r w:rsidRPr="00766915">
              <w:rPr>
                <w:rFonts w:cs="Arial"/>
                <w:color w:val="000000"/>
                <w:sz w:val="20"/>
                <w:szCs w:val="20"/>
              </w:rPr>
              <w:t>0.2</w:t>
            </w:r>
          </w:p>
        </w:tc>
        <w:tc>
          <w:tcPr>
            <w:tcW w:w="1418" w:type="dxa"/>
            <w:vAlign w:val="center"/>
          </w:tcPr>
          <w:p w:rsidR="00DD7AFB" w:rsidRPr="00766915" w:rsidRDefault="00DD7AFB" w:rsidP="00DD7AFB">
            <w:pPr>
              <w:jc w:val="right"/>
              <w:rPr>
                <w:rFonts w:cs="Arial"/>
                <w:color w:val="000000"/>
                <w:sz w:val="20"/>
                <w:szCs w:val="20"/>
              </w:rPr>
            </w:pPr>
            <w:r w:rsidRPr="00766915">
              <w:rPr>
                <w:rFonts w:cs="Arial"/>
                <w:color w:val="000000"/>
                <w:sz w:val="20"/>
                <w:szCs w:val="20"/>
              </w:rPr>
              <w:t>2.7</w:t>
            </w:r>
          </w:p>
        </w:tc>
      </w:tr>
      <w:tr w:rsidR="00DD7AFB" w:rsidRPr="00766915" w:rsidTr="00DD2249">
        <w:trPr>
          <w:trHeight w:val="315"/>
        </w:trPr>
        <w:tc>
          <w:tcPr>
            <w:tcW w:w="988" w:type="dxa"/>
            <w:shd w:val="clear" w:color="auto" w:fill="auto"/>
            <w:noWrap/>
            <w:vAlign w:val="center"/>
            <w:hideMark/>
          </w:tcPr>
          <w:p w:rsidR="00DD7AFB" w:rsidRPr="00766915" w:rsidRDefault="00DD7AFB" w:rsidP="00DD7AFB">
            <w:pPr>
              <w:spacing w:after="0" w:line="240" w:lineRule="auto"/>
              <w:rPr>
                <w:rFonts w:eastAsia="Times New Roman" w:cs="Arial"/>
                <w:color w:val="000000"/>
                <w:sz w:val="20"/>
                <w:szCs w:val="20"/>
                <w:lang w:eastAsia="en-GB"/>
              </w:rPr>
            </w:pPr>
            <w:r w:rsidRPr="00766915">
              <w:rPr>
                <w:rFonts w:eastAsia="Times New Roman" w:cs="Arial"/>
                <w:color w:val="000000"/>
                <w:sz w:val="20"/>
                <w:szCs w:val="20"/>
                <w:lang w:eastAsia="en-GB"/>
              </w:rPr>
              <w:t>Romania</w:t>
            </w:r>
          </w:p>
        </w:tc>
        <w:tc>
          <w:tcPr>
            <w:tcW w:w="1275" w:type="dxa"/>
            <w:vAlign w:val="center"/>
          </w:tcPr>
          <w:p w:rsidR="00DD7AFB" w:rsidRPr="00766915" w:rsidRDefault="00DD7AFB" w:rsidP="00DD7AFB">
            <w:pPr>
              <w:jc w:val="right"/>
              <w:rPr>
                <w:rFonts w:cs="Arial"/>
                <w:color w:val="000000"/>
                <w:sz w:val="20"/>
                <w:szCs w:val="20"/>
              </w:rPr>
            </w:pPr>
            <w:r w:rsidRPr="00766915">
              <w:rPr>
                <w:rFonts w:cs="Arial"/>
                <w:color w:val="000000"/>
                <w:sz w:val="20"/>
                <w:szCs w:val="20"/>
              </w:rPr>
              <w:t>5.7</w:t>
            </w:r>
          </w:p>
        </w:tc>
        <w:tc>
          <w:tcPr>
            <w:tcW w:w="1276" w:type="dxa"/>
            <w:shd w:val="clear" w:color="auto" w:fill="auto"/>
            <w:noWrap/>
            <w:vAlign w:val="bottom"/>
          </w:tcPr>
          <w:p w:rsidR="00DD7AFB" w:rsidRPr="00766915" w:rsidRDefault="00DD7AFB" w:rsidP="00DD7AFB">
            <w:pPr>
              <w:jc w:val="right"/>
              <w:rPr>
                <w:rFonts w:cs="Arial"/>
                <w:color w:val="000000"/>
                <w:sz w:val="20"/>
                <w:szCs w:val="20"/>
              </w:rPr>
            </w:pPr>
            <w:r>
              <w:rPr>
                <w:rFonts w:ascii="Calibri" w:hAnsi="Calibri"/>
                <w:color w:val="000000"/>
              </w:rPr>
              <w:t xml:space="preserve">      211,590 </w:t>
            </w:r>
          </w:p>
        </w:tc>
        <w:tc>
          <w:tcPr>
            <w:tcW w:w="1276" w:type="dxa"/>
            <w:vAlign w:val="center"/>
          </w:tcPr>
          <w:p w:rsidR="00DD7AFB" w:rsidRPr="00766915" w:rsidRDefault="00DD7AFB" w:rsidP="00DD7AFB">
            <w:pPr>
              <w:jc w:val="right"/>
              <w:rPr>
                <w:color w:val="000000"/>
                <w:sz w:val="20"/>
                <w:szCs w:val="20"/>
              </w:rPr>
            </w:pPr>
            <w:r w:rsidRPr="00766915">
              <w:rPr>
                <w:rFonts w:cs="Arial"/>
                <w:color w:val="000000"/>
                <w:sz w:val="20"/>
                <w:szCs w:val="20"/>
              </w:rPr>
              <w:t>67.9</w:t>
            </w:r>
          </w:p>
        </w:tc>
        <w:tc>
          <w:tcPr>
            <w:tcW w:w="1276" w:type="dxa"/>
            <w:vAlign w:val="bottom"/>
          </w:tcPr>
          <w:p w:rsidR="00DD7AFB" w:rsidRPr="00766915" w:rsidRDefault="00DD7AFB" w:rsidP="00DD7AFB">
            <w:pPr>
              <w:jc w:val="right"/>
              <w:rPr>
                <w:rFonts w:cs="Times New Roman"/>
                <w:color w:val="000000"/>
                <w:sz w:val="20"/>
                <w:szCs w:val="20"/>
              </w:rPr>
            </w:pPr>
            <w:r w:rsidRPr="00766915">
              <w:rPr>
                <w:color w:val="000000"/>
                <w:sz w:val="20"/>
                <w:szCs w:val="20"/>
              </w:rPr>
              <w:t>16</w:t>
            </w:r>
          </w:p>
        </w:tc>
        <w:tc>
          <w:tcPr>
            <w:tcW w:w="1276" w:type="dxa"/>
            <w:vAlign w:val="center"/>
          </w:tcPr>
          <w:p w:rsidR="00DD7AFB" w:rsidRPr="00766915" w:rsidRDefault="00DD7AFB" w:rsidP="00DD7AFB">
            <w:pPr>
              <w:jc w:val="right"/>
              <w:rPr>
                <w:rFonts w:cs="Arial"/>
                <w:color w:val="000000"/>
                <w:sz w:val="20"/>
                <w:szCs w:val="20"/>
              </w:rPr>
            </w:pPr>
            <w:r>
              <w:rPr>
                <w:rFonts w:cs="Arial"/>
                <w:color w:val="000000"/>
                <w:sz w:val="20"/>
                <w:szCs w:val="20"/>
              </w:rPr>
              <w:t>0</w:t>
            </w:r>
            <w:r w:rsidRPr="00766915">
              <w:rPr>
                <w:rFonts w:cs="Arial"/>
                <w:color w:val="000000"/>
                <w:sz w:val="20"/>
                <w:szCs w:val="20"/>
              </w:rPr>
              <w:t> </w:t>
            </w:r>
          </w:p>
        </w:tc>
        <w:tc>
          <w:tcPr>
            <w:tcW w:w="1275" w:type="dxa"/>
            <w:vAlign w:val="center"/>
          </w:tcPr>
          <w:p w:rsidR="00DD7AFB" w:rsidRPr="00766915" w:rsidRDefault="00DD7AFB" w:rsidP="00DD7AFB">
            <w:pPr>
              <w:jc w:val="right"/>
              <w:rPr>
                <w:rFonts w:cs="Arial"/>
                <w:color w:val="000000"/>
                <w:sz w:val="20"/>
                <w:szCs w:val="20"/>
              </w:rPr>
            </w:pPr>
            <w:r w:rsidRPr="00766915">
              <w:rPr>
                <w:rFonts w:cs="Arial"/>
                <w:color w:val="000000"/>
                <w:sz w:val="20"/>
                <w:szCs w:val="20"/>
              </w:rPr>
              <w:t>1.5</w:t>
            </w:r>
          </w:p>
        </w:tc>
        <w:tc>
          <w:tcPr>
            <w:tcW w:w="1418" w:type="dxa"/>
            <w:vAlign w:val="center"/>
          </w:tcPr>
          <w:p w:rsidR="00DD7AFB" w:rsidRPr="00766915" w:rsidRDefault="00DD7AFB" w:rsidP="00DD7AFB">
            <w:pPr>
              <w:jc w:val="right"/>
              <w:rPr>
                <w:rFonts w:cs="Arial"/>
                <w:color w:val="000000"/>
                <w:sz w:val="20"/>
                <w:szCs w:val="20"/>
              </w:rPr>
            </w:pPr>
            <w:r w:rsidRPr="00766915">
              <w:rPr>
                <w:rFonts w:cs="Arial"/>
                <w:color w:val="000000"/>
                <w:sz w:val="20"/>
                <w:szCs w:val="20"/>
              </w:rPr>
              <w:t>14.6</w:t>
            </w:r>
          </w:p>
        </w:tc>
      </w:tr>
      <w:tr w:rsidR="00DD7AFB" w:rsidRPr="00766915" w:rsidTr="00DD2249">
        <w:trPr>
          <w:trHeight w:val="315"/>
        </w:trPr>
        <w:tc>
          <w:tcPr>
            <w:tcW w:w="988" w:type="dxa"/>
            <w:shd w:val="clear" w:color="auto" w:fill="auto"/>
            <w:noWrap/>
            <w:vAlign w:val="center"/>
            <w:hideMark/>
          </w:tcPr>
          <w:p w:rsidR="00DD7AFB" w:rsidRPr="00766915" w:rsidRDefault="00DD7AFB" w:rsidP="00DD7AFB">
            <w:pPr>
              <w:spacing w:after="0" w:line="240" w:lineRule="auto"/>
              <w:rPr>
                <w:rFonts w:eastAsia="Times New Roman" w:cs="Arial"/>
                <w:color w:val="000000"/>
                <w:sz w:val="20"/>
                <w:szCs w:val="20"/>
                <w:lang w:eastAsia="en-GB"/>
              </w:rPr>
            </w:pPr>
            <w:r w:rsidRPr="00766915">
              <w:rPr>
                <w:rFonts w:eastAsia="Times New Roman" w:cs="Arial"/>
                <w:color w:val="000000"/>
                <w:sz w:val="20"/>
                <w:szCs w:val="20"/>
                <w:lang w:eastAsia="en-GB"/>
              </w:rPr>
              <w:t>Slovakia</w:t>
            </w:r>
          </w:p>
        </w:tc>
        <w:tc>
          <w:tcPr>
            <w:tcW w:w="1275" w:type="dxa"/>
            <w:vAlign w:val="center"/>
          </w:tcPr>
          <w:p w:rsidR="00DD7AFB" w:rsidRPr="00766915" w:rsidRDefault="00DD7AFB" w:rsidP="00DD7AFB">
            <w:pPr>
              <w:jc w:val="right"/>
              <w:rPr>
                <w:rFonts w:cs="Arial"/>
                <w:color w:val="000000"/>
                <w:sz w:val="20"/>
                <w:szCs w:val="20"/>
              </w:rPr>
            </w:pPr>
            <w:r w:rsidRPr="00766915">
              <w:rPr>
                <w:rFonts w:cs="Arial"/>
                <w:color w:val="000000"/>
                <w:sz w:val="20"/>
                <w:szCs w:val="20"/>
              </w:rPr>
              <w:t>0.9</w:t>
            </w:r>
          </w:p>
        </w:tc>
        <w:tc>
          <w:tcPr>
            <w:tcW w:w="1276" w:type="dxa"/>
            <w:shd w:val="clear" w:color="auto" w:fill="auto"/>
            <w:noWrap/>
            <w:vAlign w:val="bottom"/>
          </w:tcPr>
          <w:p w:rsidR="00DD7AFB" w:rsidRPr="00766915" w:rsidRDefault="00DD7AFB" w:rsidP="00DD7AFB">
            <w:pPr>
              <w:jc w:val="right"/>
              <w:rPr>
                <w:rFonts w:cs="Arial"/>
                <w:color w:val="000000"/>
                <w:sz w:val="20"/>
                <w:szCs w:val="20"/>
              </w:rPr>
            </w:pPr>
            <w:r>
              <w:rPr>
                <w:rFonts w:ascii="Calibri" w:hAnsi="Calibri"/>
                <w:color w:val="000000"/>
              </w:rPr>
              <w:t xml:space="preserve">           9,182 </w:t>
            </w:r>
          </w:p>
        </w:tc>
        <w:tc>
          <w:tcPr>
            <w:tcW w:w="1276" w:type="dxa"/>
            <w:vAlign w:val="center"/>
          </w:tcPr>
          <w:p w:rsidR="00DD7AFB" w:rsidRPr="00766915" w:rsidRDefault="00DD7AFB" w:rsidP="00DD7AFB">
            <w:pPr>
              <w:jc w:val="right"/>
              <w:rPr>
                <w:rFonts w:cs="Arial"/>
                <w:color w:val="000000"/>
                <w:sz w:val="20"/>
                <w:szCs w:val="20"/>
              </w:rPr>
            </w:pPr>
            <w:r w:rsidRPr="00766915">
              <w:rPr>
                <w:rFonts w:cs="Arial"/>
                <w:color w:val="000000"/>
                <w:sz w:val="20"/>
                <w:szCs w:val="20"/>
              </w:rPr>
              <w:t>78.1</w:t>
            </w:r>
          </w:p>
        </w:tc>
        <w:tc>
          <w:tcPr>
            <w:tcW w:w="1276" w:type="dxa"/>
            <w:vAlign w:val="center"/>
          </w:tcPr>
          <w:p w:rsidR="00DD7AFB" w:rsidRPr="00766915" w:rsidRDefault="00DD7AFB" w:rsidP="00DD7AFB">
            <w:pPr>
              <w:rPr>
                <w:rFonts w:cs="Arial"/>
                <w:color w:val="000000"/>
                <w:sz w:val="20"/>
                <w:szCs w:val="20"/>
              </w:rPr>
            </w:pPr>
            <w:r w:rsidRPr="00766915">
              <w:rPr>
                <w:rFonts w:cs="Arial"/>
                <w:color w:val="000000"/>
                <w:sz w:val="20"/>
                <w:szCs w:val="20"/>
              </w:rPr>
              <w:t> </w:t>
            </w:r>
            <w:r>
              <w:rPr>
                <w:rFonts w:cs="Arial"/>
                <w:color w:val="000000"/>
                <w:sz w:val="20"/>
                <w:szCs w:val="20"/>
              </w:rPr>
              <w:t>0</w:t>
            </w:r>
          </w:p>
        </w:tc>
        <w:tc>
          <w:tcPr>
            <w:tcW w:w="1276" w:type="dxa"/>
            <w:vAlign w:val="center"/>
          </w:tcPr>
          <w:p w:rsidR="00DD7AFB" w:rsidRPr="00766915" w:rsidRDefault="00DD7AFB" w:rsidP="00DD7AFB">
            <w:pPr>
              <w:jc w:val="right"/>
              <w:rPr>
                <w:rFonts w:cs="Arial"/>
                <w:color w:val="000000"/>
                <w:sz w:val="20"/>
                <w:szCs w:val="20"/>
              </w:rPr>
            </w:pPr>
            <w:r w:rsidRPr="00766915">
              <w:rPr>
                <w:rFonts w:cs="Arial"/>
                <w:color w:val="000000"/>
                <w:sz w:val="20"/>
                <w:szCs w:val="20"/>
              </w:rPr>
              <w:t>6.2</w:t>
            </w:r>
          </w:p>
        </w:tc>
        <w:tc>
          <w:tcPr>
            <w:tcW w:w="1275" w:type="dxa"/>
            <w:vAlign w:val="center"/>
          </w:tcPr>
          <w:p w:rsidR="00DD7AFB" w:rsidRPr="00766915" w:rsidRDefault="00DD7AFB" w:rsidP="00DD7AFB">
            <w:pPr>
              <w:jc w:val="right"/>
              <w:rPr>
                <w:rFonts w:cs="Arial"/>
                <w:color w:val="000000"/>
                <w:sz w:val="20"/>
                <w:szCs w:val="20"/>
              </w:rPr>
            </w:pPr>
            <w:r w:rsidRPr="00766915">
              <w:rPr>
                <w:rFonts w:cs="Arial"/>
                <w:color w:val="000000"/>
                <w:sz w:val="20"/>
                <w:szCs w:val="20"/>
              </w:rPr>
              <w:t>5.8</w:t>
            </w:r>
          </w:p>
        </w:tc>
        <w:tc>
          <w:tcPr>
            <w:tcW w:w="1418" w:type="dxa"/>
            <w:vAlign w:val="center"/>
          </w:tcPr>
          <w:p w:rsidR="00DD7AFB" w:rsidRPr="00766915" w:rsidRDefault="00DD7AFB" w:rsidP="00DD7AFB">
            <w:pPr>
              <w:jc w:val="right"/>
              <w:rPr>
                <w:rFonts w:cs="Arial"/>
                <w:color w:val="000000"/>
                <w:sz w:val="20"/>
                <w:szCs w:val="20"/>
              </w:rPr>
            </w:pPr>
            <w:r w:rsidRPr="00766915">
              <w:rPr>
                <w:rFonts w:cs="Arial"/>
                <w:color w:val="000000"/>
                <w:sz w:val="20"/>
                <w:szCs w:val="20"/>
              </w:rPr>
              <w:t>9.9</w:t>
            </w:r>
          </w:p>
        </w:tc>
      </w:tr>
      <w:tr w:rsidR="00DD7AFB" w:rsidRPr="00766915" w:rsidTr="00DD2249">
        <w:trPr>
          <w:trHeight w:val="315"/>
        </w:trPr>
        <w:tc>
          <w:tcPr>
            <w:tcW w:w="988" w:type="dxa"/>
            <w:shd w:val="clear" w:color="auto" w:fill="auto"/>
            <w:noWrap/>
            <w:vAlign w:val="center"/>
            <w:hideMark/>
          </w:tcPr>
          <w:p w:rsidR="00DD7AFB" w:rsidRPr="00766915" w:rsidRDefault="00DD7AFB" w:rsidP="00DD7AFB">
            <w:pPr>
              <w:spacing w:after="0" w:line="240" w:lineRule="auto"/>
              <w:rPr>
                <w:rFonts w:eastAsia="Times New Roman" w:cs="Arial"/>
                <w:color w:val="000000"/>
                <w:sz w:val="20"/>
                <w:szCs w:val="20"/>
                <w:lang w:eastAsia="en-GB"/>
              </w:rPr>
            </w:pPr>
            <w:r w:rsidRPr="00766915">
              <w:rPr>
                <w:rFonts w:eastAsia="Times New Roman" w:cs="Arial"/>
                <w:color w:val="000000"/>
                <w:sz w:val="20"/>
                <w:szCs w:val="20"/>
                <w:lang w:eastAsia="en-GB"/>
              </w:rPr>
              <w:t xml:space="preserve">Spain </w:t>
            </w:r>
          </w:p>
        </w:tc>
        <w:tc>
          <w:tcPr>
            <w:tcW w:w="1275" w:type="dxa"/>
            <w:vAlign w:val="center"/>
          </w:tcPr>
          <w:p w:rsidR="00DD7AFB" w:rsidRPr="00766915" w:rsidRDefault="00DD7AFB" w:rsidP="00DD7AFB">
            <w:pPr>
              <w:jc w:val="right"/>
              <w:rPr>
                <w:rFonts w:cs="Arial"/>
                <w:color w:val="000000"/>
                <w:sz w:val="20"/>
                <w:szCs w:val="20"/>
              </w:rPr>
            </w:pPr>
            <w:r w:rsidRPr="00766915">
              <w:rPr>
                <w:rFonts w:cs="Arial"/>
                <w:color w:val="000000"/>
                <w:sz w:val="20"/>
                <w:szCs w:val="20"/>
              </w:rPr>
              <w:t>5.7</w:t>
            </w:r>
          </w:p>
        </w:tc>
        <w:tc>
          <w:tcPr>
            <w:tcW w:w="1276" w:type="dxa"/>
            <w:shd w:val="clear" w:color="auto" w:fill="auto"/>
            <w:noWrap/>
            <w:vAlign w:val="bottom"/>
          </w:tcPr>
          <w:p w:rsidR="00DD7AFB" w:rsidRPr="00766915" w:rsidRDefault="00DD7AFB" w:rsidP="00DD7AFB">
            <w:pPr>
              <w:jc w:val="right"/>
              <w:rPr>
                <w:rFonts w:cs="Arial"/>
                <w:color w:val="000000"/>
                <w:sz w:val="20"/>
                <w:szCs w:val="20"/>
              </w:rPr>
            </w:pPr>
            <w:r>
              <w:rPr>
                <w:rFonts w:ascii="Calibri" w:hAnsi="Calibri"/>
                <w:color w:val="000000"/>
              </w:rPr>
              <w:t xml:space="preserve">      484,858 </w:t>
            </w:r>
          </w:p>
        </w:tc>
        <w:tc>
          <w:tcPr>
            <w:tcW w:w="1276" w:type="dxa"/>
            <w:vAlign w:val="center"/>
          </w:tcPr>
          <w:p w:rsidR="00DD7AFB" w:rsidRPr="00766915" w:rsidRDefault="00DD7AFB" w:rsidP="00DD7AFB">
            <w:pPr>
              <w:jc w:val="right"/>
              <w:rPr>
                <w:rFonts w:cs="Arial"/>
                <w:color w:val="000000"/>
                <w:sz w:val="20"/>
                <w:szCs w:val="20"/>
              </w:rPr>
            </w:pPr>
            <w:r w:rsidRPr="00766915">
              <w:rPr>
                <w:rFonts w:cs="Arial"/>
                <w:color w:val="000000"/>
                <w:sz w:val="20"/>
                <w:szCs w:val="20"/>
              </w:rPr>
              <w:t>99.4</w:t>
            </w:r>
          </w:p>
        </w:tc>
        <w:tc>
          <w:tcPr>
            <w:tcW w:w="1276" w:type="dxa"/>
            <w:vAlign w:val="center"/>
          </w:tcPr>
          <w:p w:rsidR="00DD7AFB" w:rsidRPr="00766915" w:rsidRDefault="00DD7AFB" w:rsidP="00DD7AFB">
            <w:pPr>
              <w:rPr>
                <w:rFonts w:cs="Arial"/>
                <w:color w:val="000000"/>
                <w:sz w:val="20"/>
                <w:szCs w:val="20"/>
              </w:rPr>
            </w:pPr>
            <w:r w:rsidRPr="00766915">
              <w:rPr>
                <w:rFonts w:cs="Arial"/>
                <w:color w:val="000000"/>
                <w:sz w:val="20"/>
                <w:szCs w:val="20"/>
              </w:rPr>
              <w:t> </w:t>
            </w:r>
          </w:p>
        </w:tc>
        <w:tc>
          <w:tcPr>
            <w:tcW w:w="1276" w:type="dxa"/>
            <w:vAlign w:val="center"/>
          </w:tcPr>
          <w:p w:rsidR="00DD7AFB" w:rsidRPr="00766915" w:rsidRDefault="00DD7AFB" w:rsidP="00DD7AFB">
            <w:pPr>
              <w:rPr>
                <w:rFonts w:cs="Arial"/>
                <w:color w:val="000000"/>
                <w:sz w:val="20"/>
                <w:szCs w:val="20"/>
              </w:rPr>
            </w:pPr>
            <w:r w:rsidRPr="00766915">
              <w:rPr>
                <w:rFonts w:cs="Arial"/>
                <w:color w:val="000000"/>
                <w:sz w:val="20"/>
                <w:szCs w:val="20"/>
              </w:rPr>
              <w:t> </w:t>
            </w:r>
          </w:p>
        </w:tc>
        <w:tc>
          <w:tcPr>
            <w:tcW w:w="1275" w:type="dxa"/>
            <w:vAlign w:val="center"/>
          </w:tcPr>
          <w:p w:rsidR="00DD7AFB" w:rsidRPr="00766915" w:rsidRDefault="00DD7AFB" w:rsidP="00DD7AFB">
            <w:pPr>
              <w:rPr>
                <w:rFonts w:cs="Arial"/>
                <w:color w:val="000000"/>
                <w:sz w:val="20"/>
                <w:szCs w:val="20"/>
              </w:rPr>
            </w:pPr>
            <w:r w:rsidRPr="00766915">
              <w:rPr>
                <w:rFonts w:cs="Arial"/>
                <w:color w:val="000000"/>
                <w:sz w:val="20"/>
                <w:szCs w:val="20"/>
              </w:rPr>
              <w:t> </w:t>
            </w:r>
          </w:p>
        </w:tc>
        <w:tc>
          <w:tcPr>
            <w:tcW w:w="1418" w:type="dxa"/>
            <w:vAlign w:val="center"/>
          </w:tcPr>
          <w:p w:rsidR="00DD7AFB" w:rsidRPr="00766915" w:rsidRDefault="00DD7AFB" w:rsidP="00DD7AFB">
            <w:pPr>
              <w:jc w:val="right"/>
              <w:rPr>
                <w:rFonts w:cs="Arial"/>
                <w:color w:val="000000"/>
                <w:sz w:val="20"/>
                <w:szCs w:val="20"/>
              </w:rPr>
            </w:pPr>
            <w:r w:rsidRPr="00766915">
              <w:rPr>
                <w:rFonts w:cs="Arial"/>
                <w:color w:val="000000"/>
                <w:sz w:val="20"/>
                <w:szCs w:val="20"/>
              </w:rPr>
              <w:t> </w:t>
            </w:r>
            <w:r>
              <w:rPr>
                <w:rFonts w:cs="Arial"/>
                <w:color w:val="000000"/>
                <w:sz w:val="20"/>
                <w:szCs w:val="20"/>
              </w:rPr>
              <w:t>0.6</w:t>
            </w:r>
          </w:p>
        </w:tc>
      </w:tr>
      <w:tr w:rsidR="00DD7AFB" w:rsidRPr="00766915" w:rsidTr="00DD2249">
        <w:trPr>
          <w:trHeight w:val="315"/>
        </w:trPr>
        <w:tc>
          <w:tcPr>
            <w:tcW w:w="988" w:type="dxa"/>
            <w:shd w:val="clear" w:color="auto" w:fill="auto"/>
            <w:noWrap/>
            <w:vAlign w:val="center"/>
          </w:tcPr>
          <w:p w:rsidR="00DD7AFB" w:rsidRPr="00766915" w:rsidRDefault="00DD7AFB" w:rsidP="00DD7AFB">
            <w:pPr>
              <w:spacing w:after="0" w:line="240" w:lineRule="auto"/>
              <w:rPr>
                <w:rFonts w:eastAsia="Times New Roman" w:cs="Arial"/>
                <w:color w:val="000000"/>
                <w:sz w:val="20"/>
                <w:szCs w:val="20"/>
                <w:lang w:eastAsia="en-GB"/>
              </w:rPr>
            </w:pPr>
            <w:r w:rsidRPr="00766915">
              <w:rPr>
                <w:rFonts w:eastAsia="Times New Roman" w:cs="Arial"/>
                <w:color w:val="000000"/>
                <w:sz w:val="20"/>
                <w:szCs w:val="20"/>
                <w:lang w:eastAsia="en-GB"/>
              </w:rPr>
              <w:t xml:space="preserve">European Union – </w:t>
            </w:r>
            <w:r>
              <w:rPr>
                <w:rFonts w:eastAsia="Times New Roman" w:cs="Arial"/>
                <w:color w:val="000000"/>
                <w:sz w:val="20"/>
                <w:szCs w:val="20"/>
                <w:lang w:eastAsia="en-GB"/>
              </w:rPr>
              <w:t>28</w:t>
            </w:r>
            <w:r w:rsidRPr="00766915">
              <w:rPr>
                <w:rFonts w:eastAsia="Times New Roman" w:cs="Arial"/>
                <w:color w:val="000000"/>
                <w:sz w:val="20"/>
                <w:szCs w:val="20"/>
                <w:lang w:eastAsia="en-GB"/>
              </w:rPr>
              <w:t xml:space="preserve"> countries</w:t>
            </w:r>
          </w:p>
        </w:tc>
        <w:tc>
          <w:tcPr>
            <w:tcW w:w="1275" w:type="dxa"/>
          </w:tcPr>
          <w:p w:rsidR="00DD7AFB" w:rsidRPr="00766915" w:rsidRDefault="00DD7AFB" w:rsidP="00DD7AFB">
            <w:pPr>
              <w:jc w:val="right"/>
              <w:rPr>
                <w:rFonts w:cs="Arial"/>
                <w:color w:val="000000"/>
                <w:sz w:val="20"/>
                <w:szCs w:val="20"/>
              </w:rPr>
            </w:pPr>
            <w:r>
              <w:rPr>
                <w:rFonts w:cs="Arial"/>
                <w:color w:val="000000"/>
                <w:sz w:val="20"/>
                <w:szCs w:val="20"/>
              </w:rPr>
              <w:t>2.5</w:t>
            </w:r>
          </w:p>
        </w:tc>
        <w:tc>
          <w:tcPr>
            <w:tcW w:w="1276" w:type="dxa"/>
            <w:shd w:val="clear" w:color="auto" w:fill="auto"/>
            <w:noWrap/>
          </w:tcPr>
          <w:p w:rsidR="00DD7AFB" w:rsidRPr="00766915" w:rsidRDefault="00DD7AFB" w:rsidP="00DD7AFB">
            <w:pPr>
              <w:jc w:val="right"/>
              <w:rPr>
                <w:rFonts w:cs="Arial"/>
                <w:color w:val="000000"/>
                <w:sz w:val="20"/>
                <w:szCs w:val="20"/>
              </w:rPr>
            </w:pPr>
            <w:r>
              <w:rPr>
                <w:rFonts w:ascii="Calibri" w:hAnsi="Calibri"/>
                <w:color w:val="000000"/>
              </w:rPr>
              <w:t xml:space="preserve"> 2,417,390 </w:t>
            </w:r>
          </w:p>
        </w:tc>
        <w:tc>
          <w:tcPr>
            <w:tcW w:w="1276" w:type="dxa"/>
            <w:vAlign w:val="center"/>
          </w:tcPr>
          <w:p w:rsidR="00DD7AFB" w:rsidRPr="00766915" w:rsidRDefault="00DD7AFB" w:rsidP="00DD7AFB">
            <w:pPr>
              <w:spacing w:after="0" w:line="240" w:lineRule="auto"/>
              <w:jc w:val="right"/>
              <w:rPr>
                <w:rFonts w:eastAsia="Times New Roman" w:cs="Times New Roman"/>
                <w:color w:val="000000"/>
                <w:sz w:val="20"/>
                <w:szCs w:val="20"/>
                <w:lang w:eastAsia="en-GB"/>
              </w:rPr>
            </w:pPr>
          </w:p>
        </w:tc>
        <w:tc>
          <w:tcPr>
            <w:tcW w:w="1276" w:type="dxa"/>
          </w:tcPr>
          <w:p w:rsidR="00DD7AFB" w:rsidRPr="00766915" w:rsidRDefault="00DD7AFB" w:rsidP="00DD7AFB">
            <w:pPr>
              <w:spacing w:after="0" w:line="240" w:lineRule="auto"/>
              <w:jc w:val="right"/>
              <w:rPr>
                <w:rFonts w:eastAsia="Times New Roman" w:cs="Times New Roman"/>
                <w:color w:val="000000"/>
                <w:sz w:val="20"/>
                <w:szCs w:val="20"/>
                <w:lang w:eastAsia="en-GB"/>
              </w:rPr>
            </w:pPr>
          </w:p>
        </w:tc>
        <w:tc>
          <w:tcPr>
            <w:tcW w:w="1276" w:type="dxa"/>
          </w:tcPr>
          <w:p w:rsidR="00DD7AFB" w:rsidRPr="00766915" w:rsidRDefault="00DD7AFB" w:rsidP="00DD7AFB">
            <w:pPr>
              <w:spacing w:after="0" w:line="240" w:lineRule="auto"/>
              <w:jc w:val="right"/>
              <w:rPr>
                <w:rFonts w:eastAsia="Times New Roman" w:cs="Times New Roman"/>
                <w:color w:val="000000"/>
                <w:sz w:val="20"/>
                <w:szCs w:val="20"/>
                <w:lang w:eastAsia="en-GB"/>
              </w:rPr>
            </w:pPr>
          </w:p>
        </w:tc>
        <w:tc>
          <w:tcPr>
            <w:tcW w:w="1275" w:type="dxa"/>
          </w:tcPr>
          <w:p w:rsidR="00DD7AFB" w:rsidRPr="00766915" w:rsidRDefault="00DD7AFB" w:rsidP="00DD7AFB">
            <w:pPr>
              <w:spacing w:after="0" w:line="240" w:lineRule="auto"/>
              <w:jc w:val="right"/>
              <w:rPr>
                <w:rFonts w:eastAsia="Times New Roman" w:cs="Times New Roman"/>
                <w:color w:val="000000"/>
                <w:sz w:val="20"/>
                <w:szCs w:val="20"/>
                <w:lang w:eastAsia="en-GB"/>
              </w:rPr>
            </w:pPr>
          </w:p>
        </w:tc>
        <w:tc>
          <w:tcPr>
            <w:tcW w:w="1418" w:type="dxa"/>
          </w:tcPr>
          <w:p w:rsidR="00DD7AFB" w:rsidRPr="00766915" w:rsidRDefault="00DD7AFB" w:rsidP="00DD7AFB">
            <w:pPr>
              <w:spacing w:after="0" w:line="240" w:lineRule="auto"/>
              <w:jc w:val="right"/>
              <w:rPr>
                <w:rFonts w:eastAsia="Times New Roman" w:cs="Times New Roman"/>
                <w:color w:val="000000"/>
                <w:sz w:val="20"/>
                <w:szCs w:val="20"/>
                <w:lang w:eastAsia="en-GB"/>
              </w:rPr>
            </w:pPr>
          </w:p>
        </w:tc>
      </w:tr>
    </w:tbl>
    <w:p w:rsidR="006563F9" w:rsidRDefault="006563F9" w:rsidP="006563F9"/>
    <w:p w:rsidR="00016443" w:rsidRDefault="00016443" w:rsidP="006563F9">
      <w:pPr>
        <w:spacing w:line="480" w:lineRule="auto"/>
      </w:pPr>
    </w:p>
    <w:p w:rsidR="004C2572" w:rsidRPr="003D3ECA" w:rsidRDefault="004C2572" w:rsidP="004C2572">
      <w:pPr>
        <w:rPr>
          <w:rFonts w:ascii="Times New Roman" w:eastAsia="Times New Roman" w:hAnsi="Times New Roman" w:cs="Times New Roman"/>
          <w:sz w:val="24"/>
          <w:szCs w:val="24"/>
          <w:lang w:eastAsia="en-GB"/>
        </w:rPr>
      </w:pPr>
      <w:r w:rsidRPr="001E57E6">
        <w:rPr>
          <w:i/>
        </w:rPr>
        <w:t xml:space="preserve">Compiled </w:t>
      </w:r>
      <w:r>
        <w:rPr>
          <w:i/>
        </w:rPr>
        <w:t>based on</w:t>
      </w:r>
      <w:r w:rsidRPr="001E57E6">
        <w:rPr>
          <w:i/>
        </w:rPr>
        <w:t xml:space="preserve"> Eurostat </w:t>
      </w:r>
      <w:r w:rsidRPr="003D3ECA">
        <w:rPr>
          <w:i/>
        </w:rPr>
        <w:t>Source SILC - ilc_hch1</w:t>
      </w:r>
      <w:r>
        <w:rPr>
          <w:i/>
        </w:rPr>
        <w:t>5</w:t>
      </w:r>
    </w:p>
    <w:p w:rsidR="00970D08" w:rsidRDefault="00970D08" w:rsidP="0084455B">
      <w:pPr>
        <w:spacing w:line="480" w:lineRule="auto"/>
      </w:pPr>
    </w:p>
    <w:p w:rsidR="00130CF3" w:rsidRDefault="00130CF3" w:rsidP="0084455B">
      <w:pPr>
        <w:spacing w:line="480" w:lineRule="auto"/>
      </w:pPr>
      <w:r>
        <w:t xml:space="preserve">With the same </w:t>
      </w:r>
      <w:r w:rsidR="004E3858">
        <w:t>qualifications</w:t>
      </w:r>
      <w:r>
        <w:t xml:space="preserve"> about </w:t>
      </w:r>
      <w:r w:rsidR="00970D08">
        <w:t>the nature of the data</w:t>
      </w:r>
      <w:r>
        <w:t xml:space="preserve">, </w:t>
      </w:r>
      <w:proofErr w:type="gramStart"/>
      <w:r>
        <w:t>it can be seen that in</w:t>
      </w:r>
      <w:proofErr w:type="gramEnd"/>
      <w:r>
        <w:t xml:space="preserve"> Europe </w:t>
      </w:r>
      <w:r w:rsidR="00DD7AFB">
        <w:t xml:space="preserve">over two </w:t>
      </w:r>
      <w:r>
        <w:t>million children need dental treatment but are not receiving it. In percentage terms based on households</w:t>
      </w:r>
      <w:r w:rsidR="00D113B9">
        <w:t>,</w:t>
      </w:r>
      <w:r>
        <w:t xml:space="preserve"> </w:t>
      </w:r>
      <w:r w:rsidR="00DD7AFB">
        <w:t>Belgium, Latvia,</w:t>
      </w:r>
      <w:r>
        <w:t xml:space="preserve"> </w:t>
      </w:r>
      <w:r w:rsidR="00D42E0F">
        <w:t>Romania and Spain</w:t>
      </w:r>
      <w:r w:rsidR="00DD7AFB">
        <w:t xml:space="preserve"> have the highest proportions of children with unmet need</w:t>
      </w:r>
      <w:r w:rsidR="00D42E0F">
        <w:t>.  However, when computed into potential numbers related to the number of households with children in the country</w:t>
      </w:r>
      <w:r>
        <w:t xml:space="preserve"> Spain account</w:t>
      </w:r>
      <w:r w:rsidR="00D42E0F">
        <w:t>s</w:t>
      </w:r>
      <w:r>
        <w:t xml:space="preserve"> for a fifth of the total.</w:t>
      </w:r>
    </w:p>
    <w:p w:rsidR="00B03F19" w:rsidRDefault="00D113B9" w:rsidP="0084455B">
      <w:pPr>
        <w:spacing w:line="480" w:lineRule="auto"/>
      </w:pPr>
      <w:r>
        <w:t xml:space="preserve">Reported reasons </w:t>
      </w:r>
      <w:r w:rsidR="004C2572">
        <w:t xml:space="preserve">for this non-treatment </w:t>
      </w:r>
      <w:r w:rsidR="008D44ED">
        <w:t xml:space="preserve">are only published for a sub-set of mainly larger countries </w:t>
      </w:r>
      <w:r w:rsidR="00B03F19">
        <w:t xml:space="preserve">and </w:t>
      </w:r>
      <w:r>
        <w:t>vary considerably by country</w:t>
      </w:r>
      <w:r w:rsidR="008D44ED">
        <w:t>, but in most</w:t>
      </w:r>
      <w:r>
        <w:t xml:space="preserve"> cost is almost the sole barrier. </w:t>
      </w:r>
      <w:r w:rsidR="002F087A">
        <w:t>This is perplexing as virtually all EU countries claim to have a free service of inspection and basic treatments for children [</w:t>
      </w:r>
      <w:r w:rsidR="002F087A" w:rsidRPr="00B93A7E">
        <w:rPr>
          <w:rStyle w:val="EndnoteReference"/>
          <w:vertAlign w:val="baseline"/>
        </w:rPr>
        <w:endnoteReference w:id="10"/>
      </w:r>
      <w:r w:rsidR="002F087A">
        <w:t>]</w:t>
      </w:r>
      <w:r w:rsidR="008A15EF">
        <w:t xml:space="preserve">, </w:t>
      </w:r>
      <w:bookmarkStart w:id="4" w:name="_Hlk30143526"/>
      <w:r w:rsidR="008A15EF">
        <w:t>so these may be non-health costs of attending with a child</w:t>
      </w:r>
      <w:bookmarkEnd w:id="4"/>
      <w:r w:rsidR="002F087A">
        <w:t>.</w:t>
      </w:r>
      <w:r w:rsidR="00B03F19">
        <w:t xml:space="preserve"> </w:t>
      </w:r>
      <w:r>
        <w:t xml:space="preserve">Poland, followed by the Czech Republic, </w:t>
      </w:r>
      <w:r w:rsidR="008D44ED">
        <w:t xml:space="preserve">Estonia, </w:t>
      </w:r>
      <w:r>
        <w:t xml:space="preserve">France </w:t>
      </w:r>
      <w:r w:rsidR="00B03F19">
        <w:t xml:space="preserve">and </w:t>
      </w:r>
      <w:r>
        <w:t>Latvia have waiting list problems</w:t>
      </w:r>
      <w:r w:rsidR="008D44ED">
        <w:t>, suggesting</w:t>
      </w:r>
      <w:r>
        <w:t xml:space="preserve"> lack of workforce or capacity.</w:t>
      </w:r>
    </w:p>
    <w:p w:rsidR="00FA13E8" w:rsidRPr="007B2008" w:rsidRDefault="00FA13E8" w:rsidP="0084455B">
      <w:pPr>
        <w:spacing w:line="480" w:lineRule="auto"/>
        <w:rPr>
          <w:i/>
          <w:u w:val="single"/>
        </w:rPr>
      </w:pPr>
      <w:r w:rsidRPr="007B2008">
        <w:rPr>
          <w:i/>
          <w:u w:val="single"/>
        </w:rPr>
        <w:t xml:space="preserve">Correlation with </w:t>
      </w:r>
      <w:r w:rsidR="007B2008" w:rsidRPr="007B2008">
        <w:rPr>
          <w:i/>
          <w:u w:val="single"/>
        </w:rPr>
        <w:t>other</w:t>
      </w:r>
      <w:r w:rsidRPr="007B2008">
        <w:rPr>
          <w:i/>
          <w:u w:val="single"/>
        </w:rPr>
        <w:t xml:space="preserve"> </w:t>
      </w:r>
      <w:r w:rsidR="007B2008" w:rsidRPr="007B2008">
        <w:rPr>
          <w:i/>
          <w:u w:val="single"/>
        </w:rPr>
        <w:t>Income and Living Conditions Measures</w:t>
      </w:r>
    </w:p>
    <w:p w:rsidR="007B2008" w:rsidRDefault="007B2008" w:rsidP="007B2008">
      <w:pPr>
        <w:spacing w:line="480" w:lineRule="auto"/>
      </w:pPr>
      <w:r>
        <w:t>The SILC published tables on Eurostat cited but not further analysed here show how the proportion of households with unmet medical and dental need fall between poorer (income below 60% of the national median) and better off (above 60% of median income) [</w:t>
      </w:r>
      <w:r w:rsidRPr="00B93A7E">
        <w:rPr>
          <w:rStyle w:val="EndnoteReference"/>
          <w:vertAlign w:val="baseline"/>
        </w:rPr>
        <w:endnoteReference w:id="11"/>
      </w:r>
      <w:r>
        <w:t xml:space="preserve">].  In most countries with </w:t>
      </w:r>
      <w:r>
        <w:lastRenderedPageBreak/>
        <w:t xml:space="preserve">significant unmet medical need there was a broadly even spread across this income divide, but in Belgium the rate amongst the poor was seven times higher and in Bulgaria five times higher; conversely in Poland it was three times higher in the upper income group. </w:t>
      </w:r>
    </w:p>
    <w:p w:rsidR="007B2008" w:rsidRDefault="007B2008" w:rsidP="007B2008">
      <w:pPr>
        <w:spacing w:line="480" w:lineRule="auto"/>
      </w:pPr>
      <w:r>
        <w:t xml:space="preserve">Turning to unmet dental need, far more countries had a significant disadvantage for poorer families.  In Spain the difference was twelve-fold, Slovakia ten-fold, Bulgaria nine-fold, Portugal seven-fold, Belgium six-fold, Romania five-fold, and Spain, Italy and Cyprus four-fold. Though Austria had small numbers, the poorer families were at fifteen-fold risk.  </w:t>
      </w:r>
    </w:p>
    <w:p w:rsidR="007B2008" w:rsidRDefault="007B2008" w:rsidP="007B2008">
      <w:pPr>
        <w:spacing w:line="480" w:lineRule="auto"/>
      </w:pPr>
      <w:r>
        <w:t xml:space="preserve">Being a child in a single adult household with dependent children seems to have little effect on risk of unmet need in most countries, but with notable exceptions. In Belgium the risk of unmet medical need is 50% higher, but conversely single adult households had one seventh the rate of full households in Bulgaria and one fifth the rate in Romania.  When income is also </w:t>
      </w:r>
      <w:proofErr w:type="gramStart"/>
      <w:r>
        <w:t>taken into account</w:t>
      </w:r>
      <w:proofErr w:type="gramEnd"/>
      <w:r>
        <w:t>, Belgium, Estonia, Italy and Poland have four-fold greater representation by one adult households in the lower income group families, but with a nine-fold difference in Cyprus.  Conversely, two adult families with higher income had greater unmet need in France (three-fold), double in Luxembourg, and marginally higher in Greece, suggesting effective positive action to support single parents in most countries except the first-listed. For dental care there is much less information available, hindering deeper analysis.</w:t>
      </w:r>
    </w:p>
    <w:p w:rsidR="007B2008" w:rsidRDefault="007B2008" w:rsidP="007B2008">
      <w:pPr>
        <w:spacing w:line="480" w:lineRule="auto"/>
      </w:pPr>
      <w:r>
        <w:t xml:space="preserve">Expense is given as the biggest single cause of non-treatment for both medical and dental needs.  Nearly all European countries have a policy of free medical consultation for children, though many charge co-payments for prescriptions.  Not often considered, though, are parental out-of-pocket expenses of taking a child to a medical appointment, including not just fares, but possibly loss of income if the parent </w:t>
      </w:r>
      <w:proofErr w:type="gramStart"/>
      <w:r>
        <w:t>has to</w:t>
      </w:r>
      <w:proofErr w:type="gramEnd"/>
      <w:r>
        <w:t xml:space="preserve"> take time off work</w:t>
      </w:r>
      <w:r w:rsidR="00694176">
        <w:t xml:space="preserve"> </w:t>
      </w:r>
      <w:r>
        <w:t xml:space="preserve">- policies of encouraging both parents to re-enter employment may be contributing to the non-affordability of getting their children to medical and dental treatment. This challenge to service uptake has also recently been </w:t>
      </w:r>
      <w:r w:rsidR="00D44C12">
        <w:t>raised,</w:t>
      </w:r>
      <w:r>
        <w:t xml:space="preserve"> </w:t>
      </w:r>
      <w:r w:rsidR="00D44C12">
        <w:t xml:space="preserve">specifically in the context of children’s vaccination </w:t>
      </w:r>
      <w:r>
        <w:t xml:space="preserve">by the Expert Panel on Effective Ways </w:t>
      </w:r>
      <w:r w:rsidR="00D44C12">
        <w:t>of</w:t>
      </w:r>
      <w:r>
        <w:t xml:space="preserve"> Investing in Health [</w:t>
      </w:r>
      <w:r w:rsidRPr="00D44C12">
        <w:rPr>
          <w:rStyle w:val="EndnoteReference"/>
          <w:vertAlign w:val="baseline"/>
        </w:rPr>
        <w:endnoteReference w:id="12"/>
      </w:r>
      <w:r w:rsidR="00D44C12">
        <w:t>]</w:t>
      </w:r>
    </w:p>
    <w:p w:rsidR="00767F60" w:rsidRDefault="00767F60" w:rsidP="0084455B">
      <w:pPr>
        <w:spacing w:line="480" w:lineRule="auto"/>
      </w:pPr>
    </w:p>
    <w:p w:rsidR="00767F60" w:rsidRPr="00767F60" w:rsidRDefault="008F51FA" w:rsidP="0084455B">
      <w:pPr>
        <w:spacing w:line="480" w:lineRule="auto"/>
        <w:rPr>
          <w:u w:val="single"/>
        </w:rPr>
      </w:pPr>
      <w:r>
        <w:rPr>
          <w:u w:val="single"/>
        </w:rPr>
        <w:t>Conclusions</w:t>
      </w:r>
    </w:p>
    <w:p w:rsidR="005B2484" w:rsidRDefault="00767F60" w:rsidP="0084455B">
      <w:pPr>
        <w:spacing w:line="480" w:lineRule="auto"/>
      </w:pPr>
      <w:r>
        <w:t xml:space="preserve">Children’s health is important in its own right to ensure a healthy future population of </w:t>
      </w:r>
      <w:proofErr w:type="gramStart"/>
      <w:r>
        <w:t>Europe, and</w:t>
      </w:r>
      <w:proofErr w:type="gramEnd"/>
      <w:r w:rsidR="00F27D40">
        <w:t xml:space="preserve"> is</w:t>
      </w:r>
      <w:r>
        <w:t xml:space="preserve"> a moral duty on current society as children are dependent on society to provide health and dental care for them.</w:t>
      </w:r>
      <w:r w:rsidR="002F087A">
        <w:t xml:space="preserve"> How little we know about children, especially aggregated from primary care and related to health needs, has already been flagged up from a major European study [</w:t>
      </w:r>
      <w:r w:rsidR="0076197C" w:rsidRPr="0076197C">
        <w:t>5</w:t>
      </w:r>
      <w:r w:rsidR="002F087A">
        <w:t>].</w:t>
      </w:r>
      <w:r w:rsidR="005B2484">
        <w:t xml:space="preserve"> </w:t>
      </w:r>
    </w:p>
    <w:p w:rsidR="00767F60" w:rsidRDefault="005B2484" w:rsidP="0084455B">
      <w:pPr>
        <w:spacing w:line="480" w:lineRule="auto"/>
      </w:pPr>
      <w:r>
        <w:t xml:space="preserve">These new </w:t>
      </w:r>
      <w:r w:rsidRPr="00F27D40">
        <w:rPr>
          <w:i/>
        </w:rPr>
        <w:t>ad hoc</w:t>
      </w:r>
      <w:r>
        <w:t xml:space="preserve"> data from the Statistics on Income and Living Conditions </w:t>
      </w:r>
      <w:r w:rsidR="004C2572">
        <w:t xml:space="preserve">(SILC) </w:t>
      </w:r>
      <w:r w:rsidR="00C554B6">
        <w:t xml:space="preserve">framework database </w:t>
      </w:r>
      <w:r>
        <w:t xml:space="preserve">give for the first time a </w:t>
      </w:r>
      <w:r w:rsidR="00FA3D66">
        <w:t>broad</w:t>
      </w:r>
      <w:r>
        <w:t xml:space="preserve"> </w:t>
      </w:r>
      <w:r w:rsidR="00F27D40">
        <w:t>assessment</w:t>
      </w:r>
      <w:r>
        <w:t xml:space="preserve"> of </w:t>
      </w:r>
      <w:r w:rsidR="00FA3D66">
        <w:t>unmet</w:t>
      </w:r>
      <w:r>
        <w:t xml:space="preserve"> </w:t>
      </w:r>
      <w:r w:rsidR="00FA3D66">
        <w:t>health</w:t>
      </w:r>
      <w:r>
        <w:t xml:space="preserve"> need</w:t>
      </w:r>
      <w:r w:rsidR="00801DC4">
        <w:t xml:space="preserve"> of European Union children</w:t>
      </w:r>
      <w:r>
        <w:t xml:space="preserve">. </w:t>
      </w:r>
      <w:r w:rsidR="00FA3D66">
        <w:t>However</w:t>
      </w:r>
      <w:r>
        <w:t>, welcome</w:t>
      </w:r>
      <w:r w:rsidR="00FA3D66">
        <w:t xml:space="preserve"> though</w:t>
      </w:r>
      <w:r>
        <w:t xml:space="preserve"> these </w:t>
      </w:r>
      <w:r w:rsidR="00801DC4">
        <w:t xml:space="preserve">data </w:t>
      </w:r>
      <w:r>
        <w:t xml:space="preserve">are, </w:t>
      </w:r>
      <w:r w:rsidR="0075605C">
        <w:t xml:space="preserve">particularly for their direct assessment of overall parent-reported financial, parental overload, and other practical barriers to access, </w:t>
      </w:r>
      <w:r>
        <w:t xml:space="preserve">they </w:t>
      </w:r>
      <w:r w:rsidR="00FA13E8">
        <w:t>contain a difficult assumption that a health need or dental need problem affecting one child in a family will be replicated in all children</w:t>
      </w:r>
      <w:r w:rsidR="00694176">
        <w:t xml:space="preserve">, </w:t>
      </w:r>
      <w:bookmarkStart w:id="5" w:name="_Hlk30093367"/>
      <w:r w:rsidR="00694176">
        <w:t>yet do not count multiple unmet needs,</w:t>
      </w:r>
      <w:r w:rsidR="00FA13E8">
        <w:t xml:space="preserve"> </w:t>
      </w:r>
      <w:bookmarkEnd w:id="5"/>
      <w:r w:rsidR="00FA13E8">
        <w:t>and the child population chosen is not a normally recognised one</w:t>
      </w:r>
      <w:r>
        <w:t xml:space="preserve">.  </w:t>
      </w:r>
      <w:r w:rsidR="00D44C12">
        <w:t xml:space="preserve">The data are almost entirely </w:t>
      </w:r>
      <w:r w:rsidR="0075605C">
        <w:t>presented</w:t>
      </w:r>
      <w:r w:rsidR="00D44C12">
        <w:t xml:space="preserve"> as rates, making it much </w:t>
      </w:r>
      <w:r w:rsidR="009753C8">
        <w:t>harder</w:t>
      </w:r>
      <w:r w:rsidR="00D44C12">
        <w:t xml:space="preserve"> to produce empirical facts in a way which can stimulate a deeper process of analysis and </w:t>
      </w:r>
      <w:r w:rsidR="009753C8">
        <w:t>service</w:t>
      </w:r>
      <w:r w:rsidR="00D44C12">
        <w:t xml:space="preserve"> </w:t>
      </w:r>
      <w:r w:rsidR="009753C8">
        <w:t>adjustment</w:t>
      </w:r>
      <w:r w:rsidR="00D44C12">
        <w:t xml:space="preserve"> or redesign to meet 21</w:t>
      </w:r>
      <w:r w:rsidR="00D44C12" w:rsidRPr="0075605C">
        <w:rPr>
          <w:vertAlign w:val="superscript"/>
        </w:rPr>
        <w:t>st</w:t>
      </w:r>
      <w:r w:rsidR="00D44C12">
        <w:t xml:space="preserve">. Century population and lifestyle needs. </w:t>
      </w:r>
      <w:r>
        <w:t xml:space="preserve">Moreover, this </w:t>
      </w:r>
      <w:r w:rsidR="00FA13E8">
        <w:t xml:space="preserve">survey </w:t>
      </w:r>
      <w:r w:rsidR="00F27D40">
        <w:t>is likely</w:t>
      </w:r>
      <w:r>
        <w:t xml:space="preserve"> not </w:t>
      </w:r>
      <w:r w:rsidR="00F27D40">
        <w:t xml:space="preserve">to </w:t>
      </w:r>
      <w:r w:rsidR="009753C8">
        <w:t xml:space="preserve">have captured </w:t>
      </w:r>
      <w:r>
        <w:t>some of the most vulnerable children, namely those</w:t>
      </w:r>
      <w:r w:rsidR="00FA3D66">
        <w:t xml:space="preserve"> </w:t>
      </w:r>
      <w:r>
        <w:t xml:space="preserve">not in </w:t>
      </w:r>
      <w:r w:rsidR="008A15EF">
        <w:t xml:space="preserve">stable </w:t>
      </w:r>
      <w:r w:rsidR="00246A64">
        <w:t>households</w:t>
      </w:r>
      <w:r>
        <w:t>. These will include migrants and asylum seekers (who may have some form of dedicated health service in their current country of</w:t>
      </w:r>
      <w:r w:rsidR="0041080E">
        <w:t xml:space="preserve"> temporary</w:t>
      </w:r>
      <w:r>
        <w:t xml:space="preserve"> residence but seldom matching </w:t>
      </w:r>
      <w:r w:rsidR="00FA3D66">
        <w:t>that</w:t>
      </w:r>
      <w:r>
        <w:t xml:space="preserve"> of </w:t>
      </w:r>
      <w:r w:rsidR="00EF4652">
        <w:t>resident national</w:t>
      </w:r>
      <w:r w:rsidR="00246A64">
        <w:t xml:space="preserve"> </w:t>
      </w:r>
      <w:r>
        <w:t>children</w:t>
      </w:r>
      <w:r w:rsidR="00F27D40">
        <w:t>)</w:t>
      </w:r>
      <w:r w:rsidR="00EF4652">
        <w:t xml:space="preserve"> </w:t>
      </w:r>
      <w:r w:rsidR="00EF4652" w:rsidRPr="00B93A7E">
        <w:t>[</w:t>
      </w:r>
      <w:r w:rsidR="00246A64" w:rsidRPr="00B93A7E">
        <w:rPr>
          <w:rStyle w:val="EndnoteReference"/>
          <w:vertAlign w:val="baseline"/>
        </w:rPr>
        <w:endnoteReference w:id="13"/>
      </w:r>
      <w:r w:rsidR="00246A64">
        <w:t xml:space="preserve">]. </w:t>
      </w:r>
      <w:proofErr w:type="gramStart"/>
      <w:r w:rsidR="00246A64">
        <w:t>Also</w:t>
      </w:r>
      <w:proofErr w:type="gramEnd"/>
      <w:r w:rsidR="00246A64">
        <w:t xml:space="preserve"> likely to be excluded are children resident in institution</w:t>
      </w:r>
      <w:r w:rsidR="00F27D40">
        <w:t>s</w:t>
      </w:r>
      <w:r w:rsidR="00246A64">
        <w:t xml:space="preserve">, and homeless children. Children in </w:t>
      </w:r>
      <w:r w:rsidR="004E3858">
        <w:t>fractured</w:t>
      </w:r>
      <w:r w:rsidR="00246A64">
        <w:t xml:space="preserve"> families and other family precariousness </w:t>
      </w:r>
      <w:r w:rsidR="00FA3D66">
        <w:t>also</w:t>
      </w:r>
      <w:r w:rsidR="00246A64">
        <w:t xml:space="preserve"> </w:t>
      </w:r>
      <w:r w:rsidR="00FA3D66">
        <w:t>stand</w:t>
      </w:r>
      <w:r w:rsidR="00246A64">
        <w:t xml:space="preserve"> less chance of being captured in a household-based survey.</w:t>
      </w:r>
    </w:p>
    <w:p w:rsidR="00246A64" w:rsidRDefault="00246A64" w:rsidP="00FA13E8">
      <w:pPr>
        <w:spacing w:line="480" w:lineRule="auto"/>
      </w:pPr>
      <w:r>
        <w:t xml:space="preserve">Nevertheless, from those children included in </w:t>
      </w:r>
      <w:r w:rsidR="004E3858">
        <w:t>families</w:t>
      </w:r>
      <w:r>
        <w:t xml:space="preserve"> captured in household surveys in 2017, in the EU countries which participated</w:t>
      </w:r>
      <w:r w:rsidR="007107FB">
        <w:t>,</w:t>
      </w:r>
      <w:r>
        <w:t xml:space="preserve"> we can </w:t>
      </w:r>
      <w:r w:rsidR="009753C8">
        <w:t xml:space="preserve">hypothesise </w:t>
      </w:r>
      <w:r>
        <w:t xml:space="preserve">that </w:t>
      </w:r>
      <w:r w:rsidR="0041080E">
        <w:t xml:space="preserve">over </w:t>
      </w:r>
      <w:r>
        <w:t xml:space="preserve">a million children have unmet </w:t>
      </w:r>
      <w:r w:rsidR="00CF5C55">
        <w:t>medical</w:t>
      </w:r>
      <w:r>
        <w:t xml:space="preserve"> needs as viewed by the survey respondents, and some </w:t>
      </w:r>
      <w:r w:rsidR="00FA13E8">
        <w:t>two</w:t>
      </w:r>
      <w:r>
        <w:t xml:space="preserve"> million children have unmet </w:t>
      </w:r>
      <w:r>
        <w:lastRenderedPageBreak/>
        <w:t>dental needs</w:t>
      </w:r>
      <w:r w:rsidR="00FA13E8">
        <w:t xml:space="preserve">. Also noteworthy is that during the period of preparation of this paper in 2019 the results for Ireland and the United Kingdom were removed, and those for </w:t>
      </w:r>
      <w:r w:rsidR="009753C8">
        <w:t>Belgium amended.</w:t>
      </w:r>
      <w:r w:rsidR="00FA13E8">
        <w:t xml:space="preserve"> </w:t>
      </w:r>
    </w:p>
    <w:p w:rsidR="00FA3D66" w:rsidRDefault="00FA3D66" w:rsidP="0084455B">
      <w:pPr>
        <w:spacing w:line="480" w:lineRule="auto"/>
      </w:pPr>
      <w:r>
        <w:t xml:space="preserve">Finally, how well does expressed non-access reflect intended policy as assessed by the </w:t>
      </w:r>
      <w:r w:rsidR="00F05D5A">
        <w:t xml:space="preserve">WHO </w:t>
      </w:r>
      <w:r>
        <w:t>Observatory? Of the three</w:t>
      </w:r>
      <w:r w:rsidR="00924814">
        <w:t xml:space="preserve"> countries</w:t>
      </w:r>
      <w:r>
        <w:t xml:space="preserve"> giving most concern </w:t>
      </w:r>
      <w:r w:rsidR="00924814">
        <w:t>in</w:t>
      </w:r>
      <w:r>
        <w:t xml:space="preserve"> </w:t>
      </w:r>
      <w:r w:rsidR="00F05D5A">
        <w:t>the Observatory</w:t>
      </w:r>
      <w:r>
        <w:t xml:space="preserve"> policy analysis, Austria and Germany are viewed well by householders but there are no Netherlands data, while the list of eleven seemingly compliant </w:t>
      </w:r>
      <w:r w:rsidR="00B26D67">
        <w:t xml:space="preserve">countries </w:t>
      </w:r>
      <w:r>
        <w:t xml:space="preserve">includes most of those with strongest </w:t>
      </w:r>
      <w:r w:rsidR="00B26D67">
        <w:t xml:space="preserve">expressed </w:t>
      </w:r>
      <w:r>
        <w:t>unmet need.</w:t>
      </w:r>
    </w:p>
    <w:p w:rsidR="00924814" w:rsidRDefault="00FA3D66" w:rsidP="0084455B">
      <w:pPr>
        <w:spacing w:line="480" w:lineRule="auto"/>
      </w:pPr>
      <w:r>
        <w:t xml:space="preserve">This analysis shows how little we know about accessibility of health care to Europe’s children. </w:t>
      </w:r>
      <w:r w:rsidR="00843E6D">
        <w:t xml:space="preserve">The SILC data have sought to measure </w:t>
      </w:r>
      <w:proofErr w:type="gramStart"/>
      <w:r w:rsidR="00843E6D">
        <w:t>this, and</w:t>
      </w:r>
      <w:proofErr w:type="gramEnd"/>
      <w:r w:rsidR="00843E6D">
        <w:t xml:space="preserve"> have trodden new ground in seeking the parent’s story as to barriers. </w:t>
      </w:r>
      <w:r>
        <w:t>These data are far from idea</w:t>
      </w:r>
      <w:r w:rsidR="008A15EF">
        <w:t>l</w:t>
      </w:r>
      <w:r>
        <w:t xml:space="preserve">, and almost certainly not capturing the most vulnerable children.  </w:t>
      </w:r>
      <w:r w:rsidR="00B26D67">
        <w:t>Nevertheless, t</w:t>
      </w:r>
      <w:r>
        <w:t xml:space="preserve">hat </w:t>
      </w:r>
      <w:r w:rsidR="0075605C">
        <w:t>around</w:t>
      </w:r>
      <w:r w:rsidR="009753C8">
        <w:t xml:space="preserve"> 3</w:t>
      </w:r>
      <w:r>
        <w:t xml:space="preserve"> million European children are </w:t>
      </w:r>
      <w:r w:rsidR="00843E6D">
        <w:t>reported as having</w:t>
      </w:r>
      <w:r w:rsidR="009753C8">
        <w:t xml:space="preserve"> </w:t>
      </w:r>
      <w:r>
        <w:t>unmet health needs</w:t>
      </w:r>
      <w:r w:rsidR="004073A9">
        <w:t xml:space="preserve"> and are thus deprived of their Health Rights</w:t>
      </w:r>
      <w:r>
        <w:t xml:space="preserve">, </w:t>
      </w:r>
      <w:r w:rsidR="004073A9">
        <w:t>and</w:t>
      </w:r>
      <w:r>
        <w:t xml:space="preserve"> t</w:t>
      </w:r>
      <w:r w:rsidR="004073A9">
        <w:t>h</w:t>
      </w:r>
      <w:r>
        <w:t>at statistical systems can tell us so little, are major ca</w:t>
      </w:r>
      <w:r w:rsidR="00B26D67">
        <w:t>u</w:t>
      </w:r>
      <w:r>
        <w:t>ses of concern</w:t>
      </w:r>
      <w:r w:rsidR="004073A9">
        <w:t xml:space="preserve"> needing urgent attention</w:t>
      </w:r>
      <w:r w:rsidR="00924814">
        <w:t xml:space="preserve">. </w:t>
      </w:r>
    </w:p>
    <w:p w:rsidR="00FA3D66" w:rsidRDefault="00924814" w:rsidP="0084455B">
      <w:pPr>
        <w:spacing w:line="480" w:lineRule="auto"/>
      </w:pPr>
      <w:r>
        <w:t>Paul Brodeur is credited with the observation that “</w:t>
      </w:r>
      <w:r w:rsidRPr="00924814">
        <w:t>Statistics are human beings with the tears wiped off</w:t>
      </w:r>
      <w:r>
        <w:t xml:space="preserve">”. Worryingly we do not know how many of Europe’s children (and their parents) have tears of pain and of frustration at not receiving needed medical or dental treatment, but it seems that </w:t>
      </w:r>
      <w:r w:rsidR="0075605C">
        <w:t>some 3</w:t>
      </w:r>
      <w:r>
        <w:t xml:space="preserve"> million European Union children are producing a lot of tears in our midst.</w:t>
      </w:r>
    </w:p>
    <w:p w:rsidR="0061713C" w:rsidRDefault="0061713C" w:rsidP="0061713C">
      <w:pPr>
        <w:rPr>
          <w:u w:val="single"/>
        </w:rPr>
      </w:pPr>
    </w:p>
    <w:p w:rsidR="006836E5" w:rsidRDefault="006836E5" w:rsidP="0061713C">
      <w:pPr>
        <w:rPr>
          <w:u w:val="single"/>
        </w:rPr>
      </w:pPr>
      <w:r>
        <w:rPr>
          <w:u w:val="single"/>
        </w:rPr>
        <w:t>Funding</w:t>
      </w:r>
    </w:p>
    <w:p w:rsidR="006836E5" w:rsidRPr="006836E5" w:rsidRDefault="006836E5" w:rsidP="0061713C">
      <w:r w:rsidRPr="006836E5">
        <w:t>There was no funding received</w:t>
      </w:r>
      <w:r>
        <w:t xml:space="preserve"> for production of this analysis</w:t>
      </w:r>
    </w:p>
    <w:p w:rsidR="006836E5" w:rsidRDefault="006836E5" w:rsidP="0061713C">
      <w:pPr>
        <w:rPr>
          <w:u w:val="single"/>
        </w:rPr>
      </w:pPr>
      <w:r>
        <w:rPr>
          <w:u w:val="single"/>
        </w:rPr>
        <w:t>Conflict of Interest</w:t>
      </w:r>
    </w:p>
    <w:p w:rsidR="006836E5" w:rsidRDefault="006836E5" w:rsidP="0061713C">
      <w:r w:rsidRPr="006836E5">
        <w:t>The author has no conflicts of interest.</w:t>
      </w:r>
    </w:p>
    <w:p w:rsidR="006836E5" w:rsidRDefault="006836E5" w:rsidP="0061713C"/>
    <w:p w:rsidR="006836E5" w:rsidRPr="006836E5" w:rsidRDefault="006836E5" w:rsidP="0061713C"/>
    <w:p w:rsidR="0061713C" w:rsidRPr="0061713C" w:rsidRDefault="0061713C" w:rsidP="0061713C">
      <w:pPr>
        <w:rPr>
          <w:u w:val="single"/>
        </w:rPr>
      </w:pPr>
      <w:r w:rsidRPr="00BB4D00">
        <w:rPr>
          <w:u w:val="single"/>
        </w:rPr>
        <w:t xml:space="preserve">Key </w:t>
      </w:r>
      <w:r w:rsidR="00F05D5A">
        <w:rPr>
          <w:u w:val="single"/>
        </w:rPr>
        <w:t>Messages</w:t>
      </w:r>
    </w:p>
    <w:p w:rsidR="0061713C" w:rsidRDefault="0061713C" w:rsidP="0061713C">
      <w:pPr>
        <w:pStyle w:val="ListParagraph"/>
        <w:numPr>
          <w:ilvl w:val="0"/>
          <w:numId w:val="1"/>
        </w:numPr>
      </w:pPr>
      <w:r>
        <w:t>Children have a Right to health, and countries should be facilitating this, but policy analysis has indicated that comparatively few are likely to discharge this duty fully.</w:t>
      </w:r>
    </w:p>
    <w:p w:rsidR="0061713C" w:rsidRDefault="0061713C" w:rsidP="0061713C">
      <w:pPr>
        <w:pStyle w:val="ListParagraph"/>
        <w:numPr>
          <w:ilvl w:val="0"/>
          <w:numId w:val="1"/>
        </w:numPr>
      </w:pPr>
      <w:r>
        <w:lastRenderedPageBreak/>
        <w:t>Data systems in the European Union are seriously inadequate in their analysis of child health provision and uptake; child-based data and primary care data are absent.</w:t>
      </w:r>
    </w:p>
    <w:p w:rsidR="0061713C" w:rsidRDefault="0061713C" w:rsidP="0061713C">
      <w:pPr>
        <w:pStyle w:val="ListParagraph"/>
        <w:numPr>
          <w:ilvl w:val="0"/>
          <w:numId w:val="1"/>
        </w:numPr>
      </w:pPr>
      <w:r>
        <w:t xml:space="preserve">New data </w:t>
      </w:r>
      <w:r w:rsidR="009753C8">
        <w:t xml:space="preserve">from </w:t>
      </w:r>
      <w:r>
        <w:t xml:space="preserve">households </w:t>
      </w:r>
      <w:r w:rsidR="009753C8">
        <w:t xml:space="preserve">reporting </w:t>
      </w:r>
      <w:r>
        <w:t xml:space="preserve">children </w:t>
      </w:r>
      <w:r w:rsidR="009753C8">
        <w:t>with</w:t>
      </w:r>
      <w:r>
        <w:t xml:space="preserve"> unmet medical or dental needs shows </w:t>
      </w:r>
      <w:r w:rsidR="001501F6">
        <w:t>3</w:t>
      </w:r>
      <w:r>
        <w:t xml:space="preserve"> million EU children in 2017 </w:t>
      </w:r>
      <w:r w:rsidR="00F05D5A">
        <w:t xml:space="preserve">with </w:t>
      </w:r>
      <w:r>
        <w:t>unmet need for treatment</w:t>
      </w:r>
      <w:r w:rsidR="00843E6D">
        <w:t>, with reasons</w:t>
      </w:r>
      <w:r>
        <w:t>.</w:t>
      </w:r>
    </w:p>
    <w:p w:rsidR="0061713C" w:rsidRDefault="0061713C" w:rsidP="0061713C">
      <w:pPr>
        <w:pStyle w:val="ListParagraph"/>
        <w:numPr>
          <w:ilvl w:val="0"/>
          <w:numId w:val="1"/>
        </w:numPr>
      </w:pPr>
      <w:r>
        <w:t>Urgent deeper study, and focussed action, are needed at European and Member State level at alleviate this suffering and harm</w:t>
      </w:r>
      <w:r w:rsidR="00F05D5A">
        <w:t xml:space="preserve"> to children</w:t>
      </w:r>
      <w:r>
        <w:t>.</w:t>
      </w:r>
    </w:p>
    <w:p w:rsidR="0061713C" w:rsidRDefault="0061713C" w:rsidP="0084455B">
      <w:pPr>
        <w:spacing w:line="480" w:lineRule="auto"/>
      </w:pPr>
    </w:p>
    <w:p w:rsidR="0061713C" w:rsidRPr="0061713C" w:rsidRDefault="0061713C" w:rsidP="0084455B">
      <w:pPr>
        <w:spacing w:line="480" w:lineRule="auto"/>
        <w:rPr>
          <w:u w:val="single"/>
        </w:rPr>
      </w:pPr>
      <w:r w:rsidRPr="0061713C">
        <w:rPr>
          <w:u w:val="single"/>
        </w:rPr>
        <w:t>References</w:t>
      </w:r>
    </w:p>
    <w:sectPr w:rsidR="0061713C" w:rsidRPr="0061713C" w:rsidSect="003B248D">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337" w:rsidRDefault="004F6337" w:rsidP="000C1158">
      <w:pPr>
        <w:spacing w:after="0" w:line="240" w:lineRule="auto"/>
      </w:pPr>
      <w:r>
        <w:separator/>
      </w:r>
    </w:p>
  </w:endnote>
  <w:endnote w:type="continuationSeparator" w:id="0">
    <w:p w:rsidR="004F6337" w:rsidRDefault="004F6337" w:rsidP="000C1158">
      <w:pPr>
        <w:spacing w:after="0" w:line="240" w:lineRule="auto"/>
      </w:pPr>
      <w:r>
        <w:continuationSeparator/>
      </w:r>
    </w:p>
  </w:endnote>
  <w:endnote w:id="1">
    <w:p w:rsidR="004F6337" w:rsidRDefault="004F6337">
      <w:pPr>
        <w:pStyle w:val="EndnoteText"/>
      </w:pPr>
      <w:r>
        <w:rPr>
          <w:rStyle w:val="EndnoteReference"/>
        </w:rPr>
        <w:endnoteRef/>
      </w:r>
      <w:r>
        <w:t xml:space="preserve"> </w:t>
      </w:r>
      <w:r w:rsidRPr="00220A45">
        <w:t>United Nations Convention on the Rights of the Child, New York</w:t>
      </w:r>
      <w:r>
        <w:t xml:space="preserve">, </w:t>
      </w:r>
      <w:r w:rsidRPr="00220A45">
        <w:t>(1989)</w:t>
      </w:r>
      <w:r>
        <w:t>. Available</w:t>
      </w:r>
      <w:r w:rsidRPr="00220A45">
        <w:t xml:space="preserve"> from https://downloads.unicef.org.uk/wp-content/uploads/2010/05/UNCRC_united_nations_convention_on_the_rights_of_the_child.pdf?_ga=2.209651665.274437633.1540996300-199092997.1540996300</w:t>
      </w:r>
    </w:p>
  </w:endnote>
  <w:endnote w:id="2">
    <w:p w:rsidR="004F6337" w:rsidRDefault="004F6337" w:rsidP="00992554">
      <w:pPr>
        <w:pStyle w:val="EndnoteText"/>
      </w:pPr>
      <w:r>
        <w:rPr>
          <w:rStyle w:val="EndnoteReference"/>
        </w:rPr>
        <w:endnoteRef/>
      </w:r>
      <w:r>
        <w:t xml:space="preserve"> European Commission.  Commission Recommendation of 20 February 2013 - Investing in children: breaking the cycle of disadvantage (2013/112/EU) (available at </w:t>
      </w:r>
      <w:r w:rsidRPr="000C1158">
        <w:t>https://eur-lex.europa.eu/legal-content/EN/TXT/PDF/?uri=CELEX:32013H0112&amp;from=EN</w:t>
      </w:r>
      <w:r>
        <w:t>.</w:t>
      </w:r>
    </w:p>
  </w:endnote>
  <w:endnote w:id="3">
    <w:p w:rsidR="004F6337" w:rsidRDefault="004F6337" w:rsidP="00C3557C">
      <w:pPr>
        <w:pStyle w:val="EndnoteText"/>
      </w:pPr>
      <w:r>
        <w:rPr>
          <w:rStyle w:val="EndnoteReference"/>
        </w:rPr>
        <w:endnoteRef/>
      </w:r>
      <w:r>
        <w:t xml:space="preserve"> World Health Organisation Regional Office for Europe. European strategy for child and adolescent health and development. Copenhagen: WHO Regional Office for Europe; 2005 (available at www.euro.who.int/__data/assets/pdf_file/0020/79400/E87710.pdf)</w:t>
      </w:r>
    </w:p>
  </w:endnote>
  <w:endnote w:id="4">
    <w:p w:rsidR="004F6337" w:rsidRDefault="004F6337" w:rsidP="003A3AA3">
      <w:pPr>
        <w:pStyle w:val="EndnoteText"/>
      </w:pPr>
      <w:r>
        <w:rPr>
          <w:rStyle w:val="EndnoteReference"/>
        </w:rPr>
        <w:endnoteRef/>
      </w:r>
      <w:r>
        <w:t xml:space="preserve"> World Health Organisation Regional Office for Europe, Investing in children: the European child and</w:t>
      </w:r>
    </w:p>
    <w:p w:rsidR="004F6337" w:rsidRDefault="004F6337" w:rsidP="003A3AA3">
      <w:pPr>
        <w:pStyle w:val="EndnoteText"/>
      </w:pPr>
      <w:r>
        <w:t xml:space="preserve">adolescent health strategy 2015–2020; WHO Copenhagen (available at </w:t>
      </w:r>
      <w:r w:rsidRPr="003A3AA3">
        <w:t>www.euro.who.int/__data/assets/pdf_file/0010/253729/64wd12e_InvestCAHstrategy_140440.pdf</w:t>
      </w:r>
      <w:r>
        <w:t>)</w:t>
      </w:r>
    </w:p>
  </w:endnote>
  <w:endnote w:id="5">
    <w:p w:rsidR="004F6337" w:rsidRDefault="004F6337" w:rsidP="00B85747">
      <w:pPr>
        <w:pStyle w:val="EndnoteText"/>
      </w:pPr>
      <w:r>
        <w:rPr>
          <w:rStyle w:val="EndnoteReference"/>
        </w:rPr>
        <w:endnoteRef/>
      </w:r>
      <w:r>
        <w:t xml:space="preserve"> Michael Rigby, Shalmali Deshpande, Daniela </w:t>
      </w:r>
      <w:proofErr w:type="spellStart"/>
      <w:r>
        <w:t>Luzi</w:t>
      </w:r>
      <w:proofErr w:type="spellEnd"/>
      <w:r>
        <w:t xml:space="preserve">, Fabrizio Pecoraro, Oscar </w:t>
      </w:r>
      <w:proofErr w:type="spellStart"/>
      <w:r>
        <w:t>Tamburis</w:t>
      </w:r>
      <w:proofErr w:type="spellEnd"/>
      <w:r>
        <w:t xml:space="preserve">, Ilaria Rocco, Barbara Corso, Nadia </w:t>
      </w:r>
      <w:proofErr w:type="spellStart"/>
      <w:r>
        <w:t>Minicuci</w:t>
      </w:r>
      <w:proofErr w:type="spellEnd"/>
      <w:r>
        <w:t xml:space="preserve">, </w:t>
      </w:r>
      <w:proofErr w:type="spellStart"/>
      <w:r>
        <w:t>Harshana</w:t>
      </w:r>
      <w:proofErr w:type="spellEnd"/>
      <w:r>
        <w:t xml:space="preserve"> </w:t>
      </w:r>
      <w:proofErr w:type="spellStart"/>
      <w:r>
        <w:t>Liyanage</w:t>
      </w:r>
      <w:proofErr w:type="spellEnd"/>
      <w:r>
        <w:t xml:space="preserve">, </w:t>
      </w:r>
      <w:proofErr w:type="spellStart"/>
      <w:r>
        <w:t>Uy</w:t>
      </w:r>
      <w:proofErr w:type="spellEnd"/>
      <w:r>
        <w:t xml:space="preserve"> Hoang, Filipa Ferreira, Simon de Lusignan, </w:t>
      </w:r>
      <w:proofErr w:type="spellStart"/>
      <w:r>
        <w:t>Ekelechi</w:t>
      </w:r>
      <w:proofErr w:type="spellEnd"/>
      <w:r>
        <w:t xml:space="preserve"> </w:t>
      </w:r>
      <w:proofErr w:type="spellStart"/>
      <w:r>
        <w:t>MacPepple</w:t>
      </w:r>
      <w:proofErr w:type="spellEnd"/>
      <w:r>
        <w:t>, Heather Gage. The Invisibility of Children in Data Systems; in Mitch Blair, Michael Rigby, Denise Alexander (eds.). Issues and Opportunities in Primary Health Care for Children in Europe: The Final Summarised Results of the Models of Child Health Appraised (MOCHA) Project; Emerald Publishing, Bingley, 2019; Open Access at https://www.emeraldinsight.com/doi/book/10.1108/9781789733518</w:t>
      </w:r>
    </w:p>
  </w:endnote>
  <w:endnote w:id="6">
    <w:p w:rsidR="004F6337" w:rsidRDefault="004F6337">
      <w:pPr>
        <w:pStyle w:val="EndnoteText"/>
      </w:pPr>
      <w:r>
        <w:rPr>
          <w:rStyle w:val="EndnoteReference"/>
        </w:rPr>
        <w:endnoteRef/>
      </w:r>
      <w:r>
        <w:t xml:space="preserve"> </w:t>
      </w:r>
      <w:r w:rsidRPr="003736AE">
        <w:t xml:space="preserve">Willy Palm, Cristina Hernandez-Quevedo, Katarzyna </w:t>
      </w:r>
      <w:proofErr w:type="spellStart"/>
      <w:r w:rsidRPr="003736AE">
        <w:t>Klasa</w:t>
      </w:r>
      <w:proofErr w:type="spellEnd"/>
      <w:r w:rsidRPr="003736AE">
        <w:t xml:space="preserve">, </w:t>
      </w:r>
      <w:proofErr w:type="spellStart"/>
      <w:r w:rsidRPr="003736AE">
        <w:t>Ewout</w:t>
      </w:r>
      <w:proofErr w:type="spellEnd"/>
      <w:r w:rsidRPr="003736AE">
        <w:t xml:space="preserve"> van </w:t>
      </w:r>
      <w:proofErr w:type="spellStart"/>
      <w:r w:rsidRPr="003736AE">
        <w:t>Ginneken</w:t>
      </w:r>
      <w:proofErr w:type="spellEnd"/>
      <w:r w:rsidRPr="003736AE">
        <w:t>. Implementation of the right to health care under the UN Convention on the Rights of the Child; European Observatory on Health Systems and Policies at the request of the European Commission’s Directorate General for Health and Food Safety; European Commission, Brussels, 2017.</w:t>
      </w:r>
    </w:p>
  </w:endnote>
  <w:endnote w:id="7">
    <w:p w:rsidR="004F6337" w:rsidRDefault="004F6337" w:rsidP="008A6CD5">
      <w:pPr>
        <w:pStyle w:val="EndnoteText"/>
      </w:pPr>
      <w:r>
        <w:rPr>
          <w:rStyle w:val="EndnoteReference"/>
        </w:rPr>
        <w:endnoteRef/>
      </w:r>
      <w:r>
        <w:t xml:space="preserve"> </w:t>
      </w:r>
      <w:hyperlink r:id="rId1" w:history="1">
        <w:r w:rsidRPr="00D464EA">
          <w:rPr>
            <w:rStyle w:val="Hyperlink"/>
          </w:rPr>
          <w:t>https://ec.europa.eu/eurostat/web/income-and-living-conditions/data/database?node_code=ilc_hch</w:t>
        </w:r>
      </w:hyperlink>
      <w:r>
        <w:t xml:space="preserve"> (accessed 15 May 2019).</w:t>
      </w:r>
    </w:p>
  </w:endnote>
  <w:endnote w:id="8">
    <w:p w:rsidR="004F6337" w:rsidRDefault="004F6337">
      <w:pPr>
        <w:pStyle w:val="EndnoteText"/>
      </w:pPr>
      <w:r>
        <w:rPr>
          <w:rStyle w:val="EndnoteReference"/>
        </w:rPr>
        <w:endnoteRef/>
      </w:r>
      <w:r>
        <w:t xml:space="preserve"> </w:t>
      </w:r>
      <w:hyperlink r:id="rId2" w:history="1">
        <w:r w:rsidRPr="00D464EA">
          <w:rPr>
            <w:rStyle w:val="Hyperlink"/>
          </w:rPr>
          <w:t>https://ec.europa.eu/eurostat/web/income-and-living-conditions</w:t>
        </w:r>
      </w:hyperlink>
      <w:r>
        <w:t xml:space="preserve"> (accessed 15 May 2019).</w:t>
      </w:r>
    </w:p>
  </w:endnote>
  <w:endnote w:id="9">
    <w:p w:rsidR="004F6337" w:rsidRDefault="004F6337" w:rsidP="00F46B7A">
      <w:pPr>
        <w:pStyle w:val="EndnoteText"/>
      </w:pPr>
      <w:r>
        <w:rPr>
          <w:rStyle w:val="EndnoteReference"/>
        </w:rPr>
        <w:endnoteRef/>
      </w:r>
      <w:r>
        <w:t xml:space="preserve"> Eurostat. Methodological Guidelines </w:t>
      </w:r>
      <w:proofErr w:type="spellStart"/>
      <w:r>
        <w:t>qnd</w:t>
      </w:r>
      <w:proofErr w:type="spellEnd"/>
      <w:r>
        <w:t xml:space="preserve"> Description of EU-SILC Target Variables 2017 Operation (Version may 2017); (available at </w:t>
      </w:r>
      <w:hyperlink r:id="rId3" w:history="1">
        <w:r w:rsidRPr="00A81D4F">
          <w:rPr>
            <w:rStyle w:val="Hyperlink"/>
          </w:rPr>
          <w:t>https://circabc.europa.eu/sd/a/6bc65c53-6148-45da-bfc7-39e43e0d1438/DOCSILC065%20operation%202017-%2022-05-2017.pdf</w:t>
        </w:r>
      </w:hyperlink>
      <w:r>
        <w:t xml:space="preserve"> (accessed 15 </w:t>
      </w:r>
      <w:proofErr w:type="spellStart"/>
      <w:r>
        <w:t>Janaury</w:t>
      </w:r>
      <w:proofErr w:type="spellEnd"/>
      <w:r>
        <w:t xml:space="preserve"> 2020.</w:t>
      </w:r>
    </w:p>
  </w:endnote>
  <w:endnote w:id="10">
    <w:p w:rsidR="004F6337" w:rsidRDefault="004F6337" w:rsidP="002F087A">
      <w:pPr>
        <w:pStyle w:val="EndnoteText"/>
      </w:pPr>
      <w:r>
        <w:rPr>
          <w:rStyle w:val="EndnoteReference"/>
        </w:rPr>
        <w:endnoteRef/>
      </w:r>
      <w:r>
        <w:t xml:space="preserve"> Denise Alexander, Uttara </w:t>
      </w:r>
      <w:proofErr w:type="spellStart"/>
      <w:r>
        <w:t>Kurup</w:t>
      </w:r>
      <w:proofErr w:type="spellEnd"/>
      <w:r>
        <w:t xml:space="preserve">, Arjun Menon, Michael </w:t>
      </w:r>
      <w:proofErr w:type="spellStart"/>
      <w:r>
        <w:t>Mahgerefteh</w:t>
      </w:r>
      <w:proofErr w:type="spellEnd"/>
      <w:r>
        <w:t xml:space="preserve">, Austin </w:t>
      </w:r>
      <w:proofErr w:type="spellStart"/>
      <w:r>
        <w:t>Warters</w:t>
      </w:r>
      <w:proofErr w:type="spellEnd"/>
      <w:r>
        <w:t>, Michael Rigby, Mitch Blair. Affiliate Contributors to Primary Care for Children; in Mitch Blair, Michael Rigby, Denise Alexander. Issues and Opportunities in Primary Health Care for Children in Europe: The Final Summarised Results of the Models of Child Health Appraised (MOCHA) Project; Emerald Publishing, Bingley, 2019; Open Access at https://www.emeraldinsight.com/doi/book/10.1108/9781789733518</w:t>
      </w:r>
    </w:p>
  </w:endnote>
  <w:endnote w:id="11">
    <w:p w:rsidR="004F6337" w:rsidRDefault="004F6337" w:rsidP="007B2008">
      <w:pPr>
        <w:pStyle w:val="EndnoteText"/>
      </w:pPr>
      <w:r>
        <w:rPr>
          <w:rStyle w:val="EndnoteReference"/>
        </w:rPr>
        <w:endnoteRef/>
      </w:r>
      <w:r>
        <w:t xml:space="preserve"> </w:t>
      </w:r>
      <w:hyperlink r:id="rId4" w:history="1">
        <w:r w:rsidRPr="00A81D4F">
          <w:rPr>
            <w:rStyle w:val="Hyperlink"/>
          </w:rPr>
          <w:t>https://appsso.eurostat.ec.europa.eu/nui/show.do?dataset=ilc_hch14&amp;lang=en</w:t>
        </w:r>
      </w:hyperlink>
      <w:r>
        <w:t xml:space="preserve"> </w:t>
      </w:r>
    </w:p>
  </w:endnote>
  <w:endnote w:id="12">
    <w:p w:rsidR="004F6337" w:rsidRDefault="004F6337">
      <w:pPr>
        <w:pStyle w:val="EndnoteText"/>
      </w:pPr>
      <w:r>
        <w:rPr>
          <w:rStyle w:val="EndnoteReference"/>
        </w:rPr>
        <w:endnoteRef/>
      </w:r>
      <w:r>
        <w:t xml:space="preserve"> Expert Panel on Effective Ways of Investing in Health. </w:t>
      </w:r>
      <w:r w:rsidRPr="00D44C12">
        <w:t xml:space="preserve">Vaccination </w:t>
      </w:r>
      <w:r>
        <w:t xml:space="preserve">Programmes and Health Systems in The European Union; Brussels, 2018 (available at </w:t>
      </w:r>
      <w:r w:rsidRPr="00D44C12">
        <w:t>https://ec.europa.eu/health/expert_panel/sites/expertpanel/files/020_vaccinationpgms_en.pdf</w:t>
      </w:r>
      <w:r>
        <w:t>)</w:t>
      </w:r>
    </w:p>
  </w:endnote>
  <w:endnote w:id="13">
    <w:p w:rsidR="004F6337" w:rsidRDefault="004F6337" w:rsidP="00246A64">
      <w:pPr>
        <w:pStyle w:val="EndnoteText"/>
      </w:pPr>
      <w:r>
        <w:rPr>
          <w:rStyle w:val="EndnoteReference"/>
        </w:rPr>
        <w:endnoteRef/>
      </w:r>
      <w:r>
        <w:t xml:space="preserve"> </w:t>
      </w:r>
      <w:r w:rsidRPr="00EF4652">
        <w:t xml:space="preserve">Anders </w:t>
      </w:r>
      <w:proofErr w:type="spellStart"/>
      <w:r w:rsidRPr="00EF4652">
        <w:t>Hjern</w:t>
      </w:r>
      <w:proofErr w:type="spellEnd"/>
      <w:r w:rsidRPr="00EF4652">
        <w:t xml:space="preserve">, Liv </w:t>
      </w:r>
      <w:proofErr w:type="spellStart"/>
      <w:r w:rsidRPr="00EF4652">
        <w:t>Stubbe</w:t>
      </w:r>
      <w:proofErr w:type="spellEnd"/>
      <w:r w:rsidRPr="00EF4652">
        <w:t xml:space="preserve"> </w:t>
      </w:r>
      <w:proofErr w:type="spellStart"/>
      <w:r w:rsidRPr="00EF4652">
        <w:t>Østergaard</w:t>
      </w:r>
      <w:proofErr w:type="spellEnd"/>
      <w:r>
        <w:t xml:space="preserve">. </w:t>
      </w:r>
      <w:r w:rsidRPr="00EF4652">
        <w:t xml:space="preserve">Migrant children in Europe: Entitlements to health care </w:t>
      </w:r>
      <w:r>
        <w:t xml:space="preserve">- </w:t>
      </w:r>
      <w:r w:rsidRPr="00EF4652">
        <w:t xml:space="preserve">Deliverable D3 </w:t>
      </w:r>
      <w:r>
        <w:t xml:space="preserve"> of the Models of Child Health Appraised project, available at </w:t>
      </w:r>
      <w:hyperlink r:id="rId5" w:history="1">
        <w:r w:rsidRPr="00814D55">
          <w:rPr>
            <w:rStyle w:val="Hyperlink"/>
          </w:rPr>
          <w:t>http://www.childhealthservicemodels.eu/wp-content/uploads/2015/09/20160831_Deliverable-D3-D7.1_Migrant-children-in-Europe.pdf</w:t>
        </w:r>
      </w:hyperlink>
      <w:r>
        <w:t xml:space="preserve"> (accessed 20 May 2019).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337" w:rsidRDefault="004F6337" w:rsidP="000C1158">
      <w:pPr>
        <w:spacing w:after="0" w:line="240" w:lineRule="auto"/>
      </w:pPr>
      <w:r>
        <w:separator/>
      </w:r>
    </w:p>
  </w:footnote>
  <w:footnote w:type="continuationSeparator" w:id="0">
    <w:p w:rsidR="004F6337" w:rsidRDefault="004F6337" w:rsidP="000C11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E32BE"/>
    <w:multiLevelType w:val="hybridMultilevel"/>
    <w:tmpl w:val="31A02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529"/>
    <w:rsid w:val="00016443"/>
    <w:rsid w:val="000325E8"/>
    <w:rsid w:val="00091C07"/>
    <w:rsid w:val="000B127C"/>
    <w:rsid w:val="000C1158"/>
    <w:rsid w:val="000C1EE8"/>
    <w:rsid w:val="000E0EA9"/>
    <w:rsid w:val="000E2AFD"/>
    <w:rsid w:val="000F39C8"/>
    <w:rsid w:val="000F757D"/>
    <w:rsid w:val="00130CF3"/>
    <w:rsid w:val="00140B92"/>
    <w:rsid w:val="001444B2"/>
    <w:rsid w:val="001465B1"/>
    <w:rsid w:val="001501F6"/>
    <w:rsid w:val="0016195C"/>
    <w:rsid w:val="00175318"/>
    <w:rsid w:val="00184643"/>
    <w:rsid w:val="00194077"/>
    <w:rsid w:val="00194A03"/>
    <w:rsid w:val="001B20D4"/>
    <w:rsid w:val="001C79EA"/>
    <w:rsid w:val="001F521C"/>
    <w:rsid w:val="001F5DFD"/>
    <w:rsid w:val="00220A45"/>
    <w:rsid w:val="002359DA"/>
    <w:rsid w:val="00235B75"/>
    <w:rsid w:val="00236526"/>
    <w:rsid w:val="00246A64"/>
    <w:rsid w:val="002659AC"/>
    <w:rsid w:val="00270538"/>
    <w:rsid w:val="0027507D"/>
    <w:rsid w:val="00280208"/>
    <w:rsid w:val="002B3968"/>
    <w:rsid w:val="002B439C"/>
    <w:rsid w:val="002D539A"/>
    <w:rsid w:val="002D7B8D"/>
    <w:rsid w:val="002E4FFC"/>
    <w:rsid w:val="002F087A"/>
    <w:rsid w:val="0033528C"/>
    <w:rsid w:val="00337C8D"/>
    <w:rsid w:val="003623D6"/>
    <w:rsid w:val="00362471"/>
    <w:rsid w:val="00365629"/>
    <w:rsid w:val="003736AE"/>
    <w:rsid w:val="00393E73"/>
    <w:rsid w:val="003A3AA3"/>
    <w:rsid w:val="003B248D"/>
    <w:rsid w:val="003B43A2"/>
    <w:rsid w:val="003D5A47"/>
    <w:rsid w:val="003E5688"/>
    <w:rsid w:val="003E5755"/>
    <w:rsid w:val="0040505C"/>
    <w:rsid w:val="004073A9"/>
    <w:rsid w:val="0041080E"/>
    <w:rsid w:val="00425FD0"/>
    <w:rsid w:val="004339B0"/>
    <w:rsid w:val="00435C7F"/>
    <w:rsid w:val="0046380D"/>
    <w:rsid w:val="00491BE6"/>
    <w:rsid w:val="004926DD"/>
    <w:rsid w:val="004A5597"/>
    <w:rsid w:val="004C2572"/>
    <w:rsid w:val="004C2942"/>
    <w:rsid w:val="004E3858"/>
    <w:rsid w:val="004F2B0A"/>
    <w:rsid w:val="004F6337"/>
    <w:rsid w:val="0050277A"/>
    <w:rsid w:val="00511230"/>
    <w:rsid w:val="00516298"/>
    <w:rsid w:val="005268BF"/>
    <w:rsid w:val="0054587B"/>
    <w:rsid w:val="005465EA"/>
    <w:rsid w:val="005507C0"/>
    <w:rsid w:val="00563CB4"/>
    <w:rsid w:val="00573C53"/>
    <w:rsid w:val="00587C85"/>
    <w:rsid w:val="005B2484"/>
    <w:rsid w:val="005C7674"/>
    <w:rsid w:val="0061713C"/>
    <w:rsid w:val="006563F9"/>
    <w:rsid w:val="00666632"/>
    <w:rsid w:val="006744B3"/>
    <w:rsid w:val="006836E5"/>
    <w:rsid w:val="00694176"/>
    <w:rsid w:val="006B2F90"/>
    <w:rsid w:val="006E50F1"/>
    <w:rsid w:val="006F223B"/>
    <w:rsid w:val="006F23A0"/>
    <w:rsid w:val="007107FB"/>
    <w:rsid w:val="00717011"/>
    <w:rsid w:val="007268DA"/>
    <w:rsid w:val="00732F81"/>
    <w:rsid w:val="00754E2D"/>
    <w:rsid w:val="0075605C"/>
    <w:rsid w:val="0076197C"/>
    <w:rsid w:val="00763C72"/>
    <w:rsid w:val="007672F0"/>
    <w:rsid w:val="00767F60"/>
    <w:rsid w:val="0077642B"/>
    <w:rsid w:val="0079365F"/>
    <w:rsid w:val="00795CA1"/>
    <w:rsid w:val="007B2008"/>
    <w:rsid w:val="007B3E22"/>
    <w:rsid w:val="007F0F32"/>
    <w:rsid w:val="00801DC4"/>
    <w:rsid w:val="00804847"/>
    <w:rsid w:val="00843E6D"/>
    <w:rsid w:val="0084455B"/>
    <w:rsid w:val="00850591"/>
    <w:rsid w:val="008542B4"/>
    <w:rsid w:val="00860294"/>
    <w:rsid w:val="00865B79"/>
    <w:rsid w:val="00890F6D"/>
    <w:rsid w:val="008A15EF"/>
    <w:rsid w:val="008A6CD5"/>
    <w:rsid w:val="008B21FA"/>
    <w:rsid w:val="008C6E1A"/>
    <w:rsid w:val="008D44ED"/>
    <w:rsid w:val="008E06C3"/>
    <w:rsid w:val="008E5DFE"/>
    <w:rsid w:val="008F51FA"/>
    <w:rsid w:val="00924814"/>
    <w:rsid w:val="00936C47"/>
    <w:rsid w:val="00967924"/>
    <w:rsid w:val="00970D08"/>
    <w:rsid w:val="009753C8"/>
    <w:rsid w:val="00985529"/>
    <w:rsid w:val="009862A9"/>
    <w:rsid w:val="00991110"/>
    <w:rsid w:val="00992554"/>
    <w:rsid w:val="00992AC4"/>
    <w:rsid w:val="00993CD2"/>
    <w:rsid w:val="00997C40"/>
    <w:rsid w:val="009A747C"/>
    <w:rsid w:val="009D6D78"/>
    <w:rsid w:val="009E0834"/>
    <w:rsid w:val="009F0271"/>
    <w:rsid w:val="00A20E33"/>
    <w:rsid w:val="00A518C0"/>
    <w:rsid w:val="00A634A9"/>
    <w:rsid w:val="00A63F77"/>
    <w:rsid w:val="00A67421"/>
    <w:rsid w:val="00A93D9E"/>
    <w:rsid w:val="00A97725"/>
    <w:rsid w:val="00AC4291"/>
    <w:rsid w:val="00B01FD5"/>
    <w:rsid w:val="00B03F19"/>
    <w:rsid w:val="00B04ECE"/>
    <w:rsid w:val="00B26D67"/>
    <w:rsid w:val="00B30077"/>
    <w:rsid w:val="00B85747"/>
    <w:rsid w:val="00B93A7E"/>
    <w:rsid w:val="00BA1972"/>
    <w:rsid w:val="00BA5BA0"/>
    <w:rsid w:val="00BC0C04"/>
    <w:rsid w:val="00BD2A59"/>
    <w:rsid w:val="00C3557C"/>
    <w:rsid w:val="00C456C2"/>
    <w:rsid w:val="00C550D7"/>
    <w:rsid w:val="00C554B6"/>
    <w:rsid w:val="00C62A30"/>
    <w:rsid w:val="00C642EA"/>
    <w:rsid w:val="00CA4006"/>
    <w:rsid w:val="00CE1F2B"/>
    <w:rsid w:val="00CF185A"/>
    <w:rsid w:val="00CF5C55"/>
    <w:rsid w:val="00CF5E3C"/>
    <w:rsid w:val="00D10FC8"/>
    <w:rsid w:val="00D113B9"/>
    <w:rsid w:val="00D35536"/>
    <w:rsid w:val="00D42E0F"/>
    <w:rsid w:val="00D44C12"/>
    <w:rsid w:val="00D527B5"/>
    <w:rsid w:val="00D807CA"/>
    <w:rsid w:val="00D824F1"/>
    <w:rsid w:val="00D9490E"/>
    <w:rsid w:val="00DD1FCC"/>
    <w:rsid w:val="00DD2249"/>
    <w:rsid w:val="00DD7AFB"/>
    <w:rsid w:val="00DE5559"/>
    <w:rsid w:val="00E102EE"/>
    <w:rsid w:val="00E14B69"/>
    <w:rsid w:val="00E1638C"/>
    <w:rsid w:val="00E71F9E"/>
    <w:rsid w:val="00EA191E"/>
    <w:rsid w:val="00ED193F"/>
    <w:rsid w:val="00ED4023"/>
    <w:rsid w:val="00EE4B3F"/>
    <w:rsid w:val="00EF4652"/>
    <w:rsid w:val="00F015B7"/>
    <w:rsid w:val="00F0235B"/>
    <w:rsid w:val="00F05D5A"/>
    <w:rsid w:val="00F23412"/>
    <w:rsid w:val="00F27D40"/>
    <w:rsid w:val="00F423D1"/>
    <w:rsid w:val="00F46B7A"/>
    <w:rsid w:val="00F67894"/>
    <w:rsid w:val="00F70EB1"/>
    <w:rsid w:val="00F94038"/>
    <w:rsid w:val="00FA13E8"/>
    <w:rsid w:val="00FA3D66"/>
    <w:rsid w:val="00FB1E05"/>
    <w:rsid w:val="00FE051B"/>
    <w:rsid w:val="00FE6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C46D2"/>
  <w15:chartTrackingRefBased/>
  <w15:docId w15:val="{6A488390-D503-40D9-9C24-2F52D3A5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76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674"/>
    <w:rPr>
      <w:rFonts w:asciiTheme="majorHAnsi" w:eastAsiaTheme="majorEastAsia" w:hAnsiTheme="majorHAnsi" w:cstheme="majorBidi"/>
      <w:color w:val="2F5496" w:themeColor="accent1" w:themeShade="BF"/>
      <w:sz w:val="32"/>
      <w:szCs w:val="32"/>
    </w:rPr>
  </w:style>
  <w:style w:type="paragraph" w:styleId="EndnoteText">
    <w:name w:val="endnote text"/>
    <w:basedOn w:val="Normal"/>
    <w:link w:val="EndnoteTextChar"/>
    <w:uiPriority w:val="99"/>
    <w:semiHidden/>
    <w:unhideWhenUsed/>
    <w:rsid w:val="000C11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C1158"/>
    <w:rPr>
      <w:sz w:val="20"/>
      <w:szCs w:val="20"/>
    </w:rPr>
  </w:style>
  <w:style w:type="character" w:styleId="EndnoteReference">
    <w:name w:val="endnote reference"/>
    <w:basedOn w:val="DefaultParagraphFont"/>
    <w:uiPriority w:val="99"/>
    <w:semiHidden/>
    <w:unhideWhenUsed/>
    <w:rsid w:val="000C1158"/>
    <w:rPr>
      <w:vertAlign w:val="superscript"/>
    </w:rPr>
  </w:style>
  <w:style w:type="character" w:styleId="Hyperlink">
    <w:name w:val="Hyperlink"/>
    <w:basedOn w:val="DefaultParagraphFont"/>
    <w:uiPriority w:val="99"/>
    <w:unhideWhenUsed/>
    <w:rsid w:val="008A6CD5"/>
    <w:rPr>
      <w:color w:val="0563C1" w:themeColor="hyperlink"/>
      <w:u w:val="single"/>
    </w:rPr>
  </w:style>
  <w:style w:type="character" w:styleId="UnresolvedMention">
    <w:name w:val="Unresolved Mention"/>
    <w:basedOn w:val="DefaultParagraphFont"/>
    <w:uiPriority w:val="99"/>
    <w:semiHidden/>
    <w:unhideWhenUsed/>
    <w:rsid w:val="008A6CD5"/>
    <w:rPr>
      <w:color w:val="605E5C"/>
      <w:shd w:val="clear" w:color="auto" w:fill="E1DFDD"/>
    </w:rPr>
  </w:style>
  <w:style w:type="character" w:styleId="FollowedHyperlink">
    <w:name w:val="FollowedHyperlink"/>
    <w:basedOn w:val="DefaultParagraphFont"/>
    <w:uiPriority w:val="99"/>
    <w:semiHidden/>
    <w:unhideWhenUsed/>
    <w:rsid w:val="00FE051B"/>
    <w:rPr>
      <w:color w:val="954F72" w:themeColor="followedHyperlink"/>
      <w:u w:val="single"/>
    </w:rPr>
  </w:style>
  <w:style w:type="paragraph" w:styleId="ListParagraph">
    <w:name w:val="List Paragraph"/>
    <w:basedOn w:val="Normal"/>
    <w:uiPriority w:val="34"/>
    <w:qFormat/>
    <w:rsid w:val="0061713C"/>
    <w:pPr>
      <w:ind w:left="720"/>
      <w:contextualSpacing/>
    </w:pPr>
  </w:style>
  <w:style w:type="paragraph" w:styleId="HTMLPreformatted">
    <w:name w:val="HTML Preformatted"/>
    <w:basedOn w:val="Normal"/>
    <w:link w:val="HTMLPreformattedChar"/>
    <w:uiPriority w:val="99"/>
    <w:semiHidden/>
    <w:unhideWhenUsed/>
    <w:rsid w:val="00A20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20E33"/>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8048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847"/>
    <w:rPr>
      <w:rFonts w:ascii="Segoe UI" w:hAnsi="Segoe UI" w:cs="Segoe UI"/>
      <w:sz w:val="18"/>
      <w:szCs w:val="18"/>
    </w:rPr>
  </w:style>
  <w:style w:type="paragraph" w:styleId="Revision">
    <w:name w:val="Revision"/>
    <w:hidden/>
    <w:uiPriority w:val="99"/>
    <w:semiHidden/>
    <w:rsid w:val="006B2F90"/>
    <w:pPr>
      <w:spacing w:after="0" w:line="240" w:lineRule="auto"/>
    </w:pPr>
  </w:style>
  <w:style w:type="table" w:styleId="TableGrid">
    <w:name w:val="Table Grid"/>
    <w:basedOn w:val="TableNormal"/>
    <w:uiPriority w:val="39"/>
    <w:rsid w:val="009A7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552316">
      <w:bodyDiv w:val="1"/>
      <w:marLeft w:val="0"/>
      <w:marRight w:val="0"/>
      <w:marTop w:val="0"/>
      <w:marBottom w:val="0"/>
      <w:divBdr>
        <w:top w:val="none" w:sz="0" w:space="0" w:color="auto"/>
        <w:left w:val="none" w:sz="0" w:space="0" w:color="auto"/>
        <w:bottom w:val="none" w:sz="0" w:space="0" w:color="auto"/>
        <w:right w:val="none" w:sz="0" w:space="0" w:color="auto"/>
      </w:divBdr>
    </w:div>
    <w:div w:id="1020353421">
      <w:bodyDiv w:val="1"/>
      <w:marLeft w:val="0"/>
      <w:marRight w:val="0"/>
      <w:marTop w:val="0"/>
      <w:marBottom w:val="0"/>
      <w:divBdr>
        <w:top w:val="none" w:sz="0" w:space="0" w:color="auto"/>
        <w:left w:val="none" w:sz="0" w:space="0" w:color="auto"/>
        <w:bottom w:val="none" w:sz="0" w:space="0" w:color="auto"/>
        <w:right w:val="none" w:sz="0" w:space="0" w:color="auto"/>
      </w:divBdr>
      <w:divsChild>
        <w:div w:id="1934896066">
          <w:marLeft w:val="0"/>
          <w:marRight w:val="0"/>
          <w:marTop w:val="0"/>
          <w:marBottom w:val="0"/>
          <w:divBdr>
            <w:top w:val="none" w:sz="0" w:space="0" w:color="auto"/>
            <w:left w:val="none" w:sz="0" w:space="0" w:color="auto"/>
            <w:bottom w:val="none" w:sz="0" w:space="0" w:color="auto"/>
            <w:right w:val="none" w:sz="0" w:space="0" w:color="auto"/>
          </w:divBdr>
          <w:divsChild>
            <w:div w:id="931667172">
              <w:marLeft w:val="0"/>
              <w:marRight w:val="0"/>
              <w:marTop w:val="0"/>
              <w:marBottom w:val="0"/>
              <w:divBdr>
                <w:top w:val="none" w:sz="0" w:space="0" w:color="auto"/>
                <w:left w:val="none" w:sz="0" w:space="0" w:color="auto"/>
                <w:bottom w:val="none" w:sz="0" w:space="0" w:color="auto"/>
                <w:right w:val="none" w:sz="0" w:space="0" w:color="auto"/>
              </w:divBdr>
              <w:divsChild>
                <w:div w:id="102268551">
                  <w:marLeft w:val="0"/>
                  <w:marRight w:val="0"/>
                  <w:marTop w:val="0"/>
                  <w:marBottom w:val="0"/>
                  <w:divBdr>
                    <w:top w:val="none" w:sz="0" w:space="0" w:color="auto"/>
                    <w:left w:val="none" w:sz="0" w:space="0" w:color="auto"/>
                    <w:bottom w:val="none" w:sz="0" w:space="0" w:color="auto"/>
                    <w:right w:val="none" w:sz="0" w:space="0" w:color="auto"/>
                  </w:divBdr>
                  <w:divsChild>
                    <w:div w:id="1123159488">
                      <w:marLeft w:val="0"/>
                      <w:marRight w:val="0"/>
                      <w:marTop w:val="0"/>
                      <w:marBottom w:val="0"/>
                      <w:divBdr>
                        <w:top w:val="none" w:sz="0" w:space="0" w:color="auto"/>
                        <w:left w:val="none" w:sz="0" w:space="0" w:color="auto"/>
                        <w:bottom w:val="none" w:sz="0" w:space="0" w:color="auto"/>
                        <w:right w:val="none" w:sz="0" w:space="0" w:color="auto"/>
                      </w:divBdr>
                      <w:divsChild>
                        <w:div w:id="1950314508">
                          <w:marLeft w:val="0"/>
                          <w:marRight w:val="0"/>
                          <w:marTop w:val="0"/>
                          <w:marBottom w:val="0"/>
                          <w:divBdr>
                            <w:top w:val="none" w:sz="0" w:space="0" w:color="auto"/>
                            <w:left w:val="none" w:sz="0" w:space="0" w:color="auto"/>
                            <w:bottom w:val="none" w:sz="0" w:space="0" w:color="auto"/>
                            <w:right w:val="none" w:sz="0" w:space="0" w:color="auto"/>
                          </w:divBdr>
                          <w:divsChild>
                            <w:div w:id="13488053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590957">
      <w:bodyDiv w:val="1"/>
      <w:marLeft w:val="0"/>
      <w:marRight w:val="0"/>
      <w:marTop w:val="0"/>
      <w:marBottom w:val="0"/>
      <w:divBdr>
        <w:top w:val="none" w:sz="0" w:space="0" w:color="auto"/>
        <w:left w:val="none" w:sz="0" w:space="0" w:color="auto"/>
        <w:bottom w:val="none" w:sz="0" w:space="0" w:color="auto"/>
        <w:right w:val="none" w:sz="0" w:space="0" w:color="auto"/>
      </w:divBdr>
    </w:div>
    <w:div w:id="1814370716">
      <w:bodyDiv w:val="1"/>
      <w:marLeft w:val="0"/>
      <w:marRight w:val="0"/>
      <w:marTop w:val="0"/>
      <w:marBottom w:val="0"/>
      <w:divBdr>
        <w:top w:val="none" w:sz="0" w:space="0" w:color="auto"/>
        <w:left w:val="none" w:sz="0" w:space="0" w:color="auto"/>
        <w:bottom w:val="none" w:sz="0" w:space="0" w:color="auto"/>
        <w:right w:val="none" w:sz="0" w:space="0" w:color="auto"/>
      </w:divBdr>
    </w:div>
    <w:div w:id="1880822043">
      <w:bodyDiv w:val="1"/>
      <w:marLeft w:val="0"/>
      <w:marRight w:val="0"/>
      <w:marTop w:val="0"/>
      <w:marBottom w:val="0"/>
      <w:divBdr>
        <w:top w:val="none" w:sz="0" w:space="0" w:color="auto"/>
        <w:left w:val="none" w:sz="0" w:space="0" w:color="auto"/>
        <w:bottom w:val="none" w:sz="0" w:space="0" w:color="auto"/>
        <w:right w:val="none" w:sz="0" w:space="0" w:color="auto"/>
      </w:divBdr>
    </w:div>
    <w:div w:id="194094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rigby@keele.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circabc.europa.eu/sd/a/6bc65c53-6148-45da-bfc7-39e43e0d1438/DOCSILC065%20operation%202017-%2022-05-2017.pdf" TargetMode="External"/><Relationship Id="rId2" Type="http://schemas.openxmlformats.org/officeDocument/2006/relationships/hyperlink" Target="https://ec.europa.eu/eurostat/web/income-and-living-conditions" TargetMode="External"/><Relationship Id="rId1" Type="http://schemas.openxmlformats.org/officeDocument/2006/relationships/hyperlink" Target="https://ec.europa.eu/eurostat/web/income-and-living-conditions/data/database?node_code=ilc_hch" TargetMode="External"/><Relationship Id="rId5" Type="http://schemas.openxmlformats.org/officeDocument/2006/relationships/hyperlink" Target="http://www.childhealthservicemodels.eu/wp-content/uploads/2015/09/20160831_Deliverable-D3-D7.1_Migrant-children-in-Europe.pdf" TargetMode="External"/><Relationship Id="rId4" Type="http://schemas.openxmlformats.org/officeDocument/2006/relationships/hyperlink" Target="https://appsso.eurostat.ec.europa.eu/nui/show.do?dataset=ilc_hch14&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48926-0156-40E5-B354-4B07B9754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16</Pages>
  <Words>3783</Words>
  <Characters>21567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Michael Rigby</dc:creator>
  <cp:keywords/>
  <dc:description/>
  <cp:lastModifiedBy>ProfMRigby</cp:lastModifiedBy>
  <cp:revision>6</cp:revision>
  <dcterms:created xsi:type="dcterms:W3CDTF">2020-01-16T18:34:00Z</dcterms:created>
  <dcterms:modified xsi:type="dcterms:W3CDTF">2020-01-17T12:02:00Z</dcterms:modified>
</cp:coreProperties>
</file>