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C7DA6" w14:textId="6E7129D0" w:rsidR="00E92A62" w:rsidRDefault="00045213" w:rsidP="00FF5125">
      <w:pPr>
        <w:spacing w:after="0" w:line="360" w:lineRule="auto"/>
        <w:jc w:val="both"/>
        <w:rPr>
          <w:rFonts w:cstheme="minorHAnsi"/>
          <w:sz w:val="24"/>
          <w:szCs w:val="24"/>
        </w:rPr>
      </w:pPr>
      <w:r>
        <w:rPr>
          <w:rStyle w:val="Thorax1Char"/>
        </w:rPr>
        <w:t>T</w:t>
      </w:r>
      <w:r>
        <w:rPr>
          <w:rStyle w:val="Thorax1Char"/>
          <w:caps w:val="0"/>
        </w:rPr>
        <w:t>itle</w:t>
      </w:r>
      <w:r w:rsidR="003C631F" w:rsidRPr="003C631F">
        <w:rPr>
          <w:rStyle w:val="Thorax1Char"/>
        </w:rPr>
        <w:t>:</w:t>
      </w:r>
      <w:r w:rsidR="00BA02ED" w:rsidRPr="00C83FB4">
        <w:rPr>
          <w:rFonts w:cstheme="minorHAnsi"/>
          <w:sz w:val="24"/>
          <w:szCs w:val="24"/>
        </w:rPr>
        <w:t xml:space="preserve"> </w:t>
      </w:r>
      <w:r w:rsidR="00E92A62">
        <w:rPr>
          <w:rFonts w:cstheme="minorHAnsi"/>
          <w:sz w:val="24"/>
          <w:szCs w:val="24"/>
        </w:rPr>
        <w:t xml:space="preserve"> </w:t>
      </w:r>
      <w:r w:rsidR="00EB30C1">
        <w:rPr>
          <w:rFonts w:cstheme="minorHAnsi"/>
          <w:sz w:val="24"/>
          <w:szCs w:val="24"/>
        </w:rPr>
        <w:t>Investigating the v</w:t>
      </w:r>
      <w:r w:rsidR="008E43A7">
        <w:rPr>
          <w:rFonts w:cstheme="minorHAnsi"/>
          <w:sz w:val="24"/>
          <w:szCs w:val="24"/>
        </w:rPr>
        <w:t>ariation in t</w:t>
      </w:r>
      <w:r w:rsidR="00445D84" w:rsidRPr="00445D84">
        <w:rPr>
          <w:rFonts w:cstheme="minorHAnsi"/>
          <w:sz w:val="24"/>
          <w:szCs w:val="24"/>
        </w:rPr>
        <w:t xml:space="preserve">he incidence of new </w:t>
      </w:r>
      <w:r w:rsidR="00445D84" w:rsidRPr="00445D84">
        <w:rPr>
          <w:rFonts w:cstheme="minorHAnsi"/>
          <w:i/>
          <w:sz w:val="24"/>
          <w:szCs w:val="24"/>
        </w:rPr>
        <w:t>Pseudomonas aeruginosa</w:t>
      </w:r>
      <w:r w:rsidR="00445D84" w:rsidRPr="00445D84">
        <w:rPr>
          <w:rFonts w:cstheme="minorHAnsi"/>
          <w:sz w:val="24"/>
          <w:szCs w:val="24"/>
        </w:rPr>
        <w:t xml:space="preserve"> infection </w:t>
      </w:r>
      <w:r w:rsidR="008E43A7">
        <w:rPr>
          <w:rFonts w:cstheme="minorHAnsi"/>
          <w:sz w:val="24"/>
          <w:szCs w:val="24"/>
        </w:rPr>
        <w:t>between paediatric cystic fibrosis centres</w:t>
      </w:r>
      <w:r w:rsidR="00445D84" w:rsidRPr="00445D84">
        <w:rPr>
          <w:rFonts w:cstheme="minorHAnsi"/>
          <w:sz w:val="24"/>
          <w:szCs w:val="24"/>
        </w:rPr>
        <w:t>.</w:t>
      </w:r>
    </w:p>
    <w:p w14:paraId="07BD3235" w14:textId="5818A567" w:rsidR="00BA02ED" w:rsidRDefault="00BA02ED" w:rsidP="00F14B23">
      <w:pPr>
        <w:spacing w:before="240" w:after="0" w:line="360" w:lineRule="auto"/>
        <w:jc w:val="both"/>
        <w:rPr>
          <w:sz w:val="24"/>
          <w:szCs w:val="24"/>
          <w:vertAlign w:val="superscript"/>
        </w:rPr>
      </w:pPr>
      <w:r w:rsidRPr="00C83FB4">
        <w:rPr>
          <w:rFonts w:cstheme="minorHAnsi"/>
          <w:b/>
          <w:sz w:val="24"/>
          <w:szCs w:val="24"/>
        </w:rPr>
        <w:t>Authors:</w:t>
      </w:r>
      <w:r w:rsidRPr="00C83FB4">
        <w:rPr>
          <w:rFonts w:cstheme="minorHAnsi"/>
          <w:sz w:val="24"/>
          <w:szCs w:val="24"/>
        </w:rPr>
        <w:t xml:space="preserve"> </w:t>
      </w:r>
      <w:r w:rsidRPr="00C83FB4">
        <w:rPr>
          <w:sz w:val="24"/>
          <w:szCs w:val="24"/>
        </w:rPr>
        <w:t>Gilchrist FJ</w:t>
      </w:r>
      <w:r w:rsidR="00C83FB4" w:rsidRPr="00C83FB4">
        <w:rPr>
          <w:sz w:val="24"/>
          <w:szCs w:val="24"/>
          <w:vertAlign w:val="superscript"/>
        </w:rPr>
        <w:t>1,2</w:t>
      </w:r>
      <w:r w:rsidR="00485ECB">
        <w:rPr>
          <w:sz w:val="24"/>
          <w:szCs w:val="24"/>
        </w:rPr>
        <w:t xml:space="preserve">, </w:t>
      </w:r>
      <w:r w:rsidR="00F05C6A">
        <w:rPr>
          <w:sz w:val="24"/>
          <w:szCs w:val="24"/>
        </w:rPr>
        <w:t>Jones AM</w:t>
      </w:r>
      <w:r w:rsidR="008E43A7">
        <w:rPr>
          <w:sz w:val="24"/>
          <w:szCs w:val="24"/>
          <w:vertAlign w:val="superscript"/>
        </w:rPr>
        <w:t>3</w:t>
      </w:r>
      <w:r w:rsidR="00F05C6A">
        <w:rPr>
          <w:sz w:val="24"/>
          <w:szCs w:val="24"/>
        </w:rPr>
        <w:t xml:space="preserve">, </w:t>
      </w:r>
      <w:r w:rsidR="00485ECB">
        <w:rPr>
          <w:sz w:val="24"/>
          <w:szCs w:val="24"/>
        </w:rPr>
        <w:t>Smyth AR</w:t>
      </w:r>
      <w:r w:rsidR="008E43A7">
        <w:rPr>
          <w:sz w:val="24"/>
          <w:szCs w:val="24"/>
          <w:vertAlign w:val="superscript"/>
        </w:rPr>
        <w:t>4</w:t>
      </w:r>
      <w:r w:rsidR="00485ECB">
        <w:rPr>
          <w:sz w:val="24"/>
          <w:szCs w:val="24"/>
        </w:rPr>
        <w:t>, Southern K</w:t>
      </w:r>
      <w:r w:rsidR="00F05C6A">
        <w:rPr>
          <w:sz w:val="24"/>
          <w:szCs w:val="24"/>
        </w:rPr>
        <w:t>W</w:t>
      </w:r>
      <w:r w:rsidR="008E43A7">
        <w:rPr>
          <w:sz w:val="24"/>
          <w:szCs w:val="24"/>
          <w:vertAlign w:val="superscript"/>
        </w:rPr>
        <w:t>5</w:t>
      </w:r>
      <w:r w:rsidR="00485ECB">
        <w:rPr>
          <w:sz w:val="24"/>
          <w:szCs w:val="24"/>
        </w:rPr>
        <w:t xml:space="preserve">, </w:t>
      </w:r>
      <w:r w:rsidR="00F05C6A">
        <w:rPr>
          <w:sz w:val="24"/>
          <w:szCs w:val="24"/>
        </w:rPr>
        <w:t>Webb AK</w:t>
      </w:r>
      <w:r w:rsidR="008E43A7">
        <w:rPr>
          <w:sz w:val="24"/>
          <w:szCs w:val="24"/>
          <w:vertAlign w:val="superscript"/>
        </w:rPr>
        <w:t>3</w:t>
      </w:r>
      <w:r w:rsidR="00F05C6A">
        <w:rPr>
          <w:sz w:val="24"/>
          <w:szCs w:val="24"/>
        </w:rPr>
        <w:t xml:space="preserve">, </w:t>
      </w:r>
      <w:r w:rsidR="00485ECB">
        <w:rPr>
          <w:sz w:val="24"/>
          <w:szCs w:val="24"/>
        </w:rPr>
        <w:t>Lenney W</w:t>
      </w:r>
      <w:r w:rsidR="00F05C6A" w:rsidRPr="00F05C6A">
        <w:rPr>
          <w:sz w:val="24"/>
          <w:szCs w:val="24"/>
          <w:vertAlign w:val="superscript"/>
        </w:rPr>
        <w:t>1,2</w:t>
      </w:r>
    </w:p>
    <w:p w14:paraId="132B99F3" w14:textId="77777777" w:rsidR="00BA02ED" w:rsidRPr="00C83FB4" w:rsidRDefault="00BA02ED" w:rsidP="00F14B23">
      <w:pPr>
        <w:pStyle w:val="Thorax2"/>
        <w:spacing w:line="360" w:lineRule="auto"/>
      </w:pPr>
      <w:r w:rsidRPr="00C83FB4">
        <w:t xml:space="preserve">Institutions: </w:t>
      </w:r>
    </w:p>
    <w:p w14:paraId="0ABDCC15" w14:textId="323112C1" w:rsidR="00BA02ED" w:rsidRDefault="00C83FB4" w:rsidP="00F14B23">
      <w:pPr>
        <w:pStyle w:val="ListParagraph"/>
        <w:numPr>
          <w:ilvl w:val="0"/>
          <w:numId w:val="1"/>
        </w:numPr>
        <w:spacing w:after="0" w:line="360" w:lineRule="auto"/>
        <w:jc w:val="both"/>
        <w:rPr>
          <w:rFonts w:cstheme="minorHAnsi"/>
          <w:sz w:val="24"/>
          <w:szCs w:val="24"/>
        </w:rPr>
      </w:pPr>
      <w:r>
        <w:rPr>
          <w:rFonts w:cstheme="minorHAnsi"/>
          <w:sz w:val="24"/>
          <w:szCs w:val="24"/>
        </w:rPr>
        <w:t xml:space="preserve">Academic Department of Child Health, </w:t>
      </w:r>
      <w:r w:rsidR="00DE35BA">
        <w:rPr>
          <w:rFonts w:cstheme="minorHAnsi"/>
          <w:sz w:val="24"/>
          <w:szCs w:val="24"/>
        </w:rPr>
        <w:t>Royal Stoke University Hospital</w:t>
      </w:r>
      <w:r w:rsidR="00BA02ED" w:rsidRPr="00C83FB4">
        <w:rPr>
          <w:rFonts w:cstheme="minorHAnsi"/>
          <w:sz w:val="24"/>
          <w:szCs w:val="24"/>
        </w:rPr>
        <w:t>, Stoke on Trent, ST4 6QG</w:t>
      </w:r>
      <w:r>
        <w:rPr>
          <w:rFonts w:cstheme="minorHAnsi"/>
          <w:sz w:val="24"/>
          <w:szCs w:val="24"/>
        </w:rPr>
        <w:t>, UK</w:t>
      </w:r>
      <w:r w:rsidR="00F05C6A">
        <w:rPr>
          <w:rFonts w:cstheme="minorHAnsi"/>
          <w:sz w:val="24"/>
          <w:szCs w:val="24"/>
        </w:rPr>
        <w:t>.</w:t>
      </w:r>
    </w:p>
    <w:p w14:paraId="2E4B0A71" w14:textId="1FBE91F8" w:rsidR="00C83FB4" w:rsidRPr="00A40405" w:rsidRDefault="008702AC" w:rsidP="00F14B23">
      <w:pPr>
        <w:pStyle w:val="ListParagraph"/>
        <w:numPr>
          <w:ilvl w:val="0"/>
          <w:numId w:val="1"/>
        </w:numPr>
        <w:spacing w:after="0" w:line="360" w:lineRule="auto"/>
        <w:jc w:val="both"/>
        <w:rPr>
          <w:rFonts w:cstheme="minorHAnsi"/>
          <w:sz w:val="24"/>
          <w:szCs w:val="24"/>
        </w:rPr>
      </w:pPr>
      <w:r>
        <w:rPr>
          <w:bCs/>
          <w:sz w:val="24"/>
          <w:szCs w:val="24"/>
        </w:rPr>
        <w:t>Institute of Applied Clinical Science</w:t>
      </w:r>
      <w:r w:rsidR="00127DDA">
        <w:rPr>
          <w:bCs/>
          <w:sz w:val="24"/>
          <w:szCs w:val="24"/>
        </w:rPr>
        <w:t>,</w:t>
      </w:r>
      <w:r w:rsidR="00C83FB4" w:rsidRPr="00C83FB4">
        <w:rPr>
          <w:bCs/>
          <w:sz w:val="24"/>
          <w:szCs w:val="24"/>
        </w:rPr>
        <w:t xml:space="preserve"> Keele University, ST4 7QB</w:t>
      </w:r>
      <w:r w:rsidR="00F05C6A">
        <w:rPr>
          <w:bCs/>
          <w:sz w:val="24"/>
          <w:szCs w:val="24"/>
        </w:rPr>
        <w:t>, UK.</w:t>
      </w:r>
    </w:p>
    <w:p w14:paraId="149B3676" w14:textId="77777777" w:rsidR="00F05C6A" w:rsidRPr="00F05C6A" w:rsidRDefault="00F05C6A" w:rsidP="00F14B23">
      <w:pPr>
        <w:pStyle w:val="ListParagraph"/>
        <w:numPr>
          <w:ilvl w:val="0"/>
          <w:numId w:val="1"/>
        </w:numPr>
        <w:spacing w:after="0" w:line="360" w:lineRule="auto"/>
        <w:jc w:val="both"/>
        <w:rPr>
          <w:rFonts w:cstheme="minorHAnsi"/>
          <w:sz w:val="24"/>
          <w:szCs w:val="24"/>
        </w:rPr>
      </w:pPr>
      <w:r>
        <w:rPr>
          <w:bCs/>
          <w:sz w:val="24"/>
          <w:szCs w:val="24"/>
        </w:rPr>
        <w:t xml:space="preserve">Manchester Adult Cystic Fibrosis Centre, University Hospital of </w:t>
      </w:r>
      <w:r w:rsidR="00127DDA">
        <w:rPr>
          <w:bCs/>
          <w:sz w:val="24"/>
          <w:szCs w:val="24"/>
        </w:rPr>
        <w:t xml:space="preserve">South Manchester, </w:t>
      </w:r>
      <w:r>
        <w:rPr>
          <w:bCs/>
          <w:sz w:val="24"/>
          <w:szCs w:val="24"/>
        </w:rPr>
        <w:t>Manchester, M23 9LT, UK.</w:t>
      </w:r>
    </w:p>
    <w:p w14:paraId="21850AD6" w14:textId="49EFED69" w:rsidR="00F05C6A" w:rsidRPr="00F05C6A" w:rsidRDefault="00F05C6A" w:rsidP="00F14B23">
      <w:pPr>
        <w:pStyle w:val="ListParagraph"/>
        <w:numPr>
          <w:ilvl w:val="0"/>
          <w:numId w:val="1"/>
        </w:numPr>
        <w:spacing w:after="0" w:line="360" w:lineRule="auto"/>
        <w:jc w:val="both"/>
        <w:rPr>
          <w:rFonts w:cstheme="minorHAnsi"/>
          <w:sz w:val="24"/>
          <w:szCs w:val="24"/>
        </w:rPr>
      </w:pPr>
      <w:r>
        <w:rPr>
          <w:bCs/>
          <w:sz w:val="24"/>
          <w:szCs w:val="24"/>
        </w:rPr>
        <w:t xml:space="preserve">Division of Child Health, </w:t>
      </w:r>
      <w:r w:rsidR="00183D59">
        <w:rPr>
          <w:bCs/>
          <w:sz w:val="24"/>
          <w:szCs w:val="24"/>
        </w:rPr>
        <w:t>Obstetrics &amp; Gynaecology, University of Nottingham</w:t>
      </w:r>
      <w:r>
        <w:rPr>
          <w:bCs/>
          <w:sz w:val="24"/>
          <w:szCs w:val="24"/>
        </w:rPr>
        <w:t>, Nottingham, NG7 2UH, UK.</w:t>
      </w:r>
    </w:p>
    <w:p w14:paraId="07FD6F8A" w14:textId="77777777" w:rsidR="00F05C6A" w:rsidRDefault="00F05C6A" w:rsidP="00F14B23">
      <w:pPr>
        <w:pStyle w:val="ListParagraph"/>
        <w:numPr>
          <w:ilvl w:val="0"/>
          <w:numId w:val="1"/>
        </w:numPr>
        <w:spacing w:after="0" w:line="360" w:lineRule="auto"/>
        <w:jc w:val="both"/>
        <w:rPr>
          <w:rFonts w:cstheme="minorHAnsi"/>
          <w:sz w:val="24"/>
          <w:szCs w:val="24"/>
        </w:rPr>
      </w:pPr>
      <w:r>
        <w:rPr>
          <w:rFonts w:cstheme="minorHAnsi"/>
          <w:sz w:val="24"/>
          <w:szCs w:val="24"/>
        </w:rPr>
        <w:t xml:space="preserve">Institute of Child Health, Alder Hey Children’s Hospital, Liverpool, </w:t>
      </w:r>
      <w:r w:rsidR="00127DDA">
        <w:rPr>
          <w:rFonts w:cstheme="minorHAnsi"/>
          <w:sz w:val="24"/>
          <w:szCs w:val="24"/>
        </w:rPr>
        <w:t>L12 2AP, UK.</w:t>
      </w:r>
    </w:p>
    <w:p w14:paraId="1CE42321" w14:textId="77777777" w:rsidR="008E43A7" w:rsidRDefault="008E43A7" w:rsidP="00F14B23">
      <w:pPr>
        <w:spacing w:after="0" w:line="360" w:lineRule="auto"/>
        <w:jc w:val="both"/>
        <w:rPr>
          <w:rFonts w:cstheme="minorHAnsi"/>
          <w:b/>
          <w:sz w:val="24"/>
          <w:szCs w:val="24"/>
        </w:rPr>
      </w:pPr>
    </w:p>
    <w:p w14:paraId="1C4ED9B5" w14:textId="6106A8C3" w:rsidR="00BA02ED" w:rsidRPr="00C83FB4" w:rsidRDefault="00BA02ED" w:rsidP="00F14B23">
      <w:pPr>
        <w:spacing w:after="0" w:line="360" w:lineRule="auto"/>
        <w:jc w:val="both"/>
        <w:rPr>
          <w:rFonts w:cstheme="minorHAnsi"/>
          <w:sz w:val="24"/>
          <w:szCs w:val="24"/>
        </w:rPr>
      </w:pPr>
      <w:r w:rsidRPr="00C83FB4">
        <w:rPr>
          <w:rFonts w:cstheme="minorHAnsi"/>
          <w:b/>
          <w:sz w:val="24"/>
          <w:szCs w:val="24"/>
        </w:rPr>
        <w:t>Correspondence:</w:t>
      </w:r>
      <w:r w:rsidR="00FE219E">
        <w:rPr>
          <w:rFonts w:cstheme="minorHAnsi"/>
          <w:b/>
          <w:sz w:val="24"/>
          <w:szCs w:val="24"/>
        </w:rPr>
        <w:t xml:space="preserve">  </w:t>
      </w:r>
      <w:r w:rsidRPr="00C83FB4">
        <w:rPr>
          <w:rFonts w:cstheme="minorHAnsi"/>
          <w:sz w:val="24"/>
          <w:szCs w:val="24"/>
        </w:rPr>
        <w:t xml:space="preserve">Dr Francis J Gilchrist, Academic Department of Child Health, </w:t>
      </w:r>
      <w:r w:rsidR="0056473E">
        <w:rPr>
          <w:rFonts w:cstheme="minorHAnsi"/>
          <w:sz w:val="24"/>
          <w:szCs w:val="24"/>
        </w:rPr>
        <w:t xml:space="preserve">Royal Stoke </w:t>
      </w:r>
      <w:r w:rsidRPr="00C83FB4">
        <w:rPr>
          <w:rFonts w:cstheme="minorHAnsi"/>
          <w:sz w:val="24"/>
          <w:szCs w:val="24"/>
        </w:rPr>
        <w:t xml:space="preserve">University Hospital, Stoke on Trent, ST4 6QG.  </w:t>
      </w:r>
      <w:r w:rsidR="003155B6">
        <w:rPr>
          <w:rFonts w:cstheme="minorHAnsi"/>
          <w:sz w:val="24"/>
          <w:szCs w:val="24"/>
        </w:rPr>
        <w:t xml:space="preserve">Tel: </w:t>
      </w:r>
      <w:r w:rsidRPr="00C83FB4">
        <w:rPr>
          <w:rFonts w:cstheme="minorHAnsi"/>
          <w:sz w:val="24"/>
          <w:szCs w:val="24"/>
        </w:rPr>
        <w:t>01782 675289.</w:t>
      </w:r>
      <w:r w:rsidR="003155B6">
        <w:rPr>
          <w:rFonts w:cstheme="minorHAnsi"/>
          <w:sz w:val="24"/>
          <w:szCs w:val="24"/>
        </w:rPr>
        <w:t xml:space="preserve">  Fax: 0843 6365389</w:t>
      </w:r>
      <w:r w:rsidR="00272DEB">
        <w:rPr>
          <w:rFonts w:cstheme="minorHAnsi"/>
          <w:sz w:val="24"/>
          <w:szCs w:val="24"/>
        </w:rPr>
        <w:t>.</w:t>
      </w:r>
      <w:r w:rsidRPr="00C83FB4">
        <w:rPr>
          <w:rFonts w:cstheme="minorHAnsi"/>
          <w:sz w:val="24"/>
          <w:szCs w:val="24"/>
        </w:rPr>
        <w:t xml:space="preserve">  francis.gilchrist@uhn</w:t>
      </w:r>
      <w:r w:rsidR="00333084">
        <w:rPr>
          <w:rFonts w:cstheme="minorHAnsi"/>
          <w:sz w:val="24"/>
          <w:szCs w:val="24"/>
        </w:rPr>
        <w:t>m</w:t>
      </w:r>
      <w:r w:rsidRPr="00C83FB4">
        <w:rPr>
          <w:rFonts w:cstheme="minorHAnsi"/>
          <w:sz w:val="24"/>
          <w:szCs w:val="24"/>
        </w:rPr>
        <w:t>.nhs.uk</w:t>
      </w:r>
    </w:p>
    <w:p w14:paraId="1802C634" w14:textId="41DD1BB5" w:rsidR="00BA02ED" w:rsidRDefault="00BA02ED" w:rsidP="00F14B23">
      <w:pPr>
        <w:spacing w:before="240" w:after="0" w:line="360" w:lineRule="auto"/>
        <w:jc w:val="both"/>
        <w:rPr>
          <w:rFonts w:cstheme="minorHAnsi"/>
          <w:sz w:val="24"/>
          <w:szCs w:val="24"/>
        </w:rPr>
      </w:pPr>
      <w:r w:rsidRPr="00C83FB4">
        <w:rPr>
          <w:rFonts w:cstheme="minorHAnsi"/>
          <w:b/>
          <w:sz w:val="24"/>
          <w:szCs w:val="24"/>
        </w:rPr>
        <w:t>Key Words:</w:t>
      </w:r>
      <w:r w:rsidR="003155B6" w:rsidRPr="003155B6">
        <w:rPr>
          <w:rFonts w:cstheme="minorHAnsi"/>
          <w:sz w:val="24"/>
          <w:szCs w:val="24"/>
        </w:rPr>
        <w:t xml:space="preserve"> </w:t>
      </w:r>
      <w:r w:rsidR="000C5481">
        <w:rPr>
          <w:rFonts w:cstheme="minorHAnsi"/>
          <w:sz w:val="24"/>
          <w:szCs w:val="24"/>
        </w:rPr>
        <w:t xml:space="preserve">Cystic fibrosis, </w:t>
      </w:r>
      <w:r w:rsidR="00DF6025">
        <w:rPr>
          <w:rFonts w:cstheme="minorHAnsi"/>
          <w:sz w:val="24"/>
          <w:szCs w:val="24"/>
        </w:rPr>
        <w:t xml:space="preserve">microbiology, paediatrics, </w:t>
      </w:r>
      <w:r w:rsidR="000C5481" w:rsidRPr="000C5481">
        <w:rPr>
          <w:rFonts w:cstheme="minorHAnsi"/>
          <w:i/>
          <w:sz w:val="24"/>
          <w:szCs w:val="24"/>
        </w:rPr>
        <w:t>Pseudomonas aeruginosa</w:t>
      </w:r>
      <w:r w:rsidR="00C342A8">
        <w:rPr>
          <w:rFonts w:cstheme="minorHAnsi"/>
          <w:sz w:val="24"/>
          <w:szCs w:val="24"/>
        </w:rPr>
        <w:t>.</w:t>
      </w:r>
    </w:p>
    <w:p w14:paraId="4A227C2B" w14:textId="6A52501C" w:rsidR="00F14B23" w:rsidRPr="000C5481" w:rsidRDefault="00F14B23" w:rsidP="00F14B23">
      <w:pPr>
        <w:spacing w:before="240" w:after="0" w:line="360" w:lineRule="auto"/>
        <w:jc w:val="both"/>
        <w:rPr>
          <w:rFonts w:cstheme="minorHAnsi"/>
          <w:sz w:val="24"/>
          <w:szCs w:val="24"/>
        </w:rPr>
      </w:pPr>
      <w:r w:rsidRPr="00F14B23">
        <w:rPr>
          <w:rFonts w:cstheme="minorHAnsi"/>
          <w:b/>
          <w:sz w:val="24"/>
          <w:szCs w:val="24"/>
        </w:rPr>
        <w:t>Word count:</w:t>
      </w:r>
      <w:r>
        <w:rPr>
          <w:rFonts w:cstheme="minorHAnsi"/>
          <w:sz w:val="24"/>
          <w:szCs w:val="24"/>
        </w:rPr>
        <w:t xml:space="preserve">  </w:t>
      </w:r>
      <w:r w:rsidR="00A03A74">
        <w:rPr>
          <w:rFonts w:cstheme="minorHAnsi"/>
          <w:sz w:val="24"/>
          <w:szCs w:val="24"/>
        </w:rPr>
        <w:t>796</w:t>
      </w:r>
    </w:p>
    <w:p w14:paraId="26362013" w14:textId="77777777" w:rsidR="00F14B23" w:rsidRDefault="00F14B23" w:rsidP="003474A4">
      <w:pPr>
        <w:spacing w:before="240" w:after="0" w:line="360" w:lineRule="auto"/>
        <w:jc w:val="both"/>
        <w:rPr>
          <w:b/>
          <w:sz w:val="24"/>
          <w:szCs w:val="24"/>
        </w:rPr>
      </w:pPr>
    </w:p>
    <w:p w14:paraId="588454E3" w14:textId="77777777" w:rsidR="00FF5125" w:rsidRDefault="00FF5125" w:rsidP="003474A4">
      <w:pPr>
        <w:spacing w:before="240" w:after="0" w:line="360" w:lineRule="auto"/>
        <w:jc w:val="both"/>
        <w:rPr>
          <w:b/>
          <w:sz w:val="24"/>
          <w:szCs w:val="24"/>
        </w:rPr>
      </w:pPr>
    </w:p>
    <w:p w14:paraId="77246A19" w14:textId="77777777" w:rsidR="008E43A7" w:rsidRDefault="008E43A7" w:rsidP="003474A4">
      <w:pPr>
        <w:spacing w:before="240" w:after="0" w:line="360" w:lineRule="auto"/>
        <w:jc w:val="both"/>
        <w:rPr>
          <w:b/>
          <w:sz w:val="24"/>
          <w:szCs w:val="24"/>
        </w:rPr>
      </w:pPr>
    </w:p>
    <w:p w14:paraId="4B073B5D" w14:textId="77777777" w:rsidR="008E43A7" w:rsidRDefault="008E43A7" w:rsidP="003474A4">
      <w:pPr>
        <w:spacing w:before="240" w:after="0" w:line="360" w:lineRule="auto"/>
        <w:jc w:val="both"/>
        <w:rPr>
          <w:b/>
          <w:sz w:val="24"/>
          <w:szCs w:val="24"/>
        </w:rPr>
      </w:pPr>
    </w:p>
    <w:p w14:paraId="6F7D4968" w14:textId="77777777" w:rsidR="008E43A7" w:rsidRDefault="008E43A7" w:rsidP="003474A4">
      <w:pPr>
        <w:spacing w:before="240" w:after="0" w:line="360" w:lineRule="auto"/>
        <w:jc w:val="both"/>
        <w:rPr>
          <w:b/>
          <w:sz w:val="24"/>
          <w:szCs w:val="24"/>
        </w:rPr>
      </w:pPr>
    </w:p>
    <w:p w14:paraId="347606D4" w14:textId="77777777" w:rsidR="008E43A7" w:rsidRDefault="008E43A7" w:rsidP="003474A4">
      <w:pPr>
        <w:spacing w:before="240" w:after="0" w:line="360" w:lineRule="auto"/>
        <w:jc w:val="both"/>
        <w:rPr>
          <w:b/>
          <w:sz w:val="24"/>
          <w:szCs w:val="24"/>
        </w:rPr>
      </w:pPr>
    </w:p>
    <w:p w14:paraId="2EF0CA29" w14:textId="77777777" w:rsidR="008E43A7" w:rsidRDefault="008E43A7" w:rsidP="003474A4">
      <w:pPr>
        <w:spacing w:before="240" w:after="0" w:line="360" w:lineRule="auto"/>
        <w:jc w:val="both"/>
        <w:rPr>
          <w:b/>
          <w:sz w:val="24"/>
          <w:szCs w:val="24"/>
        </w:rPr>
      </w:pPr>
    </w:p>
    <w:p w14:paraId="3CD964FF" w14:textId="77777777" w:rsidR="00074E0F" w:rsidRDefault="00074E0F">
      <w:pPr>
        <w:rPr>
          <w:rFonts w:cstheme="minorHAnsi"/>
          <w:b/>
          <w:caps/>
          <w:sz w:val="24"/>
          <w:szCs w:val="24"/>
        </w:rPr>
      </w:pPr>
      <w:r>
        <w:br w:type="page"/>
      </w:r>
    </w:p>
    <w:p w14:paraId="0B9EE485" w14:textId="01388EB0" w:rsidR="005B4845" w:rsidRDefault="00EC6441" w:rsidP="00665CB5">
      <w:pPr>
        <w:spacing w:before="240" w:after="0" w:line="480" w:lineRule="auto"/>
        <w:jc w:val="both"/>
        <w:rPr>
          <w:rFonts w:cstheme="minorHAnsi"/>
          <w:sz w:val="24"/>
          <w:szCs w:val="24"/>
        </w:rPr>
      </w:pPr>
      <w:r>
        <w:rPr>
          <w:rFonts w:cstheme="minorHAnsi"/>
          <w:sz w:val="24"/>
          <w:szCs w:val="24"/>
        </w:rPr>
        <w:lastRenderedPageBreak/>
        <w:t xml:space="preserve">A </w:t>
      </w:r>
      <w:bookmarkStart w:id="0" w:name="_GoBack"/>
      <w:bookmarkEnd w:id="0"/>
      <w:r>
        <w:rPr>
          <w:rFonts w:cstheme="minorHAnsi"/>
          <w:sz w:val="24"/>
          <w:szCs w:val="24"/>
        </w:rPr>
        <w:t>n</w:t>
      </w:r>
      <w:r w:rsidR="00004863">
        <w:rPr>
          <w:rFonts w:cstheme="minorHAnsi"/>
          <w:sz w:val="24"/>
          <w:szCs w:val="24"/>
        </w:rPr>
        <w:t>ew</w:t>
      </w:r>
      <w:r w:rsidR="00B84BE0">
        <w:rPr>
          <w:rFonts w:cstheme="minorHAnsi"/>
          <w:sz w:val="24"/>
          <w:szCs w:val="24"/>
        </w:rPr>
        <w:t xml:space="preserve"> isolate of </w:t>
      </w:r>
      <w:r w:rsidR="00B84BE0" w:rsidRPr="00E75AB0">
        <w:rPr>
          <w:rFonts w:cstheme="minorHAnsi"/>
          <w:i/>
          <w:sz w:val="24"/>
          <w:szCs w:val="24"/>
        </w:rPr>
        <w:t>Pseudomonas aeruginosa</w:t>
      </w:r>
      <w:r w:rsidR="00E75AB0">
        <w:rPr>
          <w:rFonts w:cstheme="minorHAnsi"/>
          <w:sz w:val="24"/>
          <w:szCs w:val="24"/>
        </w:rPr>
        <w:t xml:space="preserve"> (PA)</w:t>
      </w:r>
      <w:r w:rsidR="00B84BE0">
        <w:rPr>
          <w:rFonts w:cstheme="minorHAnsi"/>
          <w:sz w:val="24"/>
          <w:szCs w:val="24"/>
        </w:rPr>
        <w:t xml:space="preserve"> in </w:t>
      </w:r>
      <w:r w:rsidR="00ED74A7">
        <w:rPr>
          <w:rFonts w:cstheme="minorHAnsi"/>
          <w:sz w:val="24"/>
          <w:szCs w:val="24"/>
        </w:rPr>
        <w:t xml:space="preserve">an individual </w:t>
      </w:r>
      <w:r w:rsidR="00B84BE0">
        <w:rPr>
          <w:rFonts w:cstheme="minorHAnsi"/>
          <w:sz w:val="24"/>
          <w:szCs w:val="24"/>
        </w:rPr>
        <w:t xml:space="preserve">with </w:t>
      </w:r>
      <w:r w:rsidR="00DA5BFC">
        <w:rPr>
          <w:rFonts w:cstheme="minorHAnsi"/>
          <w:sz w:val="24"/>
          <w:szCs w:val="24"/>
        </w:rPr>
        <w:t>cystic fibrosis (</w:t>
      </w:r>
      <w:r w:rsidR="00B84BE0">
        <w:rPr>
          <w:rFonts w:cstheme="minorHAnsi"/>
          <w:sz w:val="24"/>
          <w:szCs w:val="24"/>
        </w:rPr>
        <w:t>CF</w:t>
      </w:r>
      <w:r w:rsidR="00DA5BFC">
        <w:rPr>
          <w:rFonts w:cstheme="minorHAnsi"/>
          <w:sz w:val="24"/>
          <w:szCs w:val="24"/>
        </w:rPr>
        <w:t>)</w:t>
      </w:r>
      <w:r w:rsidR="00B84BE0">
        <w:rPr>
          <w:rFonts w:cstheme="minorHAnsi"/>
          <w:sz w:val="24"/>
          <w:szCs w:val="24"/>
        </w:rPr>
        <w:t xml:space="preserve"> i</w:t>
      </w:r>
      <w:r w:rsidR="00E75AB0">
        <w:rPr>
          <w:rFonts w:cstheme="minorHAnsi"/>
          <w:sz w:val="24"/>
          <w:szCs w:val="24"/>
        </w:rPr>
        <w:t>s a significant event with potential</w:t>
      </w:r>
      <w:r w:rsidR="00B84BE0">
        <w:rPr>
          <w:rFonts w:cstheme="minorHAnsi"/>
          <w:sz w:val="24"/>
          <w:szCs w:val="24"/>
        </w:rPr>
        <w:t xml:space="preserve"> clinical </w:t>
      </w:r>
      <w:r w:rsidR="00E75AB0">
        <w:rPr>
          <w:rFonts w:cstheme="minorHAnsi"/>
          <w:sz w:val="24"/>
          <w:szCs w:val="24"/>
        </w:rPr>
        <w:t xml:space="preserve">and psychological </w:t>
      </w:r>
      <w:r w:rsidR="00B84BE0">
        <w:rPr>
          <w:rFonts w:cstheme="minorHAnsi"/>
          <w:sz w:val="24"/>
          <w:szCs w:val="24"/>
        </w:rPr>
        <w:t>consequences</w:t>
      </w:r>
      <w:r w:rsidR="00E75AB0">
        <w:rPr>
          <w:rFonts w:cstheme="minorHAnsi"/>
          <w:sz w:val="24"/>
          <w:szCs w:val="24"/>
        </w:rPr>
        <w:t>.</w:t>
      </w:r>
      <w:r w:rsidR="005B4845">
        <w:rPr>
          <w:rFonts w:cstheme="minorHAnsi"/>
          <w:sz w:val="24"/>
          <w:szCs w:val="24"/>
        </w:rPr>
        <w:fldChar w:fldCharType="begin"/>
      </w:r>
      <w:r w:rsidR="00BD46EE">
        <w:rPr>
          <w:rFonts w:cstheme="minorHAnsi"/>
          <w:sz w:val="24"/>
          <w:szCs w:val="24"/>
        </w:rPr>
        <w:instrText xml:space="preserve"> ADDIN ZOTERO_ITEM CSL_CITATION {"citationID":"V0HOiPtB","properties":{"formattedCitation":"[1,2]","plainCitation":"[1,2]"},"citationItems":[{"id":744,"uris":["http://zotero.org/users/277024/items/UQ6IUDT7"],"uri":["http://zotero.org/users/277024/items/UQ6IUDT7"],"itemData":{"id":744,"type":"article-journal","title":"Clinical outcome after early Pseudomonas aeruginosa infection in cystic fibrosis","container-title":"The Journal of Pediatrics","page":"699-704","volume":"138","issue":"5","source":"NCBI PubMed","abstract":"OBJECTIVE: To determine the clinical consequences of acquiring Pseudomonas aeruginosa infection during early childhood in children with cystic fibrosis (CF). DESIGN: Prospective, observational cohort study of 56 children with CF identified by newborn screening during 1990-92. Each child underwent an annual bronchial lavage during the first 2 to 3 years of life. Clinical outcome was determined at 7 years of age. RESULTS: P aeruginosa infection was diagnosed in 24 (43%) cohort subjects. Four children died before 7 years of age, all of whom had been infected with a multi-resistant, mucoid strain of P aeruginosa (P =.04). In survivors, P aeruginosa infection was associated with significantly increased morbidity as measured by lower National Institutes of Health scores, greater variability in lung function, increased time in the hospital, and higher rates of recombinant human deoxyribonuclease therapy (P &lt;.01). In this young CF cohort, best forced expiratory volume in 1 second was an insensitive measure of increased morbidity. CONCLUSIONS: Acquisition of P aeruginosa was common by 7 years of age in this CF birth cohort and was associated with increased morbidity and mortality. An improved disease severity score would improve the evaluation and study of early CF lung disease.","DOI":"10.1067/mpd.2001.112897","ISSN":"0022-3476","note":"PMID: 11343046","journalAbbreviation":"J. Pediatr","author":[{"family":"Nixon","given":"G M"},{"family":"Armstrong","given":"D S"},{"family":"Carzino","given":"R"},{"family":"Carlin","given":"J B"},{"family":"Olinsky","given":"A"},{"family":"Robertson","given":"C F"},{"family":"Grimwood","given":"K"}],"issued":{"date-parts":[["2001",5]]}}},{"id":1382,"uris":["http://zotero.org/users/277024/items/RA9XMVNW"],"uri":["http://zotero.org/users/277024/items/RA9XMVNW"],"itemData":{"id":1382,"type":"article-journal","title":"Perception of first respiratory infection with Pseudomonas aeruginosa by people with cystic fibrosis and those close to them: an online qualitative study","container-title":"BMJ open","page":"e012303","volume":"6","issue":"12","source":"PubMed","abstract":"BACKGROUND: People with cystic fibrosis (CF) are susceptible to respiratory infection with Pseudomonas aeruginosa (PA), which may become chronic if initial eradication fails. Environmental acquisition and person-to-person transmission can occur. Respiratory PA infection is associated with increased mortality and more hospitalisations. This may cause patients and families anxiety and lead them to adopt preventive measures which may be ineffectual and intrusive. It is not possible to hold a conventional focus group to explore these issues because people with CF cannot meet together due to the risk of cross-infection.\nOBJECTIVE: To explore the perceptions of first respiratory infection with PA in people with CF and those close to them.\nDESIGN: We designed an online survey, to maximise accessibility and avoid the risk of cross-infection. This established the respondent's relationship with CF, asked 3 open questions about perceptions of PA and a final question about the prioritisation of research. Responses were analysed using a structured, iterative process. We identified keywords, analysed these incontext and derived key themes.\nSETTING: Promotion through social media allowed respondents from any country to participate.\nPARTICIPANTS: People with CF and those close to them.\nRESULTS: Responses were received from 393 people, including 266 parents and 97 people with CF. The key themes were the emotional burden of PA (fear in particular); the burden of treatment PA entails and the need for accurate knowledge about PA.\nCONCLUSIONS: Lack of knowledge and the health beliefs of individuals may promote fear of infection and inappropriate avoidance measures. Uncertainty about the implications of PA infection and the treatment required may cause anxiety. Healthcare professionals should provide clear information about how PA might be acquired and the treatment necessary, making clear the limitations of current understanding and acknowledging health beliefs.","DOI":"10.1136/bmjopen-2016-012303","ISSN":"2044-6055","note":"PMID: 28031208\nPMCID: PMC5223746","shortTitle":"Perception of first respiratory infection with Pseudomonas aeruginosa by people with cystic fibrosis and those close to them","journalAbbreviation":"BMJ Open","language":"eng","author":[{"family":"Palser","given":"Sally C."},{"family":"Rayner","given":"Oliver C."},{"family":"Leighton","given":"Paul A."},{"family":"Smyth","given":"Alan R."}],"issued":{"date-parts":[["2016",12,28]]}}}],"schema":"https://github.com/citation-style-language/schema/raw/master/csl-citation.json"} </w:instrText>
      </w:r>
      <w:r w:rsidR="005B4845">
        <w:rPr>
          <w:rFonts w:cstheme="minorHAnsi"/>
          <w:sz w:val="24"/>
          <w:szCs w:val="24"/>
        </w:rPr>
        <w:fldChar w:fldCharType="separate"/>
      </w:r>
      <w:r w:rsidR="00BD46EE" w:rsidRPr="00BD46EE">
        <w:rPr>
          <w:rFonts w:ascii="Calibri" w:hAnsi="Calibri" w:cs="Calibri"/>
          <w:sz w:val="24"/>
        </w:rPr>
        <w:t>[1,2]</w:t>
      </w:r>
      <w:r w:rsidR="005B4845">
        <w:rPr>
          <w:rFonts w:cstheme="minorHAnsi"/>
          <w:sz w:val="24"/>
          <w:szCs w:val="24"/>
        </w:rPr>
        <w:fldChar w:fldCharType="end"/>
      </w:r>
      <w:r w:rsidR="00E75AB0">
        <w:rPr>
          <w:rFonts w:cstheme="minorHAnsi"/>
          <w:sz w:val="24"/>
          <w:szCs w:val="24"/>
        </w:rPr>
        <w:t xml:space="preserve">  Although the prevalence of chronic PA infection is well reported, the SPACE (Sensitivity and specificity of PA detection using the hydrogen Cyanide concentration of Exhaled breath) study was the first to report the incidence of new PA infection</w:t>
      </w:r>
      <w:r w:rsidR="00D34685">
        <w:rPr>
          <w:rFonts w:cstheme="minorHAnsi"/>
          <w:sz w:val="24"/>
          <w:szCs w:val="24"/>
        </w:rPr>
        <w:t xml:space="preserve"> in children with CF</w:t>
      </w:r>
      <w:r w:rsidR="00E75AB0">
        <w:rPr>
          <w:rFonts w:cstheme="minorHAnsi"/>
          <w:sz w:val="24"/>
          <w:szCs w:val="24"/>
        </w:rPr>
        <w:t>.</w:t>
      </w:r>
      <w:r w:rsidR="005B4845">
        <w:rPr>
          <w:rFonts w:cstheme="minorHAnsi"/>
          <w:sz w:val="24"/>
          <w:szCs w:val="24"/>
        </w:rPr>
        <w:fldChar w:fldCharType="begin"/>
      </w:r>
      <w:r w:rsidR="00C92A5C">
        <w:rPr>
          <w:rFonts w:cstheme="minorHAnsi"/>
          <w:sz w:val="24"/>
          <w:szCs w:val="24"/>
        </w:rPr>
        <w:instrText xml:space="preserve"> ADDIN ZOTERO_ITEM CSL_CITATION {"citationID":"2dd6hj32gp","properties":{"formattedCitation":"[3]","plainCitation":"[3]"},"citationItems":[{"id":485,"uris":["http://zotero.org/users/277024/items/JMRM4EDJ"],"uri":["http://zotero.org/users/277024/items/JMRM4EDJ"],"itemData":{"id":485,"type":"article-journal","title":"Exhaled breath hydrogen cyanide as a marker of early Pseudomonas aeruginosa infection in children with cystic fibrosis","container-title":"ERJ Open Research","page":"00044-2015","volume":"1","issue":"2","source":"openres.ersjournals.com","abstract":"Hydrogen cyanide is readily detected in the headspace above Pseudomonas aeruginosa cultures and in the breath of cystic fibrosis (CF) patients with chronic (P. aeruginosa) infection. We investigated if exhaled breath HCN is an early marker of P. aeruginosa infection.\n233 children with CF who were free from P. aeruginosa infection were followed for 2 years. Their median (interquartile range) age was 8.0 (5.0–12.2) years. At each study visit, an exhaled breath sample was collected for hydrogen cyanide analysis. In total, 2055 breath samples were analysed. At the end of the study, the hydrogen cyanide concentrations were compared to the results of routine microbiology surveillance.\nP. aeruginosa was isolated from 71 children during the study with an incidence (95% CI) of 0.19 (0.15–0.23) cases per patient-year. Using a random-effects logistic model, the estimated odds ratio (95% CI) was 3.1 (2.6–3.6), which showed that for a 1- ppbv increase in exhaled breath hydrogen cyanide, we expected a 212% increase in the odds of P. aeruginosa infection. The sensitivity and specificity were estimated at 33% and 99%, respectively.\nExhaled breath hydrogen cyanide is a specific biomarker of new P. aeruginosa infection in children with CF. Its low sensitivity means that at present, hydrogen cyanide cannot be used as a screening test for this infection.\nExhaled hydrogen cyanide is a specific but insensitive biomarker of new P. aeruginosa infection in children with CF http://ow.ly/TdRaF","DOI":"10.1183/23120541.00044-2015","ISSN":"2312-0541","language":"en","author":[{"family":"Gilchrist","given":"Francis J."},{"family":"Belcher","given":"John"},{"family":"Jones","given":"Andrew M."},{"family":"Smith","given":"David"},{"family":"Smyth","given":"Alan R."},{"family":"Southern","given":"Kevin W."},{"family":"Španěl","given":"Patrik"},{"family":"Webb","given":"A. Kevin"},{"family":"Lenney","given":"Warren"}],"issued":{"date-parts":[["2015",11,16]]}}}],"schema":"https://github.com/citation-style-language/schema/raw/master/csl-citation.json"} </w:instrText>
      </w:r>
      <w:r w:rsidR="005B4845">
        <w:rPr>
          <w:rFonts w:cstheme="minorHAnsi"/>
          <w:sz w:val="24"/>
          <w:szCs w:val="24"/>
        </w:rPr>
        <w:fldChar w:fldCharType="separate"/>
      </w:r>
      <w:r w:rsidR="00333084" w:rsidRPr="00333084">
        <w:rPr>
          <w:rFonts w:ascii="Calibri" w:hAnsi="Calibri" w:cs="Calibri"/>
          <w:sz w:val="24"/>
        </w:rPr>
        <w:t>[3]</w:t>
      </w:r>
      <w:r w:rsidR="005B4845">
        <w:rPr>
          <w:rFonts w:cstheme="minorHAnsi"/>
          <w:sz w:val="24"/>
          <w:szCs w:val="24"/>
        </w:rPr>
        <w:fldChar w:fldCharType="end"/>
      </w:r>
      <w:r w:rsidR="00E75AB0">
        <w:rPr>
          <w:rFonts w:cstheme="minorHAnsi"/>
          <w:sz w:val="24"/>
          <w:szCs w:val="24"/>
        </w:rPr>
        <w:t xml:space="preserve">  </w:t>
      </w:r>
      <w:r w:rsidR="005B4845">
        <w:rPr>
          <w:rFonts w:cstheme="minorHAnsi"/>
          <w:sz w:val="24"/>
          <w:szCs w:val="24"/>
        </w:rPr>
        <w:t>We now present the PA incidence data for the eight CF centres included in the study and review the infection control polic</w:t>
      </w:r>
      <w:r w:rsidR="00A36286">
        <w:rPr>
          <w:rFonts w:cstheme="minorHAnsi"/>
          <w:sz w:val="24"/>
          <w:szCs w:val="24"/>
        </w:rPr>
        <w:t>ies at each centre</w:t>
      </w:r>
      <w:r w:rsidR="005B4845">
        <w:rPr>
          <w:rFonts w:cstheme="minorHAnsi"/>
          <w:sz w:val="24"/>
          <w:szCs w:val="24"/>
        </w:rPr>
        <w:t>.</w:t>
      </w:r>
    </w:p>
    <w:p w14:paraId="06114569" w14:textId="027A7C4F" w:rsidR="005E55BF" w:rsidRDefault="008E43A7" w:rsidP="00F84F15">
      <w:pPr>
        <w:pStyle w:val="Thorax2"/>
        <w:rPr>
          <w:rFonts w:eastAsia="Times New Roman"/>
          <w:b w:val="0"/>
          <w:lang w:eastAsia="en-GB"/>
        </w:rPr>
      </w:pPr>
      <w:r w:rsidRPr="008E43A7">
        <w:rPr>
          <w:b w:val="0"/>
          <w:lang w:eastAsia="en-GB"/>
        </w:rPr>
        <w:t xml:space="preserve">The SPACE Study </w:t>
      </w:r>
      <w:r>
        <w:rPr>
          <w:b w:val="0"/>
          <w:lang w:eastAsia="en-GB"/>
        </w:rPr>
        <w:t>investigated exhaled breath hydrogen cyanide</w:t>
      </w:r>
      <w:r w:rsidR="00C23889">
        <w:rPr>
          <w:b w:val="0"/>
          <w:lang w:eastAsia="en-GB"/>
        </w:rPr>
        <w:t xml:space="preserve"> (HCN)</w:t>
      </w:r>
      <w:r>
        <w:rPr>
          <w:b w:val="0"/>
          <w:lang w:eastAsia="en-GB"/>
        </w:rPr>
        <w:t xml:space="preserve"> </w:t>
      </w:r>
      <w:r w:rsidR="000D095E">
        <w:rPr>
          <w:b w:val="0"/>
          <w:lang w:eastAsia="en-GB"/>
        </w:rPr>
        <w:t>as</w:t>
      </w:r>
      <w:r>
        <w:rPr>
          <w:b w:val="0"/>
          <w:lang w:eastAsia="en-GB"/>
        </w:rPr>
        <w:t xml:space="preserve"> an early marker of PA infection.  </w:t>
      </w:r>
      <w:r w:rsidR="00EB30C1">
        <w:rPr>
          <w:b w:val="0"/>
          <w:lang w:eastAsia="en-GB"/>
        </w:rPr>
        <w:t>A large cohort</w:t>
      </w:r>
      <w:r w:rsidR="00FB434D">
        <w:rPr>
          <w:b w:val="0"/>
          <w:lang w:eastAsia="en-GB"/>
        </w:rPr>
        <w:t xml:space="preserve"> of</w:t>
      </w:r>
      <w:r w:rsidR="003F2FC4">
        <w:rPr>
          <w:b w:val="0"/>
          <w:lang w:eastAsia="en-GB"/>
        </w:rPr>
        <w:t xml:space="preserve"> children with CF who had not isolated PA for at least 12 months from were recruited from eight centres and followed for 2 years.</w:t>
      </w:r>
      <w:r w:rsidR="00C23889">
        <w:rPr>
          <w:b w:val="0"/>
          <w:lang w:eastAsia="en-GB"/>
        </w:rPr>
        <w:t xml:space="preserve">  </w:t>
      </w:r>
      <w:r w:rsidR="003F2FC4">
        <w:rPr>
          <w:b w:val="0"/>
          <w:lang w:eastAsia="en-GB"/>
        </w:rPr>
        <w:t>As part of this study</w:t>
      </w:r>
      <w:r w:rsidR="00A4096D">
        <w:rPr>
          <w:b w:val="0"/>
          <w:lang w:eastAsia="en-GB"/>
        </w:rPr>
        <w:t>,</w:t>
      </w:r>
      <w:r w:rsidR="003F2FC4">
        <w:rPr>
          <w:b w:val="0"/>
          <w:lang w:eastAsia="en-GB"/>
        </w:rPr>
        <w:t xml:space="preserve"> prospective data w</w:t>
      </w:r>
      <w:r w:rsidR="00ED74A7">
        <w:rPr>
          <w:b w:val="0"/>
          <w:lang w:eastAsia="en-GB"/>
        </w:rPr>
        <w:t>ere</w:t>
      </w:r>
      <w:r w:rsidR="003F2FC4">
        <w:rPr>
          <w:b w:val="0"/>
          <w:lang w:eastAsia="en-GB"/>
        </w:rPr>
        <w:t xml:space="preserve"> collected on the acquisition of PA infection.  </w:t>
      </w:r>
      <w:r w:rsidR="000D095E">
        <w:rPr>
          <w:b w:val="0"/>
          <w:lang w:eastAsia="en-GB"/>
        </w:rPr>
        <w:t>The breath analysis results and the overall incidence of PA infection have previously been reported</w:t>
      </w:r>
      <w:r w:rsidR="000D095E" w:rsidRPr="005B4845">
        <w:rPr>
          <w:b w:val="0"/>
          <w:lang w:eastAsia="en-GB"/>
        </w:rPr>
        <w:t>.</w:t>
      </w:r>
      <w:r w:rsidR="005B4845" w:rsidRPr="005B4845">
        <w:rPr>
          <w:b w:val="0"/>
          <w:lang w:eastAsia="en-GB"/>
        </w:rPr>
        <w:fldChar w:fldCharType="begin"/>
      </w:r>
      <w:r w:rsidR="00C92A5C">
        <w:rPr>
          <w:b w:val="0"/>
          <w:lang w:eastAsia="en-GB"/>
        </w:rPr>
        <w:instrText xml:space="preserve"> ADDIN ZOTERO_ITEM CSL_CITATION {"citationID":"2hntfp33mi","properties":{"formattedCitation":"[3]","plainCitation":"[3]"},"citationItems":[{"id":485,"uris":["http://zotero.org/users/277024/items/JMRM4EDJ"],"uri":["http://zotero.org/users/277024/items/JMRM4EDJ"],"itemData":{"id":485,"type":"article-journal","title":"Exhaled breath hydrogen cyanide as a marker of early Pseudomonas aeruginosa infection in children with cystic fibrosis","container-title":"ERJ Open Research","page":"00044-2015","volume":"1","issue":"2","source":"openres.ersjournals.com","abstract":"Hydrogen cyanide is readily detected in the headspace above Pseudomonas aeruginosa cultures and in the breath of cystic fibrosis (CF) patients with chronic (P. aeruginosa) infection. We investigated if exhaled breath HCN is an early marker of P. aeruginosa infection.\n233 children with CF who were free from P. aeruginosa infection were followed for 2 years. Their median (interquartile range) age was 8.0 (5.0–12.2) years. At each study visit, an exhaled breath sample was collected for hydrogen cyanide analysis. In total, 2055 breath samples were analysed. At the end of the study, the hydrogen cyanide concentrations were compared to the results of routine microbiology surveillance.\nP. aeruginosa was isolated from 71 children during the study with an incidence (95% CI) of 0.19 (0.15–0.23) cases per patient-year. Using a random-effects logistic model, the estimated odds ratio (95% CI) was 3.1 (2.6–3.6), which showed that for a 1- ppbv increase in exhaled breath hydrogen cyanide, we expected a 212% increase in the odds of P. aeruginosa infection. The sensitivity and specificity were estimated at 33% and 99%, respectively.\nExhaled breath hydrogen cyanide is a specific biomarker of new P. aeruginosa infection in children with CF. Its low sensitivity means that at present, hydrogen cyanide cannot be used as a screening test for this infection.\nExhaled hydrogen cyanide is a specific but insensitive biomarker of new P. aeruginosa infection in children with CF http://ow.ly/TdRaF","DOI":"10.1183/23120541.00044-2015","ISSN":"2312-0541","language":"en","author":[{"family":"Gilchrist","given":"Francis J."},{"family":"Belcher","given":"John"},{"family":"Jones","given":"Andrew M."},{"family":"Smith","given":"David"},{"family":"Smyth","given":"Alan R."},{"family":"Southern","given":"Kevin W."},{"family":"Španěl","given":"Patrik"},{"family":"Webb","given":"A. Kevin"},{"family":"Lenney","given":"Warren"}],"issued":{"date-parts":[["2015",11,16]]}}}],"schema":"https://github.com/citation-style-language/schema/raw/master/csl-citation.json"} </w:instrText>
      </w:r>
      <w:r w:rsidR="005B4845" w:rsidRPr="005B4845">
        <w:rPr>
          <w:b w:val="0"/>
          <w:lang w:eastAsia="en-GB"/>
        </w:rPr>
        <w:fldChar w:fldCharType="separate"/>
      </w:r>
      <w:r w:rsidR="00333084" w:rsidRPr="00333084">
        <w:rPr>
          <w:rFonts w:ascii="Calibri" w:hAnsi="Calibri" w:cs="Calibri"/>
        </w:rPr>
        <w:t>[3]</w:t>
      </w:r>
      <w:r w:rsidR="005B4845" w:rsidRPr="005B4845">
        <w:rPr>
          <w:b w:val="0"/>
          <w:lang w:eastAsia="en-GB"/>
        </w:rPr>
        <w:fldChar w:fldCharType="end"/>
      </w:r>
      <w:r w:rsidR="000D095E">
        <w:rPr>
          <w:b w:val="0"/>
          <w:lang w:eastAsia="en-GB"/>
        </w:rPr>
        <w:t xml:space="preserve">  </w:t>
      </w:r>
      <w:r w:rsidR="003F2FC4" w:rsidRPr="00F84F15">
        <w:rPr>
          <w:b w:val="0"/>
          <w:lang w:eastAsia="en-GB"/>
        </w:rPr>
        <w:t xml:space="preserve">We </w:t>
      </w:r>
      <w:r w:rsidR="000D095E">
        <w:rPr>
          <w:b w:val="0"/>
          <w:lang w:eastAsia="en-GB"/>
        </w:rPr>
        <w:t xml:space="preserve">now report the incidence of new PA infection for each of the eight centres as well as </w:t>
      </w:r>
      <w:r w:rsidR="00C23889">
        <w:rPr>
          <w:b w:val="0"/>
          <w:lang w:eastAsia="en-GB"/>
        </w:rPr>
        <w:t xml:space="preserve">a survey of the </w:t>
      </w:r>
      <w:r w:rsidR="000D095E">
        <w:rPr>
          <w:b w:val="0"/>
          <w:lang w:eastAsia="en-GB"/>
        </w:rPr>
        <w:t xml:space="preserve">infection control policies </w:t>
      </w:r>
      <w:r w:rsidR="00AA48E4" w:rsidRPr="00F84F15">
        <w:rPr>
          <w:rFonts w:eastAsia="Times New Roman"/>
          <w:b w:val="0"/>
          <w:lang w:eastAsia="en-GB"/>
        </w:rPr>
        <w:t xml:space="preserve">that </w:t>
      </w:r>
      <w:r w:rsidR="00C23889">
        <w:rPr>
          <w:rFonts w:eastAsia="Times New Roman"/>
          <w:b w:val="0"/>
          <w:lang w:eastAsia="en-GB"/>
        </w:rPr>
        <w:t xml:space="preserve">were </w:t>
      </w:r>
      <w:r w:rsidR="00AA48E4" w:rsidRPr="00F84F15">
        <w:rPr>
          <w:rFonts w:eastAsia="Times New Roman"/>
          <w:b w:val="0"/>
          <w:lang w:eastAsia="en-GB"/>
        </w:rPr>
        <w:t xml:space="preserve">in place </w:t>
      </w:r>
      <w:r w:rsidR="00164BC0">
        <w:rPr>
          <w:rFonts w:eastAsia="Times New Roman"/>
          <w:b w:val="0"/>
          <w:lang w:eastAsia="en-GB"/>
        </w:rPr>
        <w:t>during the study</w:t>
      </w:r>
      <w:r w:rsidR="00DF0D4D">
        <w:rPr>
          <w:b w:val="0"/>
          <w:lang w:eastAsia="en-GB"/>
        </w:rPr>
        <w:t xml:space="preserve"> </w:t>
      </w:r>
      <w:r w:rsidR="009476FD" w:rsidRPr="00F84F15">
        <w:rPr>
          <w:rFonts w:eastAsia="Times New Roman"/>
          <w:b w:val="0"/>
          <w:lang w:eastAsia="en-GB"/>
        </w:rPr>
        <w:t xml:space="preserve">to prevent the transmission of PA </w:t>
      </w:r>
      <w:r w:rsidR="00C23889">
        <w:rPr>
          <w:rFonts w:eastAsia="Times New Roman"/>
          <w:b w:val="0"/>
          <w:lang w:eastAsia="en-GB"/>
        </w:rPr>
        <w:t xml:space="preserve">between </w:t>
      </w:r>
      <w:r w:rsidR="00AA48E4" w:rsidRPr="00F84F15">
        <w:rPr>
          <w:rFonts w:eastAsia="Times New Roman"/>
          <w:b w:val="0"/>
          <w:lang w:eastAsia="en-GB"/>
        </w:rPr>
        <w:t xml:space="preserve">patients.  </w:t>
      </w:r>
    </w:p>
    <w:p w14:paraId="0EF10DF3" w14:textId="08493D75" w:rsidR="00987991" w:rsidRDefault="00987991" w:rsidP="00665CB5">
      <w:pPr>
        <w:spacing w:after="0" w:line="480" w:lineRule="auto"/>
        <w:jc w:val="both"/>
        <w:rPr>
          <w:rFonts w:eastAsia="Times New Roman" w:cstheme="minorHAnsi"/>
          <w:sz w:val="24"/>
          <w:szCs w:val="20"/>
          <w:lang w:eastAsia="en-GB"/>
        </w:rPr>
      </w:pPr>
      <w:r w:rsidRPr="00987991">
        <w:rPr>
          <w:rFonts w:eastAsia="Times New Roman" w:cstheme="minorHAnsi"/>
          <w:sz w:val="24"/>
          <w:szCs w:val="20"/>
          <w:lang w:eastAsia="en-GB"/>
        </w:rPr>
        <w:t>The PA incidence rates were calculated by</w:t>
      </w:r>
      <w:r w:rsidR="00FF5555">
        <w:rPr>
          <w:rFonts w:eastAsia="Times New Roman" w:cstheme="minorHAnsi"/>
          <w:sz w:val="24"/>
          <w:szCs w:val="20"/>
          <w:lang w:eastAsia="en-GB"/>
        </w:rPr>
        <w:t>:</w:t>
      </w:r>
      <w:r w:rsidRPr="00987991">
        <w:rPr>
          <w:rFonts w:eastAsia="Times New Roman" w:cstheme="minorHAnsi"/>
          <w:sz w:val="24"/>
          <w:szCs w:val="20"/>
          <w:lang w:eastAsia="en-GB"/>
        </w:rPr>
        <w:t xml:space="preserve"> numerator / denominator.  The numerator was the number of children with a new isolate of PA during the study period and the denominator was the ‘person-time at risk’.  The person-time at risk was the sum of the time from recruitment to new PA isolate for those </w:t>
      </w:r>
      <w:r w:rsidR="00FF5555">
        <w:rPr>
          <w:rFonts w:eastAsia="Times New Roman" w:cstheme="minorHAnsi"/>
          <w:sz w:val="24"/>
          <w:szCs w:val="20"/>
          <w:lang w:eastAsia="en-GB"/>
        </w:rPr>
        <w:t>who</w:t>
      </w:r>
      <w:r w:rsidRPr="00987991">
        <w:rPr>
          <w:rFonts w:eastAsia="Times New Roman" w:cstheme="minorHAnsi"/>
          <w:sz w:val="24"/>
          <w:szCs w:val="20"/>
          <w:lang w:eastAsia="en-GB"/>
        </w:rPr>
        <w:t xml:space="preserve"> isolated PA and the total follow-up time for those who did not isolate PA.  </w:t>
      </w:r>
    </w:p>
    <w:p w14:paraId="5DF068A1" w14:textId="52C1122C" w:rsidR="00DC623F" w:rsidRDefault="005503C9" w:rsidP="00DC623F">
      <w:pPr>
        <w:spacing w:line="480" w:lineRule="auto"/>
        <w:jc w:val="both"/>
        <w:rPr>
          <w:sz w:val="24"/>
          <w:szCs w:val="24"/>
          <w:lang w:eastAsia="en-GB"/>
        </w:rPr>
      </w:pPr>
      <w:r>
        <w:rPr>
          <w:rFonts w:eastAsia="Times New Roman" w:cstheme="minorHAnsi"/>
          <w:sz w:val="24"/>
          <w:szCs w:val="24"/>
          <w:lang w:eastAsia="en-GB"/>
        </w:rPr>
        <w:t>A</w:t>
      </w:r>
      <w:r>
        <w:rPr>
          <w:rFonts w:eastAsia="Times New Roman" w:cstheme="minorHAnsi"/>
          <w:sz w:val="24"/>
          <w:szCs w:val="24"/>
          <w:lang w:eastAsia="en-GB"/>
        </w:rPr>
        <w:t>t the time of recruitment</w:t>
      </w:r>
      <w:r>
        <w:rPr>
          <w:rFonts w:eastAsia="Times New Roman" w:cstheme="minorHAnsi"/>
          <w:sz w:val="24"/>
          <w:szCs w:val="24"/>
          <w:lang w:eastAsia="en-GB"/>
        </w:rPr>
        <w:t xml:space="preserve"> </w:t>
      </w:r>
      <w:r w:rsidR="00EB30C1">
        <w:rPr>
          <w:rFonts w:eastAsia="Times New Roman" w:cstheme="minorHAnsi"/>
          <w:sz w:val="24"/>
          <w:szCs w:val="24"/>
          <w:lang w:eastAsia="en-GB"/>
        </w:rPr>
        <w:t xml:space="preserve">212 children </w:t>
      </w:r>
      <w:r w:rsidR="000D095E">
        <w:rPr>
          <w:rFonts w:eastAsia="Times New Roman" w:cstheme="minorHAnsi"/>
          <w:sz w:val="24"/>
          <w:szCs w:val="24"/>
          <w:lang w:eastAsia="en-GB"/>
        </w:rPr>
        <w:t xml:space="preserve">had not isolated PA for </w:t>
      </w:r>
      <w:r>
        <w:rPr>
          <w:rFonts w:eastAsia="Times New Roman" w:cstheme="minorHAnsi"/>
          <w:sz w:val="24"/>
          <w:szCs w:val="24"/>
          <w:lang w:eastAsia="en-GB"/>
        </w:rPr>
        <w:t>≥</w:t>
      </w:r>
      <w:r w:rsidR="000D095E">
        <w:rPr>
          <w:rFonts w:eastAsia="Times New Roman" w:cstheme="minorHAnsi"/>
          <w:sz w:val="24"/>
          <w:szCs w:val="24"/>
          <w:lang w:eastAsia="en-GB"/>
        </w:rPr>
        <w:t xml:space="preserve">12 months and were not receiving </w:t>
      </w:r>
      <w:r>
        <w:rPr>
          <w:rFonts w:eastAsia="Times New Roman" w:cstheme="minorHAnsi"/>
          <w:sz w:val="24"/>
          <w:szCs w:val="24"/>
          <w:lang w:eastAsia="en-GB"/>
        </w:rPr>
        <w:t>anti-PA</w:t>
      </w:r>
      <w:r>
        <w:rPr>
          <w:rFonts w:eastAsia="Times New Roman" w:cstheme="minorHAnsi"/>
          <w:sz w:val="24"/>
          <w:szCs w:val="24"/>
          <w:lang w:eastAsia="en-GB"/>
        </w:rPr>
        <w:t xml:space="preserve"> nebulisers</w:t>
      </w:r>
      <w:r w:rsidR="000D095E">
        <w:rPr>
          <w:rFonts w:eastAsia="Times New Roman" w:cstheme="minorHAnsi"/>
          <w:sz w:val="24"/>
          <w:szCs w:val="24"/>
          <w:lang w:eastAsia="en-GB"/>
        </w:rPr>
        <w:t xml:space="preserve">.  </w:t>
      </w:r>
      <w:r w:rsidR="00D4561B">
        <w:rPr>
          <w:rFonts w:eastAsia="Times New Roman" w:cstheme="minorHAnsi"/>
          <w:sz w:val="24"/>
          <w:szCs w:val="24"/>
          <w:lang w:eastAsia="en-GB"/>
        </w:rPr>
        <w:t>Sixty of these</w:t>
      </w:r>
      <w:r w:rsidR="003D1D3B" w:rsidRPr="00B71A97">
        <w:rPr>
          <w:rFonts w:eastAsia="Times New Roman" w:cstheme="minorHAnsi"/>
          <w:sz w:val="24"/>
          <w:szCs w:val="24"/>
          <w:lang w:eastAsia="en-GB"/>
        </w:rPr>
        <w:t xml:space="preserve"> children had a new isolate of PA during the </w:t>
      </w:r>
      <w:r w:rsidR="00DF0D4D">
        <w:rPr>
          <w:rFonts w:eastAsia="Times New Roman" w:cstheme="minorHAnsi"/>
          <w:sz w:val="24"/>
          <w:szCs w:val="24"/>
          <w:lang w:eastAsia="en-GB"/>
        </w:rPr>
        <w:t xml:space="preserve">study period.  </w:t>
      </w:r>
      <w:r w:rsidR="003D1D3B" w:rsidRPr="00B71A97">
        <w:rPr>
          <w:rFonts w:eastAsia="Times New Roman" w:cstheme="minorHAnsi"/>
          <w:sz w:val="24"/>
          <w:szCs w:val="24"/>
          <w:lang w:eastAsia="en-GB"/>
        </w:rPr>
        <w:t>The overall incidence</w:t>
      </w:r>
      <w:r w:rsidR="004B1C75">
        <w:rPr>
          <w:rFonts w:eastAsia="Times New Roman" w:cstheme="minorHAnsi"/>
          <w:sz w:val="24"/>
          <w:szCs w:val="24"/>
          <w:lang w:eastAsia="en-GB"/>
        </w:rPr>
        <w:t xml:space="preserve"> (95% CI)</w:t>
      </w:r>
      <w:r w:rsidR="003D1D3B" w:rsidRPr="00B71A97">
        <w:rPr>
          <w:rFonts w:eastAsia="Times New Roman" w:cstheme="minorHAnsi"/>
          <w:sz w:val="24"/>
          <w:szCs w:val="24"/>
          <w:lang w:eastAsia="en-GB"/>
        </w:rPr>
        <w:t xml:space="preserve"> of </w:t>
      </w:r>
      <w:r w:rsidR="004B1C75">
        <w:rPr>
          <w:rFonts w:eastAsia="Times New Roman" w:cstheme="minorHAnsi"/>
          <w:sz w:val="24"/>
          <w:szCs w:val="24"/>
          <w:lang w:eastAsia="en-GB"/>
        </w:rPr>
        <w:t xml:space="preserve">new </w:t>
      </w:r>
      <w:r w:rsidR="003D1D3B" w:rsidRPr="00B71A97">
        <w:rPr>
          <w:rFonts w:eastAsia="Times New Roman" w:cstheme="minorHAnsi"/>
          <w:sz w:val="24"/>
          <w:szCs w:val="24"/>
          <w:lang w:eastAsia="en-GB"/>
        </w:rPr>
        <w:t>PA isolates was 0</w:t>
      </w:r>
      <w:r w:rsidR="00F03BBD">
        <w:rPr>
          <w:rFonts w:eastAsia="Times New Roman" w:cstheme="minorHAnsi"/>
          <w:sz w:val="24"/>
          <w:szCs w:val="24"/>
          <w:lang w:eastAsia="en-GB"/>
        </w:rPr>
        <w:t>.17</w:t>
      </w:r>
      <w:r w:rsidR="004B1C75">
        <w:rPr>
          <w:rFonts w:eastAsia="Times New Roman" w:cstheme="minorHAnsi"/>
          <w:sz w:val="24"/>
          <w:szCs w:val="24"/>
          <w:lang w:eastAsia="en-GB"/>
        </w:rPr>
        <w:t xml:space="preserve"> (</w:t>
      </w:r>
      <w:r w:rsidR="00D4561B">
        <w:rPr>
          <w:rFonts w:eastAsia="Times New Roman" w:cstheme="minorHAnsi"/>
          <w:sz w:val="24"/>
          <w:szCs w:val="24"/>
          <w:lang w:eastAsia="en-GB"/>
        </w:rPr>
        <w:t xml:space="preserve">0.14, </w:t>
      </w:r>
      <w:r w:rsidR="00F03BBD">
        <w:rPr>
          <w:rFonts w:eastAsia="Times New Roman" w:cstheme="minorHAnsi"/>
          <w:sz w:val="24"/>
          <w:szCs w:val="24"/>
          <w:lang w:eastAsia="en-GB"/>
        </w:rPr>
        <w:t>0.22</w:t>
      </w:r>
      <w:r w:rsidR="004B1C75" w:rsidRPr="00B71A97">
        <w:rPr>
          <w:rFonts w:eastAsia="Times New Roman" w:cstheme="minorHAnsi"/>
          <w:sz w:val="24"/>
          <w:szCs w:val="24"/>
          <w:lang w:eastAsia="en-GB"/>
        </w:rPr>
        <w:t xml:space="preserve">) </w:t>
      </w:r>
      <w:r w:rsidR="004B1C75">
        <w:rPr>
          <w:rFonts w:eastAsia="Times New Roman" w:cstheme="minorHAnsi"/>
          <w:sz w:val="24"/>
          <w:szCs w:val="24"/>
          <w:lang w:eastAsia="en-GB"/>
        </w:rPr>
        <w:t xml:space="preserve">cases per patient year.  </w:t>
      </w:r>
      <w:r w:rsidR="00B922BF">
        <w:rPr>
          <w:rFonts w:eastAsia="Times New Roman" w:cstheme="minorHAnsi"/>
          <w:sz w:val="24"/>
          <w:szCs w:val="24"/>
          <w:lang w:eastAsia="en-GB"/>
        </w:rPr>
        <w:t>T</w:t>
      </w:r>
      <w:r w:rsidR="00F03BBD">
        <w:rPr>
          <w:rFonts w:eastAsia="Times New Roman" w:cstheme="minorHAnsi"/>
          <w:sz w:val="24"/>
          <w:szCs w:val="24"/>
          <w:lang w:eastAsia="en-GB"/>
        </w:rPr>
        <w:t>he incidence</w:t>
      </w:r>
      <w:r w:rsidR="00D4561B">
        <w:rPr>
          <w:rFonts w:eastAsia="Times New Roman" w:cstheme="minorHAnsi"/>
          <w:sz w:val="24"/>
          <w:szCs w:val="24"/>
          <w:lang w:eastAsia="en-GB"/>
        </w:rPr>
        <w:t xml:space="preserve"> (95% CI)</w:t>
      </w:r>
      <w:r w:rsidR="00F03BBD">
        <w:rPr>
          <w:rFonts w:eastAsia="Times New Roman" w:cstheme="minorHAnsi"/>
          <w:sz w:val="24"/>
          <w:szCs w:val="24"/>
          <w:lang w:eastAsia="en-GB"/>
        </w:rPr>
        <w:t xml:space="preserve"> of new P</w:t>
      </w:r>
      <w:r w:rsidR="000D095E">
        <w:rPr>
          <w:rFonts w:eastAsia="Times New Roman" w:cstheme="minorHAnsi"/>
          <w:sz w:val="24"/>
          <w:szCs w:val="24"/>
          <w:lang w:eastAsia="en-GB"/>
        </w:rPr>
        <w:t>A</w:t>
      </w:r>
      <w:r w:rsidR="00F03BBD">
        <w:rPr>
          <w:rFonts w:eastAsia="Times New Roman" w:cstheme="minorHAnsi"/>
          <w:sz w:val="24"/>
          <w:szCs w:val="24"/>
          <w:lang w:eastAsia="en-GB"/>
        </w:rPr>
        <w:t xml:space="preserve"> infection </w:t>
      </w:r>
      <w:r w:rsidR="00D4561B">
        <w:rPr>
          <w:rFonts w:eastAsia="Times New Roman" w:cstheme="minorHAnsi"/>
          <w:sz w:val="24"/>
          <w:szCs w:val="24"/>
          <w:lang w:eastAsia="en-GB"/>
        </w:rPr>
        <w:t xml:space="preserve">varied between 0.08 (0.04, 0.18) </w:t>
      </w:r>
      <w:r w:rsidR="00D4561B">
        <w:rPr>
          <w:rFonts w:eastAsia="Times New Roman" w:cstheme="minorHAnsi"/>
          <w:sz w:val="24"/>
          <w:szCs w:val="24"/>
          <w:lang w:eastAsia="en-GB"/>
        </w:rPr>
        <w:lastRenderedPageBreak/>
        <w:t xml:space="preserve">and 0.28 (0.14, </w:t>
      </w:r>
      <w:r w:rsidR="003D1D3B" w:rsidRPr="00B71A97">
        <w:rPr>
          <w:rFonts w:eastAsia="Times New Roman" w:cstheme="minorHAnsi"/>
          <w:sz w:val="24"/>
          <w:szCs w:val="24"/>
          <w:lang w:eastAsia="en-GB"/>
        </w:rPr>
        <w:t xml:space="preserve">0.49) </w:t>
      </w:r>
      <w:r w:rsidR="000D095E">
        <w:rPr>
          <w:rFonts w:eastAsia="Times New Roman" w:cstheme="minorHAnsi"/>
          <w:sz w:val="24"/>
          <w:szCs w:val="24"/>
          <w:lang w:eastAsia="en-GB"/>
        </w:rPr>
        <w:t>cases per patient year at</w:t>
      </w:r>
      <w:r w:rsidR="003D1D3B" w:rsidRPr="00B71A97">
        <w:rPr>
          <w:rFonts w:eastAsia="Times New Roman" w:cstheme="minorHAnsi"/>
          <w:sz w:val="24"/>
          <w:szCs w:val="24"/>
          <w:lang w:eastAsia="en-GB"/>
        </w:rPr>
        <w:t xml:space="preserve"> the different centres.</w:t>
      </w:r>
      <w:r w:rsidR="008A68C8">
        <w:rPr>
          <w:rFonts w:eastAsia="Times New Roman" w:cstheme="minorHAnsi"/>
          <w:sz w:val="24"/>
          <w:szCs w:val="24"/>
          <w:lang w:eastAsia="en-GB"/>
        </w:rPr>
        <w:t xml:space="preserve">  See Table 1.</w:t>
      </w:r>
      <w:r w:rsidR="003D1D3B" w:rsidRPr="00B71A97">
        <w:rPr>
          <w:rFonts w:eastAsia="Times New Roman" w:cstheme="minorHAnsi"/>
          <w:sz w:val="24"/>
          <w:szCs w:val="24"/>
          <w:lang w:eastAsia="en-GB"/>
        </w:rPr>
        <w:t xml:space="preserve"> </w:t>
      </w:r>
      <w:r w:rsidR="00B84BE0">
        <w:rPr>
          <w:rFonts w:eastAsia="Times New Roman" w:cstheme="minorHAnsi"/>
          <w:sz w:val="24"/>
          <w:szCs w:val="24"/>
          <w:lang w:eastAsia="en-GB"/>
        </w:rPr>
        <w:t>This resulted in the</w:t>
      </w:r>
      <w:r w:rsidR="003D1D3B" w:rsidRPr="00B71A97">
        <w:rPr>
          <w:rFonts w:eastAsia="Times New Roman" w:cstheme="minorHAnsi"/>
          <w:sz w:val="24"/>
          <w:szCs w:val="24"/>
          <w:lang w:eastAsia="en-GB"/>
        </w:rPr>
        <w:t xml:space="preserve"> proporti</w:t>
      </w:r>
      <w:r w:rsidR="00AF6310">
        <w:rPr>
          <w:rFonts w:eastAsia="Times New Roman" w:cstheme="minorHAnsi"/>
          <w:sz w:val="24"/>
          <w:szCs w:val="24"/>
          <w:lang w:eastAsia="en-GB"/>
        </w:rPr>
        <w:t xml:space="preserve">on of </w:t>
      </w:r>
      <w:r w:rsidR="000D095E">
        <w:rPr>
          <w:rFonts w:eastAsia="Times New Roman" w:cstheme="minorHAnsi"/>
          <w:sz w:val="24"/>
          <w:szCs w:val="24"/>
          <w:lang w:eastAsia="en-GB"/>
        </w:rPr>
        <w:t>children</w:t>
      </w:r>
      <w:r w:rsidR="00AF6310">
        <w:rPr>
          <w:rFonts w:eastAsia="Times New Roman" w:cstheme="minorHAnsi"/>
          <w:sz w:val="24"/>
          <w:szCs w:val="24"/>
          <w:lang w:eastAsia="en-GB"/>
        </w:rPr>
        <w:t xml:space="preserve"> remaining free from</w:t>
      </w:r>
      <w:r w:rsidR="003D1D3B" w:rsidRPr="00B71A97">
        <w:rPr>
          <w:rFonts w:eastAsia="Times New Roman" w:cstheme="minorHAnsi"/>
          <w:sz w:val="24"/>
          <w:szCs w:val="24"/>
          <w:lang w:eastAsia="en-GB"/>
        </w:rPr>
        <w:t xml:space="preserve"> PA</w:t>
      </w:r>
      <w:r w:rsidR="00AF6310">
        <w:rPr>
          <w:rFonts w:eastAsia="Times New Roman" w:cstheme="minorHAnsi"/>
          <w:sz w:val="24"/>
          <w:szCs w:val="24"/>
          <w:lang w:eastAsia="en-GB"/>
        </w:rPr>
        <w:t xml:space="preserve"> infection</w:t>
      </w:r>
      <w:r w:rsidR="003D1D3B" w:rsidRPr="00B71A97">
        <w:rPr>
          <w:rFonts w:eastAsia="Times New Roman" w:cstheme="minorHAnsi"/>
          <w:sz w:val="24"/>
          <w:szCs w:val="24"/>
          <w:lang w:eastAsia="en-GB"/>
        </w:rPr>
        <w:t xml:space="preserve"> at the end of the study </w:t>
      </w:r>
      <w:r w:rsidR="008E6869">
        <w:rPr>
          <w:rFonts w:eastAsia="Times New Roman" w:cstheme="minorHAnsi"/>
          <w:sz w:val="24"/>
          <w:szCs w:val="24"/>
          <w:lang w:eastAsia="en-GB"/>
        </w:rPr>
        <w:t>var</w:t>
      </w:r>
      <w:r w:rsidR="00B84BE0">
        <w:rPr>
          <w:rFonts w:eastAsia="Times New Roman" w:cstheme="minorHAnsi"/>
          <w:sz w:val="24"/>
          <w:szCs w:val="24"/>
          <w:lang w:eastAsia="en-GB"/>
        </w:rPr>
        <w:t>ying</w:t>
      </w:r>
      <w:r w:rsidR="003D1D3B" w:rsidRPr="00B71A97">
        <w:rPr>
          <w:rFonts w:eastAsia="Times New Roman" w:cstheme="minorHAnsi"/>
          <w:sz w:val="24"/>
          <w:szCs w:val="24"/>
          <w:lang w:eastAsia="en-GB"/>
        </w:rPr>
        <w:t xml:space="preserve"> between 56% (Centre 3) and 83% (Centre 7).</w:t>
      </w:r>
      <w:r w:rsidR="00F03BBD">
        <w:rPr>
          <w:rFonts w:eastAsia="Times New Roman" w:cstheme="minorHAnsi"/>
          <w:sz w:val="24"/>
          <w:szCs w:val="24"/>
          <w:lang w:eastAsia="en-GB"/>
        </w:rPr>
        <w:t xml:space="preserve">  </w:t>
      </w:r>
      <w:r w:rsidR="00DC623F" w:rsidRPr="00DC623F">
        <w:rPr>
          <w:sz w:val="24"/>
          <w:szCs w:val="24"/>
          <w:lang w:eastAsia="en-GB"/>
        </w:rPr>
        <w:t xml:space="preserve">The incidence </w:t>
      </w:r>
      <w:r w:rsidR="00DC623F">
        <w:rPr>
          <w:sz w:val="24"/>
          <w:szCs w:val="24"/>
          <w:lang w:eastAsia="en-GB"/>
        </w:rPr>
        <w:t xml:space="preserve">of new PA infection </w:t>
      </w:r>
      <w:r w:rsidR="00DC623F" w:rsidRPr="00DC623F">
        <w:rPr>
          <w:sz w:val="24"/>
          <w:szCs w:val="24"/>
          <w:lang w:eastAsia="en-GB"/>
        </w:rPr>
        <w:t xml:space="preserve">was lower in </w:t>
      </w:r>
      <w:r w:rsidR="00DC623F">
        <w:rPr>
          <w:sz w:val="24"/>
          <w:szCs w:val="24"/>
          <w:lang w:eastAsia="en-GB"/>
        </w:rPr>
        <w:t xml:space="preserve">the tertiary </w:t>
      </w:r>
      <w:r w:rsidR="00DC623F" w:rsidRPr="00DC623F">
        <w:rPr>
          <w:sz w:val="24"/>
          <w:szCs w:val="24"/>
          <w:lang w:eastAsia="en-GB"/>
        </w:rPr>
        <w:t xml:space="preserve">centres </w:t>
      </w:r>
      <w:r w:rsidR="00DC623F">
        <w:rPr>
          <w:sz w:val="24"/>
          <w:szCs w:val="24"/>
          <w:lang w:eastAsia="en-GB"/>
        </w:rPr>
        <w:t>when compared to the</w:t>
      </w:r>
      <w:r w:rsidR="00D4561B">
        <w:rPr>
          <w:sz w:val="24"/>
          <w:szCs w:val="24"/>
          <w:lang w:eastAsia="en-GB"/>
        </w:rPr>
        <w:t xml:space="preserve"> shared care centres </w:t>
      </w:r>
      <w:r w:rsidR="00DC623F" w:rsidRPr="00DC623F">
        <w:rPr>
          <w:sz w:val="24"/>
          <w:szCs w:val="24"/>
          <w:lang w:eastAsia="en-GB"/>
        </w:rPr>
        <w:t xml:space="preserve"> </w:t>
      </w:r>
      <w:r w:rsidR="00D4561B">
        <w:rPr>
          <w:sz w:val="24"/>
          <w:szCs w:val="24"/>
          <w:lang w:eastAsia="en-GB"/>
        </w:rPr>
        <w:t>(</w:t>
      </w:r>
      <w:r w:rsidR="00DC623F" w:rsidRPr="00DC623F">
        <w:rPr>
          <w:sz w:val="24"/>
          <w:szCs w:val="24"/>
          <w:lang w:eastAsia="en-GB"/>
        </w:rPr>
        <w:t>0.1</w:t>
      </w:r>
      <w:r w:rsidR="00DC623F">
        <w:rPr>
          <w:sz w:val="24"/>
          <w:szCs w:val="24"/>
          <w:lang w:eastAsia="en-GB"/>
        </w:rPr>
        <w:t>6</w:t>
      </w:r>
      <w:r w:rsidR="00DC623F" w:rsidRPr="00DC623F">
        <w:rPr>
          <w:sz w:val="24"/>
          <w:szCs w:val="24"/>
          <w:lang w:eastAsia="en-GB"/>
        </w:rPr>
        <w:t xml:space="preserve"> vs 0.2</w:t>
      </w:r>
      <w:r w:rsidR="00DC623F">
        <w:rPr>
          <w:sz w:val="24"/>
          <w:szCs w:val="24"/>
          <w:lang w:eastAsia="en-GB"/>
        </w:rPr>
        <w:t>5</w:t>
      </w:r>
      <w:r w:rsidR="00DC623F" w:rsidRPr="00DC623F">
        <w:rPr>
          <w:sz w:val="24"/>
          <w:szCs w:val="24"/>
          <w:lang w:eastAsia="en-GB"/>
        </w:rPr>
        <w:t xml:space="preserve"> cases per patient year</w:t>
      </w:r>
      <w:r w:rsidR="00D4561B">
        <w:rPr>
          <w:sz w:val="24"/>
          <w:szCs w:val="24"/>
          <w:lang w:eastAsia="en-GB"/>
        </w:rPr>
        <w:t>)</w:t>
      </w:r>
      <w:r w:rsidR="00DC623F" w:rsidRPr="00DC623F">
        <w:rPr>
          <w:sz w:val="24"/>
          <w:szCs w:val="24"/>
          <w:lang w:eastAsia="en-GB"/>
        </w:rPr>
        <w:t xml:space="preserve"> but this did not reach statistical significance: incidence rate difference</w:t>
      </w:r>
      <w:r w:rsidR="00D4561B">
        <w:rPr>
          <w:sz w:val="24"/>
          <w:szCs w:val="24"/>
          <w:lang w:eastAsia="en-GB"/>
        </w:rPr>
        <w:t xml:space="preserve"> (95% CI)</w:t>
      </w:r>
      <w:r w:rsidR="00DC623F" w:rsidRPr="00DC623F">
        <w:rPr>
          <w:sz w:val="24"/>
          <w:szCs w:val="24"/>
          <w:lang w:eastAsia="en-GB"/>
        </w:rPr>
        <w:t xml:space="preserve"> = 0.0</w:t>
      </w:r>
      <w:r w:rsidR="00DC623F">
        <w:rPr>
          <w:sz w:val="24"/>
          <w:szCs w:val="24"/>
          <w:lang w:eastAsia="en-GB"/>
        </w:rPr>
        <w:t>9</w:t>
      </w:r>
      <w:r w:rsidR="00DC623F" w:rsidRPr="00DC623F">
        <w:rPr>
          <w:sz w:val="24"/>
          <w:szCs w:val="24"/>
          <w:lang w:eastAsia="en-GB"/>
        </w:rPr>
        <w:t xml:space="preserve"> (-0.0</w:t>
      </w:r>
      <w:r w:rsidR="00DC623F">
        <w:rPr>
          <w:sz w:val="24"/>
          <w:szCs w:val="24"/>
          <w:lang w:eastAsia="en-GB"/>
        </w:rPr>
        <w:t>2, 0.19</w:t>
      </w:r>
      <w:r w:rsidR="00DC623F" w:rsidRPr="00DC623F">
        <w:rPr>
          <w:sz w:val="24"/>
          <w:szCs w:val="24"/>
          <w:lang w:eastAsia="en-GB"/>
        </w:rPr>
        <w:t>), p=0.1</w:t>
      </w:r>
      <w:r w:rsidR="00DC623F">
        <w:rPr>
          <w:sz w:val="24"/>
          <w:szCs w:val="24"/>
          <w:lang w:eastAsia="en-GB"/>
        </w:rPr>
        <w:t>1</w:t>
      </w:r>
      <w:r w:rsidR="00DC623F" w:rsidRPr="00DC623F">
        <w:rPr>
          <w:sz w:val="24"/>
          <w:szCs w:val="24"/>
          <w:lang w:eastAsia="en-GB"/>
        </w:rPr>
        <w:t xml:space="preserve">.  </w:t>
      </w:r>
    </w:p>
    <w:p w14:paraId="1EF156AC" w14:textId="45D3F560" w:rsidR="00F660DB" w:rsidRDefault="00440029" w:rsidP="000307E8">
      <w:pPr>
        <w:spacing w:line="480" w:lineRule="auto"/>
        <w:jc w:val="both"/>
        <w:rPr>
          <w:rFonts w:cstheme="minorHAnsi"/>
          <w:b/>
          <w:sz w:val="24"/>
          <w:szCs w:val="24"/>
          <w:lang w:eastAsia="en-GB"/>
        </w:rPr>
      </w:pPr>
      <w:r w:rsidRPr="00440029">
        <w:rPr>
          <w:sz w:val="24"/>
          <w:szCs w:val="24"/>
          <w:lang w:eastAsia="en-GB"/>
        </w:rPr>
        <w:t>The detail</w:t>
      </w:r>
      <w:r w:rsidR="00D4561B">
        <w:rPr>
          <w:sz w:val="24"/>
          <w:szCs w:val="24"/>
          <w:lang w:eastAsia="en-GB"/>
        </w:rPr>
        <w:t>s</w:t>
      </w:r>
      <w:r w:rsidRPr="00440029">
        <w:rPr>
          <w:sz w:val="24"/>
          <w:szCs w:val="24"/>
          <w:lang w:eastAsia="en-GB"/>
        </w:rPr>
        <w:t xml:space="preserve"> of the infection control policies at each of the recrui</w:t>
      </w:r>
      <w:r w:rsidR="000D095E">
        <w:rPr>
          <w:sz w:val="24"/>
          <w:szCs w:val="24"/>
          <w:lang w:eastAsia="en-GB"/>
        </w:rPr>
        <w:t xml:space="preserve">ting centres </w:t>
      </w:r>
      <w:r w:rsidR="00D4561B">
        <w:rPr>
          <w:sz w:val="24"/>
          <w:szCs w:val="24"/>
          <w:lang w:eastAsia="en-GB"/>
        </w:rPr>
        <w:t>are</w:t>
      </w:r>
      <w:r w:rsidR="000D095E">
        <w:rPr>
          <w:sz w:val="24"/>
          <w:szCs w:val="24"/>
          <w:lang w:eastAsia="en-GB"/>
        </w:rPr>
        <w:t xml:space="preserve"> shown in Table </w:t>
      </w:r>
      <w:r w:rsidR="00B84BE0">
        <w:rPr>
          <w:sz w:val="24"/>
          <w:szCs w:val="24"/>
          <w:lang w:eastAsia="en-GB"/>
        </w:rPr>
        <w:t>1</w:t>
      </w:r>
      <w:r w:rsidRPr="00440029">
        <w:rPr>
          <w:sz w:val="24"/>
          <w:szCs w:val="24"/>
          <w:lang w:eastAsia="en-GB"/>
        </w:rPr>
        <w:t xml:space="preserve">.  </w:t>
      </w:r>
      <w:r w:rsidR="005503C9">
        <w:rPr>
          <w:sz w:val="24"/>
          <w:szCs w:val="24"/>
          <w:lang w:eastAsia="en-GB"/>
        </w:rPr>
        <w:t>Al</w:t>
      </w:r>
      <w:r w:rsidRPr="00440029">
        <w:rPr>
          <w:sz w:val="24"/>
          <w:szCs w:val="24"/>
          <w:lang w:eastAsia="en-GB"/>
        </w:rPr>
        <w:t>l centres</w:t>
      </w:r>
      <w:r w:rsidR="00E517CF">
        <w:rPr>
          <w:sz w:val="24"/>
          <w:szCs w:val="24"/>
          <w:lang w:eastAsia="en-GB"/>
        </w:rPr>
        <w:t xml:space="preserve"> ensured that</w:t>
      </w:r>
      <w:r>
        <w:rPr>
          <w:sz w:val="24"/>
          <w:szCs w:val="24"/>
          <w:lang w:eastAsia="en-GB"/>
        </w:rPr>
        <w:t xml:space="preserve"> patient</w:t>
      </w:r>
      <w:r w:rsidR="00E517CF">
        <w:rPr>
          <w:sz w:val="24"/>
          <w:szCs w:val="24"/>
          <w:lang w:eastAsia="en-GB"/>
        </w:rPr>
        <w:t>s</w:t>
      </w:r>
      <w:r>
        <w:rPr>
          <w:sz w:val="24"/>
          <w:szCs w:val="24"/>
          <w:lang w:eastAsia="en-GB"/>
        </w:rPr>
        <w:t xml:space="preserve"> stay</w:t>
      </w:r>
      <w:r w:rsidR="005503C9">
        <w:rPr>
          <w:sz w:val="24"/>
          <w:szCs w:val="24"/>
          <w:lang w:eastAsia="en-GB"/>
        </w:rPr>
        <w:t>ed</w:t>
      </w:r>
      <w:r>
        <w:rPr>
          <w:sz w:val="24"/>
          <w:szCs w:val="24"/>
          <w:lang w:eastAsia="en-GB"/>
        </w:rPr>
        <w:t xml:space="preserve"> in a single room for the</w:t>
      </w:r>
      <w:r w:rsidR="005503C9">
        <w:rPr>
          <w:sz w:val="24"/>
          <w:szCs w:val="24"/>
          <w:lang w:eastAsia="en-GB"/>
        </w:rPr>
        <w:t>ir out-patient</w:t>
      </w:r>
      <w:r w:rsidR="00E517CF">
        <w:rPr>
          <w:sz w:val="24"/>
          <w:szCs w:val="24"/>
          <w:lang w:eastAsia="en-GB"/>
        </w:rPr>
        <w:t xml:space="preserve"> </w:t>
      </w:r>
      <w:r w:rsidR="005503C9">
        <w:rPr>
          <w:sz w:val="24"/>
          <w:szCs w:val="24"/>
          <w:lang w:eastAsia="en-GB"/>
        </w:rPr>
        <w:t>appointment and</w:t>
      </w:r>
      <w:r>
        <w:rPr>
          <w:sz w:val="24"/>
          <w:szCs w:val="24"/>
          <w:lang w:eastAsia="en-GB"/>
        </w:rPr>
        <w:t xml:space="preserve"> </w:t>
      </w:r>
      <w:r w:rsidR="005503C9">
        <w:rPr>
          <w:sz w:val="24"/>
          <w:szCs w:val="24"/>
          <w:lang w:eastAsia="en-GB"/>
        </w:rPr>
        <w:t xml:space="preserve">cleaned </w:t>
      </w:r>
      <w:r w:rsidR="00854FBD">
        <w:rPr>
          <w:sz w:val="24"/>
          <w:szCs w:val="24"/>
          <w:lang w:eastAsia="en-GB"/>
        </w:rPr>
        <w:t xml:space="preserve">the </w:t>
      </w:r>
      <w:r w:rsidR="005503C9">
        <w:rPr>
          <w:sz w:val="24"/>
          <w:szCs w:val="24"/>
          <w:lang w:eastAsia="en-GB"/>
        </w:rPr>
        <w:t>rooms between patients</w:t>
      </w:r>
      <w:r w:rsidR="005503C9">
        <w:rPr>
          <w:sz w:val="24"/>
          <w:szCs w:val="24"/>
          <w:lang w:eastAsia="en-GB"/>
        </w:rPr>
        <w:t xml:space="preserve">.  All centres educated patients and families about cross-infection. </w:t>
      </w:r>
      <w:r>
        <w:rPr>
          <w:sz w:val="24"/>
          <w:szCs w:val="24"/>
          <w:lang w:eastAsia="en-GB"/>
        </w:rPr>
        <w:t>Half of the centres segregated</w:t>
      </w:r>
      <w:r w:rsidR="00A8714A">
        <w:rPr>
          <w:sz w:val="24"/>
          <w:szCs w:val="24"/>
          <w:lang w:eastAsia="en-GB"/>
        </w:rPr>
        <w:t xml:space="preserve"> out-patient</w:t>
      </w:r>
      <w:r>
        <w:rPr>
          <w:sz w:val="24"/>
          <w:szCs w:val="24"/>
          <w:lang w:eastAsia="en-GB"/>
        </w:rPr>
        <w:t xml:space="preserve"> clinic</w:t>
      </w:r>
      <w:r w:rsidR="00A8714A">
        <w:rPr>
          <w:sz w:val="24"/>
          <w:szCs w:val="24"/>
          <w:lang w:eastAsia="en-GB"/>
        </w:rPr>
        <w:t>s</w:t>
      </w:r>
      <w:r>
        <w:rPr>
          <w:sz w:val="24"/>
          <w:szCs w:val="24"/>
          <w:lang w:eastAsia="en-GB"/>
        </w:rPr>
        <w:t xml:space="preserve"> according to PA status</w:t>
      </w:r>
      <w:r w:rsidR="004241EB">
        <w:rPr>
          <w:sz w:val="24"/>
          <w:szCs w:val="24"/>
          <w:lang w:eastAsia="en-GB"/>
        </w:rPr>
        <w:t xml:space="preserve">.  The </w:t>
      </w:r>
      <w:r w:rsidR="00D4561B">
        <w:rPr>
          <w:sz w:val="24"/>
          <w:szCs w:val="24"/>
          <w:lang w:eastAsia="en-GB"/>
        </w:rPr>
        <w:t xml:space="preserve">incidence of new </w:t>
      </w:r>
      <w:r w:rsidR="004241EB">
        <w:rPr>
          <w:sz w:val="24"/>
          <w:szCs w:val="24"/>
          <w:lang w:eastAsia="en-GB"/>
        </w:rPr>
        <w:t xml:space="preserve">PA </w:t>
      </w:r>
      <w:r w:rsidR="00D4561B">
        <w:rPr>
          <w:sz w:val="24"/>
          <w:szCs w:val="24"/>
          <w:lang w:eastAsia="en-GB"/>
        </w:rPr>
        <w:t>infection</w:t>
      </w:r>
      <w:r w:rsidR="004241EB">
        <w:rPr>
          <w:sz w:val="24"/>
          <w:szCs w:val="24"/>
          <w:lang w:eastAsia="en-GB"/>
        </w:rPr>
        <w:t xml:space="preserve"> was lower in </w:t>
      </w:r>
      <w:r w:rsidR="00D4561B">
        <w:rPr>
          <w:sz w:val="24"/>
          <w:szCs w:val="24"/>
          <w:lang w:eastAsia="en-GB"/>
        </w:rPr>
        <w:t>centres that segregated clinics (</w:t>
      </w:r>
      <w:r w:rsidR="004241EB" w:rsidRPr="004241EB">
        <w:rPr>
          <w:sz w:val="24"/>
          <w:szCs w:val="24"/>
          <w:lang w:eastAsia="en-GB"/>
        </w:rPr>
        <w:t>0.15</w:t>
      </w:r>
      <w:r w:rsidR="004241EB">
        <w:rPr>
          <w:sz w:val="24"/>
          <w:szCs w:val="24"/>
          <w:lang w:eastAsia="en-GB"/>
        </w:rPr>
        <w:t xml:space="preserve"> </w:t>
      </w:r>
      <w:r w:rsidR="00550914">
        <w:rPr>
          <w:sz w:val="24"/>
          <w:szCs w:val="24"/>
          <w:lang w:eastAsia="en-GB"/>
        </w:rPr>
        <w:t>vs 0.22 cases per patient year</w:t>
      </w:r>
      <w:r w:rsidR="00D4561B">
        <w:rPr>
          <w:sz w:val="24"/>
          <w:szCs w:val="24"/>
          <w:lang w:eastAsia="en-GB"/>
        </w:rPr>
        <w:t>)</w:t>
      </w:r>
      <w:r w:rsidR="0027442A">
        <w:rPr>
          <w:sz w:val="24"/>
          <w:szCs w:val="24"/>
          <w:lang w:eastAsia="en-GB"/>
        </w:rPr>
        <w:t xml:space="preserve"> but this did not reach </w:t>
      </w:r>
      <w:r w:rsidR="00550914">
        <w:rPr>
          <w:sz w:val="24"/>
          <w:szCs w:val="24"/>
          <w:lang w:eastAsia="en-GB"/>
        </w:rPr>
        <w:t>statistical sig</w:t>
      </w:r>
      <w:r w:rsidR="0027442A">
        <w:rPr>
          <w:sz w:val="24"/>
          <w:szCs w:val="24"/>
          <w:lang w:eastAsia="en-GB"/>
        </w:rPr>
        <w:t>nificance</w:t>
      </w:r>
      <w:r w:rsidR="00550914">
        <w:rPr>
          <w:sz w:val="24"/>
          <w:szCs w:val="24"/>
          <w:lang w:eastAsia="en-GB"/>
        </w:rPr>
        <w:t xml:space="preserve">: </w:t>
      </w:r>
      <w:r w:rsidR="00DC623F">
        <w:rPr>
          <w:sz w:val="24"/>
          <w:szCs w:val="24"/>
          <w:lang w:eastAsia="en-GB"/>
        </w:rPr>
        <w:t>incidence rate difference</w:t>
      </w:r>
      <w:r w:rsidR="00D4561B">
        <w:rPr>
          <w:sz w:val="24"/>
          <w:szCs w:val="24"/>
          <w:lang w:eastAsia="en-GB"/>
        </w:rPr>
        <w:t xml:space="preserve"> (95% CI)</w:t>
      </w:r>
      <w:r w:rsidR="00DC623F">
        <w:rPr>
          <w:sz w:val="24"/>
          <w:szCs w:val="24"/>
          <w:lang w:eastAsia="en-GB"/>
        </w:rPr>
        <w:t xml:space="preserve"> = </w:t>
      </w:r>
      <w:r w:rsidR="004241EB" w:rsidRPr="004241EB">
        <w:rPr>
          <w:sz w:val="24"/>
          <w:szCs w:val="24"/>
          <w:lang w:eastAsia="en-GB"/>
        </w:rPr>
        <w:t>0.07 (</w:t>
      </w:r>
      <w:r w:rsidR="00BC5E70">
        <w:rPr>
          <w:sz w:val="24"/>
          <w:szCs w:val="24"/>
          <w:lang w:eastAsia="en-GB"/>
        </w:rPr>
        <w:t>-0.016,</w:t>
      </w:r>
      <w:r w:rsidR="00550914">
        <w:rPr>
          <w:sz w:val="24"/>
          <w:szCs w:val="24"/>
          <w:lang w:eastAsia="en-GB"/>
        </w:rPr>
        <w:t xml:space="preserve"> 0.025), p=0.14</w:t>
      </w:r>
      <w:r>
        <w:rPr>
          <w:sz w:val="24"/>
          <w:szCs w:val="24"/>
          <w:lang w:eastAsia="en-GB"/>
        </w:rPr>
        <w:t xml:space="preserve">.  </w:t>
      </w:r>
      <w:r w:rsidR="0027442A">
        <w:rPr>
          <w:sz w:val="24"/>
          <w:szCs w:val="24"/>
          <w:lang w:eastAsia="en-GB"/>
        </w:rPr>
        <w:t>Six centres</w:t>
      </w:r>
      <w:r>
        <w:rPr>
          <w:sz w:val="24"/>
          <w:szCs w:val="24"/>
          <w:lang w:eastAsia="en-GB"/>
        </w:rPr>
        <w:t xml:space="preserve"> </w:t>
      </w:r>
      <w:r w:rsidR="0027442A">
        <w:rPr>
          <w:sz w:val="24"/>
          <w:szCs w:val="24"/>
          <w:lang w:eastAsia="en-GB"/>
        </w:rPr>
        <w:t>could always guarantee patients would be accommodated in a side room with en-suite facilities but only two</w:t>
      </w:r>
      <w:r>
        <w:rPr>
          <w:sz w:val="24"/>
          <w:szCs w:val="24"/>
          <w:lang w:eastAsia="en-GB"/>
        </w:rPr>
        <w:t xml:space="preserve"> had access to negative pressure cubicles </w:t>
      </w:r>
      <w:r w:rsidR="0027442A">
        <w:rPr>
          <w:sz w:val="24"/>
          <w:szCs w:val="24"/>
          <w:lang w:eastAsia="en-GB"/>
        </w:rPr>
        <w:t>for in-patients</w:t>
      </w:r>
      <w:r>
        <w:rPr>
          <w:sz w:val="24"/>
          <w:szCs w:val="24"/>
          <w:lang w:eastAsia="en-GB"/>
        </w:rPr>
        <w:t>.</w:t>
      </w:r>
      <w:r w:rsidR="00E517CF">
        <w:rPr>
          <w:sz w:val="24"/>
          <w:szCs w:val="24"/>
          <w:lang w:eastAsia="en-GB"/>
        </w:rPr>
        <w:t xml:space="preserve">  One centre used different wards for PA and non-PA patients.</w:t>
      </w:r>
      <w:r w:rsidR="00AF5507">
        <w:rPr>
          <w:sz w:val="24"/>
          <w:szCs w:val="24"/>
          <w:lang w:eastAsia="en-GB"/>
        </w:rPr>
        <w:t xml:space="preserve">  </w:t>
      </w:r>
    </w:p>
    <w:p w14:paraId="4335CD74" w14:textId="77777777" w:rsidR="005503C9" w:rsidRDefault="005503C9">
      <w:pPr>
        <w:rPr>
          <w:rFonts w:cstheme="minorHAnsi"/>
          <w:b/>
          <w:sz w:val="24"/>
          <w:szCs w:val="24"/>
          <w:lang w:eastAsia="en-GB"/>
        </w:rPr>
      </w:pPr>
      <w:r>
        <w:rPr>
          <w:lang w:eastAsia="en-GB"/>
        </w:rPr>
        <w:br w:type="page"/>
      </w:r>
    </w:p>
    <w:p w14:paraId="2CA86ED1" w14:textId="151434AF" w:rsidR="00E517CF" w:rsidRPr="00440029" w:rsidRDefault="000D095E" w:rsidP="00E517CF">
      <w:pPr>
        <w:pStyle w:val="Thorax2"/>
        <w:rPr>
          <w:lang w:eastAsia="en-GB"/>
        </w:rPr>
      </w:pPr>
      <w:r>
        <w:rPr>
          <w:lang w:eastAsia="en-GB"/>
        </w:rPr>
        <w:lastRenderedPageBreak/>
        <w:t xml:space="preserve">Table </w:t>
      </w:r>
      <w:r w:rsidR="00B84BE0">
        <w:rPr>
          <w:lang w:eastAsia="en-GB"/>
        </w:rPr>
        <w:t>1</w:t>
      </w:r>
      <w:r w:rsidR="00E517CF">
        <w:rPr>
          <w:lang w:eastAsia="en-GB"/>
        </w:rPr>
        <w:t xml:space="preserve">: Infection control policies in place at the recruiting centres </w:t>
      </w:r>
    </w:p>
    <w:tbl>
      <w:tblPr>
        <w:tblStyle w:val="TableGrid"/>
        <w:tblW w:w="9930" w:type="dxa"/>
        <w:jc w:val="center"/>
        <w:tblLook w:val="04A0" w:firstRow="1" w:lastRow="0" w:firstColumn="1" w:lastColumn="0" w:noHBand="0" w:noVBand="1"/>
      </w:tblPr>
      <w:tblGrid>
        <w:gridCol w:w="771"/>
        <w:gridCol w:w="815"/>
        <w:gridCol w:w="1234"/>
        <w:gridCol w:w="948"/>
        <w:gridCol w:w="880"/>
        <w:gridCol w:w="938"/>
        <w:gridCol w:w="1185"/>
        <w:gridCol w:w="1078"/>
        <w:gridCol w:w="1146"/>
        <w:gridCol w:w="935"/>
      </w:tblGrid>
      <w:tr w:rsidR="002824C8" w:rsidRPr="00E772F0" w14:paraId="0BC3ACE9" w14:textId="77777777" w:rsidTr="000E25FD">
        <w:trPr>
          <w:trHeight w:val="476"/>
          <w:jc w:val="center"/>
        </w:trPr>
        <w:tc>
          <w:tcPr>
            <w:tcW w:w="771" w:type="dxa"/>
            <w:vMerge w:val="restart"/>
            <w:vAlign w:val="center"/>
          </w:tcPr>
          <w:p w14:paraId="54B00165" w14:textId="77777777" w:rsidR="002824C8" w:rsidRPr="000A699C" w:rsidRDefault="002824C8" w:rsidP="000E25FD">
            <w:pPr>
              <w:jc w:val="center"/>
              <w:rPr>
                <w:rFonts w:cstheme="minorHAnsi"/>
                <w:b/>
                <w:sz w:val="20"/>
                <w:szCs w:val="20"/>
              </w:rPr>
            </w:pPr>
            <w:r w:rsidRPr="000A699C">
              <w:rPr>
                <w:rFonts w:cstheme="minorHAnsi"/>
                <w:b/>
                <w:sz w:val="20"/>
                <w:szCs w:val="20"/>
              </w:rPr>
              <w:t>Centre</w:t>
            </w:r>
          </w:p>
        </w:tc>
        <w:tc>
          <w:tcPr>
            <w:tcW w:w="815" w:type="dxa"/>
            <w:vMerge w:val="restart"/>
            <w:vAlign w:val="center"/>
          </w:tcPr>
          <w:p w14:paraId="7B5EDF83" w14:textId="3D4503D2" w:rsidR="002824C8" w:rsidRDefault="002824C8" w:rsidP="000E25FD">
            <w:pPr>
              <w:jc w:val="center"/>
              <w:rPr>
                <w:rFonts w:cstheme="minorHAnsi"/>
                <w:b/>
                <w:sz w:val="20"/>
                <w:szCs w:val="20"/>
              </w:rPr>
            </w:pPr>
            <w:r>
              <w:rPr>
                <w:rFonts w:cstheme="minorHAnsi"/>
                <w:b/>
                <w:sz w:val="20"/>
                <w:szCs w:val="20"/>
              </w:rPr>
              <w:t>Type of Centre</w:t>
            </w:r>
          </w:p>
        </w:tc>
        <w:tc>
          <w:tcPr>
            <w:tcW w:w="1234" w:type="dxa"/>
            <w:vMerge w:val="restart"/>
            <w:vAlign w:val="center"/>
          </w:tcPr>
          <w:p w14:paraId="66A95211" w14:textId="42E58CFF" w:rsidR="002824C8" w:rsidRPr="000A699C" w:rsidRDefault="002824C8" w:rsidP="000E25FD">
            <w:pPr>
              <w:jc w:val="center"/>
              <w:rPr>
                <w:rFonts w:cstheme="minorHAnsi"/>
                <w:b/>
                <w:sz w:val="20"/>
                <w:szCs w:val="20"/>
              </w:rPr>
            </w:pPr>
            <w:r>
              <w:rPr>
                <w:rFonts w:cstheme="minorHAnsi"/>
                <w:b/>
                <w:sz w:val="20"/>
                <w:szCs w:val="20"/>
              </w:rPr>
              <w:t>Incidence of new PA infection</w:t>
            </w:r>
          </w:p>
        </w:tc>
        <w:tc>
          <w:tcPr>
            <w:tcW w:w="2766" w:type="dxa"/>
            <w:gridSpan w:val="3"/>
            <w:vAlign w:val="center"/>
          </w:tcPr>
          <w:p w14:paraId="7F3265BD" w14:textId="1A23B37C" w:rsidR="002824C8" w:rsidRPr="000A699C" w:rsidRDefault="002824C8" w:rsidP="000E25FD">
            <w:pPr>
              <w:jc w:val="center"/>
              <w:rPr>
                <w:rFonts w:cstheme="minorHAnsi"/>
                <w:b/>
                <w:sz w:val="20"/>
                <w:szCs w:val="20"/>
              </w:rPr>
            </w:pPr>
            <w:r w:rsidRPr="000A699C">
              <w:rPr>
                <w:rFonts w:cstheme="minorHAnsi"/>
                <w:b/>
                <w:sz w:val="20"/>
                <w:szCs w:val="20"/>
              </w:rPr>
              <w:t>In-patient</w:t>
            </w:r>
          </w:p>
        </w:tc>
        <w:tc>
          <w:tcPr>
            <w:tcW w:w="4344" w:type="dxa"/>
            <w:gridSpan w:val="4"/>
            <w:vAlign w:val="center"/>
          </w:tcPr>
          <w:p w14:paraId="4B7612FF" w14:textId="77777777" w:rsidR="002824C8" w:rsidRPr="000A699C" w:rsidRDefault="002824C8" w:rsidP="000E25FD">
            <w:pPr>
              <w:jc w:val="center"/>
              <w:rPr>
                <w:rFonts w:cstheme="minorHAnsi"/>
                <w:b/>
                <w:sz w:val="20"/>
                <w:szCs w:val="20"/>
              </w:rPr>
            </w:pPr>
            <w:r w:rsidRPr="000A699C">
              <w:rPr>
                <w:rFonts w:cstheme="minorHAnsi"/>
                <w:b/>
                <w:sz w:val="20"/>
                <w:szCs w:val="20"/>
              </w:rPr>
              <w:t>Out-patient</w:t>
            </w:r>
          </w:p>
        </w:tc>
      </w:tr>
      <w:tr w:rsidR="00DB12B2" w:rsidRPr="00E772F0" w14:paraId="2962865B" w14:textId="77777777" w:rsidTr="000E25FD">
        <w:trPr>
          <w:trHeight w:val="160"/>
          <w:jc w:val="center"/>
        </w:trPr>
        <w:tc>
          <w:tcPr>
            <w:tcW w:w="771" w:type="dxa"/>
            <w:vMerge/>
            <w:vAlign w:val="center"/>
          </w:tcPr>
          <w:p w14:paraId="6CCD2C2D" w14:textId="77777777" w:rsidR="002824C8" w:rsidRPr="000A699C" w:rsidRDefault="002824C8" w:rsidP="000E25FD">
            <w:pPr>
              <w:jc w:val="center"/>
              <w:rPr>
                <w:rFonts w:cstheme="minorHAnsi"/>
                <w:sz w:val="20"/>
                <w:szCs w:val="20"/>
              </w:rPr>
            </w:pPr>
          </w:p>
        </w:tc>
        <w:tc>
          <w:tcPr>
            <w:tcW w:w="815" w:type="dxa"/>
            <w:vMerge/>
            <w:vAlign w:val="center"/>
          </w:tcPr>
          <w:p w14:paraId="1362BBA8" w14:textId="77777777" w:rsidR="002824C8" w:rsidRPr="000A699C" w:rsidRDefault="002824C8" w:rsidP="000E25FD">
            <w:pPr>
              <w:jc w:val="center"/>
              <w:rPr>
                <w:rFonts w:cstheme="minorHAnsi"/>
                <w:sz w:val="20"/>
                <w:szCs w:val="20"/>
              </w:rPr>
            </w:pPr>
          </w:p>
        </w:tc>
        <w:tc>
          <w:tcPr>
            <w:tcW w:w="1234" w:type="dxa"/>
            <w:vMerge/>
            <w:vAlign w:val="center"/>
          </w:tcPr>
          <w:p w14:paraId="08CDFB5F" w14:textId="01B18C5F" w:rsidR="002824C8" w:rsidRPr="000A699C" w:rsidRDefault="002824C8" w:rsidP="000E25FD">
            <w:pPr>
              <w:jc w:val="center"/>
              <w:rPr>
                <w:rFonts w:cstheme="minorHAnsi"/>
                <w:sz w:val="20"/>
                <w:szCs w:val="20"/>
              </w:rPr>
            </w:pPr>
          </w:p>
        </w:tc>
        <w:tc>
          <w:tcPr>
            <w:tcW w:w="948" w:type="dxa"/>
            <w:vAlign w:val="center"/>
          </w:tcPr>
          <w:p w14:paraId="1624A9C5" w14:textId="08BE54F5" w:rsidR="002824C8" w:rsidRPr="000A699C" w:rsidRDefault="002824C8" w:rsidP="000E25FD">
            <w:pPr>
              <w:jc w:val="center"/>
              <w:rPr>
                <w:rFonts w:cstheme="minorHAnsi"/>
                <w:sz w:val="20"/>
                <w:szCs w:val="20"/>
              </w:rPr>
            </w:pPr>
            <w:r w:rsidRPr="000A699C">
              <w:rPr>
                <w:rFonts w:cstheme="minorHAnsi"/>
                <w:sz w:val="20"/>
                <w:szCs w:val="20"/>
              </w:rPr>
              <w:t>Different wards for PA and non-PA patients</w:t>
            </w:r>
          </w:p>
        </w:tc>
        <w:tc>
          <w:tcPr>
            <w:tcW w:w="880" w:type="dxa"/>
            <w:vAlign w:val="center"/>
          </w:tcPr>
          <w:p w14:paraId="1791A1F1" w14:textId="77777777" w:rsidR="002824C8" w:rsidRPr="000A699C" w:rsidRDefault="002824C8" w:rsidP="000E25FD">
            <w:pPr>
              <w:jc w:val="center"/>
              <w:rPr>
                <w:rFonts w:cstheme="minorHAnsi"/>
                <w:sz w:val="20"/>
                <w:szCs w:val="20"/>
              </w:rPr>
            </w:pPr>
            <w:r w:rsidRPr="000A699C">
              <w:rPr>
                <w:rFonts w:cstheme="minorHAnsi"/>
                <w:sz w:val="20"/>
                <w:szCs w:val="20"/>
              </w:rPr>
              <w:t>All patients in side room with en-suite</w:t>
            </w:r>
          </w:p>
        </w:tc>
        <w:tc>
          <w:tcPr>
            <w:tcW w:w="938" w:type="dxa"/>
            <w:vAlign w:val="center"/>
          </w:tcPr>
          <w:p w14:paraId="48FE56F1" w14:textId="5A58B8F3" w:rsidR="002824C8" w:rsidRPr="000A699C" w:rsidRDefault="002824C8" w:rsidP="000E25FD">
            <w:pPr>
              <w:jc w:val="center"/>
              <w:rPr>
                <w:rFonts w:cstheme="minorHAnsi"/>
                <w:sz w:val="20"/>
                <w:szCs w:val="20"/>
              </w:rPr>
            </w:pPr>
            <w:r w:rsidRPr="000A699C">
              <w:rPr>
                <w:rFonts w:cstheme="minorHAnsi"/>
                <w:sz w:val="20"/>
                <w:szCs w:val="20"/>
              </w:rPr>
              <w:t>Negative pressure side rooms available</w:t>
            </w:r>
          </w:p>
        </w:tc>
        <w:tc>
          <w:tcPr>
            <w:tcW w:w="1185" w:type="dxa"/>
            <w:vAlign w:val="center"/>
          </w:tcPr>
          <w:p w14:paraId="605A44D3" w14:textId="77777777" w:rsidR="002824C8" w:rsidRPr="000A699C" w:rsidRDefault="002824C8" w:rsidP="000E25FD">
            <w:pPr>
              <w:jc w:val="center"/>
              <w:rPr>
                <w:rFonts w:cstheme="minorHAnsi"/>
                <w:sz w:val="20"/>
                <w:szCs w:val="20"/>
              </w:rPr>
            </w:pPr>
            <w:r w:rsidRPr="000A699C">
              <w:rPr>
                <w:rFonts w:cstheme="minorHAnsi"/>
                <w:sz w:val="20"/>
                <w:szCs w:val="20"/>
              </w:rPr>
              <w:t>Segregation of clinics according to PA status</w:t>
            </w:r>
          </w:p>
        </w:tc>
        <w:tc>
          <w:tcPr>
            <w:tcW w:w="1078" w:type="dxa"/>
            <w:vAlign w:val="center"/>
          </w:tcPr>
          <w:p w14:paraId="020F345D" w14:textId="77777777" w:rsidR="002824C8" w:rsidRPr="000A699C" w:rsidRDefault="002824C8" w:rsidP="000E25FD">
            <w:pPr>
              <w:jc w:val="center"/>
              <w:rPr>
                <w:rFonts w:cstheme="minorHAnsi"/>
                <w:sz w:val="20"/>
                <w:szCs w:val="20"/>
              </w:rPr>
            </w:pPr>
            <w:r w:rsidRPr="000A699C">
              <w:rPr>
                <w:rFonts w:cstheme="minorHAnsi"/>
                <w:sz w:val="20"/>
                <w:szCs w:val="20"/>
              </w:rPr>
              <w:t>Avoidance of communal areas</w:t>
            </w:r>
          </w:p>
        </w:tc>
        <w:tc>
          <w:tcPr>
            <w:tcW w:w="1146" w:type="dxa"/>
            <w:vAlign w:val="center"/>
          </w:tcPr>
          <w:p w14:paraId="1C5881DE" w14:textId="0EE00B23" w:rsidR="002824C8" w:rsidRPr="000A699C" w:rsidRDefault="00DB12B2" w:rsidP="00DB12B2">
            <w:pPr>
              <w:jc w:val="center"/>
              <w:rPr>
                <w:rFonts w:cstheme="minorHAnsi"/>
                <w:sz w:val="20"/>
                <w:szCs w:val="20"/>
              </w:rPr>
            </w:pPr>
            <w:r>
              <w:rPr>
                <w:rFonts w:cstheme="minorHAnsi"/>
                <w:sz w:val="20"/>
                <w:szCs w:val="20"/>
              </w:rPr>
              <w:t>Patient r</w:t>
            </w:r>
            <w:r w:rsidR="002824C8" w:rsidRPr="000A699C">
              <w:rPr>
                <w:rFonts w:cstheme="minorHAnsi"/>
                <w:sz w:val="20"/>
                <w:szCs w:val="20"/>
              </w:rPr>
              <w:t>emains in same room throughout clinic</w:t>
            </w:r>
          </w:p>
        </w:tc>
        <w:tc>
          <w:tcPr>
            <w:tcW w:w="935" w:type="dxa"/>
            <w:vAlign w:val="center"/>
          </w:tcPr>
          <w:p w14:paraId="0A7AF054" w14:textId="77777777" w:rsidR="002824C8" w:rsidRPr="000A699C" w:rsidRDefault="002824C8" w:rsidP="000E25FD">
            <w:pPr>
              <w:jc w:val="center"/>
              <w:rPr>
                <w:rFonts w:cstheme="minorHAnsi"/>
                <w:sz w:val="20"/>
                <w:szCs w:val="20"/>
              </w:rPr>
            </w:pPr>
            <w:r w:rsidRPr="000A699C">
              <w:rPr>
                <w:rFonts w:cstheme="minorHAnsi"/>
                <w:sz w:val="20"/>
                <w:szCs w:val="20"/>
              </w:rPr>
              <w:t>Cleaning of rooms between patients</w:t>
            </w:r>
          </w:p>
        </w:tc>
      </w:tr>
      <w:tr w:rsidR="00DB12B2" w:rsidRPr="00E772F0" w14:paraId="42B78024" w14:textId="77777777" w:rsidTr="000E25FD">
        <w:trPr>
          <w:trHeight w:val="239"/>
          <w:jc w:val="center"/>
        </w:trPr>
        <w:tc>
          <w:tcPr>
            <w:tcW w:w="771" w:type="dxa"/>
            <w:vAlign w:val="center"/>
          </w:tcPr>
          <w:p w14:paraId="43C9219B" w14:textId="77777777" w:rsidR="002824C8" w:rsidRPr="000A699C" w:rsidRDefault="002824C8" w:rsidP="000E25FD">
            <w:pPr>
              <w:jc w:val="center"/>
              <w:rPr>
                <w:rFonts w:cstheme="minorHAnsi"/>
                <w:sz w:val="20"/>
                <w:szCs w:val="20"/>
              </w:rPr>
            </w:pPr>
            <w:r w:rsidRPr="000A699C">
              <w:rPr>
                <w:rFonts w:cstheme="minorHAnsi"/>
                <w:sz w:val="20"/>
                <w:szCs w:val="20"/>
              </w:rPr>
              <w:t>1</w:t>
            </w:r>
          </w:p>
        </w:tc>
        <w:tc>
          <w:tcPr>
            <w:tcW w:w="815" w:type="dxa"/>
            <w:vAlign w:val="center"/>
          </w:tcPr>
          <w:p w14:paraId="39CD6A5C" w14:textId="1F138864" w:rsidR="002824C8" w:rsidRPr="008A68C8" w:rsidRDefault="002824C8" w:rsidP="000E25FD">
            <w:pPr>
              <w:jc w:val="center"/>
              <w:rPr>
                <w:rFonts w:eastAsia="Times New Roman" w:cstheme="minorHAnsi"/>
                <w:sz w:val="20"/>
                <w:szCs w:val="18"/>
                <w:lang w:eastAsia="en-GB"/>
              </w:rPr>
            </w:pPr>
            <w:r>
              <w:rPr>
                <w:rFonts w:eastAsia="Times New Roman" w:cstheme="minorHAnsi"/>
                <w:sz w:val="20"/>
                <w:szCs w:val="18"/>
                <w:lang w:eastAsia="en-GB"/>
              </w:rPr>
              <w:t>T</w:t>
            </w:r>
          </w:p>
        </w:tc>
        <w:tc>
          <w:tcPr>
            <w:tcW w:w="1234" w:type="dxa"/>
            <w:vAlign w:val="center"/>
          </w:tcPr>
          <w:p w14:paraId="7206A4D7" w14:textId="4DC5D6C7" w:rsidR="002824C8" w:rsidRPr="008A68C8" w:rsidRDefault="002824C8" w:rsidP="000E25FD">
            <w:pPr>
              <w:jc w:val="center"/>
              <w:rPr>
                <w:rFonts w:eastAsia="Times New Roman" w:cstheme="minorHAnsi"/>
                <w:sz w:val="20"/>
                <w:szCs w:val="18"/>
                <w:lang w:eastAsia="en-GB"/>
              </w:rPr>
            </w:pPr>
            <w:r w:rsidRPr="008A68C8">
              <w:rPr>
                <w:rFonts w:eastAsia="Times New Roman" w:cstheme="minorHAnsi"/>
                <w:sz w:val="20"/>
                <w:szCs w:val="18"/>
                <w:lang w:eastAsia="en-GB"/>
              </w:rPr>
              <w:t>0.22</w:t>
            </w:r>
          </w:p>
          <w:p w14:paraId="34A9BFA5" w14:textId="03EEBF6D" w:rsidR="002824C8" w:rsidRPr="008A68C8" w:rsidRDefault="002824C8" w:rsidP="000E25FD">
            <w:pPr>
              <w:jc w:val="center"/>
              <w:rPr>
                <w:rFonts w:cstheme="minorHAnsi"/>
                <w:sz w:val="20"/>
                <w:szCs w:val="20"/>
              </w:rPr>
            </w:pPr>
            <w:r w:rsidRPr="008A68C8">
              <w:rPr>
                <w:rFonts w:eastAsia="Times New Roman" w:cstheme="minorHAnsi"/>
                <w:sz w:val="20"/>
                <w:szCs w:val="18"/>
                <w:lang w:eastAsia="en-GB"/>
              </w:rPr>
              <w:t>(0.10-0.40)</w:t>
            </w:r>
          </w:p>
        </w:tc>
        <w:tc>
          <w:tcPr>
            <w:tcW w:w="948" w:type="dxa"/>
            <w:vAlign w:val="center"/>
          </w:tcPr>
          <w:p w14:paraId="161B1B44" w14:textId="6131201C" w:rsidR="002824C8" w:rsidRPr="000A699C" w:rsidRDefault="002824C8" w:rsidP="000E25FD">
            <w:pPr>
              <w:jc w:val="center"/>
              <w:rPr>
                <w:rFonts w:cstheme="minorHAnsi"/>
                <w:sz w:val="20"/>
                <w:szCs w:val="20"/>
              </w:rPr>
            </w:pPr>
            <w:r w:rsidRPr="000A699C">
              <w:rPr>
                <w:rFonts w:cstheme="minorHAnsi"/>
                <w:sz w:val="20"/>
                <w:szCs w:val="20"/>
              </w:rPr>
              <w:t>Y</w:t>
            </w:r>
            <w:r>
              <w:rPr>
                <w:rFonts w:cstheme="minorHAnsi"/>
                <w:sz w:val="20"/>
                <w:szCs w:val="20"/>
              </w:rPr>
              <w:t>es</w:t>
            </w:r>
          </w:p>
        </w:tc>
        <w:tc>
          <w:tcPr>
            <w:tcW w:w="880" w:type="dxa"/>
            <w:vAlign w:val="center"/>
          </w:tcPr>
          <w:p w14:paraId="28F1BF05" w14:textId="77777777" w:rsidR="002824C8" w:rsidRPr="000A699C" w:rsidRDefault="002824C8" w:rsidP="000E25FD">
            <w:pPr>
              <w:jc w:val="center"/>
              <w:rPr>
                <w:rFonts w:cstheme="minorHAnsi"/>
                <w:sz w:val="20"/>
                <w:szCs w:val="20"/>
              </w:rPr>
            </w:pPr>
            <w:r w:rsidRPr="000A699C">
              <w:rPr>
                <w:rFonts w:cstheme="minorHAnsi"/>
                <w:sz w:val="20"/>
                <w:szCs w:val="20"/>
              </w:rPr>
              <w:t>Y</w:t>
            </w:r>
            <w:r>
              <w:rPr>
                <w:rFonts w:cstheme="minorHAnsi"/>
                <w:sz w:val="20"/>
                <w:szCs w:val="20"/>
              </w:rPr>
              <w:t>es</w:t>
            </w:r>
          </w:p>
        </w:tc>
        <w:tc>
          <w:tcPr>
            <w:tcW w:w="938" w:type="dxa"/>
            <w:vAlign w:val="center"/>
          </w:tcPr>
          <w:p w14:paraId="5D39E8F3" w14:textId="77777777"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1185" w:type="dxa"/>
            <w:vAlign w:val="center"/>
          </w:tcPr>
          <w:p w14:paraId="11AA8CB8" w14:textId="77777777" w:rsidR="002824C8" w:rsidRPr="000A699C" w:rsidRDefault="002824C8" w:rsidP="000E25FD">
            <w:pPr>
              <w:jc w:val="center"/>
              <w:rPr>
                <w:rFonts w:cstheme="minorHAnsi"/>
                <w:sz w:val="20"/>
                <w:szCs w:val="20"/>
              </w:rPr>
            </w:pPr>
            <w:r w:rsidRPr="005D68AE">
              <w:rPr>
                <w:rFonts w:cstheme="minorHAnsi"/>
                <w:sz w:val="20"/>
                <w:szCs w:val="20"/>
              </w:rPr>
              <w:t>Yes</w:t>
            </w:r>
          </w:p>
        </w:tc>
        <w:tc>
          <w:tcPr>
            <w:tcW w:w="1078" w:type="dxa"/>
            <w:vAlign w:val="center"/>
          </w:tcPr>
          <w:p w14:paraId="56E52B89" w14:textId="77777777" w:rsidR="002824C8" w:rsidRDefault="002824C8" w:rsidP="000E25FD">
            <w:pPr>
              <w:jc w:val="center"/>
            </w:pPr>
            <w:r w:rsidRPr="00E15CA6">
              <w:rPr>
                <w:rFonts w:cstheme="minorHAnsi"/>
                <w:sz w:val="20"/>
                <w:szCs w:val="20"/>
              </w:rPr>
              <w:t>Yes</w:t>
            </w:r>
          </w:p>
        </w:tc>
        <w:tc>
          <w:tcPr>
            <w:tcW w:w="1146" w:type="dxa"/>
            <w:vAlign w:val="center"/>
          </w:tcPr>
          <w:p w14:paraId="30C4058E" w14:textId="77777777" w:rsidR="002824C8" w:rsidRDefault="002824C8" w:rsidP="000E25FD">
            <w:pPr>
              <w:jc w:val="center"/>
            </w:pPr>
            <w:r w:rsidRPr="0022619E">
              <w:rPr>
                <w:rFonts w:cstheme="minorHAnsi"/>
                <w:sz w:val="20"/>
                <w:szCs w:val="20"/>
              </w:rPr>
              <w:t>Yes</w:t>
            </w:r>
          </w:p>
        </w:tc>
        <w:tc>
          <w:tcPr>
            <w:tcW w:w="935" w:type="dxa"/>
            <w:vAlign w:val="center"/>
          </w:tcPr>
          <w:p w14:paraId="6B15E9CE" w14:textId="77777777" w:rsidR="002824C8" w:rsidRPr="000A699C" w:rsidRDefault="002824C8" w:rsidP="000E25FD">
            <w:pPr>
              <w:jc w:val="center"/>
              <w:rPr>
                <w:rFonts w:cstheme="minorHAnsi"/>
                <w:sz w:val="20"/>
                <w:szCs w:val="20"/>
              </w:rPr>
            </w:pPr>
            <w:r w:rsidRPr="000A699C">
              <w:rPr>
                <w:rFonts w:cstheme="minorHAnsi"/>
                <w:sz w:val="20"/>
                <w:szCs w:val="20"/>
              </w:rPr>
              <w:t>Y</w:t>
            </w:r>
            <w:r w:rsidRPr="00AF5507">
              <w:rPr>
                <w:rFonts w:cstheme="minorHAnsi"/>
                <w:sz w:val="20"/>
                <w:szCs w:val="20"/>
              </w:rPr>
              <w:t>es</w:t>
            </w:r>
          </w:p>
        </w:tc>
      </w:tr>
      <w:tr w:rsidR="00DB12B2" w:rsidRPr="00E772F0" w14:paraId="777E56BE" w14:textId="77777777" w:rsidTr="000E25FD">
        <w:trPr>
          <w:trHeight w:val="239"/>
          <w:jc w:val="center"/>
        </w:trPr>
        <w:tc>
          <w:tcPr>
            <w:tcW w:w="771" w:type="dxa"/>
            <w:vAlign w:val="center"/>
          </w:tcPr>
          <w:p w14:paraId="14BBCC1C" w14:textId="77777777" w:rsidR="002824C8" w:rsidRPr="000A699C" w:rsidRDefault="002824C8" w:rsidP="000E25FD">
            <w:pPr>
              <w:jc w:val="center"/>
              <w:rPr>
                <w:rFonts w:cstheme="minorHAnsi"/>
                <w:sz w:val="20"/>
                <w:szCs w:val="20"/>
              </w:rPr>
            </w:pPr>
            <w:r w:rsidRPr="000A699C">
              <w:rPr>
                <w:rFonts w:cstheme="minorHAnsi"/>
                <w:sz w:val="20"/>
                <w:szCs w:val="20"/>
              </w:rPr>
              <w:t>2</w:t>
            </w:r>
          </w:p>
        </w:tc>
        <w:tc>
          <w:tcPr>
            <w:tcW w:w="815" w:type="dxa"/>
            <w:vAlign w:val="center"/>
          </w:tcPr>
          <w:p w14:paraId="03A9393F" w14:textId="4B642C1C" w:rsidR="002824C8" w:rsidRPr="008A68C8" w:rsidRDefault="002824C8" w:rsidP="000E25FD">
            <w:pPr>
              <w:jc w:val="center"/>
              <w:rPr>
                <w:rFonts w:eastAsia="Times New Roman" w:cstheme="minorHAnsi"/>
                <w:sz w:val="20"/>
                <w:szCs w:val="18"/>
                <w:lang w:eastAsia="en-GB"/>
              </w:rPr>
            </w:pPr>
            <w:r>
              <w:rPr>
                <w:rFonts w:eastAsia="Times New Roman" w:cstheme="minorHAnsi"/>
                <w:sz w:val="20"/>
                <w:szCs w:val="18"/>
                <w:lang w:eastAsia="en-GB"/>
              </w:rPr>
              <w:t>T</w:t>
            </w:r>
          </w:p>
        </w:tc>
        <w:tc>
          <w:tcPr>
            <w:tcW w:w="1234" w:type="dxa"/>
            <w:vAlign w:val="center"/>
          </w:tcPr>
          <w:p w14:paraId="79325AB0" w14:textId="18760BA3" w:rsidR="002824C8" w:rsidRPr="008A68C8" w:rsidRDefault="002824C8" w:rsidP="000E25FD">
            <w:pPr>
              <w:jc w:val="center"/>
              <w:rPr>
                <w:rFonts w:eastAsia="Times New Roman" w:cstheme="minorHAnsi"/>
                <w:sz w:val="20"/>
                <w:szCs w:val="18"/>
                <w:lang w:eastAsia="en-GB"/>
              </w:rPr>
            </w:pPr>
            <w:r w:rsidRPr="008A68C8">
              <w:rPr>
                <w:rFonts w:eastAsia="Times New Roman" w:cstheme="minorHAnsi"/>
                <w:sz w:val="20"/>
                <w:szCs w:val="18"/>
                <w:lang w:eastAsia="en-GB"/>
              </w:rPr>
              <w:t>0.18</w:t>
            </w:r>
          </w:p>
          <w:p w14:paraId="34583196" w14:textId="1BCE0495" w:rsidR="002824C8" w:rsidRPr="008A68C8" w:rsidRDefault="002824C8" w:rsidP="000E25FD">
            <w:pPr>
              <w:jc w:val="center"/>
              <w:rPr>
                <w:rFonts w:cstheme="minorHAnsi"/>
                <w:sz w:val="20"/>
                <w:szCs w:val="20"/>
              </w:rPr>
            </w:pPr>
            <w:r w:rsidRPr="008A68C8">
              <w:rPr>
                <w:rFonts w:eastAsia="Times New Roman" w:cstheme="minorHAnsi"/>
                <w:sz w:val="20"/>
                <w:szCs w:val="18"/>
                <w:lang w:eastAsia="en-GB"/>
              </w:rPr>
              <w:t>(0.10-0.29)</w:t>
            </w:r>
          </w:p>
        </w:tc>
        <w:tc>
          <w:tcPr>
            <w:tcW w:w="948" w:type="dxa"/>
            <w:vAlign w:val="center"/>
          </w:tcPr>
          <w:p w14:paraId="0391F849" w14:textId="6F29DEE0"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880" w:type="dxa"/>
            <w:vAlign w:val="center"/>
          </w:tcPr>
          <w:p w14:paraId="11EEBF25" w14:textId="77777777"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938" w:type="dxa"/>
            <w:vAlign w:val="center"/>
          </w:tcPr>
          <w:p w14:paraId="0F27B1E1" w14:textId="77777777"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1185" w:type="dxa"/>
            <w:vAlign w:val="center"/>
          </w:tcPr>
          <w:p w14:paraId="00DFCA80" w14:textId="77777777"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1078" w:type="dxa"/>
            <w:vAlign w:val="center"/>
          </w:tcPr>
          <w:p w14:paraId="24684819" w14:textId="77777777" w:rsidR="002824C8" w:rsidRDefault="002824C8" w:rsidP="000E25FD">
            <w:pPr>
              <w:jc w:val="center"/>
            </w:pPr>
            <w:r w:rsidRPr="00E15CA6">
              <w:rPr>
                <w:rFonts w:cstheme="minorHAnsi"/>
                <w:sz w:val="20"/>
                <w:szCs w:val="20"/>
              </w:rPr>
              <w:t>Yes</w:t>
            </w:r>
          </w:p>
        </w:tc>
        <w:tc>
          <w:tcPr>
            <w:tcW w:w="1146" w:type="dxa"/>
            <w:vAlign w:val="center"/>
          </w:tcPr>
          <w:p w14:paraId="4FA2B861" w14:textId="77777777" w:rsidR="002824C8" w:rsidRDefault="002824C8" w:rsidP="000E25FD">
            <w:pPr>
              <w:jc w:val="center"/>
            </w:pPr>
            <w:r w:rsidRPr="0022619E">
              <w:rPr>
                <w:rFonts w:cstheme="minorHAnsi"/>
                <w:sz w:val="20"/>
                <w:szCs w:val="20"/>
              </w:rPr>
              <w:t>Yes</w:t>
            </w:r>
          </w:p>
        </w:tc>
        <w:tc>
          <w:tcPr>
            <w:tcW w:w="935" w:type="dxa"/>
            <w:vAlign w:val="center"/>
          </w:tcPr>
          <w:p w14:paraId="308849A7" w14:textId="77777777" w:rsidR="002824C8" w:rsidRDefault="002824C8" w:rsidP="000E25FD">
            <w:pPr>
              <w:jc w:val="center"/>
            </w:pPr>
            <w:r w:rsidRPr="007D57BC">
              <w:rPr>
                <w:rFonts w:cstheme="minorHAnsi"/>
                <w:sz w:val="20"/>
                <w:szCs w:val="20"/>
              </w:rPr>
              <w:t>Yes</w:t>
            </w:r>
          </w:p>
        </w:tc>
      </w:tr>
      <w:tr w:rsidR="00DB12B2" w:rsidRPr="00E772F0" w14:paraId="3CB508D3" w14:textId="77777777" w:rsidTr="000E25FD">
        <w:trPr>
          <w:trHeight w:val="217"/>
          <w:jc w:val="center"/>
        </w:trPr>
        <w:tc>
          <w:tcPr>
            <w:tcW w:w="771" w:type="dxa"/>
            <w:vAlign w:val="center"/>
          </w:tcPr>
          <w:p w14:paraId="44D2B760" w14:textId="77777777" w:rsidR="002824C8" w:rsidRPr="000A699C" w:rsidRDefault="002824C8" w:rsidP="000E25FD">
            <w:pPr>
              <w:jc w:val="center"/>
              <w:rPr>
                <w:rFonts w:cstheme="minorHAnsi"/>
                <w:sz w:val="20"/>
                <w:szCs w:val="20"/>
              </w:rPr>
            </w:pPr>
            <w:r w:rsidRPr="000A699C">
              <w:rPr>
                <w:rFonts w:cstheme="minorHAnsi"/>
                <w:sz w:val="20"/>
                <w:szCs w:val="20"/>
              </w:rPr>
              <w:t>3</w:t>
            </w:r>
          </w:p>
        </w:tc>
        <w:tc>
          <w:tcPr>
            <w:tcW w:w="815" w:type="dxa"/>
            <w:vAlign w:val="center"/>
          </w:tcPr>
          <w:p w14:paraId="0FDE2891" w14:textId="5CFD0876" w:rsidR="002824C8" w:rsidRPr="008A68C8" w:rsidRDefault="002824C8" w:rsidP="000E25FD">
            <w:pPr>
              <w:jc w:val="center"/>
              <w:rPr>
                <w:rFonts w:eastAsia="Times New Roman" w:cstheme="minorHAnsi"/>
                <w:sz w:val="20"/>
                <w:szCs w:val="18"/>
                <w:lang w:eastAsia="en-GB"/>
              </w:rPr>
            </w:pPr>
            <w:r>
              <w:rPr>
                <w:rFonts w:eastAsia="Times New Roman" w:cstheme="minorHAnsi"/>
                <w:sz w:val="20"/>
                <w:szCs w:val="18"/>
                <w:lang w:eastAsia="en-GB"/>
              </w:rPr>
              <w:t>SC</w:t>
            </w:r>
          </w:p>
        </w:tc>
        <w:tc>
          <w:tcPr>
            <w:tcW w:w="1234" w:type="dxa"/>
            <w:vAlign w:val="center"/>
          </w:tcPr>
          <w:p w14:paraId="49927828" w14:textId="0E05CEE0" w:rsidR="002824C8" w:rsidRPr="008A68C8" w:rsidRDefault="002824C8" w:rsidP="000E25FD">
            <w:pPr>
              <w:jc w:val="center"/>
              <w:rPr>
                <w:rFonts w:eastAsia="Times New Roman" w:cstheme="minorHAnsi"/>
                <w:sz w:val="20"/>
                <w:szCs w:val="18"/>
                <w:lang w:eastAsia="en-GB"/>
              </w:rPr>
            </w:pPr>
            <w:r w:rsidRPr="008A68C8">
              <w:rPr>
                <w:rFonts w:eastAsia="Times New Roman" w:cstheme="minorHAnsi"/>
                <w:sz w:val="20"/>
                <w:szCs w:val="18"/>
                <w:lang w:eastAsia="en-GB"/>
              </w:rPr>
              <w:t>0.27</w:t>
            </w:r>
          </w:p>
          <w:p w14:paraId="758E3CB1" w14:textId="131880EF" w:rsidR="002824C8" w:rsidRPr="008A68C8" w:rsidRDefault="002824C8" w:rsidP="000E25FD">
            <w:pPr>
              <w:jc w:val="center"/>
              <w:rPr>
                <w:rFonts w:cstheme="minorHAnsi"/>
                <w:sz w:val="20"/>
                <w:szCs w:val="20"/>
              </w:rPr>
            </w:pPr>
            <w:r w:rsidRPr="008A68C8">
              <w:rPr>
                <w:rFonts w:eastAsia="Times New Roman" w:cstheme="minorHAnsi"/>
                <w:sz w:val="20"/>
                <w:szCs w:val="18"/>
                <w:lang w:eastAsia="en-GB"/>
              </w:rPr>
              <w:t>(0.15-0.43)</w:t>
            </w:r>
          </w:p>
        </w:tc>
        <w:tc>
          <w:tcPr>
            <w:tcW w:w="948" w:type="dxa"/>
            <w:vAlign w:val="center"/>
          </w:tcPr>
          <w:p w14:paraId="62D1BD8E" w14:textId="367304DC"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880" w:type="dxa"/>
            <w:vAlign w:val="center"/>
          </w:tcPr>
          <w:p w14:paraId="2361EF11" w14:textId="77777777" w:rsidR="002824C8" w:rsidRPr="000A699C" w:rsidRDefault="002824C8" w:rsidP="000E25FD">
            <w:pPr>
              <w:jc w:val="center"/>
              <w:rPr>
                <w:rFonts w:cstheme="minorHAnsi"/>
                <w:sz w:val="20"/>
                <w:szCs w:val="20"/>
              </w:rPr>
            </w:pPr>
            <w:r w:rsidRPr="000A699C">
              <w:rPr>
                <w:rFonts w:cstheme="minorHAnsi"/>
                <w:sz w:val="20"/>
                <w:szCs w:val="20"/>
              </w:rPr>
              <w:t>Y</w:t>
            </w:r>
            <w:r>
              <w:rPr>
                <w:rFonts w:cstheme="minorHAnsi"/>
                <w:sz w:val="20"/>
                <w:szCs w:val="20"/>
              </w:rPr>
              <w:t>es</w:t>
            </w:r>
          </w:p>
        </w:tc>
        <w:tc>
          <w:tcPr>
            <w:tcW w:w="938" w:type="dxa"/>
            <w:vAlign w:val="center"/>
          </w:tcPr>
          <w:p w14:paraId="7F1D2A07" w14:textId="77777777"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1185" w:type="dxa"/>
            <w:vAlign w:val="center"/>
          </w:tcPr>
          <w:p w14:paraId="1CE239FE" w14:textId="77777777"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1078" w:type="dxa"/>
            <w:vAlign w:val="center"/>
          </w:tcPr>
          <w:p w14:paraId="2DD78B08" w14:textId="77777777" w:rsidR="002824C8" w:rsidRDefault="002824C8" w:rsidP="000E25FD">
            <w:pPr>
              <w:jc w:val="center"/>
            </w:pPr>
            <w:r w:rsidRPr="00E15CA6">
              <w:rPr>
                <w:rFonts w:cstheme="minorHAnsi"/>
                <w:sz w:val="20"/>
                <w:szCs w:val="20"/>
              </w:rPr>
              <w:t>Yes</w:t>
            </w:r>
          </w:p>
        </w:tc>
        <w:tc>
          <w:tcPr>
            <w:tcW w:w="1146" w:type="dxa"/>
            <w:vAlign w:val="center"/>
          </w:tcPr>
          <w:p w14:paraId="40FD8FDE" w14:textId="77777777" w:rsidR="002824C8" w:rsidRDefault="002824C8" w:rsidP="000E25FD">
            <w:pPr>
              <w:jc w:val="center"/>
            </w:pPr>
            <w:r w:rsidRPr="0022619E">
              <w:rPr>
                <w:rFonts w:cstheme="minorHAnsi"/>
                <w:sz w:val="20"/>
                <w:szCs w:val="20"/>
              </w:rPr>
              <w:t>Yes</w:t>
            </w:r>
          </w:p>
        </w:tc>
        <w:tc>
          <w:tcPr>
            <w:tcW w:w="935" w:type="dxa"/>
            <w:vAlign w:val="center"/>
          </w:tcPr>
          <w:p w14:paraId="5A8508F2" w14:textId="77777777" w:rsidR="002824C8" w:rsidRDefault="002824C8" w:rsidP="000E25FD">
            <w:pPr>
              <w:jc w:val="center"/>
            </w:pPr>
            <w:r w:rsidRPr="007D57BC">
              <w:rPr>
                <w:rFonts w:cstheme="minorHAnsi"/>
                <w:sz w:val="20"/>
                <w:szCs w:val="20"/>
              </w:rPr>
              <w:t>Yes</w:t>
            </w:r>
          </w:p>
        </w:tc>
      </w:tr>
      <w:tr w:rsidR="00DB12B2" w:rsidRPr="00E772F0" w14:paraId="152B7B69" w14:textId="77777777" w:rsidTr="000E25FD">
        <w:trPr>
          <w:trHeight w:val="239"/>
          <w:jc w:val="center"/>
        </w:trPr>
        <w:tc>
          <w:tcPr>
            <w:tcW w:w="771" w:type="dxa"/>
            <w:vAlign w:val="center"/>
          </w:tcPr>
          <w:p w14:paraId="0820697D" w14:textId="77777777" w:rsidR="002824C8" w:rsidRPr="000A699C" w:rsidRDefault="002824C8" w:rsidP="000E25FD">
            <w:pPr>
              <w:jc w:val="center"/>
              <w:rPr>
                <w:rFonts w:cstheme="minorHAnsi"/>
                <w:sz w:val="20"/>
                <w:szCs w:val="20"/>
              </w:rPr>
            </w:pPr>
            <w:r w:rsidRPr="000A699C">
              <w:rPr>
                <w:rFonts w:cstheme="minorHAnsi"/>
                <w:sz w:val="20"/>
                <w:szCs w:val="20"/>
              </w:rPr>
              <w:t>4</w:t>
            </w:r>
          </w:p>
        </w:tc>
        <w:tc>
          <w:tcPr>
            <w:tcW w:w="815" w:type="dxa"/>
            <w:vAlign w:val="center"/>
          </w:tcPr>
          <w:p w14:paraId="64064607" w14:textId="723A6BFC" w:rsidR="002824C8" w:rsidRPr="008A68C8" w:rsidRDefault="002824C8" w:rsidP="000E25FD">
            <w:pPr>
              <w:jc w:val="center"/>
              <w:rPr>
                <w:rFonts w:eastAsia="Times New Roman" w:cstheme="minorHAnsi"/>
                <w:sz w:val="20"/>
                <w:szCs w:val="18"/>
                <w:lang w:eastAsia="en-GB"/>
              </w:rPr>
            </w:pPr>
            <w:r>
              <w:rPr>
                <w:rFonts w:eastAsia="Times New Roman" w:cstheme="minorHAnsi"/>
                <w:sz w:val="20"/>
                <w:szCs w:val="18"/>
                <w:lang w:eastAsia="en-GB"/>
              </w:rPr>
              <w:t>T</w:t>
            </w:r>
          </w:p>
        </w:tc>
        <w:tc>
          <w:tcPr>
            <w:tcW w:w="1234" w:type="dxa"/>
            <w:vAlign w:val="center"/>
          </w:tcPr>
          <w:p w14:paraId="2E17019B" w14:textId="179635B4" w:rsidR="002824C8" w:rsidRPr="008A68C8" w:rsidRDefault="001A1889" w:rsidP="000E25FD">
            <w:pPr>
              <w:jc w:val="center"/>
              <w:rPr>
                <w:rFonts w:eastAsia="Times New Roman" w:cstheme="minorHAnsi"/>
                <w:sz w:val="20"/>
                <w:szCs w:val="18"/>
                <w:lang w:eastAsia="en-GB"/>
              </w:rPr>
            </w:pPr>
            <w:r>
              <w:rPr>
                <w:rFonts w:eastAsia="Times New Roman" w:cstheme="minorHAnsi"/>
                <w:sz w:val="20"/>
                <w:szCs w:val="18"/>
                <w:lang w:eastAsia="en-GB"/>
              </w:rPr>
              <w:t>0.19</w:t>
            </w:r>
          </w:p>
          <w:p w14:paraId="683F3D48" w14:textId="43A5544D" w:rsidR="002824C8" w:rsidRPr="008A68C8" w:rsidRDefault="002824C8" w:rsidP="000E25FD">
            <w:pPr>
              <w:jc w:val="center"/>
              <w:rPr>
                <w:rFonts w:cstheme="minorHAnsi"/>
                <w:sz w:val="20"/>
                <w:szCs w:val="20"/>
              </w:rPr>
            </w:pPr>
            <w:r w:rsidRPr="008A68C8">
              <w:rPr>
                <w:rFonts w:eastAsia="Times New Roman" w:cstheme="minorHAnsi"/>
                <w:sz w:val="20"/>
                <w:szCs w:val="18"/>
                <w:lang w:eastAsia="en-GB"/>
              </w:rPr>
              <w:t>(0.12-0.29)</w:t>
            </w:r>
          </w:p>
        </w:tc>
        <w:tc>
          <w:tcPr>
            <w:tcW w:w="948" w:type="dxa"/>
            <w:vAlign w:val="center"/>
          </w:tcPr>
          <w:p w14:paraId="5E7B83ED" w14:textId="6CBB4B28"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880" w:type="dxa"/>
            <w:vAlign w:val="center"/>
          </w:tcPr>
          <w:p w14:paraId="4380F8AF" w14:textId="77777777" w:rsidR="002824C8" w:rsidRPr="000A699C" w:rsidRDefault="002824C8" w:rsidP="000E25FD">
            <w:pPr>
              <w:jc w:val="center"/>
              <w:rPr>
                <w:rFonts w:cstheme="minorHAnsi"/>
                <w:sz w:val="20"/>
                <w:szCs w:val="20"/>
              </w:rPr>
            </w:pPr>
            <w:r w:rsidRPr="000A699C">
              <w:rPr>
                <w:rFonts w:cstheme="minorHAnsi"/>
                <w:sz w:val="20"/>
                <w:szCs w:val="20"/>
              </w:rPr>
              <w:t>Y</w:t>
            </w:r>
            <w:r>
              <w:rPr>
                <w:rFonts w:cstheme="minorHAnsi"/>
                <w:sz w:val="20"/>
                <w:szCs w:val="20"/>
              </w:rPr>
              <w:t>es</w:t>
            </w:r>
          </w:p>
        </w:tc>
        <w:tc>
          <w:tcPr>
            <w:tcW w:w="938" w:type="dxa"/>
            <w:vAlign w:val="center"/>
          </w:tcPr>
          <w:p w14:paraId="45D12665" w14:textId="77777777" w:rsidR="002824C8" w:rsidRDefault="002824C8" w:rsidP="000E25FD">
            <w:pPr>
              <w:jc w:val="center"/>
            </w:pPr>
            <w:r w:rsidRPr="00C32BEE">
              <w:rPr>
                <w:rFonts w:cstheme="minorHAnsi"/>
                <w:sz w:val="20"/>
                <w:szCs w:val="20"/>
              </w:rPr>
              <w:t>Yes</w:t>
            </w:r>
          </w:p>
        </w:tc>
        <w:tc>
          <w:tcPr>
            <w:tcW w:w="1185" w:type="dxa"/>
            <w:vAlign w:val="center"/>
          </w:tcPr>
          <w:p w14:paraId="03BABBD9" w14:textId="77777777" w:rsidR="002824C8" w:rsidRDefault="002824C8" w:rsidP="000E25FD">
            <w:pPr>
              <w:jc w:val="center"/>
            </w:pPr>
            <w:r w:rsidRPr="00C32BEE">
              <w:rPr>
                <w:rFonts w:cstheme="minorHAnsi"/>
                <w:sz w:val="20"/>
                <w:szCs w:val="20"/>
              </w:rPr>
              <w:t>Yes</w:t>
            </w:r>
          </w:p>
        </w:tc>
        <w:tc>
          <w:tcPr>
            <w:tcW w:w="1078" w:type="dxa"/>
            <w:vAlign w:val="center"/>
          </w:tcPr>
          <w:p w14:paraId="2DC52E6D" w14:textId="77777777" w:rsidR="002824C8" w:rsidRDefault="002824C8" w:rsidP="000E25FD">
            <w:pPr>
              <w:jc w:val="center"/>
            </w:pPr>
            <w:r w:rsidRPr="00E15CA6">
              <w:rPr>
                <w:rFonts w:cstheme="minorHAnsi"/>
                <w:sz w:val="20"/>
                <w:szCs w:val="20"/>
              </w:rPr>
              <w:t>Yes</w:t>
            </w:r>
          </w:p>
        </w:tc>
        <w:tc>
          <w:tcPr>
            <w:tcW w:w="1146" w:type="dxa"/>
            <w:vAlign w:val="center"/>
          </w:tcPr>
          <w:p w14:paraId="0092E717" w14:textId="77777777" w:rsidR="002824C8" w:rsidRDefault="002824C8" w:rsidP="000E25FD">
            <w:pPr>
              <w:jc w:val="center"/>
            </w:pPr>
            <w:r w:rsidRPr="0022619E">
              <w:rPr>
                <w:rFonts w:cstheme="minorHAnsi"/>
                <w:sz w:val="20"/>
                <w:szCs w:val="20"/>
              </w:rPr>
              <w:t>Yes</w:t>
            </w:r>
          </w:p>
        </w:tc>
        <w:tc>
          <w:tcPr>
            <w:tcW w:w="935" w:type="dxa"/>
            <w:vAlign w:val="center"/>
          </w:tcPr>
          <w:p w14:paraId="1EB80884" w14:textId="77777777" w:rsidR="002824C8" w:rsidRDefault="002824C8" w:rsidP="000E25FD">
            <w:pPr>
              <w:jc w:val="center"/>
            </w:pPr>
            <w:r w:rsidRPr="007D57BC">
              <w:rPr>
                <w:rFonts w:cstheme="minorHAnsi"/>
                <w:sz w:val="20"/>
                <w:szCs w:val="20"/>
              </w:rPr>
              <w:t>Yes</w:t>
            </w:r>
          </w:p>
        </w:tc>
      </w:tr>
      <w:tr w:rsidR="00DB12B2" w:rsidRPr="00E772F0" w14:paraId="502FCAEE" w14:textId="77777777" w:rsidTr="000E25FD">
        <w:trPr>
          <w:trHeight w:val="239"/>
          <w:jc w:val="center"/>
        </w:trPr>
        <w:tc>
          <w:tcPr>
            <w:tcW w:w="771" w:type="dxa"/>
            <w:vAlign w:val="center"/>
          </w:tcPr>
          <w:p w14:paraId="402A26C0" w14:textId="77777777" w:rsidR="002824C8" w:rsidRPr="000A699C" w:rsidRDefault="002824C8" w:rsidP="000E25FD">
            <w:pPr>
              <w:jc w:val="center"/>
              <w:rPr>
                <w:rFonts w:cstheme="minorHAnsi"/>
                <w:sz w:val="20"/>
                <w:szCs w:val="20"/>
              </w:rPr>
            </w:pPr>
            <w:r w:rsidRPr="000A699C">
              <w:rPr>
                <w:rFonts w:cstheme="minorHAnsi"/>
                <w:sz w:val="20"/>
                <w:szCs w:val="20"/>
              </w:rPr>
              <w:t>5</w:t>
            </w:r>
          </w:p>
        </w:tc>
        <w:tc>
          <w:tcPr>
            <w:tcW w:w="815" w:type="dxa"/>
            <w:vAlign w:val="center"/>
          </w:tcPr>
          <w:p w14:paraId="66AFE533" w14:textId="464D8993" w:rsidR="002824C8" w:rsidRPr="008A68C8" w:rsidRDefault="002824C8" w:rsidP="000E25FD">
            <w:pPr>
              <w:jc w:val="center"/>
              <w:rPr>
                <w:rFonts w:eastAsia="Times New Roman" w:cstheme="minorHAnsi"/>
                <w:sz w:val="20"/>
                <w:szCs w:val="18"/>
                <w:lang w:eastAsia="en-GB"/>
              </w:rPr>
            </w:pPr>
            <w:r>
              <w:rPr>
                <w:rFonts w:eastAsia="Times New Roman" w:cstheme="minorHAnsi"/>
                <w:sz w:val="20"/>
                <w:szCs w:val="18"/>
                <w:lang w:eastAsia="en-GB"/>
              </w:rPr>
              <w:t>T</w:t>
            </w:r>
          </w:p>
        </w:tc>
        <w:tc>
          <w:tcPr>
            <w:tcW w:w="1234" w:type="dxa"/>
            <w:vAlign w:val="center"/>
          </w:tcPr>
          <w:p w14:paraId="389FE245" w14:textId="5FB966F6" w:rsidR="002824C8" w:rsidRPr="008A68C8" w:rsidRDefault="002824C8" w:rsidP="000E25FD">
            <w:pPr>
              <w:jc w:val="center"/>
              <w:rPr>
                <w:rFonts w:eastAsia="Times New Roman" w:cstheme="minorHAnsi"/>
                <w:sz w:val="20"/>
                <w:szCs w:val="18"/>
                <w:lang w:eastAsia="en-GB"/>
              </w:rPr>
            </w:pPr>
            <w:r w:rsidRPr="008A68C8">
              <w:rPr>
                <w:rFonts w:eastAsia="Times New Roman" w:cstheme="minorHAnsi"/>
                <w:sz w:val="20"/>
                <w:szCs w:val="18"/>
                <w:lang w:eastAsia="en-GB"/>
              </w:rPr>
              <w:t>0.13</w:t>
            </w:r>
          </w:p>
          <w:p w14:paraId="05B03604" w14:textId="68B831CD" w:rsidR="002824C8" w:rsidRPr="008A68C8" w:rsidRDefault="002824C8" w:rsidP="000E25FD">
            <w:pPr>
              <w:jc w:val="center"/>
              <w:rPr>
                <w:rFonts w:cstheme="minorHAnsi"/>
                <w:sz w:val="20"/>
                <w:szCs w:val="20"/>
              </w:rPr>
            </w:pPr>
            <w:r w:rsidRPr="008A68C8">
              <w:rPr>
                <w:rFonts w:eastAsia="Times New Roman" w:cstheme="minorHAnsi"/>
                <w:sz w:val="20"/>
                <w:szCs w:val="18"/>
                <w:lang w:eastAsia="en-GB"/>
              </w:rPr>
              <w:t>(0.07-0.25)</w:t>
            </w:r>
          </w:p>
        </w:tc>
        <w:tc>
          <w:tcPr>
            <w:tcW w:w="948" w:type="dxa"/>
            <w:vAlign w:val="center"/>
          </w:tcPr>
          <w:p w14:paraId="2C1D6D67" w14:textId="5D1EE7D1"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880" w:type="dxa"/>
            <w:vAlign w:val="center"/>
          </w:tcPr>
          <w:p w14:paraId="7FFADBE2" w14:textId="77777777" w:rsidR="002824C8" w:rsidRPr="000A699C" w:rsidRDefault="002824C8" w:rsidP="000E25FD">
            <w:pPr>
              <w:jc w:val="center"/>
              <w:rPr>
                <w:rFonts w:cstheme="minorHAnsi"/>
                <w:sz w:val="20"/>
                <w:szCs w:val="20"/>
              </w:rPr>
            </w:pPr>
            <w:r w:rsidRPr="000A699C">
              <w:rPr>
                <w:rFonts w:cstheme="minorHAnsi"/>
                <w:sz w:val="20"/>
                <w:szCs w:val="20"/>
              </w:rPr>
              <w:t>Y</w:t>
            </w:r>
            <w:r>
              <w:rPr>
                <w:rFonts w:cstheme="minorHAnsi"/>
                <w:sz w:val="20"/>
                <w:szCs w:val="20"/>
              </w:rPr>
              <w:t>es</w:t>
            </w:r>
          </w:p>
        </w:tc>
        <w:tc>
          <w:tcPr>
            <w:tcW w:w="938" w:type="dxa"/>
            <w:vAlign w:val="center"/>
          </w:tcPr>
          <w:p w14:paraId="55D27AA4" w14:textId="77777777" w:rsidR="002824C8" w:rsidRDefault="002824C8" w:rsidP="000E25FD">
            <w:pPr>
              <w:jc w:val="center"/>
            </w:pPr>
            <w:r w:rsidRPr="00C32BEE">
              <w:rPr>
                <w:rFonts w:cstheme="minorHAnsi"/>
                <w:sz w:val="20"/>
                <w:szCs w:val="20"/>
              </w:rPr>
              <w:t>Yes</w:t>
            </w:r>
          </w:p>
        </w:tc>
        <w:tc>
          <w:tcPr>
            <w:tcW w:w="1185" w:type="dxa"/>
            <w:vAlign w:val="center"/>
          </w:tcPr>
          <w:p w14:paraId="06B7C411" w14:textId="77777777" w:rsidR="002824C8" w:rsidRDefault="002824C8" w:rsidP="000E25FD">
            <w:pPr>
              <w:jc w:val="center"/>
            </w:pPr>
            <w:r w:rsidRPr="00C32BEE">
              <w:rPr>
                <w:rFonts w:cstheme="minorHAnsi"/>
                <w:sz w:val="20"/>
                <w:szCs w:val="20"/>
              </w:rPr>
              <w:t>Yes</w:t>
            </w:r>
          </w:p>
        </w:tc>
        <w:tc>
          <w:tcPr>
            <w:tcW w:w="1078" w:type="dxa"/>
            <w:vAlign w:val="center"/>
          </w:tcPr>
          <w:p w14:paraId="52E97586" w14:textId="77777777" w:rsidR="002824C8" w:rsidRDefault="002824C8" w:rsidP="000E25FD">
            <w:pPr>
              <w:jc w:val="center"/>
            </w:pPr>
            <w:r w:rsidRPr="00E15CA6">
              <w:rPr>
                <w:rFonts w:cstheme="minorHAnsi"/>
                <w:sz w:val="20"/>
                <w:szCs w:val="20"/>
              </w:rPr>
              <w:t>Yes</w:t>
            </w:r>
          </w:p>
        </w:tc>
        <w:tc>
          <w:tcPr>
            <w:tcW w:w="1146" w:type="dxa"/>
            <w:vAlign w:val="center"/>
          </w:tcPr>
          <w:p w14:paraId="614E7C1B" w14:textId="77777777" w:rsidR="002824C8" w:rsidRDefault="002824C8" w:rsidP="000E25FD">
            <w:pPr>
              <w:jc w:val="center"/>
            </w:pPr>
            <w:r w:rsidRPr="0022619E">
              <w:rPr>
                <w:rFonts w:cstheme="minorHAnsi"/>
                <w:sz w:val="20"/>
                <w:szCs w:val="20"/>
              </w:rPr>
              <w:t>Yes</w:t>
            </w:r>
          </w:p>
        </w:tc>
        <w:tc>
          <w:tcPr>
            <w:tcW w:w="935" w:type="dxa"/>
            <w:vAlign w:val="center"/>
          </w:tcPr>
          <w:p w14:paraId="1AFBFD44" w14:textId="77777777" w:rsidR="002824C8" w:rsidRDefault="002824C8" w:rsidP="000E25FD">
            <w:pPr>
              <w:jc w:val="center"/>
            </w:pPr>
            <w:r w:rsidRPr="007D57BC">
              <w:rPr>
                <w:rFonts w:cstheme="minorHAnsi"/>
                <w:sz w:val="20"/>
                <w:szCs w:val="20"/>
              </w:rPr>
              <w:t>Yes</w:t>
            </w:r>
          </w:p>
        </w:tc>
      </w:tr>
      <w:tr w:rsidR="00DB12B2" w:rsidRPr="00E772F0" w14:paraId="7500DDDF" w14:textId="77777777" w:rsidTr="000E25FD">
        <w:trPr>
          <w:trHeight w:val="239"/>
          <w:jc w:val="center"/>
        </w:trPr>
        <w:tc>
          <w:tcPr>
            <w:tcW w:w="771" w:type="dxa"/>
            <w:vAlign w:val="center"/>
          </w:tcPr>
          <w:p w14:paraId="5488F343" w14:textId="77777777" w:rsidR="002824C8" w:rsidRPr="000A699C" w:rsidRDefault="002824C8" w:rsidP="000E25FD">
            <w:pPr>
              <w:jc w:val="center"/>
              <w:rPr>
                <w:rFonts w:cstheme="minorHAnsi"/>
                <w:sz w:val="20"/>
                <w:szCs w:val="20"/>
              </w:rPr>
            </w:pPr>
            <w:r w:rsidRPr="000A699C">
              <w:rPr>
                <w:rFonts w:cstheme="minorHAnsi"/>
                <w:sz w:val="20"/>
                <w:szCs w:val="20"/>
              </w:rPr>
              <w:t>6</w:t>
            </w:r>
          </w:p>
        </w:tc>
        <w:tc>
          <w:tcPr>
            <w:tcW w:w="815" w:type="dxa"/>
            <w:vAlign w:val="center"/>
          </w:tcPr>
          <w:p w14:paraId="556C23CD" w14:textId="27A39CF4" w:rsidR="002824C8" w:rsidRPr="008A68C8" w:rsidRDefault="002824C8" w:rsidP="000E25FD">
            <w:pPr>
              <w:jc w:val="center"/>
              <w:rPr>
                <w:rFonts w:eastAsia="Times New Roman" w:cstheme="minorHAnsi"/>
                <w:sz w:val="20"/>
                <w:szCs w:val="18"/>
                <w:lang w:eastAsia="en-GB"/>
              </w:rPr>
            </w:pPr>
            <w:r>
              <w:rPr>
                <w:rFonts w:eastAsia="Times New Roman" w:cstheme="minorHAnsi"/>
                <w:sz w:val="20"/>
                <w:szCs w:val="18"/>
                <w:lang w:eastAsia="en-GB"/>
              </w:rPr>
              <w:t>SC</w:t>
            </w:r>
          </w:p>
        </w:tc>
        <w:tc>
          <w:tcPr>
            <w:tcW w:w="1234" w:type="dxa"/>
            <w:vAlign w:val="center"/>
          </w:tcPr>
          <w:p w14:paraId="7D5B8346" w14:textId="57B5F67D" w:rsidR="002824C8" w:rsidRPr="008A68C8" w:rsidRDefault="001A1889" w:rsidP="000E25FD">
            <w:pPr>
              <w:jc w:val="center"/>
              <w:rPr>
                <w:rFonts w:eastAsia="Times New Roman" w:cstheme="minorHAnsi"/>
                <w:sz w:val="20"/>
                <w:szCs w:val="18"/>
                <w:lang w:eastAsia="en-GB"/>
              </w:rPr>
            </w:pPr>
            <w:r>
              <w:rPr>
                <w:rFonts w:eastAsia="Times New Roman" w:cstheme="minorHAnsi"/>
                <w:sz w:val="20"/>
                <w:szCs w:val="18"/>
                <w:lang w:eastAsia="en-GB"/>
              </w:rPr>
              <w:t>0.26</w:t>
            </w:r>
          </w:p>
          <w:p w14:paraId="3ED39D2C" w14:textId="3AC813A9" w:rsidR="002824C8" w:rsidRPr="008A68C8" w:rsidRDefault="002824C8" w:rsidP="000E25FD">
            <w:pPr>
              <w:jc w:val="center"/>
              <w:rPr>
                <w:rFonts w:cstheme="minorHAnsi"/>
                <w:sz w:val="20"/>
                <w:szCs w:val="20"/>
              </w:rPr>
            </w:pPr>
            <w:r w:rsidRPr="008A68C8">
              <w:rPr>
                <w:rFonts w:eastAsia="Times New Roman" w:cstheme="minorHAnsi"/>
                <w:sz w:val="20"/>
                <w:szCs w:val="18"/>
                <w:lang w:eastAsia="en-GB"/>
              </w:rPr>
              <w:t>(0.14-0.49)</w:t>
            </w:r>
          </w:p>
        </w:tc>
        <w:tc>
          <w:tcPr>
            <w:tcW w:w="948" w:type="dxa"/>
            <w:vAlign w:val="center"/>
          </w:tcPr>
          <w:p w14:paraId="24E93346" w14:textId="5414D8F2"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880" w:type="dxa"/>
            <w:vAlign w:val="center"/>
          </w:tcPr>
          <w:p w14:paraId="2160C76B" w14:textId="77777777"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938" w:type="dxa"/>
            <w:vAlign w:val="center"/>
          </w:tcPr>
          <w:p w14:paraId="18CF162F" w14:textId="77777777"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1185" w:type="dxa"/>
            <w:vAlign w:val="center"/>
          </w:tcPr>
          <w:p w14:paraId="5B92D965" w14:textId="77777777"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1078" w:type="dxa"/>
            <w:vAlign w:val="center"/>
          </w:tcPr>
          <w:p w14:paraId="2BAAED1B" w14:textId="77777777" w:rsidR="002824C8" w:rsidRDefault="002824C8" w:rsidP="000E25FD">
            <w:pPr>
              <w:jc w:val="center"/>
            </w:pPr>
            <w:r w:rsidRPr="00E15CA6">
              <w:rPr>
                <w:rFonts w:cstheme="minorHAnsi"/>
                <w:sz w:val="20"/>
                <w:szCs w:val="20"/>
              </w:rPr>
              <w:t>Yes</w:t>
            </w:r>
          </w:p>
        </w:tc>
        <w:tc>
          <w:tcPr>
            <w:tcW w:w="1146" w:type="dxa"/>
            <w:vAlign w:val="center"/>
          </w:tcPr>
          <w:p w14:paraId="5756F07C" w14:textId="77777777" w:rsidR="002824C8" w:rsidRDefault="002824C8" w:rsidP="000E25FD">
            <w:pPr>
              <w:jc w:val="center"/>
            </w:pPr>
            <w:r w:rsidRPr="0022619E">
              <w:rPr>
                <w:rFonts w:cstheme="minorHAnsi"/>
                <w:sz w:val="20"/>
                <w:szCs w:val="20"/>
              </w:rPr>
              <w:t>Yes</w:t>
            </w:r>
          </w:p>
        </w:tc>
        <w:tc>
          <w:tcPr>
            <w:tcW w:w="935" w:type="dxa"/>
            <w:vAlign w:val="center"/>
          </w:tcPr>
          <w:p w14:paraId="3D54B06B" w14:textId="77777777" w:rsidR="002824C8" w:rsidRDefault="002824C8" w:rsidP="000E25FD">
            <w:pPr>
              <w:jc w:val="center"/>
            </w:pPr>
            <w:r w:rsidRPr="007D57BC">
              <w:rPr>
                <w:rFonts w:cstheme="minorHAnsi"/>
                <w:sz w:val="20"/>
                <w:szCs w:val="20"/>
              </w:rPr>
              <w:t>Yes</w:t>
            </w:r>
          </w:p>
        </w:tc>
      </w:tr>
      <w:tr w:rsidR="00DB12B2" w:rsidRPr="00E772F0" w14:paraId="12F6B70C" w14:textId="77777777" w:rsidTr="000E25FD">
        <w:trPr>
          <w:trHeight w:val="239"/>
          <w:jc w:val="center"/>
        </w:trPr>
        <w:tc>
          <w:tcPr>
            <w:tcW w:w="771" w:type="dxa"/>
            <w:vAlign w:val="center"/>
          </w:tcPr>
          <w:p w14:paraId="3D4CAE85" w14:textId="77777777" w:rsidR="002824C8" w:rsidRPr="000A699C" w:rsidRDefault="002824C8" w:rsidP="000E25FD">
            <w:pPr>
              <w:jc w:val="center"/>
              <w:rPr>
                <w:rFonts w:cstheme="minorHAnsi"/>
                <w:sz w:val="20"/>
                <w:szCs w:val="20"/>
              </w:rPr>
            </w:pPr>
            <w:r w:rsidRPr="000A699C">
              <w:rPr>
                <w:rFonts w:cstheme="minorHAnsi"/>
                <w:sz w:val="20"/>
                <w:szCs w:val="20"/>
              </w:rPr>
              <w:t>7</w:t>
            </w:r>
          </w:p>
        </w:tc>
        <w:tc>
          <w:tcPr>
            <w:tcW w:w="815" w:type="dxa"/>
            <w:vAlign w:val="center"/>
          </w:tcPr>
          <w:p w14:paraId="7593DC87" w14:textId="4AC8FA3B" w:rsidR="002824C8" w:rsidRPr="008A68C8" w:rsidRDefault="002824C8" w:rsidP="000E25FD">
            <w:pPr>
              <w:jc w:val="center"/>
              <w:rPr>
                <w:rFonts w:eastAsia="Times New Roman" w:cstheme="minorHAnsi"/>
                <w:sz w:val="20"/>
                <w:szCs w:val="18"/>
                <w:lang w:eastAsia="en-GB"/>
              </w:rPr>
            </w:pPr>
            <w:r>
              <w:rPr>
                <w:rFonts w:eastAsia="Times New Roman" w:cstheme="minorHAnsi"/>
                <w:sz w:val="20"/>
                <w:szCs w:val="18"/>
                <w:lang w:eastAsia="en-GB"/>
              </w:rPr>
              <w:t>T</w:t>
            </w:r>
          </w:p>
        </w:tc>
        <w:tc>
          <w:tcPr>
            <w:tcW w:w="1234" w:type="dxa"/>
            <w:vAlign w:val="center"/>
          </w:tcPr>
          <w:p w14:paraId="28A6FE35" w14:textId="30A64438" w:rsidR="002824C8" w:rsidRPr="008A68C8" w:rsidRDefault="002824C8" w:rsidP="000E25FD">
            <w:pPr>
              <w:jc w:val="center"/>
              <w:rPr>
                <w:rFonts w:eastAsia="Times New Roman" w:cstheme="minorHAnsi"/>
                <w:sz w:val="20"/>
                <w:szCs w:val="18"/>
                <w:lang w:eastAsia="en-GB"/>
              </w:rPr>
            </w:pPr>
            <w:r w:rsidRPr="008A68C8">
              <w:rPr>
                <w:rFonts w:eastAsia="Times New Roman" w:cstheme="minorHAnsi"/>
                <w:sz w:val="20"/>
                <w:szCs w:val="18"/>
                <w:lang w:eastAsia="en-GB"/>
              </w:rPr>
              <w:t>0.08</w:t>
            </w:r>
          </w:p>
          <w:p w14:paraId="04BE9197" w14:textId="2972F97E" w:rsidR="002824C8" w:rsidRPr="008A68C8" w:rsidRDefault="002824C8" w:rsidP="000E25FD">
            <w:pPr>
              <w:jc w:val="center"/>
              <w:rPr>
                <w:rFonts w:cstheme="minorHAnsi"/>
                <w:sz w:val="20"/>
                <w:szCs w:val="20"/>
              </w:rPr>
            </w:pPr>
            <w:r w:rsidRPr="008A68C8">
              <w:rPr>
                <w:rFonts w:eastAsia="Times New Roman" w:cstheme="minorHAnsi"/>
                <w:sz w:val="20"/>
                <w:szCs w:val="18"/>
                <w:lang w:eastAsia="en-GB"/>
              </w:rPr>
              <w:t>(0.04-0.18)</w:t>
            </w:r>
          </w:p>
        </w:tc>
        <w:tc>
          <w:tcPr>
            <w:tcW w:w="948" w:type="dxa"/>
            <w:vAlign w:val="center"/>
          </w:tcPr>
          <w:p w14:paraId="41CFFD8E" w14:textId="574171FB"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880" w:type="dxa"/>
            <w:vAlign w:val="center"/>
          </w:tcPr>
          <w:p w14:paraId="633F173C" w14:textId="77777777" w:rsidR="002824C8" w:rsidRPr="000A699C" w:rsidRDefault="002824C8" w:rsidP="000E25FD">
            <w:pPr>
              <w:jc w:val="center"/>
              <w:rPr>
                <w:rFonts w:cstheme="minorHAnsi"/>
                <w:sz w:val="20"/>
                <w:szCs w:val="20"/>
              </w:rPr>
            </w:pPr>
            <w:r w:rsidRPr="000A699C">
              <w:rPr>
                <w:rFonts w:cstheme="minorHAnsi"/>
                <w:sz w:val="20"/>
                <w:szCs w:val="20"/>
              </w:rPr>
              <w:t>Y</w:t>
            </w:r>
            <w:r>
              <w:rPr>
                <w:rFonts w:cstheme="minorHAnsi"/>
                <w:sz w:val="20"/>
                <w:szCs w:val="20"/>
              </w:rPr>
              <w:t>es</w:t>
            </w:r>
          </w:p>
        </w:tc>
        <w:tc>
          <w:tcPr>
            <w:tcW w:w="938" w:type="dxa"/>
            <w:vAlign w:val="center"/>
          </w:tcPr>
          <w:p w14:paraId="066B5329" w14:textId="77777777"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1185" w:type="dxa"/>
            <w:vAlign w:val="center"/>
          </w:tcPr>
          <w:p w14:paraId="5E61F0C2" w14:textId="77777777" w:rsidR="002824C8" w:rsidRPr="000A699C" w:rsidRDefault="002824C8" w:rsidP="000E25FD">
            <w:pPr>
              <w:jc w:val="center"/>
              <w:rPr>
                <w:rFonts w:cstheme="minorHAnsi"/>
                <w:sz w:val="20"/>
                <w:szCs w:val="20"/>
              </w:rPr>
            </w:pPr>
            <w:r w:rsidRPr="005D68AE">
              <w:rPr>
                <w:rFonts w:cstheme="minorHAnsi"/>
                <w:sz w:val="20"/>
                <w:szCs w:val="20"/>
              </w:rPr>
              <w:t>Yes</w:t>
            </w:r>
          </w:p>
        </w:tc>
        <w:tc>
          <w:tcPr>
            <w:tcW w:w="1078" w:type="dxa"/>
            <w:vAlign w:val="center"/>
          </w:tcPr>
          <w:p w14:paraId="6E5E2A66" w14:textId="77777777" w:rsidR="002824C8" w:rsidRDefault="002824C8" w:rsidP="000E25FD">
            <w:pPr>
              <w:jc w:val="center"/>
            </w:pPr>
            <w:r w:rsidRPr="00E15CA6">
              <w:rPr>
                <w:rFonts w:cstheme="minorHAnsi"/>
                <w:sz w:val="20"/>
                <w:szCs w:val="20"/>
              </w:rPr>
              <w:t>Yes</w:t>
            </w:r>
          </w:p>
        </w:tc>
        <w:tc>
          <w:tcPr>
            <w:tcW w:w="1146" w:type="dxa"/>
            <w:vAlign w:val="center"/>
          </w:tcPr>
          <w:p w14:paraId="2D8D88C9" w14:textId="77777777" w:rsidR="002824C8" w:rsidRDefault="002824C8" w:rsidP="000E25FD">
            <w:pPr>
              <w:jc w:val="center"/>
            </w:pPr>
            <w:r w:rsidRPr="0022619E">
              <w:rPr>
                <w:rFonts w:cstheme="minorHAnsi"/>
                <w:sz w:val="20"/>
                <w:szCs w:val="20"/>
              </w:rPr>
              <w:t>Yes</w:t>
            </w:r>
          </w:p>
        </w:tc>
        <w:tc>
          <w:tcPr>
            <w:tcW w:w="935" w:type="dxa"/>
            <w:vAlign w:val="center"/>
          </w:tcPr>
          <w:p w14:paraId="29C55911" w14:textId="77777777" w:rsidR="002824C8" w:rsidRDefault="002824C8" w:rsidP="000E25FD">
            <w:pPr>
              <w:jc w:val="center"/>
            </w:pPr>
            <w:r w:rsidRPr="007D57BC">
              <w:rPr>
                <w:rFonts w:cstheme="minorHAnsi"/>
                <w:sz w:val="20"/>
                <w:szCs w:val="20"/>
              </w:rPr>
              <w:t>Yes</w:t>
            </w:r>
          </w:p>
        </w:tc>
      </w:tr>
      <w:tr w:rsidR="00DB12B2" w:rsidRPr="00E772F0" w14:paraId="334CB06F" w14:textId="77777777" w:rsidTr="000E25FD">
        <w:trPr>
          <w:trHeight w:val="239"/>
          <w:jc w:val="center"/>
        </w:trPr>
        <w:tc>
          <w:tcPr>
            <w:tcW w:w="771" w:type="dxa"/>
            <w:vAlign w:val="center"/>
          </w:tcPr>
          <w:p w14:paraId="1DD900FB" w14:textId="77777777" w:rsidR="002824C8" w:rsidRPr="000A699C" w:rsidRDefault="002824C8" w:rsidP="000E25FD">
            <w:pPr>
              <w:jc w:val="center"/>
              <w:rPr>
                <w:rFonts w:cstheme="minorHAnsi"/>
                <w:sz w:val="20"/>
                <w:szCs w:val="20"/>
              </w:rPr>
            </w:pPr>
            <w:r w:rsidRPr="000A699C">
              <w:rPr>
                <w:rFonts w:cstheme="minorHAnsi"/>
                <w:sz w:val="20"/>
                <w:szCs w:val="20"/>
              </w:rPr>
              <w:t>8</w:t>
            </w:r>
          </w:p>
        </w:tc>
        <w:tc>
          <w:tcPr>
            <w:tcW w:w="815" w:type="dxa"/>
            <w:vAlign w:val="center"/>
          </w:tcPr>
          <w:p w14:paraId="7F5DDC72" w14:textId="1B348F1D" w:rsidR="002824C8" w:rsidRPr="008A68C8" w:rsidRDefault="002824C8" w:rsidP="000E25FD">
            <w:pPr>
              <w:jc w:val="center"/>
              <w:rPr>
                <w:rFonts w:eastAsia="Times New Roman" w:cstheme="minorHAnsi"/>
                <w:sz w:val="20"/>
                <w:szCs w:val="18"/>
                <w:lang w:eastAsia="en-GB"/>
              </w:rPr>
            </w:pPr>
            <w:r>
              <w:rPr>
                <w:rFonts w:eastAsia="Times New Roman" w:cstheme="minorHAnsi"/>
                <w:sz w:val="20"/>
                <w:szCs w:val="18"/>
                <w:lang w:eastAsia="en-GB"/>
              </w:rPr>
              <w:t>SC</w:t>
            </w:r>
          </w:p>
        </w:tc>
        <w:tc>
          <w:tcPr>
            <w:tcW w:w="1234" w:type="dxa"/>
            <w:vAlign w:val="center"/>
          </w:tcPr>
          <w:p w14:paraId="3ADA2021" w14:textId="44800C1F" w:rsidR="002824C8" w:rsidRPr="008A68C8" w:rsidRDefault="002824C8" w:rsidP="000E25FD">
            <w:pPr>
              <w:jc w:val="center"/>
              <w:rPr>
                <w:rFonts w:eastAsia="Times New Roman" w:cstheme="minorHAnsi"/>
                <w:sz w:val="20"/>
                <w:szCs w:val="18"/>
                <w:lang w:eastAsia="en-GB"/>
              </w:rPr>
            </w:pPr>
            <w:r w:rsidRPr="008A68C8">
              <w:rPr>
                <w:rFonts w:eastAsia="Times New Roman" w:cstheme="minorHAnsi"/>
                <w:sz w:val="20"/>
                <w:szCs w:val="18"/>
                <w:lang w:eastAsia="en-GB"/>
              </w:rPr>
              <w:t>0.22</w:t>
            </w:r>
          </w:p>
          <w:p w14:paraId="4D2581CB" w14:textId="5D0F6528" w:rsidR="002824C8" w:rsidRPr="008A68C8" w:rsidRDefault="002824C8" w:rsidP="000E25FD">
            <w:pPr>
              <w:jc w:val="center"/>
              <w:rPr>
                <w:rFonts w:cstheme="minorHAnsi"/>
                <w:sz w:val="20"/>
                <w:szCs w:val="20"/>
              </w:rPr>
            </w:pPr>
            <w:r w:rsidRPr="008A68C8">
              <w:rPr>
                <w:rFonts w:eastAsia="Times New Roman" w:cstheme="minorHAnsi"/>
                <w:sz w:val="20"/>
                <w:szCs w:val="18"/>
                <w:lang w:eastAsia="en-GB"/>
              </w:rPr>
              <w:t>(0.10-0.40)</w:t>
            </w:r>
          </w:p>
        </w:tc>
        <w:tc>
          <w:tcPr>
            <w:tcW w:w="948" w:type="dxa"/>
            <w:vAlign w:val="center"/>
          </w:tcPr>
          <w:p w14:paraId="29076AD0" w14:textId="1DE3F472"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880" w:type="dxa"/>
            <w:vAlign w:val="center"/>
          </w:tcPr>
          <w:p w14:paraId="1C9967EF" w14:textId="77777777" w:rsidR="002824C8" w:rsidRPr="000A699C" w:rsidRDefault="002824C8" w:rsidP="000E25FD">
            <w:pPr>
              <w:jc w:val="center"/>
              <w:rPr>
                <w:rFonts w:cstheme="minorHAnsi"/>
                <w:sz w:val="20"/>
                <w:szCs w:val="20"/>
              </w:rPr>
            </w:pPr>
            <w:r>
              <w:rPr>
                <w:rFonts w:cstheme="minorHAnsi"/>
                <w:sz w:val="20"/>
                <w:szCs w:val="20"/>
              </w:rPr>
              <w:t>Yes</w:t>
            </w:r>
          </w:p>
        </w:tc>
        <w:tc>
          <w:tcPr>
            <w:tcW w:w="938" w:type="dxa"/>
            <w:vAlign w:val="center"/>
          </w:tcPr>
          <w:p w14:paraId="44350268" w14:textId="77777777" w:rsidR="002824C8" w:rsidRPr="000A699C" w:rsidRDefault="002824C8" w:rsidP="000E25FD">
            <w:pPr>
              <w:jc w:val="center"/>
              <w:rPr>
                <w:rFonts w:cstheme="minorHAnsi"/>
                <w:sz w:val="20"/>
                <w:szCs w:val="20"/>
              </w:rPr>
            </w:pPr>
            <w:r w:rsidRPr="000A699C">
              <w:rPr>
                <w:rFonts w:cstheme="minorHAnsi"/>
                <w:sz w:val="20"/>
                <w:szCs w:val="20"/>
              </w:rPr>
              <w:t>N</w:t>
            </w:r>
            <w:r>
              <w:rPr>
                <w:rFonts w:cstheme="minorHAnsi"/>
                <w:sz w:val="20"/>
                <w:szCs w:val="20"/>
              </w:rPr>
              <w:t>o</w:t>
            </w:r>
          </w:p>
        </w:tc>
        <w:tc>
          <w:tcPr>
            <w:tcW w:w="1185" w:type="dxa"/>
            <w:vAlign w:val="center"/>
          </w:tcPr>
          <w:p w14:paraId="40AA2DAB" w14:textId="77777777" w:rsidR="002824C8" w:rsidRPr="000A699C" w:rsidRDefault="002824C8" w:rsidP="000E25FD">
            <w:pPr>
              <w:jc w:val="center"/>
              <w:rPr>
                <w:rFonts w:cstheme="minorHAnsi"/>
                <w:sz w:val="20"/>
                <w:szCs w:val="20"/>
              </w:rPr>
            </w:pPr>
            <w:r>
              <w:rPr>
                <w:rFonts w:cstheme="minorHAnsi"/>
                <w:sz w:val="20"/>
                <w:szCs w:val="20"/>
              </w:rPr>
              <w:t>No</w:t>
            </w:r>
          </w:p>
        </w:tc>
        <w:tc>
          <w:tcPr>
            <w:tcW w:w="1078" w:type="dxa"/>
            <w:vAlign w:val="center"/>
          </w:tcPr>
          <w:p w14:paraId="5BA6C373" w14:textId="77777777" w:rsidR="002824C8" w:rsidRPr="000A699C" w:rsidRDefault="002824C8" w:rsidP="000E25FD">
            <w:pPr>
              <w:jc w:val="center"/>
              <w:rPr>
                <w:rFonts w:cstheme="minorHAnsi"/>
                <w:sz w:val="20"/>
                <w:szCs w:val="20"/>
              </w:rPr>
            </w:pPr>
            <w:r>
              <w:rPr>
                <w:rFonts w:cstheme="minorHAnsi"/>
                <w:sz w:val="20"/>
                <w:szCs w:val="20"/>
              </w:rPr>
              <w:t>Yes</w:t>
            </w:r>
          </w:p>
        </w:tc>
        <w:tc>
          <w:tcPr>
            <w:tcW w:w="1146" w:type="dxa"/>
            <w:vAlign w:val="center"/>
          </w:tcPr>
          <w:p w14:paraId="27A4F3D0" w14:textId="77777777" w:rsidR="002824C8" w:rsidRPr="000A699C" w:rsidRDefault="002824C8" w:rsidP="000E25FD">
            <w:pPr>
              <w:jc w:val="center"/>
              <w:rPr>
                <w:rFonts w:cstheme="minorHAnsi"/>
                <w:sz w:val="20"/>
                <w:szCs w:val="20"/>
              </w:rPr>
            </w:pPr>
            <w:r>
              <w:rPr>
                <w:rFonts w:cstheme="minorHAnsi"/>
                <w:sz w:val="20"/>
                <w:szCs w:val="20"/>
              </w:rPr>
              <w:t>Yes</w:t>
            </w:r>
          </w:p>
        </w:tc>
        <w:tc>
          <w:tcPr>
            <w:tcW w:w="935" w:type="dxa"/>
            <w:vAlign w:val="center"/>
          </w:tcPr>
          <w:p w14:paraId="7E2A2EA7" w14:textId="77777777" w:rsidR="002824C8" w:rsidRDefault="002824C8" w:rsidP="000E25FD">
            <w:pPr>
              <w:jc w:val="center"/>
            </w:pPr>
            <w:r w:rsidRPr="007D57BC">
              <w:rPr>
                <w:rFonts w:cstheme="minorHAnsi"/>
                <w:sz w:val="20"/>
                <w:szCs w:val="20"/>
              </w:rPr>
              <w:t>Yes</w:t>
            </w:r>
          </w:p>
        </w:tc>
      </w:tr>
    </w:tbl>
    <w:p w14:paraId="59E1D36E" w14:textId="03A3E987" w:rsidR="008A68C8" w:rsidRPr="008A68C8" w:rsidRDefault="00F660DB" w:rsidP="008A68C8">
      <w:pPr>
        <w:spacing w:after="0"/>
        <w:rPr>
          <w:sz w:val="20"/>
          <w:lang w:eastAsia="en-GB"/>
        </w:rPr>
      </w:pPr>
      <w:r>
        <w:rPr>
          <w:sz w:val="20"/>
          <w:lang w:eastAsia="en-GB"/>
        </w:rPr>
        <w:t xml:space="preserve">T: Tertiary, SC: Shared Care, </w:t>
      </w:r>
      <w:r w:rsidR="00AF5507" w:rsidRPr="008A68C8">
        <w:rPr>
          <w:sz w:val="20"/>
          <w:lang w:eastAsia="en-GB"/>
        </w:rPr>
        <w:t xml:space="preserve">PA: </w:t>
      </w:r>
      <w:r w:rsidR="00AF5507" w:rsidRPr="000307E8">
        <w:rPr>
          <w:i/>
          <w:sz w:val="20"/>
          <w:lang w:eastAsia="en-GB"/>
        </w:rPr>
        <w:t>Pseudom</w:t>
      </w:r>
      <w:r w:rsidR="005D68AE" w:rsidRPr="000307E8">
        <w:rPr>
          <w:i/>
          <w:sz w:val="20"/>
          <w:lang w:eastAsia="en-GB"/>
        </w:rPr>
        <w:t>onas aeruginosa</w:t>
      </w:r>
      <w:r w:rsidR="005D68AE" w:rsidRPr="008A68C8">
        <w:rPr>
          <w:sz w:val="20"/>
          <w:lang w:eastAsia="en-GB"/>
        </w:rPr>
        <w:t>.</w:t>
      </w:r>
      <w:r w:rsidR="0027442A" w:rsidRPr="008A68C8">
        <w:rPr>
          <w:sz w:val="20"/>
          <w:lang w:eastAsia="en-GB"/>
        </w:rPr>
        <w:t xml:space="preserve"> </w:t>
      </w:r>
    </w:p>
    <w:p w14:paraId="20195E3B" w14:textId="4B05B904" w:rsidR="00AF5507" w:rsidRPr="008A68C8" w:rsidRDefault="0027442A" w:rsidP="00AF5507">
      <w:pPr>
        <w:rPr>
          <w:sz w:val="20"/>
          <w:lang w:eastAsia="en-GB"/>
        </w:rPr>
      </w:pPr>
      <w:r w:rsidRPr="008A68C8">
        <w:rPr>
          <w:sz w:val="20"/>
          <w:lang w:eastAsia="en-GB"/>
        </w:rPr>
        <w:t xml:space="preserve">Incidence of </w:t>
      </w:r>
      <w:r w:rsidR="00A36286">
        <w:rPr>
          <w:sz w:val="20"/>
          <w:lang w:eastAsia="en-GB"/>
        </w:rPr>
        <w:t xml:space="preserve">new </w:t>
      </w:r>
      <w:r w:rsidRPr="008A68C8">
        <w:rPr>
          <w:sz w:val="20"/>
          <w:lang w:eastAsia="en-GB"/>
        </w:rPr>
        <w:t>PA infection presented as cases per patient year</w:t>
      </w:r>
      <w:r w:rsidR="008A68C8" w:rsidRPr="008A68C8">
        <w:rPr>
          <w:sz w:val="20"/>
          <w:lang w:eastAsia="en-GB"/>
        </w:rPr>
        <w:t xml:space="preserve"> (95% CI)</w:t>
      </w:r>
    </w:p>
    <w:p w14:paraId="47315919" w14:textId="77777777" w:rsidR="00854FBD" w:rsidRDefault="000307E8" w:rsidP="00854FBD">
      <w:pPr>
        <w:spacing w:before="240" w:after="0" w:line="480" w:lineRule="auto"/>
        <w:jc w:val="both"/>
        <w:rPr>
          <w:rFonts w:eastAsia="Times New Roman" w:cstheme="minorHAnsi"/>
          <w:sz w:val="24"/>
          <w:szCs w:val="24"/>
          <w:lang w:eastAsia="en-GB"/>
        </w:rPr>
      </w:pPr>
      <w:r>
        <w:rPr>
          <w:rFonts w:eastAsia="Times New Roman" w:cstheme="minorHAnsi"/>
          <w:sz w:val="24"/>
          <w:szCs w:val="24"/>
          <w:lang w:eastAsia="en-GB"/>
        </w:rPr>
        <w:t xml:space="preserve">These data demonstrate </w:t>
      </w:r>
      <w:r w:rsidR="00854FBD">
        <w:rPr>
          <w:rFonts w:eastAsia="Times New Roman" w:cstheme="minorHAnsi"/>
          <w:sz w:val="24"/>
          <w:szCs w:val="24"/>
          <w:lang w:eastAsia="en-GB"/>
        </w:rPr>
        <w:t>wide</w:t>
      </w:r>
      <w:r>
        <w:rPr>
          <w:rFonts w:eastAsia="Times New Roman" w:cstheme="minorHAnsi"/>
          <w:sz w:val="24"/>
          <w:szCs w:val="24"/>
          <w:lang w:eastAsia="en-GB"/>
        </w:rPr>
        <w:t xml:space="preserve"> variation in the incidence of new PA infection at different paediatric CF centres.  To our knowledge this is the first time that such data </w:t>
      </w:r>
      <w:r w:rsidR="002A25D1">
        <w:rPr>
          <w:rFonts w:eastAsia="Times New Roman" w:cstheme="minorHAnsi"/>
          <w:sz w:val="24"/>
          <w:szCs w:val="24"/>
          <w:lang w:eastAsia="en-GB"/>
        </w:rPr>
        <w:t xml:space="preserve">have </w:t>
      </w:r>
      <w:r>
        <w:rPr>
          <w:rFonts w:eastAsia="Times New Roman" w:cstheme="minorHAnsi"/>
          <w:sz w:val="24"/>
          <w:szCs w:val="24"/>
          <w:lang w:eastAsia="en-GB"/>
        </w:rPr>
        <w:t xml:space="preserve">been published.  </w:t>
      </w:r>
      <w:r w:rsidR="00E32F05">
        <w:rPr>
          <w:rFonts w:eastAsia="Times New Roman" w:cstheme="minorHAnsi"/>
          <w:sz w:val="24"/>
          <w:szCs w:val="24"/>
          <w:lang w:eastAsia="en-GB"/>
        </w:rPr>
        <w:t>V</w:t>
      </w:r>
      <w:r w:rsidR="00AF5507">
        <w:rPr>
          <w:rFonts w:eastAsia="Times New Roman" w:cstheme="minorHAnsi"/>
          <w:sz w:val="24"/>
          <w:szCs w:val="24"/>
          <w:lang w:eastAsia="en-GB"/>
        </w:rPr>
        <w:t xml:space="preserve">ariation in infection control practices </w:t>
      </w:r>
      <w:r w:rsidR="00E32F05">
        <w:rPr>
          <w:rFonts w:eastAsia="Times New Roman" w:cstheme="minorHAnsi"/>
          <w:sz w:val="24"/>
          <w:szCs w:val="24"/>
          <w:lang w:eastAsia="en-GB"/>
        </w:rPr>
        <w:t>between</w:t>
      </w:r>
      <w:r w:rsidR="00AF5507">
        <w:rPr>
          <w:rFonts w:eastAsia="Times New Roman" w:cstheme="minorHAnsi"/>
          <w:sz w:val="24"/>
          <w:szCs w:val="24"/>
          <w:lang w:eastAsia="en-GB"/>
        </w:rPr>
        <w:t xml:space="preserve"> centres </w:t>
      </w:r>
      <w:r w:rsidR="00DA60A0">
        <w:rPr>
          <w:rFonts w:eastAsia="Times New Roman" w:cstheme="minorHAnsi"/>
          <w:sz w:val="24"/>
          <w:szCs w:val="24"/>
          <w:lang w:eastAsia="en-GB"/>
        </w:rPr>
        <w:t xml:space="preserve">was identified but no single policy could </w:t>
      </w:r>
      <w:r w:rsidR="00AF5507">
        <w:rPr>
          <w:rFonts w:eastAsia="Times New Roman" w:cstheme="minorHAnsi"/>
          <w:sz w:val="24"/>
          <w:szCs w:val="24"/>
          <w:lang w:eastAsia="en-GB"/>
        </w:rPr>
        <w:t xml:space="preserve">explain the difference in </w:t>
      </w:r>
      <w:r w:rsidR="00164BC0">
        <w:rPr>
          <w:rFonts w:eastAsia="Times New Roman" w:cstheme="minorHAnsi"/>
          <w:sz w:val="24"/>
          <w:szCs w:val="24"/>
          <w:lang w:eastAsia="en-GB"/>
        </w:rPr>
        <w:t xml:space="preserve">incidence of new </w:t>
      </w:r>
      <w:r w:rsidR="00AF5507">
        <w:rPr>
          <w:rFonts w:eastAsia="Times New Roman" w:cstheme="minorHAnsi"/>
          <w:sz w:val="24"/>
          <w:szCs w:val="24"/>
          <w:lang w:eastAsia="en-GB"/>
        </w:rPr>
        <w:t xml:space="preserve">PA </w:t>
      </w:r>
      <w:r w:rsidR="002A25D1">
        <w:rPr>
          <w:rFonts w:eastAsia="Times New Roman" w:cstheme="minorHAnsi"/>
          <w:sz w:val="24"/>
          <w:szCs w:val="24"/>
          <w:lang w:eastAsia="en-GB"/>
        </w:rPr>
        <w:t>infection</w:t>
      </w:r>
      <w:r w:rsidR="00AF5507">
        <w:rPr>
          <w:rFonts w:eastAsia="Times New Roman" w:cstheme="minorHAnsi"/>
          <w:sz w:val="24"/>
          <w:szCs w:val="24"/>
          <w:lang w:eastAsia="en-GB"/>
        </w:rPr>
        <w:t>.</w:t>
      </w:r>
      <w:r w:rsidR="003518A3">
        <w:rPr>
          <w:rFonts w:eastAsia="Times New Roman" w:cstheme="minorHAnsi"/>
          <w:sz w:val="24"/>
          <w:szCs w:val="24"/>
          <w:lang w:eastAsia="en-GB"/>
        </w:rPr>
        <w:t xml:space="preserve">  </w:t>
      </w:r>
      <w:r w:rsidR="000E25FD">
        <w:rPr>
          <w:rFonts w:eastAsia="Times New Roman" w:cstheme="minorHAnsi"/>
          <w:sz w:val="24"/>
          <w:szCs w:val="24"/>
          <w:lang w:eastAsia="en-GB"/>
        </w:rPr>
        <w:t xml:space="preserve">There were non-significant trends for lower rates of new PA infection in the Tertiary Centres and in Centres that segregated their clinics according to PA </w:t>
      </w:r>
      <w:proofErr w:type="gramStart"/>
      <w:r w:rsidR="000E25FD">
        <w:rPr>
          <w:rFonts w:eastAsia="Times New Roman" w:cstheme="minorHAnsi"/>
          <w:sz w:val="24"/>
          <w:szCs w:val="24"/>
          <w:lang w:eastAsia="en-GB"/>
        </w:rPr>
        <w:t>status</w:t>
      </w:r>
      <w:r w:rsidR="002A25D1" w:rsidRPr="002A25D1">
        <w:rPr>
          <w:rFonts w:eastAsia="Times New Roman" w:cstheme="minorHAnsi"/>
          <w:sz w:val="24"/>
          <w:szCs w:val="24"/>
          <w:lang w:eastAsia="en-GB"/>
        </w:rPr>
        <w:t>,</w:t>
      </w:r>
      <w:proofErr w:type="gramEnd"/>
      <w:r w:rsidR="002A25D1" w:rsidRPr="002A25D1">
        <w:rPr>
          <w:rFonts w:eastAsia="Times New Roman" w:cstheme="minorHAnsi"/>
          <w:sz w:val="24"/>
          <w:szCs w:val="24"/>
          <w:lang w:eastAsia="en-GB"/>
        </w:rPr>
        <w:t xml:space="preserve"> however</w:t>
      </w:r>
      <w:r w:rsidR="002A25D1">
        <w:rPr>
          <w:rFonts w:eastAsia="Times New Roman" w:cstheme="minorHAnsi"/>
          <w:sz w:val="24"/>
          <w:szCs w:val="24"/>
          <w:lang w:eastAsia="en-GB"/>
        </w:rPr>
        <w:t xml:space="preserve"> </w:t>
      </w:r>
      <w:r w:rsidR="000E25FD">
        <w:rPr>
          <w:rFonts w:eastAsia="Times New Roman" w:cstheme="minorHAnsi"/>
          <w:sz w:val="24"/>
          <w:szCs w:val="24"/>
          <w:lang w:eastAsia="en-GB"/>
        </w:rPr>
        <w:t>this study was not powered</w:t>
      </w:r>
      <w:r w:rsidR="00C650ED">
        <w:rPr>
          <w:rFonts w:eastAsia="Times New Roman" w:cstheme="minorHAnsi"/>
          <w:sz w:val="24"/>
          <w:szCs w:val="24"/>
          <w:lang w:eastAsia="en-GB"/>
        </w:rPr>
        <w:t xml:space="preserve"> to </w:t>
      </w:r>
      <w:r w:rsidR="002A25D1">
        <w:rPr>
          <w:rFonts w:eastAsia="Times New Roman" w:cstheme="minorHAnsi"/>
          <w:sz w:val="24"/>
          <w:szCs w:val="24"/>
          <w:lang w:eastAsia="en-GB"/>
        </w:rPr>
        <w:t>detect such</w:t>
      </w:r>
      <w:r w:rsidR="00C650ED">
        <w:rPr>
          <w:rFonts w:eastAsia="Times New Roman" w:cstheme="minorHAnsi"/>
          <w:sz w:val="24"/>
          <w:szCs w:val="24"/>
          <w:lang w:eastAsia="en-GB"/>
        </w:rPr>
        <w:t xml:space="preserve"> differences</w:t>
      </w:r>
      <w:r w:rsidR="00064B70">
        <w:rPr>
          <w:rFonts w:eastAsia="Times New Roman" w:cstheme="minorHAnsi"/>
          <w:sz w:val="24"/>
          <w:szCs w:val="24"/>
          <w:lang w:eastAsia="en-GB"/>
        </w:rPr>
        <w:t>.</w:t>
      </w:r>
      <w:r w:rsidR="00C650ED">
        <w:rPr>
          <w:rFonts w:eastAsia="Times New Roman" w:cstheme="minorHAnsi"/>
          <w:sz w:val="24"/>
          <w:szCs w:val="24"/>
          <w:lang w:eastAsia="en-GB"/>
        </w:rPr>
        <w:t xml:space="preserve">  </w:t>
      </w:r>
    </w:p>
    <w:p w14:paraId="0AB5F0C8" w14:textId="6B47713C" w:rsidR="00C650ED" w:rsidRDefault="00854FBD" w:rsidP="00622215">
      <w:pPr>
        <w:spacing w:before="240" w:after="0" w:line="480" w:lineRule="auto"/>
        <w:jc w:val="both"/>
        <w:rPr>
          <w:rFonts w:eastAsia="Times New Roman" w:cstheme="minorHAnsi"/>
          <w:sz w:val="24"/>
          <w:szCs w:val="24"/>
          <w:lang w:eastAsia="en-GB"/>
        </w:rPr>
      </w:pPr>
      <w:r>
        <w:rPr>
          <w:rFonts w:eastAsia="Times New Roman" w:cstheme="minorHAnsi"/>
          <w:sz w:val="24"/>
          <w:szCs w:val="24"/>
          <w:lang w:eastAsia="en-GB"/>
        </w:rPr>
        <w:t xml:space="preserve">PA </w:t>
      </w:r>
      <w:r w:rsidRPr="00234699">
        <w:rPr>
          <w:rFonts w:eastAsia="Times New Roman" w:cstheme="minorHAnsi"/>
          <w:sz w:val="24"/>
          <w:szCs w:val="24"/>
          <w:lang w:eastAsia="en-GB"/>
        </w:rPr>
        <w:t xml:space="preserve">cross-infection </w:t>
      </w:r>
      <w:r>
        <w:rPr>
          <w:rFonts w:eastAsia="Times New Roman" w:cstheme="minorHAnsi"/>
          <w:sz w:val="24"/>
          <w:szCs w:val="24"/>
          <w:lang w:eastAsia="en-GB"/>
        </w:rPr>
        <w:t>can occur by contact transmission (direct or in-direct), droplet transmission (large infectious droplets spread over short distances) or through airborne transmission (small infectious droplets potentially spread over significant time and distance).</w:t>
      </w:r>
      <w:r>
        <w:rPr>
          <w:rFonts w:eastAsia="Times New Roman" w:cstheme="minorHAnsi"/>
          <w:sz w:val="24"/>
          <w:szCs w:val="24"/>
          <w:lang w:eastAsia="en-GB"/>
        </w:rPr>
        <w:fldChar w:fldCharType="begin"/>
      </w:r>
      <w:r>
        <w:rPr>
          <w:rFonts w:eastAsia="Times New Roman" w:cstheme="minorHAnsi"/>
          <w:sz w:val="24"/>
          <w:szCs w:val="24"/>
          <w:lang w:eastAsia="en-GB"/>
        </w:rPr>
        <w:instrText xml:space="preserve"> ADDIN ZOTERO_ITEM CSL_CITATION {"citationID":"a1hmh4jpa1q","properties":{"formattedCitation":"[4]","plainCitation":"[4]"},"citationItems":[{"id":1338,"uris":["http://zotero.org/users/277024/items/VAAJHSCP"],"uri":["http://zotero.org/users/277024/items/VAAJHSCP"],"itemData":{"id":1338,"type":"article-journal","title":"Viability of Pseudomonas aeruginosa in cough aerosols generated by persons with cystic fibrosis","container-title":"Thorax","page":"740-745","volume":"69","issue":"8","source":"PubMed","abstract":"BACKGROUND: Person-to-person transmission of respiratory pathogens, including Pseudomonas aeruginosa, is a challenge facing many cystic fibrosis (CF) centres. Viable P aeruginosa are contained in aerosols produced during coughing, raising the possibility of airborne transmission.\nMETHODS: Using purpose-built equipment, we measured viable P aeruginosa in cough aerosols at 1, 2 and 4 m from the subject (distance) and after allowing aerosols to age for 5, 15 and 45 min in a slowly rotating drum to minimise gravitational settling and inertial impaction (duration). Aerosol particles were captured and sized employing an Anderson Impactor and cultured using conventional microbiology. Sputum was also cultured and lung function and respiratory muscle strength measured.\nRESULTS: Nineteen patients with CF, mean age 25.8 (SD 9.2) years, chronically infected with P aeruginosa, and 10 healthy controls, 26.5 (8.7) years, participated. Viable P aeruginosa were detected in cough aerosols from all patients with CF, but not from controls; travelling 4 m in 17/18 (94%) and persisting for 45 min in 14/18 (78%) of the CF group. Marked inter-subject heterogeneity of P aeruginosa aerosol colony counts was seen and correlated strongly (r=0.73-0.90) with sputum bacterial loads. Modelling decay of viable P aeruginosa in a clinic room suggested that at the recommended ventilation rate of two air changes per hour almost 50 min were required for 90% to be removed after an infected patient left the room.\nCONCLUSIONS: Viable P aeruginosa in cough aerosols travel further and last longer than recognised previously, providing additional evidence of airborne transmission between patients with CF.","DOI":"10.1136/thoraxjnl-2014-205213","ISSN":"1468-3296","note":"PMID: 24743559\nPMCID: PMC4112489","journalAbbreviation":"Thorax","language":"eng","author":[{"family":"Knibbs","given":"Luke D."},{"family":"Johnson","given":"Graham R."},{"family":"Kidd","given":"Timothy J."},{"family":"Cheney","given":"Joyce"},{"family":"Grimwood","given":"Keith"},{"family":"Kattenbelt","given":"Jacqueline A."},{"family":"O'Rourke","given":"Peter K."},{"family":"Ramsay","given":"Kay A."},{"family":"Sly","given":"Peter D."},{"family":"Wainwright","given":"Claire E."},{"family":"Wood","given":"Michelle E."},{"family":"Morawska","given":"Lidia"},{"family":"Bell","given":"Scott C."}],"issued":{"date-parts":[["2014",8]]}}}],"schema":"https://github.com/citation-style-language/schema/raw/master/csl-citation.json"} </w:instrText>
      </w:r>
      <w:r>
        <w:rPr>
          <w:rFonts w:eastAsia="Times New Roman" w:cstheme="minorHAnsi"/>
          <w:sz w:val="24"/>
          <w:szCs w:val="24"/>
          <w:lang w:eastAsia="en-GB"/>
        </w:rPr>
        <w:fldChar w:fldCharType="separate"/>
      </w:r>
      <w:r w:rsidRPr="00854FBD">
        <w:rPr>
          <w:rFonts w:ascii="Calibri" w:hAnsi="Calibri" w:cs="Calibri"/>
          <w:sz w:val="24"/>
        </w:rPr>
        <w:t>[4]</w:t>
      </w:r>
      <w:r>
        <w:rPr>
          <w:rFonts w:eastAsia="Times New Roman" w:cstheme="minorHAnsi"/>
          <w:sz w:val="24"/>
          <w:szCs w:val="24"/>
          <w:lang w:eastAsia="en-GB"/>
        </w:rPr>
        <w:fldChar w:fldCharType="end"/>
      </w:r>
      <w:r>
        <w:rPr>
          <w:rFonts w:eastAsia="Times New Roman" w:cstheme="minorHAnsi"/>
          <w:sz w:val="24"/>
          <w:szCs w:val="24"/>
          <w:lang w:eastAsia="en-GB"/>
        </w:rPr>
        <w:t xml:space="preserve">  Infection control measures</w:t>
      </w:r>
      <w:r>
        <w:rPr>
          <w:rFonts w:eastAsia="Times New Roman" w:cstheme="minorHAnsi"/>
          <w:sz w:val="24"/>
          <w:szCs w:val="24"/>
          <w:lang w:eastAsia="en-GB"/>
        </w:rPr>
        <w:t>,</w:t>
      </w:r>
      <w:r>
        <w:rPr>
          <w:rFonts w:eastAsia="Times New Roman" w:cstheme="minorHAnsi"/>
          <w:sz w:val="24"/>
          <w:szCs w:val="24"/>
          <w:lang w:eastAsia="en-GB"/>
        </w:rPr>
        <w:t xml:space="preserve"> particular the segregation of patients in clinic have </w:t>
      </w:r>
      <w:r>
        <w:rPr>
          <w:rFonts w:eastAsia="Times New Roman" w:cstheme="minorHAnsi"/>
          <w:sz w:val="24"/>
          <w:szCs w:val="24"/>
          <w:lang w:eastAsia="en-GB"/>
        </w:rPr>
        <w:lastRenderedPageBreak/>
        <w:t>reduced PA transmission between patients.</w:t>
      </w:r>
      <w:r>
        <w:rPr>
          <w:rFonts w:eastAsia="Times New Roman" w:cstheme="minorHAnsi"/>
          <w:sz w:val="24"/>
          <w:szCs w:val="24"/>
          <w:lang w:eastAsia="en-GB"/>
        </w:rPr>
        <w:fldChar w:fldCharType="begin"/>
      </w:r>
      <w:r>
        <w:rPr>
          <w:rFonts w:eastAsia="Times New Roman" w:cstheme="minorHAnsi"/>
          <w:sz w:val="24"/>
          <w:szCs w:val="24"/>
          <w:lang w:eastAsia="en-GB"/>
        </w:rPr>
        <w:instrText xml:space="preserve"> ADDIN ZOTERO_ITEM CSL_CITATION {"citationID":"dszhy872","properties":{"formattedCitation":"[5]","plainCitation":"[5]"},"citationItems":[{"id":691,"uris":["http://zotero.org/users/277024/items/T8WARSXC"],"uri":["http://zotero.org/users/277024/items/T8WARSXC"],"itemData":{"id":691,"type":"article-journal","title":"Prospective surveillance for Pseudomonas aeruginosa cross-infection at a cystic fibrosis center","container-title":"American Journal of Respiratory and Critical Care Medicine","page":"257-260","volume":"171","issue":"3","source":"NCBI PubMed","abstract":"We have performed a 4-year prospective surveillance for Pseudomonas aeruginosa cross-infection at a large regional adult cystic fibrosis center. Despite purpose-built facilities in a new building and the practice of strict hygiene, P. aeruginosa cross-infection has continued. In contrast, individuals segregated from the cohort of patients with chronic P. aeruginosa infection but who attend the same center have not acquired infection with transmissible P. aeruginosa strains. Simple infection control measures alone do not prevent the spread of transmissible P. aeruginosa strains between individuals with cystic fibrosis. However, in our clinic patient segregation effectively controlled spread of such strains.","DOI":"10.1164/rccm.200404-513OC","ISSN":"1073-449X","note":"PMID: 15542795","journalAbbreviation":"Am. J. Respir. Crit. Care Med","author":[{"family":"Jones","given":"Andrew M"},{"family":"Dodd","given":"Mary E"},{"family":"Govan","given":"John R W"},{"family":"Doherty","given":"Catherine J"},{"family":"Smith","given":"Catherine M"},{"family":"Isalska","given":"Barbara J"},{"family":"Webb","given":"A Kevin"}],"issued":{"date-parts":[["2005",2,1]]}}}],"schema":"https://github.com/citation-style-language/schema/raw/master/csl-citation.json"} </w:instrText>
      </w:r>
      <w:r>
        <w:rPr>
          <w:rFonts w:eastAsia="Times New Roman" w:cstheme="minorHAnsi"/>
          <w:sz w:val="24"/>
          <w:szCs w:val="24"/>
          <w:lang w:eastAsia="en-GB"/>
        </w:rPr>
        <w:fldChar w:fldCharType="separate"/>
      </w:r>
      <w:r w:rsidRPr="00854FBD">
        <w:rPr>
          <w:rFonts w:ascii="Calibri" w:hAnsi="Calibri" w:cs="Calibri"/>
          <w:sz w:val="24"/>
        </w:rPr>
        <w:t>[5]</w:t>
      </w:r>
      <w:r>
        <w:rPr>
          <w:rFonts w:eastAsia="Times New Roman" w:cstheme="minorHAnsi"/>
          <w:sz w:val="24"/>
          <w:szCs w:val="24"/>
          <w:lang w:eastAsia="en-GB"/>
        </w:rPr>
        <w:fldChar w:fldCharType="end"/>
      </w:r>
      <w:r>
        <w:rPr>
          <w:rFonts w:eastAsia="Times New Roman" w:cstheme="minorHAnsi"/>
          <w:sz w:val="24"/>
          <w:szCs w:val="24"/>
          <w:lang w:eastAsia="en-GB"/>
        </w:rPr>
        <w:t xml:space="preserve">  </w:t>
      </w:r>
      <w:r>
        <w:rPr>
          <w:rFonts w:eastAsia="Times New Roman" w:cstheme="minorHAnsi"/>
          <w:sz w:val="24"/>
          <w:szCs w:val="24"/>
          <w:lang w:eastAsia="en-GB"/>
        </w:rPr>
        <w:t xml:space="preserve">Other factors that may influenced PA acquisition </w:t>
      </w:r>
      <w:r w:rsidR="00C650ED">
        <w:rPr>
          <w:rFonts w:eastAsia="Times New Roman" w:cstheme="minorHAnsi"/>
          <w:sz w:val="24"/>
          <w:szCs w:val="24"/>
          <w:lang w:eastAsia="en-GB"/>
        </w:rPr>
        <w:t>include contact between</w:t>
      </w:r>
      <w:r w:rsidR="00B659BA">
        <w:rPr>
          <w:rFonts w:eastAsia="Times New Roman" w:cstheme="minorHAnsi"/>
          <w:sz w:val="24"/>
          <w:szCs w:val="24"/>
          <w:lang w:eastAsia="en-GB"/>
        </w:rPr>
        <w:t xml:space="preserve"> </w:t>
      </w:r>
      <w:r w:rsidR="00C650ED">
        <w:rPr>
          <w:rFonts w:eastAsia="Times New Roman" w:cstheme="minorHAnsi"/>
          <w:sz w:val="24"/>
          <w:szCs w:val="24"/>
          <w:lang w:eastAsia="en-GB"/>
        </w:rPr>
        <w:t xml:space="preserve">CF </w:t>
      </w:r>
      <w:r w:rsidR="00B659BA">
        <w:rPr>
          <w:rFonts w:eastAsia="Times New Roman" w:cstheme="minorHAnsi"/>
          <w:sz w:val="24"/>
          <w:szCs w:val="24"/>
          <w:lang w:eastAsia="en-GB"/>
        </w:rPr>
        <w:t>patients outside of the hospital</w:t>
      </w:r>
      <w:r w:rsidR="00C650ED">
        <w:rPr>
          <w:rFonts w:eastAsia="Times New Roman" w:cstheme="minorHAnsi"/>
          <w:sz w:val="24"/>
          <w:szCs w:val="24"/>
          <w:lang w:eastAsia="en-GB"/>
        </w:rPr>
        <w:t xml:space="preserve">, </w:t>
      </w:r>
      <w:r w:rsidR="0051406D">
        <w:rPr>
          <w:rFonts w:eastAsia="Times New Roman" w:cstheme="minorHAnsi"/>
          <w:sz w:val="24"/>
          <w:szCs w:val="24"/>
          <w:lang w:eastAsia="en-GB"/>
        </w:rPr>
        <w:t xml:space="preserve">the size of the CF centre, </w:t>
      </w:r>
      <w:r w:rsidR="00C650ED">
        <w:rPr>
          <w:rFonts w:eastAsia="Times New Roman" w:cstheme="minorHAnsi"/>
          <w:sz w:val="24"/>
          <w:szCs w:val="24"/>
          <w:lang w:eastAsia="en-GB"/>
        </w:rPr>
        <w:t>the age of the patients</w:t>
      </w:r>
      <w:r w:rsidR="00064B70">
        <w:rPr>
          <w:rFonts w:eastAsia="Times New Roman" w:cstheme="minorHAnsi"/>
          <w:sz w:val="24"/>
          <w:szCs w:val="24"/>
          <w:lang w:eastAsia="en-GB"/>
        </w:rPr>
        <w:t xml:space="preserve">, </w:t>
      </w:r>
      <w:r w:rsidR="00C650ED">
        <w:rPr>
          <w:rFonts w:eastAsia="Times New Roman" w:cstheme="minorHAnsi"/>
          <w:sz w:val="24"/>
          <w:szCs w:val="24"/>
          <w:lang w:eastAsia="en-GB"/>
        </w:rPr>
        <w:t>the severity of their lung disease</w:t>
      </w:r>
      <w:r w:rsidR="00064B70">
        <w:rPr>
          <w:rFonts w:eastAsia="Times New Roman" w:cstheme="minorHAnsi"/>
          <w:sz w:val="24"/>
          <w:szCs w:val="24"/>
          <w:lang w:eastAsia="en-GB"/>
        </w:rPr>
        <w:t xml:space="preserve"> and exposure to environmental sources of PA</w:t>
      </w:r>
      <w:r w:rsidR="00C650ED">
        <w:rPr>
          <w:rFonts w:eastAsia="Times New Roman" w:cstheme="minorHAnsi"/>
          <w:sz w:val="24"/>
          <w:szCs w:val="24"/>
          <w:lang w:eastAsia="en-GB"/>
        </w:rPr>
        <w:t>.</w:t>
      </w:r>
      <w:r w:rsidR="00DA5BFC">
        <w:rPr>
          <w:rFonts w:eastAsia="Times New Roman" w:cstheme="minorHAnsi"/>
          <w:sz w:val="24"/>
          <w:szCs w:val="24"/>
          <w:lang w:eastAsia="en-GB"/>
        </w:rPr>
        <w:t xml:space="preserve"> </w:t>
      </w:r>
    </w:p>
    <w:p w14:paraId="0E664472" w14:textId="7F4D4FAC" w:rsidR="00876632" w:rsidRDefault="00B344F9" w:rsidP="00DF6025">
      <w:pPr>
        <w:spacing w:before="240" w:after="0" w:line="480" w:lineRule="auto"/>
        <w:jc w:val="both"/>
        <w:rPr>
          <w:rFonts w:eastAsia="Times New Roman" w:cstheme="minorHAnsi"/>
          <w:sz w:val="24"/>
          <w:szCs w:val="24"/>
          <w:lang w:eastAsia="en-GB"/>
        </w:rPr>
      </w:pPr>
      <w:r>
        <w:rPr>
          <w:rFonts w:eastAsia="Times New Roman" w:cstheme="minorHAnsi"/>
          <w:sz w:val="24"/>
          <w:szCs w:val="24"/>
          <w:lang w:eastAsia="en-GB"/>
        </w:rPr>
        <w:t>In summary, w</w:t>
      </w:r>
      <w:r w:rsidR="00C650ED">
        <w:rPr>
          <w:rFonts w:eastAsia="Times New Roman" w:cstheme="minorHAnsi"/>
          <w:sz w:val="24"/>
          <w:szCs w:val="24"/>
          <w:lang w:eastAsia="en-GB"/>
        </w:rPr>
        <w:t>e have demonstrated variation in the incidence of new PA infection between different paediatric CF centres.  Although we identified differences in the infection control policies</w:t>
      </w:r>
      <w:r>
        <w:rPr>
          <w:rFonts w:eastAsia="Times New Roman" w:cstheme="minorHAnsi"/>
          <w:sz w:val="24"/>
          <w:szCs w:val="24"/>
          <w:lang w:eastAsia="en-GB"/>
        </w:rPr>
        <w:t>,</w:t>
      </w:r>
      <w:r w:rsidR="00C650ED">
        <w:rPr>
          <w:rFonts w:eastAsia="Times New Roman" w:cstheme="minorHAnsi"/>
          <w:sz w:val="24"/>
          <w:szCs w:val="24"/>
          <w:lang w:eastAsia="en-GB"/>
        </w:rPr>
        <w:t xml:space="preserve"> we were unable to identify a single factor to </w:t>
      </w:r>
      <w:r w:rsidR="00064B70">
        <w:rPr>
          <w:rFonts w:eastAsia="Times New Roman" w:cstheme="minorHAnsi"/>
          <w:sz w:val="24"/>
          <w:szCs w:val="24"/>
          <w:lang w:eastAsia="en-GB"/>
        </w:rPr>
        <w:t>explain</w:t>
      </w:r>
      <w:r w:rsidR="00C650ED">
        <w:rPr>
          <w:rFonts w:eastAsia="Times New Roman" w:cstheme="minorHAnsi"/>
          <w:sz w:val="24"/>
          <w:szCs w:val="24"/>
          <w:lang w:eastAsia="en-GB"/>
        </w:rPr>
        <w:t xml:space="preserve"> the changes.  </w:t>
      </w:r>
      <w:r>
        <w:rPr>
          <w:rFonts w:eastAsia="Times New Roman" w:cstheme="minorHAnsi"/>
          <w:sz w:val="24"/>
          <w:szCs w:val="24"/>
          <w:lang w:eastAsia="en-GB"/>
        </w:rPr>
        <w:t>Monitoring the incidence of new PA infection</w:t>
      </w:r>
      <w:r w:rsidR="00064B70">
        <w:rPr>
          <w:rFonts w:eastAsia="Times New Roman" w:cstheme="minorHAnsi"/>
          <w:sz w:val="24"/>
          <w:szCs w:val="24"/>
          <w:lang w:eastAsia="en-GB"/>
        </w:rPr>
        <w:t xml:space="preserve"> </w:t>
      </w:r>
      <w:r>
        <w:rPr>
          <w:rFonts w:eastAsia="Times New Roman" w:cstheme="minorHAnsi"/>
          <w:sz w:val="24"/>
          <w:szCs w:val="24"/>
          <w:lang w:eastAsia="en-GB"/>
        </w:rPr>
        <w:t xml:space="preserve">is an important quality measure for CF centres and may be something that the National CF Registries should consider collecting.  </w:t>
      </w:r>
      <w:r w:rsidR="00501BD3">
        <w:rPr>
          <w:rFonts w:eastAsia="Times New Roman" w:cstheme="minorHAnsi"/>
          <w:sz w:val="24"/>
          <w:szCs w:val="24"/>
          <w:lang w:eastAsia="en-GB"/>
        </w:rPr>
        <w:t xml:space="preserve">  </w:t>
      </w:r>
    </w:p>
    <w:p w14:paraId="33F388E5" w14:textId="77777777" w:rsidR="000307E8" w:rsidRDefault="000307E8" w:rsidP="00C342A8">
      <w:pPr>
        <w:pStyle w:val="Thorax1"/>
        <w:rPr>
          <w:lang w:eastAsia="en-GB"/>
        </w:rPr>
      </w:pPr>
    </w:p>
    <w:p w14:paraId="1EDDC6A3" w14:textId="14B4EF6D" w:rsidR="00C650ED" w:rsidRDefault="00C303D7" w:rsidP="00C342A8">
      <w:pPr>
        <w:pStyle w:val="Thorax1"/>
        <w:rPr>
          <w:lang w:eastAsia="en-GB"/>
        </w:rPr>
      </w:pPr>
      <w:r>
        <w:rPr>
          <w:lang w:eastAsia="en-GB"/>
        </w:rPr>
        <w:t>DECLARATIONS</w:t>
      </w:r>
    </w:p>
    <w:p w14:paraId="5236426D" w14:textId="77777777" w:rsidR="00C303D7" w:rsidRDefault="00C303D7" w:rsidP="00C303D7">
      <w:pPr>
        <w:pStyle w:val="Thorax1"/>
        <w:rPr>
          <w:b w:val="0"/>
          <w:caps w:val="0"/>
          <w:u w:val="single"/>
          <w:lang w:eastAsia="en-GB"/>
        </w:rPr>
      </w:pPr>
      <w:r w:rsidRPr="00C303D7">
        <w:rPr>
          <w:b w:val="0"/>
          <w:caps w:val="0"/>
          <w:u w:val="single"/>
          <w:lang w:eastAsia="en-GB"/>
        </w:rPr>
        <w:t>Ethics approval and consent to participate</w:t>
      </w:r>
    </w:p>
    <w:p w14:paraId="395B21C7" w14:textId="63E28614" w:rsidR="00C303D7" w:rsidRPr="00C303D7" w:rsidRDefault="00C303D7" w:rsidP="00C303D7">
      <w:pPr>
        <w:pStyle w:val="Thorax1"/>
        <w:rPr>
          <w:b w:val="0"/>
          <w:caps w:val="0"/>
          <w:lang w:eastAsia="en-GB"/>
        </w:rPr>
      </w:pPr>
      <w:r w:rsidRPr="00C303D7">
        <w:rPr>
          <w:b w:val="0"/>
          <w:caps w:val="0"/>
          <w:lang w:eastAsia="en-GB"/>
        </w:rPr>
        <w:t xml:space="preserve">Ethical approval for the SPACE Study was granted by the Coventry and Warwickshire Research and Ethics Committee (Ref: 10/H1211/48).  </w:t>
      </w:r>
    </w:p>
    <w:p w14:paraId="240273FB" w14:textId="4567D439" w:rsidR="00C303D7" w:rsidRDefault="00C303D7" w:rsidP="00C303D7">
      <w:pPr>
        <w:pStyle w:val="Thorax1"/>
        <w:rPr>
          <w:b w:val="0"/>
          <w:caps w:val="0"/>
          <w:u w:val="single"/>
          <w:lang w:eastAsia="en-GB"/>
        </w:rPr>
      </w:pPr>
      <w:r w:rsidRPr="00C303D7">
        <w:rPr>
          <w:b w:val="0"/>
          <w:caps w:val="0"/>
          <w:u w:val="single"/>
          <w:lang w:eastAsia="en-GB"/>
        </w:rPr>
        <w:t>A</w:t>
      </w:r>
      <w:r>
        <w:rPr>
          <w:b w:val="0"/>
          <w:caps w:val="0"/>
          <w:u w:val="single"/>
          <w:lang w:eastAsia="en-GB"/>
        </w:rPr>
        <w:t>vailability of data and material</w:t>
      </w:r>
    </w:p>
    <w:p w14:paraId="22DDEAFB" w14:textId="0A627583" w:rsidR="00C303D7" w:rsidRPr="00C303D7" w:rsidRDefault="00C303D7" w:rsidP="00C303D7">
      <w:pPr>
        <w:pStyle w:val="Thorax1"/>
        <w:rPr>
          <w:b w:val="0"/>
          <w:caps w:val="0"/>
          <w:lang w:eastAsia="en-GB"/>
        </w:rPr>
      </w:pPr>
      <w:r w:rsidRPr="00C303D7">
        <w:rPr>
          <w:b w:val="0"/>
          <w:caps w:val="0"/>
          <w:lang w:eastAsia="en-GB"/>
        </w:rPr>
        <w:t>The datasets used and/or analysed during the current study are available from the corresponding author on reasonable request.</w:t>
      </w:r>
    </w:p>
    <w:p w14:paraId="0D282C31" w14:textId="77777777" w:rsidR="00C303D7" w:rsidRDefault="00C303D7" w:rsidP="00C303D7">
      <w:pPr>
        <w:pStyle w:val="Thorax1"/>
        <w:rPr>
          <w:b w:val="0"/>
          <w:caps w:val="0"/>
          <w:u w:val="single"/>
          <w:lang w:eastAsia="en-GB"/>
        </w:rPr>
      </w:pPr>
      <w:r w:rsidRPr="00C303D7">
        <w:rPr>
          <w:b w:val="0"/>
          <w:caps w:val="0"/>
          <w:u w:val="single"/>
          <w:lang w:eastAsia="en-GB"/>
        </w:rPr>
        <w:t>Competing interests</w:t>
      </w:r>
    </w:p>
    <w:p w14:paraId="7E42CEF2" w14:textId="26B5467E" w:rsidR="00C303D7" w:rsidRPr="00C303D7" w:rsidRDefault="00C303D7" w:rsidP="00C303D7">
      <w:pPr>
        <w:pStyle w:val="Thorax1"/>
        <w:rPr>
          <w:b w:val="0"/>
          <w:caps w:val="0"/>
          <w:lang w:eastAsia="en-GB"/>
        </w:rPr>
      </w:pPr>
      <w:r w:rsidRPr="00C303D7">
        <w:rPr>
          <w:b w:val="0"/>
          <w:caps w:val="0"/>
          <w:lang w:eastAsia="en-GB"/>
        </w:rPr>
        <w:t>The authors declare that they have no competing interests</w:t>
      </w:r>
      <w:r>
        <w:rPr>
          <w:b w:val="0"/>
          <w:caps w:val="0"/>
          <w:lang w:eastAsia="en-GB"/>
        </w:rPr>
        <w:t>.</w:t>
      </w:r>
    </w:p>
    <w:p w14:paraId="59341CA1" w14:textId="77777777" w:rsidR="00C303D7" w:rsidRDefault="00C303D7" w:rsidP="00C303D7">
      <w:pPr>
        <w:pStyle w:val="Thorax1"/>
        <w:rPr>
          <w:b w:val="0"/>
          <w:caps w:val="0"/>
          <w:u w:val="single"/>
          <w:lang w:eastAsia="en-GB"/>
        </w:rPr>
      </w:pPr>
      <w:r w:rsidRPr="00C303D7">
        <w:rPr>
          <w:b w:val="0"/>
          <w:caps w:val="0"/>
          <w:u w:val="single"/>
          <w:lang w:eastAsia="en-GB"/>
        </w:rPr>
        <w:t>Funding</w:t>
      </w:r>
    </w:p>
    <w:p w14:paraId="284B53AA" w14:textId="1D5B8616" w:rsidR="00C303D7" w:rsidRPr="00C303D7" w:rsidRDefault="00C303D7" w:rsidP="00C303D7">
      <w:pPr>
        <w:pStyle w:val="Thorax1"/>
        <w:rPr>
          <w:b w:val="0"/>
          <w:caps w:val="0"/>
          <w:lang w:eastAsia="en-GB"/>
        </w:rPr>
      </w:pPr>
      <w:r w:rsidRPr="00C303D7">
        <w:rPr>
          <w:b w:val="0"/>
          <w:caps w:val="0"/>
          <w:lang w:eastAsia="en-GB"/>
        </w:rPr>
        <w:lastRenderedPageBreak/>
        <w:t xml:space="preserve">We gratefully acknowledge the funding for The SPACE Study from a Research for Patient Benefit Grant from the National Institute of Health Research (NIHR): PB-PG-0909-20070.  This report presents independent research funded by the NIHR.  The views expressed are those of the authors and not necessarily those of the NHS, the NIHR or the Department of Health.  </w:t>
      </w:r>
    </w:p>
    <w:p w14:paraId="3F3B3B9B" w14:textId="77777777" w:rsidR="00C303D7" w:rsidRPr="00C303D7" w:rsidRDefault="00C303D7" w:rsidP="00C303D7">
      <w:pPr>
        <w:pStyle w:val="Thorax1"/>
        <w:rPr>
          <w:b w:val="0"/>
          <w:caps w:val="0"/>
          <w:u w:val="single"/>
          <w:lang w:eastAsia="en-GB"/>
        </w:rPr>
      </w:pPr>
      <w:r w:rsidRPr="00C303D7">
        <w:rPr>
          <w:b w:val="0"/>
          <w:caps w:val="0"/>
          <w:u w:val="single"/>
          <w:lang w:eastAsia="en-GB"/>
        </w:rPr>
        <w:t>Authors' contributions</w:t>
      </w:r>
    </w:p>
    <w:p w14:paraId="27C6B17F" w14:textId="432C949B" w:rsidR="00383AEF" w:rsidRPr="00607B08" w:rsidRDefault="00C303D7" w:rsidP="00607B08">
      <w:pPr>
        <w:spacing w:after="0" w:line="480" w:lineRule="auto"/>
        <w:jc w:val="both"/>
        <w:rPr>
          <w:rFonts w:eastAsia="Times New Roman" w:cstheme="minorHAnsi"/>
          <w:sz w:val="24"/>
          <w:szCs w:val="24"/>
          <w:lang w:eastAsia="en-GB"/>
        </w:rPr>
      </w:pPr>
      <w:r>
        <w:rPr>
          <w:rFonts w:eastAsia="Times New Roman" w:cstheme="minorHAnsi"/>
          <w:sz w:val="24"/>
          <w:szCs w:val="24"/>
          <w:lang w:eastAsia="en-GB"/>
        </w:rPr>
        <w:t xml:space="preserve">FG was the Lead Investigator for the SPACE Study, he analysed the data and wrote the first draft of the manuscript.  WL was the Chief Investigator who devised the study.  </w:t>
      </w:r>
      <w:r w:rsidR="00C92A5C">
        <w:rPr>
          <w:rFonts w:eastAsia="Times New Roman" w:cstheme="minorHAnsi"/>
          <w:sz w:val="24"/>
          <w:szCs w:val="24"/>
          <w:lang w:eastAsia="en-GB"/>
        </w:rPr>
        <w:t>AS and KS were Principal Investigators for the SPACE Study at their centres</w:t>
      </w:r>
      <w:r w:rsidR="000307E8">
        <w:rPr>
          <w:rFonts w:eastAsia="Times New Roman" w:cstheme="minorHAnsi"/>
          <w:sz w:val="24"/>
          <w:szCs w:val="24"/>
          <w:lang w:eastAsia="en-GB"/>
        </w:rPr>
        <w:t xml:space="preserve"> and </w:t>
      </w:r>
      <w:r w:rsidR="00C92A5C">
        <w:rPr>
          <w:rFonts w:eastAsia="Times New Roman" w:cstheme="minorHAnsi"/>
          <w:sz w:val="24"/>
          <w:szCs w:val="24"/>
          <w:lang w:eastAsia="en-GB"/>
        </w:rPr>
        <w:t>review</w:t>
      </w:r>
      <w:r w:rsidR="000307E8">
        <w:rPr>
          <w:rFonts w:eastAsia="Times New Roman" w:cstheme="minorHAnsi"/>
          <w:sz w:val="24"/>
          <w:szCs w:val="24"/>
          <w:lang w:eastAsia="en-GB"/>
        </w:rPr>
        <w:t>ed / edited</w:t>
      </w:r>
      <w:r w:rsidR="00C92A5C">
        <w:rPr>
          <w:rFonts w:eastAsia="Times New Roman" w:cstheme="minorHAnsi"/>
          <w:sz w:val="24"/>
          <w:szCs w:val="24"/>
          <w:lang w:eastAsia="en-GB"/>
        </w:rPr>
        <w:t xml:space="preserve"> the manuscript.  AJ and AW were involved in the pr</w:t>
      </w:r>
      <w:r w:rsidR="000307E8">
        <w:rPr>
          <w:rFonts w:eastAsia="Times New Roman" w:cstheme="minorHAnsi"/>
          <w:sz w:val="24"/>
          <w:szCs w:val="24"/>
          <w:lang w:eastAsia="en-GB"/>
        </w:rPr>
        <w:t>otocol development and reviewed / edited</w:t>
      </w:r>
      <w:r w:rsidR="00C92A5C">
        <w:rPr>
          <w:rFonts w:eastAsia="Times New Roman" w:cstheme="minorHAnsi"/>
          <w:sz w:val="24"/>
          <w:szCs w:val="24"/>
          <w:lang w:eastAsia="en-GB"/>
        </w:rPr>
        <w:t xml:space="preserve"> the manuscript.  All authors have approved the final version.</w:t>
      </w:r>
    </w:p>
    <w:p w14:paraId="47A64C9A" w14:textId="77777777" w:rsidR="00373CF2" w:rsidRDefault="00373CF2" w:rsidP="00164BC0">
      <w:pPr>
        <w:pStyle w:val="Thorax1"/>
      </w:pPr>
    </w:p>
    <w:p w14:paraId="67747A5A" w14:textId="77777777" w:rsidR="004B68CB" w:rsidRPr="00893F38" w:rsidRDefault="00893F38" w:rsidP="00164BC0">
      <w:pPr>
        <w:pStyle w:val="Thorax1"/>
      </w:pPr>
      <w:r w:rsidRPr="00893F38">
        <w:t>References</w:t>
      </w:r>
    </w:p>
    <w:p w14:paraId="55DB71D1" w14:textId="77777777" w:rsidR="00A03A74" w:rsidRPr="00A03A74" w:rsidRDefault="00A03A74" w:rsidP="00A03A74">
      <w:pPr>
        <w:pStyle w:val="Bibliography"/>
        <w:jc w:val="both"/>
        <w:rPr>
          <w:rFonts w:cstheme="minorHAnsi"/>
          <w:sz w:val="24"/>
        </w:rPr>
      </w:pPr>
      <w:r w:rsidRPr="00A03A74">
        <w:rPr>
          <w:rFonts w:eastAsia="Times New Roman" w:cstheme="minorHAnsi"/>
          <w:b/>
          <w:lang w:eastAsia="en-GB"/>
        </w:rPr>
        <w:fldChar w:fldCharType="begin"/>
      </w:r>
      <w:r w:rsidRPr="00A03A74">
        <w:rPr>
          <w:rFonts w:eastAsia="Times New Roman" w:cstheme="minorHAnsi"/>
          <w:b/>
          <w:lang w:eastAsia="en-GB"/>
        </w:rPr>
        <w:instrText xml:space="preserve"> ADDIN ZOTERO_BIBL {"custom":[]} CSL_BIBLIOGRAPHY </w:instrText>
      </w:r>
      <w:r w:rsidRPr="00A03A74">
        <w:rPr>
          <w:rFonts w:eastAsia="Times New Roman" w:cstheme="minorHAnsi"/>
          <w:b/>
          <w:lang w:eastAsia="en-GB"/>
        </w:rPr>
        <w:fldChar w:fldCharType="separate"/>
      </w:r>
      <w:r w:rsidRPr="00A03A74">
        <w:rPr>
          <w:rFonts w:cstheme="minorHAnsi"/>
          <w:sz w:val="24"/>
        </w:rPr>
        <w:t xml:space="preserve">1 </w:t>
      </w:r>
      <w:r w:rsidRPr="00A03A74">
        <w:rPr>
          <w:rFonts w:cstheme="minorHAnsi"/>
          <w:sz w:val="24"/>
        </w:rPr>
        <w:tab/>
        <w:t xml:space="preserve">Nixon GM, Armstrong DS, </w:t>
      </w:r>
      <w:proofErr w:type="spellStart"/>
      <w:r w:rsidRPr="00A03A74">
        <w:rPr>
          <w:rFonts w:cstheme="minorHAnsi"/>
          <w:sz w:val="24"/>
        </w:rPr>
        <w:t>Carzino</w:t>
      </w:r>
      <w:proofErr w:type="spellEnd"/>
      <w:r w:rsidRPr="00A03A74">
        <w:rPr>
          <w:rFonts w:cstheme="minorHAnsi"/>
          <w:sz w:val="24"/>
        </w:rPr>
        <w:t xml:space="preserve"> R, </w:t>
      </w:r>
      <w:r w:rsidRPr="00A03A74">
        <w:rPr>
          <w:rFonts w:cstheme="minorHAnsi"/>
          <w:i/>
          <w:iCs/>
          <w:sz w:val="24"/>
        </w:rPr>
        <w:t>et al.</w:t>
      </w:r>
      <w:r w:rsidRPr="00A03A74">
        <w:rPr>
          <w:rFonts w:cstheme="minorHAnsi"/>
          <w:sz w:val="24"/>
        </w:rPr>
        <w:t xml:space="preserve"> Clinical outcome after early Pseudomonas aeruginosa infection in cystic fibrosis. </w:t>
      </w:r>
      <w:r w:rsidRPr="00A03A74">
        <w:rPr>
          <w:rFonts w:cstheme="minorHAnsi"/>
          <w:i/>
          <w:iCs/>
          <w:sz w:val="24"/>
        </w:rPr>
        <w:t xml:space="preserve">J </w:t>
      </w:r>
      <w:proofErr w:type="spellStart"/>
      <w:r w:rsidRPr="00A03A74">
        <w:rPr>
          <w:rFonts w:cstheme="minorHAnsi"/>
          <w:i/>
          <w:iCs/>
          <w:sz w:val="24"/>
        </w:rPr>
        <w:t>Pediatr</w:t>
      </w:r>
      <w:proofErr w:type="spellEnd"/>
      <w:r w:rsidRPr="00A03A74">
        <w:rPr>
          <w:rFonts w:cstheme="minorHAnsi"/>
          <w:sz w:val="24"/>
        </w:rPr>
        <w:t xml:space="preserve"> 2001</w:t>
      </w:r>
      <w:proofErr w:type="gramStart"/>
      <w:r w:rsidRPr="00A03A74">
        <w:rPr>
          <w:rFonts w:cstheme="minorHAnsi"/>
          <w:sz w:val="24"/>
        </w:rPr>
        <w:t>;</w:t>
      </w:r>
      <w:r w:rsidRPr="00A03A74">
        <w:rPr>
          <w:rFonts w:cstheme="minorHAnsi"/>
          <w:b/>
          <w:bCs/>
          <w:sz w:val="24"/>
        </w:rPr>
        <w:t>138</w:t>
      </w:r>
      <w:r w:rsidRPr="00A03A74">
        <w:rPr>
          <w:rFonts w:cstheme="minorHAnsi"/>
          <w:sz w:val="24"/>
        </w:rPr>
        <w:t>:699</w:t>
      </w:r>
      <w:proofErr w:type="gramEnd"/>
      <w:r w:rsidRPr="00A03A74">
        <w:rPr>
          <w:rFonts w:cstheme="minorHAnsi"/>
          <w:sz w:val="24"/>
        </w:rPr>
        <w:t>–704. doi:10.1067/mpd.2001.112897</w:t>
      </w:r>
    </w:p>
    <w:p w14:paraId="5EAA3398" w14:textId="77777777" w:rsidR="00A03A74" w:rsidRPr="00A03A74" w:rsidRDefault="00A03A74" w:rsidP="00A03A74">
      <w:pPr>
        <w:pStyle w:val="Bibliography"/>
        <w:jc w:val="both"/>
        <w:rPr>
          <w:rFonts w:cstheme="minorHAnsi"/>
          <w:sz w:val="24"/>
        </w:rPr>
      </w:pPr>
      <w:r w:rsidRPr="00A03A74">
        <w:rPr>
          <w:rFonts w:cstheme="minorHAnsi"/>
          <w:sz w:val="24"/>
        </w:rPr>
        <w:t xml:space="preserve">2 </w:t>
      </w:r>
      <w:r w:rsidRPr="00A03A74">
        <w:rPr>
          <w:rFonts w:cstheme="minorHAnsi"/>
          <w:sz w:val="24"/>
        </w:rPr>
        <w:tab/>
      </w:r>
      <w:proofErr w:type="spellStart"/>
      <w:r w:rsidRPr="00A03A74">
        <w:rPr>
          <w:rFonts w:cstheme="minorHAnsi"/>
          <w:sz w:val="24"/>
        </w:rPr>
        <w:t>Palser</w:t>
      </w:r>
      <w:proofErr w:type="spellEnd"/>
      <w:r w:rsidRPr="00A03A74">
        <w:rPr>
          <w:rFonts w:cstheme="minorHAnsi"/>
          <w:sz w:val="24"/>
        </w:rPr>
        <w:t xml:space="preserve"> SC, </w:t>
      </w:r>
      <w:proofErr w:type="spellStart"/>
      <w:r w:rsidRPr="00A03A74">
        <w:rPr>
          <w:rFonts w:cstheme="minorHAnsi"/>
          <w:sz w:val="24"/>
        </w:rPr>
        <w:t>Rayner</w:t>
      </w:r>
      <w:proofErr w:type="spellEnd"/>
      <w:r w:rsidRPr="00A03A74">
        <w:rPr>
          <w:rFonts w:cstheme="minorHAnsi"/>
          <w:sz w:val="24"/>
        </w:rPr>
        <w:t xml:space="preserve"> OC, Leighton PA, </w:t>
      </w:r>
      <w:r w:rsidRPr="00A03A74">
        <w:rPr>
          <w:rFonts w:cstheme="minorHAnsi"/>
          <w:i/>
          <w:iCs/>
          <w:sz w:val="24"/>
        </w:rPr>
        <w:t>et al.</w:t>
      </w:r>
      <w:r w:rsidRPr="00A03A74">
        <w:rPr>
          <w:rFonts w:cstheme="minorHAnsi"/>
          <w:sz w:val="24"/>
        </w:rPr>
        <w:t xml:space="preserve"> Perception of first respiratory infection with Pseudomonas aeruginosa by people with cystic fibrosis and those close to them: an online qualitative study. </w:t>
      </w:r>
      <w:r w:rsidRPr="00A03A74">
        <w:rPr>
          <w:rFonts w:cstheme="minorHAnsi"/>
          <w:i/>
          <w:iCs/>
          <w:sz w:val="24"/>
        </w:rPr>
        <w:t>BMJ Open</w:t>
      </w:r>
      <w:r w:rsidRPr="00A03A74">
        <w:rPr>
          <w:rFonts w:cstheme="minorHAnsi"/>
          <w:sz w:val="24"/>
        </w:rPr>
        <w:t xml:space="preserve"> 2016</w:t>
      </w:r>
      <w:proofErr w:type="gramStart"/>
      <w:r w:rsidRPr="00A03A74">
        <w:rPr>
          <w:rFonts w:cstheme="minorHAnsi"/>
          <w:sz w:val="24"/>
        </w:rPr>
        <w:t>;</w:t>
      </w:r>
      <w:r w:rsidRPr="00A03A74">
        <w:rPr>
          <w:rFonts w:cstheme="minorHAnsi"/>
          <w:b/>
          <w:bCs/>
          <w:sz w:val="24"/>
        </w:rPr>
        <w:t>6</w:t>
      </w:r>
      <w:r w:rsidRPr="00A03A74">
        <w:rPr>
          <w:rFonts w:cstheme="minorHAnsi"/>
          <w:sz w:val="24"/>
        </w:rPr>
        <w:t>:e012303</w:t>
      </w:r>
      <w:proofErr w:type="gramEnd"/>
      <w:r w:rsidRPr="00A03A74">
        <w:rPr>
          <w:rFonts w:cstheme="minorHAnsi"/>
          <w:sz w:val="24"/>
        </w:rPr>
        <w:t xml:space="preserve">. </w:t>
      </w:r>
      <w:proofErr w:type="gramStart"/>
      <w:r w:rsidRPr="00A03A74">
        <w:rPr>
          <w:rFonts w:cstheme="minorHAnsi"/>
          <w:sz w:val="24"/>
        </w:rPr>
        <w:t>doi:</w:t>
      </w:r>
      <w:proofErr w:type="gramEnd"/>
      <w:r w:rsidRPr="00A03A74">
        <w:rPr>
          <w:rFonts w:cstheme="minorHAnsi"/>
          <w:sz w:val="24"/>
        </w:rPr>
        <w:t>10.1136/bmjopen-2016-012303</w:t>
      </w:r>
    </w:p>
    <w:p w14:paraId="428A31CC" w14:textId="77777777" w:rsidR="00A03A74" w:rsidRPr="00A03A74" w:rsidRDefault="00A03A74" w:rsidP="00A03A74">
      <w:pPr>
        <w:pStyle w:val="Bibliography"/>
        <w:jc w:val="both"/>
        <w:rPr>
          <w:rFonts w:cstheme="minorHAnsi"/>
          <w:sz w:val="24"/>
        </w:rPr>
      </w:pPr>
      <w:r w:rsidRPr="00A03A74">
        <w:rPr>
          <w:rFonts w:cstheme="minorHAnsi"/>
          <w:sz w:val="24"/>
        </w:rPr>
        <w:t xml:space="preserve">3 </w:t>
      </w:r>
      <w:r w:rsidRPr="00A03A74">
        <w:rPr>
          <w:rFonts w:cstheme="minorHAnsi"/>
          <w:sz w:val="24"/>
        </w:rPr>
        <w:tab/>
        <w:t xml:space="preserve">Gilchrist FJ, Belcher J, Jones AM, </w:t>
      </w:r>
      <w:r w:rsidRPr="00A03A74">
        <w:rPr>
          <w:rFonts w:cstheme="minorHAnsi"/>
          <w:i/>
          <w:iCs/>
          <w:sz w:val="24"/>
        </w:rPr>
        <w:t>et al.</w:t>
      </w:r>
      <w:r w:rsidRPr="00A03A74">
        <w:rPr>
          <w:rFonts w:cstheme="minorHAnsi"/>
          <w:sz w:val="24"/>
        </w:rPr>
        <w:t xml:space="preserve"> Exhaled breath hydrogen cyanide as a marker of early Pseudomonas aeruginosa infection in children with cystic fibrosis. </w:t>
      </w:r>
      <w:r w:rsidRPr="00A03A74">
        <w:rPr>
          <w:rFonts w:cstheme="minorHAnsi"/>
          <w:i/>
          <w:iCs/>
          <w:sz w:val="24"/>
        </w:rPr>
        <w:t>ERJ Open Res</w:t>
      </w:r>
      <w:r w:rsidRPr="00A03A74">
        <w:rPr>
          <w:rFonts w:cstheme="minorHAnsi"/>
          <w:sz w:val="24"/>
        </w:rPr>
        <w:t xml:space="preserve"> 2015</w:t>
      </w:r>
      <w:proofErr w:type="gramStart"/>
      <w:r w:rsidRPr="00A03A74">
        <w:rPr>
          <w:rFonts w:cstheme="minorHAnsi"/>
          <w:sz w:val="24"/>
        </w:rPr>
        <w:t>;</w:t>
      </w:r>
      <w:r w:rsidRPr="00A03A74">
        <w:rPr>
          <w:rFonts w:cstheme="minorHAnsi"/>
          <w:b/>
          <w:bCs/>
          <w:sz w:val="24"/>
        </w:rPr>
        <w:t>1</w:t>
      </w:r>
      <w:r w:rsidRPr="00A03A74">
        <w:rPr>
          <w:rFonts w:cstheme="minorHAnsi"/>
          <w:sz w:val="24"/>
        </w:rPr>
        <w:t>:00044</w:t>
      </w:r>
      <w:proofErr w:type="gramEnd"/>
      <w:r w:rsidRPr="00A03A74">
        <w:rPr>
          <w:rFonts w:cstheme="minorHAnsi"/>
          <w:sz w:val="24"/>
        </w:rPr>
        <w:t>-2015. doi:10.1183/23120541.00044-2015</w:t>
      </w:r>
    </w:p>
    <w:p w14:paraId="4AA5484F" w14:textId="77777777" w:rsidR="00A03A74" w:rsidRPr="00A03A74" w:rsidRDefault="00A03A74" w:rsidP="00A03A74">
      <w:pPr>
        <w:pStyle w:val="Bibliography"/>
        <w:jc w:val="both"/>
        <w:rPr>
          <w:rFonts w:cstheme="minorHAnsi"/>
          <w:sz w:val="24"/>
        </w:rPr>
      </w:pPr>
      <w:r w:rsidRPr="00A03A74">
        <w:rPr>
          <w:rFonts w:cstheme="minorHAnsi"/>
          <w:sz w:val="24"/>
        </w:rPr>
        <w:t xml:space="preserve">4 </w:t>
      </w:r>
      <w:r w:rsidRPr="00A03A74">
        <w:rPr>
          <w:rFonts w:cstheme="minorHAnsi"/>
          <w:sz w:val="24"/>
        </w:rPr>
        <w:tab/>
      </w:r>
      <w:proofErr w:type="spellStart"/>
      <w:r w:rsidRPr="00A03A74">
        <w:rPr>
          <w:rFonts w:cstheme="minorHAnsi"/>
          <w:sz w:val="24"/>
        </w:rPr>
        <w:t>Knibbs</w:t>
      </w:r>
      <w:proofErr w:type="spellEnd"/>
      <w:r w:rsidRPr="00A03A74">
        <w:rPr>
          <w:rFonts w:cstheme="minorHAnsi"/>
          <w:sz w:val="24"/>
        </w:rPr>
        <w:t xml:space="preserve"> LD, Johnson GR, Kidd TJ, </w:t>
      </w:r>
      <w:r w:rsidRPr="00A03A74">
        <w:rPr>
          <w:rFonts w:cstheme="minorHAnsi"/>
          <w:i/>
          <w:iCs/>
          <w:sz w:val="24"/>
        </w:rPr>
        <w:t>et al.</w:t>
      </w:r>
      <w:r w:rsidRPr="00A03A74">
        <w:rPr>
          <w:rFonts w:cstheme="minorHAnsi"/>
          <w:sz w:val="24"/>
        </w:rPr>
        <w:t xml:space="preserve"> Viability of Pseudomonas aeruginosa in cough aerosols generated by persons with cystic fibrosis. </w:t>
      </w:r>
      <w:r w:rsidRPr="00A03A74">
        <w:rPr>
          <w:rFonts w:cstheme="minorHAnsi"/>
          <w:i/>
          <w:iCs/>
          <w:sz w:val="24"/>
        </w:rPr>
        <w:t>Thorax</w:t>
      </w:r>
      <w:r w:rsidRPr="00A03A74">
        <w:rPr>
          <w:rFonts w:cstheme="minorHAnsi"/>
          <w:sz w:val="24"/>
        </w:rPr>
        <w:t xml:space="preserve"> 2014</w:t>
      </w:r>
      <w:proofErr w:type="gramStart"/>
      <w:r w:rsidRPr="00A03A74">
        <w:rPr>
          <w:rFonts w:cstheme="minorHAnsi"/>
          <w:sz w:val="24"/>
        </w:rPr>
        <w:t>;</w:t>
      </w:r>
      <w:r w:rsidRPr="00A03A74">
        <w:rPr>
          <w:rFonts w:cstheme="minorHAnsi"/>
          <w:b/>
          <w:bCs/>
          <w:sz w:val="24"/>
        </w:rPr>
        <w:t>69</w:t>
      </w:r>
      <w:r w:rsidRPr="00A03A74">
        <w:rPr>
          <w:rFonts w:cstheme="minorHAnsi"/>
          <w:sz w:val="24"/>
        </w:rPr>
        <w:t>:740</w:t>
      </w:r>
      <w:proofErr w:type="gramEnd"/>
      <w:r w:rsidRPr="00A03A74">
        <w:rPr>
          <w:rFonts w:cstheme="minorHAnsi"/>
          <w:sz w:val="24"/>
        </w:rPr>
        <w:t xml:space="preserve">–5. </w:t>
      </w:r>
      <w:proofErr w:type="gramStart"/>
      <w:r w:rsidRPr="00A03A74">
        <w:rPr>
          <w:rFonts w:cstheme="minorHAnsi"/>
          <w:sz w:val="24"/>
        </w:rPr>
        <w:t>doi:</w:t>
      </w:r>
      <w:proofErr w:type="gramEnd"/>
      <w:r w:rsidRPr="00A03A74">
        <w:rPr>
          <w:rFonts w:cstheme="minorHAnsi"/>
          <w:sz w:val="24"/>
        </w:rPr>
        <w:t>10.1136/thoraxjnl-2014-205213</w:t>
      </w:r>
    </w:p>
    <w:p w14:paraId="41D3D970" w14:textId="77777777" w:rsidR="00A03A74" w:rsidRPr="00A03A74" w:rsidRDefault="00A03A74" w:rsidP="00A03A74">
      <w:pPr>
        <w:pStyle w:val="Bibliography"/>
        <w:jc w:val="both"/>
        <w:rPr>
          <w:rFonts w:cstheme="minorHAnsi"/>
          <w:sz w:val="24"/>
        </w:rPr>
      </w:pPr>
      <w:r w:rsidRPr="00A03A74">
        <w:rPr>
          <w:rFonts w:cstheme="minorHAnsi"/>
          <w:sz w:val="24"/>
        </w:rPr>
        <w:t xml:space="preserve">5 </w:t>
      </w:r>
      <w:r w:rsidRPr="00A03A74">
        <w:rPr>
          <w:rFonts w:cstheme="minorHAnsi"/>
          <w:sz w:val="24"/>
        </w:rPr>
        <w:tab/>
        <w:t xml:space="preserve">Jones </w:t>
      </w:r>
      <w:proofErr w:type="gramStart"/>
      <w:r w:rsidRPr="00A03A74">
        <w:rPr>
          <w:rFonts w:cstheme="minorHAnsi"/>
          <w:sz w:val="24"/>
        </w:rPr>
        <w:t>AM</w:t>
      </w:r>
      <w:proofErr w:type="gramEnd"/>
      <w:r w:rsidRPr="00A03A74">
        <w:rPr>
          <w:rFonts w:cstheme="minorHAnsi"/>
          <w:sz w:val="24"/>
        </w:rPr>
        <w:t xml:space="preserve">, Dodd ME, Govan JRW, </w:t>
      </w:r>
      <w:r w:rsidRPr="00A03A74">
        <w:rPr>
          <w:rFonts w:cstheme="minorHAnsi"/>
          <w:i/>
          <w:iCs/>
          <w:sz w:val="24"/>
        </w:rPr>
        <w:t>et al.</w:t>
      </w:r>
      <w:r w:rsidRPr="00A03A74">
        <w:rPr>
          <w:rFonts w:cstheme="minorHAnsi"/>
          <w:sz w:val="24"/>
        </w:rPr>
        <w:t xml:space="preserve"> Prospective surveillance for Pseudomonas aeruginosa cross-infection at a cystic fibrosis </w:t>
      </w:r>
      <w:proofErr w:type="spellStart"/>
      <w:r w:rsidRPr="00A03A74">
        <w:rPr>
          <w:rFonts w:cstheme="minorHAnsi"/>
          <w:sz w:val="24"/>
        </w:rPr>
        <w:t>center</w:t>
      </w:r>
      <w:proofErr w:type="spellEnd"/>
      <w:r w:rsidRPr="00A03A74">
        <w:rPr>
          <w:rFonts w:cstheme="minorHAnsi"/>
          <w:sz w:val="24"/>
        </w:rPr>
        <w:t xml:space="preserve">. </w:t>
      </w:r>
      <w:r w:rsidRPr="00A03A74">
        <w:rPr>
          <w:rFonts w:cstheme="minorHAnsi"/>
          <w:i/>
          <w:iCs/>
          <w:sz w:val="24"/>
        </w:rPr>
        <w:t xml:space="preserve">Am J </w:t>
      </w:r>
      <w:proofErr w:type="spellStart"/>
      <w:r w:rsidRPr="00A03A74">
        <w:rPr>
          <w:rFonts w:cstheme="minorHAnsi"/>
          <w:i/>
          <w:iCs/>
          <w:sz w:val="24"/>
        </w:rPr>
        <w:t>Respir</w:t>
      </w:r>
      <w:proofErr w:type="spellEnd"/>
      <w:r w:rsidRPr="00A03A74">
        <w:rPr>
          <w:rFonts w:cstheme="minorHAnsi"/>
          <w:i/>
          <w:iCs/>
          <w:sz w:val="24"/>
        </w:rPr>
        <w:t xml:space="preserve"> </w:t>
      </w:r>
      <w:proofErr w:type="spellStart"/>
      <w:r w:rsidRPr="00A03A74">
        <w:rPr>
          <w:rFonts w:cstheme="minorHAnsi"/>
          <w:i/>
          <w:iCs/>
          <w:sz w:val="24"/>
        </w:rPr>
        <w:t>Crit</w:t>
      </w:r>
      <w:proofErr w:type="spellEnd"/>
      <w:r w:rsidRPr="00A03A74">
        <w:rPr>
          <w:rFonts w:cstheme="minorHAnsi"/>
          <w:i/>
          <w:iCs/>
          <w:sz w:val="24"/>
        </w:rPr>
        <w:t xml:space="preserve"> Care Med</w:t>
      </w:r>
      <w:r w:rsidRPr="00A03A74">
        <w:rPr>
          <w:rFonts w:cstheme="minorHAnsi"/>
          <w:sz w:val="24"/>
        </w:rPr>
        <w:t xml:space="preserve"> 2005</w:t>
      </w:r>
      <w:proofErr w:type="gramStart"/>
      <w:r w:rsidRPr="00A03A74">
        <w:rPr>
          <w:rFonts w:cstheme="minorHAnsi"/>
          <w:sz w:val="24"/>
        </w:rPr>
        <w:t>;</w:t>
      </w:r>
      <w:r w:rsidRPr="00A03A74">
        <w:rPr>
          <w:rFonts w:cstheme="minorHAnsi"/>
          <w:b/>
          <w:bCs/>
          <w:sz w:val="24"/>
        </w:rPr>
        <w:t>171</w:t>
      </w:r>
      <w:r w:rsidRPr="00A03A74">
        <w:rPr>
          <w:rFonts w:cstheme="minorHAnsi"/>
          <w:sz w:val="24"/>
        </w:rPr>
        <w:t>:257</w:t>
      </w:r>
      <w:proofErr w:type="gramEnd"/>
      <w:r w:rsidRPr="00A03A74">
        <w:rPr>
          <w:rFonts w:cstheme="minorHAnsi"/>
          <w:sz w:val="24"/>
        </w:rPr>
        <w:t>–60. doi:10.1164/rccm.200404-513OC</w:t>
      </w:r>
    </w:p>
    <w:p w14:paraId="2C647705" w14:textId="31ABCF49" w:rsidR="00B33FEC" w:rsidRPr="00B84ABC" w:rsidRDefault="00A03A74" w:rsidP="00A03A74">
      <w:pPr>
        <w:spacing w:after="0"/>
        <w:jc w:val="both"/>
        <w:rPr>
          <w:rFonts w:ascii="Arial" w:eastAsia="Times New Roman" w:hAnsi="Arial" w:cs="Arial"/>
          <w:b/>
          <w:sz w:val="24"/>
          <w:szCs w:val="24"/>
          <w:lang w:eastAsia="en-GB"/>
        </w:rPr>
      </w:pPr>
      <w:r w:rsidRPr="00A03A74">
        <w:rPr>
          <w:rFonts w:eastAsia="Times New Roman" w:cstheme="minorHAnsi"/>
          <w:b/>
          <w:sz w:val="24"/>
          <w:szCs w:val="24"/>
          <w:lang w:eastAsia="en-GB"/>
        </w:rPr>
        <w:fldChar w:fldCharType="end"/>
      </w:r>
    </w:p>
    <w:p w14:paraId="453D7C63" w14:textId="77777777" w:rsidR="00582FCC" w:rsidRDefault="00582FCC" w:rsidP="00AC7D34">
      <w:pPr>
        <w:spacing w:after="0" w:line="360" w:lineRule="auto"/>
        <w:jc w:val="both"/>
        <w:rPr>
          <w:rFonts w:cstheme="minorHAnsi"/>
          <w:sz w:val="24"/>
          <w:szCs w:val="24"/>
        </w:rPr>
      </w:pPr>
    </w:p>
    <w:p w14:paraId="056122E5" w14:textId="77777777" w:rsidR="004B68CB" w:rsidRDefault="004B68CB" w:rsidP="00665CB5">
      <w:pPr>
        <w:spacing w:after="0" w:line="480" w:lineRule="auto"/>
        <w:jc w:val="both"/>
        <w:rPr>
          <w:rFonts w:cstheme="minorHAnsi"/>
          <w:sz w:val="24"/>
          <w:szCs w:val="24"/>
        </w:rPr>
      </w:pPr>
    </w:p>
    <w:p w14:paraId="7A845719" w14:textId="77777777" w:rsidR="00DD6FDA" w:rsidRDefault="004B68CB" w:rsidP="00665CB5">
      <w:pPr>
        <w:spacing w:after="0" w:line="480" w:lineRule="auto"/>
        <w:jc w:val="both"/>
        <w:rPr>
          <w:rFonts w:cstheme="minorHAnsi"/>
          <w:sz w:val="24"/>
          <w:szCs w:val="24"/>
        </w:rPr>
      </w:pPr>
      <w:r>
        <w:rPr>
          <w:rFonts w:cstheme="minorHAnsi"/>
          <w:sz w:val="24"/>
          <w:szCs w:val="24"/>
        </w:rPr>
        <w:t xml:space="preserve">     </w:t>
      </w:r>
      <w:r w:rsidR="00DD6FDA">
        <w:rPr>
          <w:rFonts w:cstheme="minorHAnsi"/>
          <w:sz w:val="24"/>
          <w:szCs w:val="24"/>
        </w:rPr>
        <w:t xml:space="preserve"> </w:t>
      </w:r>
    </w:p>
    <w:p w14:paraId="420E44DB" w14:textId="77777777" w:rsidR="000C5481" w:rsidRPr="00F33657" w:rsidRDefault="00796979" w:rsidP="00665CB5">
      <w:pPr>
        <w:spacing w:after="0" w:line="480" w:lineRule="auto"/>
        <w:jc w:val="both"/>
        <w:rPr>
          <w:rFonts w:cstheme="minorHAnsi"/>
          <w:sz w:val="24"/>
          <w:szCs w:val="24"/>
        </w:rPr>
      </w:pPr>
      <w:r>
        <w:rPr>
          <w:rFonts w:cstheme="minorHAnsi"/>
          <w:sz w:val="24"/>
          <w:szCs w:val="24"/>
        </w:rPr>
        <w:t xml:space="preserve">  </w:t>
      </w:r>
      <w:r w:rsidR="00F33657">
        <w:rPr>
          <w:rFonts w:cstheme="minorHAnsi"/>
          <w:sz w:val="24"/>
          <w:szCs w:val="24"/>
        </w:rPr>
        <w:t xml:space="preserve">  </w:t>
      </w:r>
    </w:p>
    <w:sectPr w:rsidR="000C5481" w:rsidRPr="00F33657" w:rsidSect="00EC667A">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16AD5" w15:done="0"/>
  <w15:commentEx w15:paraId="0C23E3B3" w15:done="0"/>
  <w15:commentEx w15:paraId="55F47980" w15:done="0"/>
  <w15:commentEx w15:paraId="204C73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CE05A" w14:textId="77777777" w:rsidR="004C06AC" w:rsidRDefault="004C06AC" w:rsidP="00324EAD">
      <w:pPr>
        <w:spacing w:after="0" w:line="240" w:lineRule="auto"/>
      </w:pPr>
      <w:r>
        <w:separator/>
      </w:r>
    </w:p>
  </w:endnote>
  <w:endnote w:type="continuationSeparator" w:id="0">
    <w:p w14:paraId="5D627BC4" w14:textId="77777777" w:rsidR="004C06AC" w:rsidRDefault="004C06AC" w:rsidP="0032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754940"/>
      <w:docPartObj>
        <w:docPartGallery w:val="Page Numbers (Bottom of Page)"/>
        <w:docPartUnique/>
      </w:docPartObj>
    </w:sdtPr>
    <w:sdtEndPr>
      <w:rPr>
        <w:noProof/>
      </w:rPr>
    </w:sdtEndPr>
    <w:sdtContent>
      <w:p w14:paraId="730E45E4" w14:textId="77777777" w:rsidR="000607F1" w:rsidRDefault="000607F1">
        <w:pPr>
          <w:pStyle w:val="Footer"/>
          <w:jc w:val="center"/>
        </w:pPr>
        <w:r>
          <w:fldChar w:fldCharType="begin"/>
        </w:r>
        <w:r>
          <w:instrText xml:space="preserve"> PAGE   \* MERGEFORMAT </w:instrText>
        </w:r>
        <w:r>
          <w:fldChar w:fldCharType="separate"/>
        </w:r>
        <w:r w:rsidR="00A03A74">
          <w:rPr>
            <w:noProof/>
          </w:rPr>
          <w:t>2</w:t>
        </w:r>
        <w:r>
          <w:rPr>
            <w:noProof/>
          </w:rPr>
          <w:fldChar w:fldCharType="end"/>
        </w:r>
      </w:p>
    </w:sdtContent>
  </w:sdt>
  <w:p w14:paraId="059C3391" w14:textId="77777777" w:rsidR="000607F1" w:rsidRDefault="00060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66911" w14:textId="77777777" w:rsidR="004C06AC" w:rsidRDefault="004C06AC" w:rsidP="00324EAD">
      <w:pPr>
        <w:spacing w:after="0" w:line="240" w:lineRule="auto"/>
      </w:pPr>
      <w:r>
        <w:separator/>
      </w:r>
    </w:p>
  </w:footnote>
  <w:footnote w:type="continuationSeparator" w:id="0">
    <w:p w14:paraId="1627DEA2" w14:textId="77777777" w:rsidR="004C06AC" w:rsidRDefault="004C06AC" w:rsidP="00324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450D"/>
    <w:multiLevelType w:val="hybridMultilevel"/>
    <w:tmpl w:val="82A8D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9131CC9"/>
    <w:multiLevelType w:val="hybridMultilevel"/>
    <w:tmpl w:val="27EE57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D2"/>
    <w:rsid w:val="00004863"/>
    <w:rsid w:val="000056B7"/>
    <w:rsid w:val="00010D49"/>
    <w:rsid w:val="00011593"/>
    <w:rsid w:val="00011864"/>
    <w:rsid w:val="00014436"/>
    <w:rsid w:val="0001520E"/>
    <w:rsid w:val="000167D7"/>
    <w:rsid w:val="0001767D"/>
    <w:rsid w:val="000211F0"/>
    <w:rsid w:val="000217A9"/>
    <w:rsid w:val="00021C63"/>
    <w:rsid w:val="00022568"/>
    <w:rsid w:val="000247A5"/>
    <w:rsid w:val="000307E8"/>
    <w:rsid w:val="00032180"/>
    <w:rsid w:val="00035FEC"/>
    <w:rsid w:val="00045213"/>
    <w:rsid w:val="00050DC0"/>
    <w:rsid w:val="00057470"/>
    <w:rsid w:val="000607F1"/>
    <w:rsid w:val="000608A6"/>
    <w:rsid w:val="00060A45"/>
    <w:rsid w:val="00060DD2"/>
    <w:rsid w:val="00064B70"/>
    <w:rsid w:val="00074E0F"/>
    <w:rsid w:val="00087849"/>
    <w:rsid w:val="00093235"/>
    <w:rsid w:val="00093D91"/>
    <w:rsid w:val="00094D96"/>
    <w:rsid w:val="00094EAD"/>
    <w:rsid w:val="000A191A"/>
    <w:rsid w:val="000A1B91"/>
    <w:rsid w:val="000A1CEC"/>
    <w:rsid w:val="000A26EF"/>
    <w:rsid w:val="000A699C"/>
    <w:rsid w:val="000A6EBF"/>
    <w:rsid w:val="000B17E9"/>
    <w:rsid w:val="000B468F"/>
    <w:rsid w:val="000B4814"/>
    <w:rsid w:val="000C184C"/>
    <w:rsid w:val="000C5481"/>
    <w:rsid w:val="000D095E"/>
    <w:rsid w:val="000D5783"/>
    <w:rsid w:val="000D5844"/>
    <w:rsid w:val="000E0DB0"/>
    <w:rsid w:val="000E22A3"/>
    <w:rsid w:val="000E25FD"/>
    <w:rsid w:val="000E43EA"/>
    <w:rsid w:val="000F1154"/>
    <w:rsid w:val="000F2066"/>
    <w:rsid w:val="000F25FB"/>
    <w:rsid w:val="000F4B8D"/>
    <w:rsid w:val="0010168F"/>
    <w:rsid w:val="00101929"/>
    <w:rsid w:val="0010592E"/>
    <w:rsid w:val="00113707"/>
    <w:rsid w:val="00116830"/>
    <w:rsid w:val="00116E0F"/>
    <w:rsid w:val="00117D51"/>
    <w:rsid w:val="00122159"/>
    <w:rsid w:val="00123000"/>
    <w:rsid w:val="00124FD0"/>
    <w:rsid w:val="001251BB"/>
    <w:rsid w:val="00126140"/>
    <w:rsid w:val="00127DDA"/>
    <w:rsid w:val="00132B8F"/>
    <w:rsid w:val="00137FCA"/>
    <w:rsid w:val="001425D5"/>
    <w:rsid w:val="001468B8"/>
    <w:rsid w:val="00150A88"/>
    <w:rsid w:val="0016216C"/>
    <w:rsid w:val="00164BC0"/>
    <w:rsid w:val="0016645B"/>
    <w:rsid w:val="00170204"/>
    <w:rsid w:val="00173CDE"/>
    <w:rsid w:val="001766BC"/>
    <w:rsid w:val="00176956"/>
    <w:rsid w:val="00183D59"/>
    <w:rsid w:val="00190C32"/>
    <w:rsid w:val="0019119B"/>
    <w:rsid w:val="0019123B"/>
    <w:rsid w:val="0019188E"/>
    <w:rsid w:val="00194443"/>
    <w:rsid w:val="001959BC"/>
    <w:rsid w:val="00195FF8"/>
    <w:rsid w:val="001960AF"/>
    <w:rsid w:val="00196B86"/>
    <w:rsid w:val="00197098"/>
    <w:rsid w:val="001A1889"/>
    <w:rsid w:val="001B23F4"/>
    <w:rsid w:val="001B6EE4"/>
    <w:rsid w:val="001B7E58"/>
    <w:rsid w:val="001C2468"/>
    <w:rsid w:val="001C2A2A"/>
    <w:rsid w:val="001C4020"/>
    <w:rsid w:val="001C438E"/>
    <w:rsid w:val="001C5259"/>
    <w:rsid w:val="001D09D7"/>
    <w:rsid w:val="001D2865"/>
    <w:rsid w:val="001D5D3E"/>
    <w:rsid w:val="001E086D"/>
    <w:rsid w:val="001E0951"/>
    <w:rsid w:val="001E2CD1"/>
    <w:rsid w:val="001E2F56"/>
    <w:rsid w:val="001E332A"/>
    <w:rsid w:val="001E41AE"/>
    <w:rsid w:val="001E57C4"/>
    <w:rsid w:val="001F1235"/>
    <w:rsid w:val="001F3514"/>
    <w:rsid w:val="0020109B"/>
    <w:rsid w:val="00201B06"/>
    <w:rsid w:val="00204C4C"/>
    <w:rsid w:val="002058D0"/>
    <w:rsid w:val="0021224B"/>
    <w:rsid w:val="002126E9"/>
    <w:rsid w:val="00220847"/>
    <w:rsid w:val="00220C70"/>
    <w:rsid w:val="00222135"/>
    <w:rsid w:val="00224A27"/>
    <w:rsid w:val="00225BAE"/>
    <w:rsid w:val="00231652"/>
    <w:rsid w:val="00234699"/>
    <w:rsid w:val="00235600"/>
    <w:rsid w:val="0023673C"/>
    <w:rsid w:val="00237AFE"/>
    <w:rsid w:val="00240399"/>
    <w:rsid w:val="00242888"/>
    <w:rsid w:val="002553DD"/>
    <w:rsid w:val="00256097"/>
    <w:rsid w:val="00257E49"/>
    <w:rsid w:val="00260CC6"/>
    <w:rsid w:val="002612EB"/>
    <w:rsid w:val="002625D0"/>
    <w:rsid w:val="002632E2"/>
    <w:rsid w:val="00263C71"/>
    <w:rsid w:val="00272DEB"/>
    <w:rsid w:val="00274154"/>
    <w:rsid w:val="0027442A"/>
    <w:rsid w:val="002824C8"/>
    <w:rsid w:val="00292104"/>
    <w:rsid w:val="002A1D0C"/>
    <w:rsid w:val="002A25C2"/>
    <w:rsid w:val="002A25D1"/>
    <w:rsid w:val="002B3636"/>
    <w:rsid w:val="002B59B8"/>
    <w:rsid w:val="002B7E10"/>
    <w:rsid w:val="002C1FC6"/>
    <w:rsid w:val="002C3AC8"/>
    <w:rsid w:val="002C3BC5"/>
    <w:rsid w:val="002C4F74"/>
    <w:rsid w:val="002D020A"/>
    <w:rsid w:val="002D0A2E"/>
    <w:rsid w:val="002D3685"/>
    <w:rsid w:val="002D4FDD"/>
    <w:rsid w:val="002D59B9"/>
    <w:rsid w:val="002D7EE7"/>
    <w:rsid w:val="002E3780"/>
    <w:rsid w:val="002E4B25"/>
    <w:rsid w:val="002F0408"/>
    <w:rsid w:val="002F0B9F"/>
    <w:rsid w:val="002F10E0"/>
    <w:rsid w:val="003009ED"/>
    <w:rsid w:val="003019B5"/>
    <w:rsid w:val="00302495"/>
    <w:rsid w:val="00304E6C"/>
    <w:rsid w:val="0031007B"/>
    <w:rsid w:val="003155B6"/>
    <w:rsid w:val="0032139E"/>
    <w:rsid w:val="003215FF"/>
    <w:rsid w:val="00324EAD"/>
    <w:rsid w:val="00332E1D"/>
    <w:rsid w:val="00333084"/>
    <w:rsid w:val="0033524D"/>
    <w:rsid w:val="00336E60"/>
    <w:rsid w:val="00343A03"/>
    <w:rsid w:val="00346BE5"/>
    <w:rsid w:val="00346ED3"/>
    <w:rsid w:val="003474A4"/>
    <w:rsid w:val="003518A3"/>
    <w:rsid w:val="00356BDA"/>
    <w:rsid w:val="00357299"/>
    <w:rsid w:val="00361827"/>
    <w:rsid w:val="00371A01"/>
    <w:rsid w:val="00373CF2"/>
    <w:rsid w:val="00375BA2"/>
    <w:rsid w:val="00376A3A"/>
    <w:rsid w:val="00376ED4"/>
    <w:rsid w:val="0038085A"/>
    <w:rsid w:val="00383AEF"/>
    <w:rsid w:val="00393BA3"/>
    <w:rsid w:val="00395E7E"/>
    <w:rsid w:val="003965C3"/>
    <w:rsid w:val="003A1A6B"/>
    <w:rsid w:val="003A202C"/>
    <w:rsid w:val="003A5891"/>
    <w:rsid w:val="003B0B23"/>
    <w:rsid w:val="003B3223"/>
    <w:rsid w:val="003B4238"/>
    <w:rsid w:val="003C0B20"/>
    <w:rsid w:val="003C27DD"/>
    <w:rsid w:val="003C2B20"/>
    <w:rsid w:val="003C631F"/>
    <w:rsid w:val="003C6B36"/>
    <w:rsid w:val="003C7969"/>
    <w:rsid w:val="003D152E"/>
    <w:rsid w:val="003D1D3B"/>
    <w:rsid w:val="003D367F"/>
    <w:rsid w:val="003D66CA"/>
    <w:rsid w:val="003D7411"/>
    <w:rsid w:val="003E5C5C"/>
    <w:rsid w:val="003E79D0"/>
    <w:rsid w:val="003F1D55"/>
    <w:rsid w:val="003F242C"/>
    <w:rsid w:val="003F2FC4"/>
    <w:rsid w:val="003F6077"/>
    <w:rsid w:val="00404899"/>
    <w:rsid w:val="00411CA8"/>
    <w:rsid w:val="004127B1"/>
    <w:rsid w:val="00413548"/>
    <w:rsid w:val="004159D6"/>
    <w:rsid w:val="00416EC4"/>
    <w:rsid w:val="00420177"/>
    <w:rsid w:val="004241EB"/>
    <w:rsid w:val="00427FB2"/>
    <w:rsid w:val="00432AAE"/>
    <w:rsid w:val="00432FB3"/>
    <w:rsid w:val="00433FFD"/>
    <w:rsid w:val="00435E75"/>
    <w:rsid w:val="00440029"/>
    <w:rsid w:val="00445D84"/>
    <w:rsid w:val="00446D49"/>
    <w:rsid w:val="00451A7A"/>
    <w:rsid w:val="0045254D"/>
    <w:rsid w:val="00456CDE"/>
    <w:rsid w:val="00457E29"/>
    <w:rsid w:val="004603D4"/>
    <w:rsid w:val="00460DC5"/>
    <w:rsid w:val="0046623F"/>
    <w:rsid w:val="00473EC0"/>
    <w:rsid w:val="004740FE"/>
    <w:rsid w:val="00475387"/>
    <w:rsid w:val="00482F91"/>
    <w:rsid w:val="00485ECB"/>
    <w:rsid w:val="00485FE7"/>
    <w:rsid w:val="00487868"/>
    <w:rsid w:val="00487A77"/>
    <w:rsid w:val="00487DFA"/>
    <w:rsid w:val="0049296E"/>
    <w:rsid w:val="00492C78"/>
    <w:rsid w:val="004A164B"/>
    <w:rsid w:val="004A3D9E"/>
    <w:rsid w:val="004A40D4"/>
    <w:rsid w:val="004A4CE0"/>
    <w:rsid w:val="004B077B"/>
    <w:rsid w:val="004B1C75"/>
    <w:rsid w:val="004B68CB"/>
    <w:rsid w:val="004C06AC"/>
    <w:rsid w:val="004C0803"/>
    <w:rsid w:val="004C1975"/>
    <w:rsid w:val="004C6651"/>
    <w:rsid w:val="004D1220"/>
    <w:rsid w:val="004D5561"/>
    <w:rsid w:val="004E23A5"/>
    <w:rsid w:val="004E683B"/>
    <w:rsid w:val="004E73BA"/>
    <w:rsid w:val="004F5DBF"/>
    <w:rsid w:val="00501BD3"/>
    <w:rsid w:val="0050239B"/>
    <w:rsid w:val="0050332E"/>
    <w:rsid w:val="00504064"/>
    <w:rsid w:val="00511913"/>
    <w:rsid w:val="0051246E"/>
    <w:rsid w:val="00513E8E"/>
    <w:rsid w:val="0051406D"/>
    <w:rsid w:val="0051499A"/>
    <w:rsid w:val="00522CE9"/>
    <w:rsid w:val="00531079"/>
    <w:rsid w:val="005401C0"/>
    <w:rsid w:val="00542163"/>
    <w:rsid w:val="00547373"/>
    <w:rsid w:val="005503C9"/>
    <w:rsid w:val="00550914"/>
    <w:rsid w:val="005544F5"/>
    <w:rsid w:val="00555107"/>
    <w:rsid w:val="00556249"/>
    <w:rsid w:val="00561BA3"/>
    <w:rsid w:val="00562BFA"/>
    <w:rsid w:val="0056473E"/>
    <w:rsid w:val="00567A1D"/>
    <w:rsid w:val="00567B8F"/>
    <w:rsid w:val="00570755"/>
    <w:rsid w:val="0057144D"/>
    <w:rsid w:val="0057210E"/>
    <w:rsid w:val="005760EE"/>
    <w:rsid w:val="0058183F"/>
    <w:rsid w:val="00582FCC"/>
    <w:rsid w:val="0059081C"/>
    <w:rsid w:val="00593F2C"/>
    <w:rsid w:val="005952A2"/>
    <w:rsid w:val="005B2443"/>
    <w:rsid w:val="005B4845"/>
    <w:rsid w:val="005B6549"/>
    <w:rsid w:val="005C023C"/>
    <w:rsid w:val="005C09B4"/>
    <w:rsid w:val="005D0D59"/>
    <w:rsid w:val="005D4F00"/>
    <w:rsid w:val="005D68AE"/>
    <w:rsid w:val="005E0D9F"/>
    <w:rsid w:val="005E55BF"/>
    <w:rsid w:val="00601449"/>
    <w:rsid w:val="0060602E"/>
    <w:rsid w:val="00607B08"/>
    <w:rsid w:val="00611D25"/>
    <w:rsid w:val="00615FE4"/>
    <w:rsid w:val="006173F1"/>
    <w:rsid w:val="00620DF7"/>
    <w:rsid w:val="00621489"/>
    <w:rsid w:val="0062172A"/>
    <w:rsid w:val="00621B57"/>
    <w:rsid w:val="00622215"/>
    <w:rsid w:val="0062269F"/>
    <w:rsid w:val="00625122"/>
    <w:rsid w:val="00631241"/>
    <w:rsid w:val="00631DF0"/>
    <w:rsid w:val="00632ACD"/>
    <w:rsid w:val="00636145"/>
    <w:rsid w:val="00640199"/>
    <w:rsid w:val="00651987"/>
    <w:rsid w:val="0065289C"/>
    <w:rsid w:val="00653ECE"/>
    <w:rsid w:val="00660452"/>
    <w:rsid w:val="006651BE"/>
    <w:rsid w:val="00665CB5"/>
    <w:rsid w:val="006673A9"/>
    <w:rsid w:val="00670747"/>
    <w:rsid w:val="00672725"/>
    <w:rsid w:val="006738AE"/>
    <w:rsid w:val="006742F2"/>
    <w:rsid w:val="0068386E"/>
    <w:rsid w:val="00695AD1"/>
    <w:rsid w:val="006974D3"/>
    <w:rsid w:val="006A0A76"/>
    <w:rsid w:val="006A5A65"/>
    <w:rsid w:val="006A7958"/>
    <w:rsid w:val="006B0E9A"/>
    <w:rsid w:val="006B4687"/>
    <w:rsid w:val="006B7167"/>
    <w:rsid w:val="006C065E"/>
    <w:rsid w:val="006C5DF9"/>
    <w:rsid w:val="006D06B2"/>
    <w:rsid w:val="006D18F0"/>
    <w:rsid w:val="006E68AD"/>
    <w:rsid w:val="006F002A"/>
    <w:rsid w:val="006F726D"/>
    <w:rsid w:val="007037FF"/>
    <w:rsid w:val="00705BB1"/>
    <w:rsid w:val="00710142"/>
    <w:rsid w:val="00713CE3"/>
    <w:rsid w:val="00722DC8"/>
    <w:rsid w:val="007245D9"/>
    <w:rsid w:val="00724EE9"/>
    <w:rsid w:val="007254A9"/>
    <w:rsid w:val="00733976"/>
    <w:rsid w:val="007354A4"/>
    <w:rsid w:val="00735521"/>
    <w:rsid w:val="00735940"/>
    <w:rsid w:val="007422EB"/>
    <w:rsid w:val="0075792B"/>
    <w:rsid w:val="00760F54"/>
    <w:rsid w:val="007624A2"/>
    <w:rsid w:val="00762C8F"/>
    <w:rsid w:val="007640FB"/>
    <w:rsid w:val="007665AD"/>
    <w:rsid w:val="007677F5"/>
    <w:rsid w:val="007772CB"/>
    <w:rsid w:val="00782010"/>
    <w:rsid w:val="00782698"/>
    <w:rsid w:val="00785BF1"/>
    <w:rsid w:val="00787B01"/>
    <w:rsid w:val="00796979"/>
    <w:rsid w:val="00797396"/>
    <w:rsid w:val="007A575E"/>
    <w:rsid w:val="007B44E6"/>
    <w:rsid w:val="007B450A"/>
    <w:rsid w:val="007B7CCD"/>
    <w:rsid w:val="007C2268"/>
    <w:rsid w:val="007C2CDE"/>
    <w:rsid w:val="007C3A4F"/>
    <w:rsid w:val="007C3A78"/>
    <w:rsid w:val="007C437D"/>
    <w:rsid w:val="007C5B1E"/>
    <w:rsid w:val="007C6C7F"/>
    <w:rsid w:val="007D0D0C"/>
    <w:rsid w:val="007E5107"/>
    <w:rsid w:val="007E6648"/>
    <w:rsid w:val="007E6686"/>
    <w:rsid w:val="007E7D36"/>
    <w:rsid w:val="007F2FC7"/>
    <w:rsid w:val="007F40F1"/>
    <w:rsid w:val="007F6A23"/>
    <w:rsid w:val="00800B59"/>
    <w:rsid w:val="008012F0"/>
    <w:rsid w:val="00801FF9"/>
    <w:rsid w:val="008028E1"/>
    <w:rsid w:val="008029FF"/>
    <w:rsid w:val="00804D3B"/>
    <w:rsid w:val="00804F08"/>
    <w:rsid w:val="00805814"/>
    <w:rsid w:val="00805933"/>
    <w:rsid w:val="00810682"/>
    <w:rsid w:val="00811349"/>
    <w:rsid w:val="00813568"/>
    <w:rsid w:val="008220BD"/>
    <w:rsid w:val="00823FCB"/>
    <w:rsid w:val="00827621"/>
    <w:rsid w:val="00827B7B"/>
    <w:rsid w:val="00830AE7"/>
    <w:rsid w:val="0083476E"/>
    <w:rsid w:val="00834FEF"/>
    <w:rsid w:val="008362BC"/>
    <w:rsid w:val="00837D30"/>
    <w:rsid w:val="00841D66"/>
    <w:rsid w:val="008467F8"/>
    <w:rsid w:val="00846EFC"/>
    <w:rsid w:val="008515F1"/>
    <w:rsid w:val="00852684"/>
    <w:rsid w:val="00854FBD"/>
    <w:rsid w:val="00860916"/>
    <w:rsid w:val="00863264"/>
    <w:rsid w:val="008702AC"/>
    <w:rsid w:val="00871BE4"/>
    <w:rsid w:val="00876632"/>
    <w:rsid w:val="00877C3F"/>
    <w:rsid w:val="00880432"/>
    <w:rsid w:val="00881E17"/>
    <w:rsid w:val="008848D0"/>
    <w:rsid w:val="00890C7F"/>
    <w:rsid w:val="00892F03"/>
    <w:rsid w:val="00893F38"/>
    <w:rsid w:val="008976B7"/>
    <w:rsid w:val="008A01A1"/>
    <w:rsid w:val="008A68C8"/>
    <w:rsid w:val="008B0549"/>
    <w:rsid w:val="008B0925"/>
    <w:rsid w:val="008C267A"/>
    <w:rsid w:val="008D1B4B"/>
    <w:rsid w:val="008E0771"/>
    <w:rsid w:val="008E1008"/>
    <w:rsid w:val="008E1E12"/>
    <w:rsid w:val="008E3052"/>
    <w:rsid w:val="008E43A7"/>
    <w:rsid w:val="008E682A"/>
    <w:rsid w:val="008E6869"/>
    <w:rsid w:val="008F01C3"/>
    <w:rsid w:val="008F1221"/>
    <w:rsid w:val="008F77B7"/>
    <w:rsid w:val="00912530"/>
    <w:rsid w:val="00926AF1"/>
    <w:rsid w:val="009303E2"/>
    <w:rsid w:val="00943539"/>
    <w:rsid w:val="009476FD"/>
    <w:rsid w:val="00951EF1"/>
    <w:rsid w:val="00953382"/>
    <w:rsid w:val="00954967"/>
    <w:rsid w:val="00956BEA"/>
    <w:rsid w:val="00960D65"/>
    <w:rsid w:val="009619C6"/>
    <w:rsid w:val="0097049A"/>
    <w:rsid w:val="0097152B"/>
    <w:rsid w:val="00971CB2"/>
    <w:rsid w:val="00973387"/>
    <w:rsid w:val="00973CC5"/>
    <w:rsid w:val="00976762"/>
    <w:rsid w:val="00983517"/>
    <w:rsid w:val="00987991"/>
    <w:rsid w:val="009905FC"/>
    <w:rsid w:val="00991FE3"/>
    <w:rsid w:val="00992A6D"/>
    <w:rsid w:val="00995CC8"/>
    <w:rsid w:val="009A6A06"/>
    <w:rsid w:val="009B11AF"/>
    <w:rsid w:val="009B3784"/>
    <w:rsid w:val="009C3179"/>
    <w:rsid w:val="009C67B3"/>
    <w:rsid w:val="009D7189"/>
    <w:rsid w:val="009D7564"/>
    <w:rsid w:val="009E0B07"/>
    <w:rsid w:val="009E346E"/>
    <w:rsid w:val="009E53E3"/>
    <w:rsid w:val="009E77B0"/>
    <w:rsid w:val="009F027F"/>
    <w:rsid w:val="00A00BE9"/>
    <w:rsid w:val="00A0320A"/>
    <w:rsid w:val="00A03A74"/>
    <w:rsid w:val="00A04A81"/>
    <w:rsid w:val="00A054EA"/>
    <w:rsid w:val="00A0581B"/>
    <w:rsid w:val="00A13788"/>
    <w:rsid w:val="00A1490D"/>
    <w:rsid w:val="00A17A66"/>
    <w:rsid w:val="00A317A3"/>
    <w:rsid w:val="00A3410A"/>
    <w:rsid w:val="00A342EB"/>
    <w:rsid w:val="00A34645"/>
    <w:rsid w:val="00A36286"/>
    <w:rsid w:val="00A36FBF"/>
    <w:rsid w:val="00A40405"/>
    <w:rsid w:val="00A4096D"/>
    <w:rsid w:val="00A409F7"/>
    <w:rsid w:val="00A47864"/>
    <w:rsid w:val="00A47FD6"/>
    <w:rsid w:val="00A5177B"/>
    <w:rsid w:val="00A54BDB"/>
    <w:rsid w:val="00A559F7"/>
    <w:rsid w:val="00A56D1B"/>
    <w:rsid w:val="00A65FA7"/>
    <w:rsid w:val="00A70111"/>
    <w:rsid w:val="00A738F3"/>
    <w:rsid w:val="00A77BFB"/>
    <w:rsid w:val="00A83235"/>
    <w:rsid w:val="00A85767"/>
    <w:rsid w:val="00A8714A"/>
    <w:rsid w:val="00A87C5E"/>
    <w:rsid w:val="00A94E70"/>
    <w:rsid w:val="00AA12CF"/>
    <w:rsid w:val="00AA2778"/>
    <w:rsid w:val="00AA48E4"/>
    <w:rsid w:val="00AA52D9"/>
    <w:rsid w:val="00AB01BA"/>
    <w:rsid w:val="00AB1D00"/>
    <w:rsid w:val="00AB20D4"/>
    <w:rsid w:val="00AB22BF"/>
    <w:rsid w:val="00AB2AD6"/>
    <w:rsid w:val="00AC0053"/>
    <w:rsid w:val="00AC07B4"/>
    <w:rsid w:val="00AC17F5"/>
    <w:rsid w:val="00AC220A"/>
    <w:rsid w:val="00AC2853"/>
    <w:rsid w:val="00AC3B82"/>
    <w:rsid w:val="00AC7D34"/>
    <w:rsid w:val="00AD35F7"/>
    <w:rsid w:val="00AD4B51"/>
    <w:rsid w:val="00AD5E23"/>
    <w:rsid w:val="00AF5507"/>
    <w:rsid w:val="00AF6310"/>
    <w:rsid w:val="00AF727F"/>
    <w:rsid w:val="00B0084D"/>
    <w:rsid w:val="00B069C4"/>
    <w:rsid w:val="00B11B5D"/>
    <w:rsid w:val="00B15577"/>
    <w:rsid w:val="00B17281"/>
    <w:rsid w:val="00B209D3"/>
    <w:rsid w:val="00B21341"/>
    <w:rsid w:val="00B214DB"/>
    <w:rsid w:val="00B25661"/>
    <w:rsid w:val="00B2661A"/>
    <w:rsid w:val="00B33FEC"/>
    <w:rsid w:val="00B344F9"/>
    <w:rsid w:val="00B350FE"/>
    <w:rsid w:val="00B37FBF"/>
    <w:rsid w:val="00B40DC8"/>
    <w:rsid w:val="00B430F8"/>
    <w:rsid w:val="00B46033"/>
    <w:rsid w:val="00B546C9"/>
    <w:rsid w:val="00B5539F"/>
    <w:rsid w:val="00B644C2"/>
    <w:rsid w:val="00B659BA"/>
    <w:rsid w:val="00B67A26"/>
    <w:rsid w:val="00B71372"/>
    <w:rsid w:val="00B71A97"/>
    <w:rsid w:val="00B71C67"/>
    <w:rsid w:val="00B752AF"/>
    <w:rsid w:val="00B75499"/>
    <w:rsid w:val="00B81CED"/>
    <w:rsid w:val="00B825AC"/>
    <w:rsid w:val="00B83C78"/>
    <w:rsid w:val="00B84BE0"/>
    <w:rsid w:val="00B85436"/>
    <w:rsid w:val="00B87645"/>
    <w:rsid w:val="00B87958"/>
    <w:rsid w:val="00B9189E"/>
    <w:rsid w:val="00B922BF"/>
    <w:rsid w:val="00B9245B"/>
    <w:rsid w:val="00BA0081"/>
    <w:rsid w:val="00BA02ED"/>
    <w:rsid w:val="00BA2C97"/>
    <w:rsid w:val="00BB077F"/>
    <w:rsid w:val="00BB3091"/>
    <w:rsid w:val="00BC04BB"/>
    <w:rsid w:val="00BC5E70"/>
    <w:rsid w:val="00BC60B0"/>
    <w:rsid w:val="00BC6D5B"/>
    <w:rsid w:val="00BD46EE"/>
    <w:rsid w:val="00BE0CB3"/>
    <w:rsid w:val="00BE1C69"/>
    <w:rsid w:val="00BE7508"/>
    <w:rsid w:val="00BE7B32"/>
    <w:rsid w:val="00BF1FDE"/>
    <w:rsid w:val="00BF3D95"/>
    <w:rsid w:val="00BF54BE"/>
    <w:rsid w:val="00BF56CF"/>
    <w:rsid w:val="00BF6A14"/>
    <w:rsid w:val="00C00E6A"/>
    <w:rsid w:val="00C0111A"/>
    <w:rsid w:val="00C03F45"/>
    <w:rsid w:val="00C073EE"/>
    <w:rsid w:val="00C115E5"/>
    <w:rsid w:val="00C13FCA"/>
    <w:rsid w:val="00C1441D"/>
    <w:rsid w:val="00C157C7"/>
    <w:rsid w:val="00C228AB"/>
    <w:rsid w:val="00C22E49"/>
    <w:rsid w:val="00C23889"/>
    <w:rsid w:val="00C24C0C"/>
    <w:rsid w:val="00C269A0"/>
    <w:rsid w:val="00C27B4A"/>
    <w:rsid w:val="00C303D7"/>
    <w:rsid w:val="00C31E4B"/>
    <w:rsid w:val="00C342A8"/>
    <w:rsid w:val="00C35A06"/>
    <w:rsid w:val="00C377DF"/>
    <w:rsid w:val="00C40F4D"/>
    <w:rsid w:val="00C473BB"/>
    <w:rsid w:val="00C51BAA"/>
    <w:rsid w:val="00C53034"/>
    <w:rsid w:val="00C650ED"/>
    <w:rsid w:val="00C7152C"/>
    <w:rsid w:val="00C75B13"/>
    <w:rsid w:val="00C83FB4"/>
    <w:rsid w:val="00C84DDF"/>
    <w:rsid w:val="00C86159"/>
    <w:rsid w:val="00C86586"/>
    <w:rsid w:val="00C92A5C"/>
    <w:rsid w:val="00C94032"/>
    <w:rsid w:val="00C96CCE"/>
    <w:rsid w:val="00C96F22"/>
    <w:rsid w:val="00CA41CD"/>
    <w:rsid w:val="00CA4742"/>
    <w:rsid w:val="00CB0E4B"/>
    <w:rsid w:val="00CB259B"/>
    <w:rsid w:val="00CB68B9"/>
    <w:rsid w:val="00CC1697"/>
    <w:rsid w:val="00CC6295"/>
    <w:rsid w:val="00CC7319"/>
    <w:rsid w:val="00CD10F0"/>
    <w:rsid w:val="00CD3FB1"/>
    <w:rsid w:val="00CD6CDB"/>
    <w:rsid w:val="00CD791C"/>
    <w:rsid w:val="00CE2D11"/>
    <w:rsid w:val="00CF1920"/>
    <w:rsid w:val="00CF3F2C"/>
    <w:rsid w:val="00CF6C70"/>
    <w:rsid w:val="00CF7D06"/>
    <w:rsid w:val="00D01C80"/>
    <w:rsid w:val="00D03716"/>
    <w:rsid w:val="00D0755D"/>
    <w:rsid w:val="00D101AF"/>
    <w:rsid w:val="00D1617D"/>
    <w:rsid w:val="00D162C2"/>
    <w:rsid w:val="00D2180E"/>
    <w:rsid w:val="00D220AF"/>
    <w:rsid w:val="00D22781"/>
    <w:rsid w:val="00D27023"/>
    <w:rsid w:val="00D30133"/>
    <w:rsid w:val="00D3070B"/>
    <w:rsid w:val="00D34685"/>
    <w:rsid w:val="00D36F68"/>
    <w:rsid w:val="00D43278"/>
    <w:rsid w:val="00D4561B"/>
    <w:rsid w:val="00D45BB4"/>
    <w:rsid w:val="00D4737F"/>
    <w:rsid w:val="00D54A57"/>
    <w:rsid w:val="00D6243D"/>
    <w:rsid w:val="00D62F2E"/>
    <w:rsid w:val="00D75D10"/>
    <w:rsid w:val="00D76CFF"/>
    <w:rsid w:val="00D77614"/>
    <w:rsid w:val="00D85BFD"/>
    <w:rsid w:val="00D85CBA"/>
    <w:rsid w:val="00D86E0B"/>
    <w:rsid w:val="00D904AF"/>
    <w:rsid w:val="00D93F74"/>
    <w:rsid w:val="00D948C6"/>
    <w:rsid w:val="00D95992"/>
    <w:rsid w:val="00D96BF0"/>
    <w:rsid w:val="00D9740D"/>
    <w:rsid w:val="00DA2B10"/>
    <w:rsid w:val="00DA3EC7"/>
    <w:rsid w:val="00DA5BFC"/>
    <w:rsid w:val="00DA60A0"/>
    <w:rsid w:val="00DA7EC4"/>
    <w:rsid w:val="00DB0665"/>
    <w:rsid w:val="00DB0AFD"/>
    <w:rsid w:val="00DB12B2"/>
    <w:rsid w:val="00DB315B"/>
    <w:rsid w:val="00DB4BD4"/>
    <w:rsid w:val="00DB525D"/>
    <w:rsid w:val="00DB658C"/>
    <w:rsid w:val="00DC1903"/>
    <w:rsid w:val="00DC2E46"/>
    <w:rsid w:val="00DC623F"/>
    <w:rsid w:val="00DD142B"/>
    <w:rsid w:val="00DD2CC4"/>
    <w:rsid w:val="00DD6FDA"/>
    <w:rsid w:val="00DD73D9"/>
    <w:rsid w:val="00DE35BA"/>
    <w:rsid w:val="00DE42A9"/>
    <w:rsid w:val="00DE5398"/>
    <w:rsid w:val="00DE5479"/>
    <w:rsid w:val="00DE6FB0"/>
    <w:rsid w:val="00DF0D4D"/>
    <w:rsid w:val="00DF6025"/>
    <w:rsid w:val="00E014E7"/>
    <w:rsid w:val="00E0312A"/>
    <w:rsid w:val="00E06B96"/>
    <w:rsid w:val="00E06C4C"/>
    <w:rsid w:val="00E10569"/>
    <w:rsid w:val="00E110E8"/>
    <w:rsid w:val="00E122D4"/>
    <w:rsid w:val="00E15D89"/>
    <w:rsid w:val="00E16ABF"/>
    <w:rsid w:val="00E177FA"/>
    <w:rsid w:val="00E17BEA"/>
    <w:rsid w:val="00E30E6B"/>
    <w:rsid w:val="00E319A3"/>
    <w:rsid w:val="00E32E07"/>
    <w:rsid w:val="00E32F05"/>
    <w:rsid w:val="00E34ED7"/>
    <w:rsid w:val="00E43866"/>
    <w:rsid w:val="00E51284"/>
    <w:rsid w:val="00E517CF"/>
    <w:rsid w:val="00E54F0E"/>
    <w:rsid w:val="00E578A5"/>
    <w:rsid w:val="00E6112F"/>
    <w:rsid w:val="00E61E5C"/>
    <w:rsid w:val="00E6245C"/>
    <w:rsid w:val="00E62C69"/>
    <w:rsid w:val="00E649D3"/>
    <w:rsid w:val="00E65497"/>
    <w:rsid w:val="00E668A9"/>
    <w:rsid w:val="00E70168"/>
    <w:rsid w:val="00E75AB0"/>
    <w:rsid w:val="00E80401"/>
    <w:rsid w:val="00E8578C"/>
    <w:rsid w:val="00E922B3"/>
    <w:rsid w:val="00E92A62"/>
    <w:rsid w:val="00EA0FCD"/>
    <w:rsid w:val="00EB30C1"/>
    <w:rsid w:val="00EB52DE"/>
    <w:rsid w:val="00EC0B73"/>
    <w:rsid w:val="00EC4126"/>
    <w:rsid w:val="00EC5F8F"/>
    <w:rsid w:val="00EC636B"/>
    <w:rsid w:val="00EC6441"/>
    <w:rsid w:val="00EC65BC"/>
    <w:rsid w:val="00EC667A"/>
    <w:rsid w:val="00ED74A7"/>
    <w:rsid w:val="00ED7B78"/>
    <w:rsid w:val="00EF0456"/>
    <w:rsid w:val="00EF3D0B"/>
    <w:rsid w:val="00EF476E"/>
    <w:rsid w:val="00EF4D63"/>
    <w:rsid w:val="00EF6EB9"/>
    <w:rsid w:val="00EF724A"/>
    <w:rsid w:val="00F00D41"/>
    <w:rsid w:val="00F00F7D"/>
    <w:rsid w:val="00F01218"/>
    <w:rsid w:val="00F02B66"/>
    <w:rsid w:val="00F03BBD"/>
    <w:rsid w:val="00F05C6A"/>
    <w:rsid w:val="00F109A2"/>
    <w:rsid w:val="00F13769"/>
    <w:rsid w:val="00F14B23"/>
    <w:rsid w:val="00F15C89"/>
    <w:rsid w:val="00F17F2B"/>
    <w:rsid w:val="00F20B32"/>
    <w:rsid w:val="00F22AD5"/>
    <w:rsid w:val="00F233BB"/>
    <w:rsid w:val="00F25E79"/>
    <w:rsid w:val="00F316C0"/>
    <w:rsid w:val="00F32B7D"/>
    <w:rsid w:val="00F33657"/>
    <w:rsid w:val="00F343D2"/>
    <w:rsid w:val="00F36CDC"/>
    <w:rsid w:val="00F41436"/>
    <w:rsid w:val="00F508A6"/>
    <w:rsid w:val="00F5454B"/>
    <w:rsid w:val="00F562C5"/>
    <w:rsid w:val="00F570D1"/>
    <w:rsid w:val="00F63DA5"/>
    <w:rsid w:val="00F65A6F"/>
    <w:rsid w:val="00F660DB"/>
    <w:rsid w:val="00F67810"/>
    <w:rsid w:val="00F679E6"/>
    <w:rsid w:val="00F67E90"/>
    <w:rsid w:val="00F71BDA"/>
    <w:rsid w:val="00F72260"/>
    <w:rsid w:val="00F73F2D"/>
    <w:rsid w:val="00F762F5"/>
    <w:rsid w:val="00F77FEF"/>
    <w:rsid w:val="00F81C21"/>
    <w:rsid w:val="00F81E25"/>
    <w:rsid w:val="00F84F15"/>
    <w:rsid w:val="00F85166"/>
    <w:rsid w:val="00F859CE"/>
    <w:rsid w:val="00F871CE"/>
    <w:rsid w:val="00F974EB"/>
    <w:rsid w:val="00FA3572"/>
    <w:rsid w:val="00FA4B23"/>
    <w:rsid w:val="00FA4F61"/>
    <w:rsid w:val="00FB434D"/>
    <w:rsid w:val="00FC07BF"/>
    <w:rsid w:val="00FC0DE3"/>
    <w:rsid w:val="00FC0FC8"/>
    <w:rsid w:val="00FC48B4"/>
    <w:rsid w:val="00FD3798"/>
    <w:rsid w:val="00FE219E"/>
    <w:rsid w:val="00FE627A"/>
    <w:rsid w:val="00FE7636"/>
    <w:rsid w:val="00FF00D9"/>
    <w:rsid w:val="00FF2ADE"/>
    <w:rsid w:val="00FF4AD4"/>
    <w:rsid w:val="00FF5125"/>
    <w:rsid w:val="00FF5555"/>
    <w:rsid w:val="00FF64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A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649D3"/>
    <w:pPr>
      <w:spacing w:line="240" w:lineRule="auto"/>
    </w:pPr>
    <w:rPr>
      <w:b/>
      <w:bCs/>
      <w:color w:val="4F81BD" w:themeColor="accent1"/>
      <w:sz w:val="18"/>
      <w:szCs w:val="18"/>
    </w:rPr>
  </w:style>
  <w:style w:type="paragraph" w:styleId="NormalWeb">
    <w:name w:val="Normal (Web)"/>
    <w:basedOn w:val="Normal"/>
    <w:uiPriority w:val="99"/>
    <w:unhideWhenUsed/>
    <w:rsid w:val="0079739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A02ED"/>
    <w:pPr>
      <w:ind w:left="720"/>
      <w:contextualSpacing/>
    </w:pPr>
  </w:style>
  <w:style w:type="paragraph" w:styleId="BalloonText">
    <w:name w:val="Balloon Text"/>
    <w:basedOn w:val="Normal"/>
    <w:link w:val="BalloonTextChar"/>
    <w:uiPriority w:val="99"/>
    <w:semiHidden/>
    <w:unhideWhenUsed/>
    <w:rsid w:val="00427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B2"/>
    <w:rPr>
      <w:rFonts w:ascii="Tahoma" w:hAnsi="Tahoma" w:cs="Tahoma"/>
      <w:sz w:val="16"/>
      <w:szCs w:val="16"/>
    </w:rPr>
  </w:style>
  <w:style w:type="paragraph" w:styleId="Header">
    <w:name w:val="header"/>
    <w:basedOn w:val="Normal"/>
    <w:link w:val="HeaderChar"/>
    <w:uiPriority w:val="99"/>
    <w:unhideWhenUsed/>
    <w:rsid w:val="00324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EAD"/>
  </w:style>
  <w:style w:type="paragraph" w:styleId="Footer">
    <w:name w:val="footer"/>
    <w:basedOn w:val="Normal"/>
    <w:link w:val="FooterChar"/>
    <w:uiPriority w:val="99"/>
    <w:unhideWhenUsed/>
    <w:rsid w:val="00324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EAD"/>
  </w:style>
  <w:style w:type="paragraph" w:styleId="Bibliography">
    <w:name w:val="Bibliography"/>
    <w:basedOn w:val="Normal"/>
    <w:next w:val="Normal"/>
    <w:uiPriority w:val="37"/>
    <w:unhideWhenUsed/>
    <w:rsid w:val="00562BFA"/>
    <w:pPr>
      <w:tabs>
        <w:tab w:val="left" w:pos="264"/>
      </w:tabs>
      <w:spacing w:after="240" w:line="240" w:lineRule="auto"/>
      <w:ind w:left="264" w:hanging="264"/>
    </w:pPr>
  </w:style>
  <w:style w:type="table" w:customStyle="1" w:styleId="TableGrid3">
    <w:name w:val="Table Grid3"/>
    <w:basedOn w:val="TableNormal"/>
    <w:next w:val="TableGrid"/>
    <w:uiPriority w:val="59"/>
    <w:rsid w:val="003D1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D1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orax1">
    <w:name w:val="Thorax 1"/>
    <w:basedOn w:val="Normal"/>
    <w:link w:val="Thorax1Char"/>
    <w:qFormat/>
    <w:rsid w:val="00045213"/>
    <w:pPr>
      <w:spacing w:before="180" w:after="0" w:line="480" w:lineRule="auto"/>
      <w:jc w:val="both"/>
    </w:pPr>
    <w:rPr>
      <w:rFonts w:cstheme="minorHAnsi"/>
      <w:b/>
      <w:caps/>
      <w:sz w:val="24"/>
      <w:szCs w:val="24"/>
    </w:rPr>
  </w:style>
  <w:style w:type="paragraph" w:customStyle="1" w:styleId="Thorax2">
    <w:name w:val="Thorax 2"/>
    <w:basedOn w:val="Normal"/>
    <w:link w:val="Thorax2Char"/>
    <w:qFormat/>
    <w:rsid w:val="00045213"/>
    <w:pPr>
      <w:spacing w:before="180" w:after="0" w:line="480" w:lineRule="auto"/>
      <w:jc w:val="both"/>
    </w:pPr>
    <w:rPr>
      <w:rFonts w:cstheme="minorHAnsi"/>
      <w:b/>
      <w:sz w:val="24"/>
      <w:szCs w:val="24"/>
    </w:rPr>
  </w:style>
  <w:style w:type="character" w:customStyle="1" w:styleId="Thorax1Char">
    <w:name w:val="Thorax 1 Char"/>
    <w:basedOn w:val="DefaultParagraphFont"/>
    <w:link w:val="Thorax1"/>
    <w:rsid w:val="00045213"/>
    <w:rPr>
      <w:rFonts w:cstheme="minorHAnsi"/>
      <w:b/>
      <w:caps/>
      <w:sz w:val="24"/>
      <w:szCs w:val="24"/>
    </w:rPr>
  </w:style>
  <w:style w:type="paragraph" w:customStyle="1" w:styleId="Thorax3">
    <w:name w:val="Thorax 3"/>
    <w:basedOn w:val="Normal"/>
    <w:link w:val="Thorax3Char"/>
    <w:qFormat/>
    <w:rsid w:val="003C631F"/>
    <w:pPr>
      <w:spacing w:after="0" w:line="480" w:lineRule="auto"/>
      <w:jc w:val="both"/>
    </w:pPr>
    <w:rPr>
      <w:rFonts w:cstheme="minorHAnsi"/>
      <w:i/>
      <w:sz w:val="24"/>
      <w:szCs w:val="24"/>
    </w:rPr>
  </w:style>
  <w:style w:type="character" w:customStyle="1" w:styleId="Thorax2Char">
    <w:name w:val="Thorax 2 Char"/>
    <w:basedOn w:val="DefaultParagraphFont"/>
    <w:link w:val="Thorax2"/>
    <w:rsid w:val="00045213"/>
    <w:rPr>
      <w:rFonts w:cstheme="minorHAnsi"/>
      <w:b/>
      <w:sz w:val="24"/>
      <w:szCs w:val="24"/>
    </w:rPr>
  </w:style>
  <w:style w:type="character" w:customStyle="1" w:styleId="Thorax3Char">
    <w:name w:val="Thorax 3 Char"/>
    <w:basedOn w:val="DefaultParagraphFont"/>
    <w:link w:val="Thorax3"/>
    <w:rsid w:val="003C631F"/>
    <w:rPr>
      <w:rFonts w:cstheme="minorHAnsi"/>
      <w:i/>
      <w:sz w:val="24"/>
      <w:szCs w:val="24"/>
    </w:rPr>
  </w:style>
  <w:style w:type="character" w:styleId="CommentReference">
    <w:name w:val="annotation reference"/>
    <w:basedOn w:val="DefaultParagraphFont"/>
    <w:uiPriority w:val="99"/>
    <w:semiHidden/>
    <w:unhideWhenUsed/>
    <w:rsid w:val="00126140"/>
    <w:rPr>
      <w:sz w:val="18"/>
      <w:szCs w:val="18"/>
    </w:rPr>
  </w:style>
  <w:style w:type="paragraph" w:styleId="CommentText">
    <w:name w:val="annotation text"/>
    <w:basedOn w:val="Normal"/>
    <w:link w:val="CommentTextChar"/>
    <w:uiPriority w:val="99"/>
    <w:semiHidden/>
    <w:unhideWhenUsed/>
    <w:rsid w:val="00126140"/>
    <w:pPr>
      <w:spacing w:line="240" w:lineRule="auto"/>
    </w:pPr>
    <w:rPr>
      <w:sz w:val="24"/>
      <w:szCs w:val="24"/>
    </w:rPr>
  </w:style>
  <w:style w:type="character" w:customStyle="1" w:styleId="CommentTextChar">
    <w:name w:val="Comment Text Char"/>
    <w:basedOn w:val="DefaultParagraphFont"/>
    <w:link w:val="CommentText"/>
    <w:uiPriority w:val="99"/>
    <w:semiHidden/>
    <w:rsid w:val="00126140"/>
    <w:rPr>
      <w:sz w:val="24"/>
      <w:szCs w:val="24"/>
    </w:rPr>
  </w:style>
  <w:style w:type="paragraph" w:styleId="CommentSubject">
    <w:name w:val="annotation subject"/>
    <w:basedOn w:val="CommentText"/>
    <w:next w:val="CommentText"/>
    <w:link w:val="CommentSubjectChar"/>
    <w:uiPriority w:val="99"/>
    <w:semiHidden/>
    <w:unhideWhenUsed/>
    <w:rsid w:val="00126140"/>
    <w:rPr>
      <w:b/>
      <w:bCs/>
      <w:sz w:val="20"/>
      <w:szCs w:val="20"/>
    </w:rPr>
  </w:style>
  <w:style w:type="character" w:customStyle="1" w:styleId="CommentSubjectChar">
    <w:name w:val="Comment Subject Char"/>
    <w:basedOn w:val="CommentTextChar"/>
    <w:link w:val="CommentSubject"/>
    <w:uiPriority w:val="99"/>
    <w:semiHidden/>
    <w:rsid w:val="00126140"/>
    <w:rPr>
      <w:b/>
      <w:bCs/>
      <w:sz w:val="20"/>
      <w:szCs w:val="20"/>
    </w:rPr>
  </w:style>
  <w:style w:type="character" w:styleId="Hyperlink">
    <w:name w:val="Hyperlink"/>
    <w:basedOn w:val="DefaultParagraphFont"/>
    <w:uiPriority w:val="99"/>
    <w:unhideWhenUsed/>
    <w:rsid w:val="001261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649D3"/>
    <w:pPr>
      <w:spacing w:line="240" w:lineRule="auto"/>
    </w:pPr>
    <w:rPr>
      <w:b/>
      <w:bCs/>
      <w:color w:val="4F81BD" w:themeColor="accent1"/>
      <w:sz w:val="18"/>
      <w:szCs w:val="18"/>
    </w:rPr>
  </w:style>
  <w:style w:type="paragraph" w:styleId="NormalWeb">
    <w:name w:val="Normal (Web)"/>
    <w:basedOn w:val="Normal"/>
    <w:uiPriority w:val="99"/>
    <w:unhideWhenUsed/>
    <w:rsid w:val="0079739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A02ED"/>
    <w:pPr>
      <w:ind w:left="720"/>
      <w:contextualSpacing/>
    </w:pPr>
  </w:style>
  <w:style w:type="paragraph" w:styleId="BalloonText">
    <w:name w:val="Balloon Text"/>
    <w:basedOn w:val="Normal"/>
    <w:link w:val="BalloonTextChar"/>
    <w:uiPriority w:val="99"/>
    <w:semiHidden/>
    <w:unhideWhenUsed/>
    <w:rsid w:val="00427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B2"/>
    <w:rPr>
      <w:rFonts w:ascii="Tahoma" w:hAnsi="Tahoma" w:cs="Tahoma"/>
      <w:sz w:val="16"/>
      <w:szCs w:val="16"/>
    </w:rPr>
  </w:style>
  <w:style w:type="paragraph" w:styleId="Header">
    <w:name w:val="header"/>
    <w:basedOn w:val="Normal"/>
    <w:link w:val="HeaderChar"/>
    <w:uiPriority w:val="99"/>
    <w:unhideWhenUsed/>
    <w:rsid w:val="00324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EAD"/>
  </w:style>
  <w:style w:type="paragraph" w:styleId="Footer">
    <w:name w:val="footer"/>
    <w:basedOn w:val="Normal"/>
    <w:link w:val="FooterChar"/>
    <w:uiPriority w:val="99"/>
    <w:unhideWhenUsed/>
    <w:rsid w:val="00324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EAD"/>
  </w:style>
  <w:style w:type="paragraph" w:styleId="Bibliography">
    <w:name w:val="Bibliography"/>
    <w:basedOn w:val="Normal"/>
    <w:next w:val="Normal"/>
    <w:uiPriority w:val="37"/>
    <w:unhideWhenUsed/>
    <w:rsid w:val="00562BFA"/>
    <w:pPr>
      <w:tabs>
        <w:tab w:val="left" w:pos="264"/>
      </w:tabs>
      <w:spacing w:after="240" w:line="240" w:lineRule="auto"/>
      <w:ind w:left="264" w:hanging="264"/>
    </w:pPr>
  </w:style>
  <w:style w:type="table" w:customStyle="1" w:styleId="TableGrid3">
    <w:name w:val="Table Grid3"/>
    <w:basedOn w:val="TableNormal"/>
    <w:next w:val="TableGrid"/>
    <w:uiPriority w:val="59"/>
    <w:rsid w:val="003D1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D1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orax1">
    <w:name w:val="Thorax 1"/>
    <w:basedOn w:val="Normal"/>
    <w:link w:val="Thorax1Char"/>
    <w:qFormat/>
    <w:rsid w:val="00045213"/>
    <w:pPr>
      <w:spacing w:before="180" w:after="0" w:line="480" w:lineRule="auto"/>
      <w:jc w:val="both"/>
    </w:pPr>
    <w:rPr>
      <w:rFonts w:cstheme="minorHAnsi"/>
      <w:b/>
      <w:caps/>
      <w:sz w:val="24"/>
      <w:szCs w:val="24"/>
    </w:rPr>
  </w:style>
  <w:style w:type="paragraph" w:customStyle="1" w:styleId="Thorax2">
    <w:name w:val="Thorax 2"/>
    <w:basedOn w:val="Normal"/>
    <w:link w:val="Thorax2Char"/>
    <w:qFormat/>
    <w:rsid w:val="00045213"/>
    <w:pPr>
      <w:spacing w:before="180" w:after="0" w:line="480" w:lineRule="auto"/>
      <w:jc w:val="both"/>
    </w:pPr>
    <w:rPr>
      <w:rFonts w:cstheme="minorHAnsi"/>
      <w:b/>
      <w:sz w:val="24"/>
      <w:szCs w:val="24"/>
    </w:rPr>
  </w:style>
  <w:style w:type="character" w:customStyle="1" w:styleId="Thorax1Char">
    <w:name w:val="Thorax 1 Char"/>
    <w:basedOn w:val="DefaultParagraphFont"/>
    <w:link w:val="Thorax1"/>
    <w:rsid w:val="00045213"/>
    <w:rPr>
      <w:rFonts w:cstheme="minorHAnsi"/>
      <w:b/>
      <w:caps/>
      <w:sz w:val="24"/>
      <w:szCs w:val="24"/>
    </w:rPr>
  </w:style>
  <w:style w:type="paragraph" w:customStyle="1" w:styleId="Thorax3">
    <w:name w:val="Thorax 3"/>
    <w:basedOn w:val="Normal"/>
    <w:link w:val="Thorax3Char"/>
    <w:qFormat/>
    <w:rsid w:val="003C631F"/>
    <w:pPr>
      <w:spacing w:after="0" w:line="480" w:lineRule="auto"/>
      <w:jc w:val="both"/>
    </w:pPr>
    <w:rPr>
      <w:rFonts w:cstheme="minorHAnsi"/>
      <w:i/>
      <w:sz w:val="24"/>
      <w:szCs w:val="24"/>
    </w:rPr>
  </w:style>
  <w:style w:type="character" w:customStyle="1" w:styleId="Thorax2Char">
    <w:name w:val="Thorax 2 Char"/>
    <w:basedOn w:val="DefaultParagraphFont"/>
    <w:link w:val="Thorax2"/>
    <w:rsid w:val="00045213"/>
    <w:rPr>
      <w:rFonts w:cstheme="minorHAnsi"/>
      <w:b/>
      <w:sz w:val="24"/>
      <w:szCs w:val="24"/>
    </w:rPr>
  </w:style>
  <w:style w:type="character" w:customStyle="1" w:styleId="Thorax3Char">
    <w:name w:val="Thorax 3 Char"/>
    <w:basedOn w:val="DefaultParagraphFont"/>
    <w:link w:val="Thorax3"/>
    <w:rsid w:val="003C631F"/>
    <w:rPr>
      <w:rFonts w:cstheme="minorHAnsi"/>
      <w:i/>
      <w:sz w:val="24"/>
      <w:szCs w:val="24"/>
    </w:rPr>
  </w:style>
  <w:style w:type="character" w:styleId="CommentReference">
    <w:name w:val="annotation reference"/>
    <w:basedOn w:val="DefaultParagraphFont"/>
    <w:uiPriority w:val="99"/>
    <w:semiHidden/>
    <w:unhideWhenUsed/>
    <w:rsid w:val="00126140"/>
    <w:rPr>
      <w:sz w:val="18"/>
      <w:szCs w:val="18"/>
    </w:rPr>
  </w:style>
  <w:style w:type="paragraph" w:styleId="CommentText">
    <w:name w:val="annotation text"/>
    <w:basedOn w:val="Normal"/>
    <w:link w:val="CommentTextChar"/>
    <w:uiPriority w:val="99"/>
    <w:semiHidden/>
    <w:unhideWhenUsed/>
    <w:rsid w:val="00126140"/>
    <w:pPr>
      <w:spacing w:line="240" w:lineRule="auto"/>
    </w:pPr>
    <w:rPr>
      <w:sz w:val="24"/>
      <w:szCs w:val="24"/>
    </w:rPr>
  </w:style>
  <w:style w:type="character" w:customStyle="1" w:styleId="CommentTextChar">
    <w:name w:val="Comment Text Char"/>
    <w:basedOn w:val="DefaultParagraphFont"/>
    <w:link w:val="CommentText"/>
    <w:uiPriority w:val="99"/>
    <w:semiHidden/>
    <w:rsid w:val="00126140"/>
    <w:rPr>
      <w:sz w:val="24"/>
      <w:szCs w:val="24"/>
    </w:rPr>
  </w:style>
  <w:style w:type="paragraph" w:styleId="CommentSubject">
    <w:name w:val="annotation subject"/>
    <w:basedOn w:val="CommentText"/>
    <w:next w:val="CommentText"/>
    <w:link w:val="CommentSubjectChar"/>
    <w:uiPriority w:val="99"/>
    <w:semiHidden/>
    <w:unhideWhenUsed/>
    <w:rsid w:val="00126140"/>
    <w:rPr>
      <w:b/>
      <w:bCs/>
      <w:sz w:val="20"/>
      <w:szCs w:val="20"/>
    </w:rPr>
  </w:style>
  <w:style w:type="character" w:customStyle="1" w:styleId="CommentSubjectChar">
    <w:name w:val="Comment Subject Char"/>
    <w:basedOn w:val="CommentTextChar"/>
    <w:link w:val="CommentSubject"/>
    <w:uiPriority w:val="99"/>
    <w:semiHidden/>
    <w:rsid w:val="00126140"/>
    <w:rPr>
      <w:b/>
      <w:bCs/>
      <w:sz w:val="20"/>
      <w:szCs w:val="20"/>
    </w:rPr>
  </w:style>
  <w:style w:type="character" w:styleId="Hyperlink">
    <w:name w:val="Hyperlink"/>
    <w:basedOn w:val="DefaultParagraphFont"/>
    <w:uiPriority w:val="99"/>
    <w:unhideWhenUsed/>
    <w:rsid w:val="00126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7257">
      <w:bodyDiv w:val="1"/>
      <w:marLeft w:val="0"/>
      <w:marRight w:val="0"/>
      <w:marTop w:val="0"/>
      <w:marBottom w:val="0"/>
      <w:divBdr>
        <w:top w:val="none" w:sz="0" w:space="0" w:color="auto"/>
        <w:left w:val="none" w:sz="0" w:space="0" w:color="auto"/>
        <w:bottom w:val="none" w:sz="0" w:space="0" w:color="auto"/>
        <w:right w:val="none" w:sz="0" w:space="0" w:color="auto"/>
      </w:divBdr>
    </w:div>
    <w:div w:id="669220032">
      <w:bodyDiv w:val="1"/>
      <w:marLeft w:val="0"/>
      <w:marRight w:val="0"/>
      <w:marTop w:val="0"/>
      <w:marBottom w:val="0"/>
      <w:divBdr>
        <w:top w:val="none" w:sz="0" w:space="0" w:color="auto"/>
        <w:left w:val="none" w:sz="0" w:space="0" w:color="auto"/>
        <w:bottom w:val="none" w:sz="0" w:space="0" w:color="auto"/>
        <w:right w:val="none" w:sz="0" w:space="0" w:color="auto"/>
      </w:divBdr>
      <w:divsChild>
        <w:div w:id="671420723">
          <w:marLeft w:val="0"/>
          <w:marRight w:val="0"/>
          <w:marTop w:val="0"/>
          <w:marBottom w:val="0"/>
          <w:divBdr>
            <w:top w:val="none" w:sz="0" w:space="0" w:color="auto"/>
            <w:left w:val="none" w:sz="0" w:space="0" w:color="auto"/>
            <w:bottom w:val="none" w:sz="0" w:space="0" w:color="auto"/>
            <w:right w:val="none" w:sz="0" w:space="0" w:color="auto"/>
          </w:divBdr>
          <w:divsChild>
            <w:div w:id="1333951180">
              <w:marLeft w:val="0"/>
              <w:marRight w:val="0"/>
              <w:marTop w:val="0"/>
              <w:marBottom w:val="0"/>
              <w:divBdr>
                <w:top w:val="none" w:sz="0" w:space="0" w:color="auto"/>
                <w:left w:val="none" w:sz="0" w:space="0" w:color="auto"/>
                <w:bottom w:val="none" w:sz="0" w:space="0" w:color="auto"/>
                <w:right w:val="none" w:sz="0" w:space="0" w:color="auto"/>
              </w:divBdr>
              <w:divsChild>
                <w:div w:id="798182034">
                  <w:marLeft w:val="0"/>
                  <w:marRight w:val="0"/>
                  <w:marTop w:val="0"/>
                  <w:marBottom w:val="0"/>
                  <w:divBdr>
                    <w:top w:val="none" w:sz="0" w:space="0" w:color="auto"/>
                    <w:left w:val="none" w:sz="0" w:space="0" w:color="auto"/>
                    <w:bottom w:val="none" w:sz="0" w:space="0" w:color="auto"/>
                    <w:right w:val="none" w:sz="0" w:space="0" w:color="auto"/>
                  </w:divBdr>
                  <w:divsChild>
                    <w:div w:id="148525042">
                      <w:marLeft w:val="0"/>
                      <w:marRight w:val="0"/>
                      <w:marTop w:val="0"/>
                      <w:marBottom w:val="0"/>
                      <w:divBdr>
                        <w:top w:val="none" w:sz="0" w:space="0" w:color="auto"/>
                        <w:left w:val="none" w:sz="0" w:space="0" w:color="auto"/>
                        <w:bottom w:val="none" w:sz="0" w:space="0" w:color="auto"/>
                        <w:right w:val="none" w:sz="0" w:space="0" w:color="auto"/>
                      </w:divBdr>
                      <w:divsChild>
                        <w:div w:id="1057968634">
                          <w:marLeft w:val="0"/>
                          <w:marRight w:val="0"/>
                          <w:marTop w:val="0"/>
                          <w:marBottom w:val="0"/>
                          <w:divBdr>
                            <w:top w:val="none" w:sz="0" w:space="0" w:color="auto"/>
                            <w:left w:val="none" w:sz="0" w:space="0" w:color="auto"/>
                            <w:bottom w:val="none" w:sz="0" w:space="0" w:color="auto"/>
                            <w:right w:val="none" w:sz="0" w:space="0" w:color="auto"/>
                          </w:divBdr>
                          <w:divsChild>
                            <w:div w:id="1293440590">
                              <w:marLeft w:val="0"/>
                              <w:marRight w:val="0"/>
                              <w:marTop w:val="0"/>
                              <w:marBottom w:val="0"/>
                              <w:divBdr>
                                <w:top w:val="none" w:sz="0" w:space="0" w:color="auto"/>
                                <w:left w:val="none" w:sz="0" w:space="0" w:color="auto"/>
                                <w:bottom w:val="none" w:sz="0" w:space="0" w:color="auto"/>
                                <w:right w:val="none" w:sz="0" w:space="0" w:color="auto"/>
                              </w:divBdr>
                            </w:div>
                            <w:div w:id="2124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378260">
      <w:bodyDiv w:val="1"/>
      <w:marLeft w:val="0"/>
      <w:marRight w:val="0"/>
      <w:marTop w:val="0"/>
      <w:marBottom w:val="0"/>
      <w:divBdr>
        <w:top w:val="none" w:sz="0" w:space="0" w:color="auto"/>
        <w:left w:val="none" w:sz="0" w:space="0" w:color="auto"/>
        <w:bottom w:val="none" w:sz="0" w:space="0" w:color="auto"/>
        <w:right w:val="none" w:sz="0" w:space="0" w:color="auto"/>
      </w:divBdr>
    </w:div>
    <w:div w:id="19076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EFCBF-B2A8-45C6-A002-A8249C46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3688</Words>
  <Characters>21025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Gilchrist, Francis (RJE) UHNM</cp:lastModifiedBy>
  <cp:revision>3</cp:revision>
  <cp:lastPrinted>2014-05-07T15:02:00Z</cp:lastPrinted>
  <dcterms:created xsi:type="dcterms:W3CDTF">2017-05-15T08:58:00Z</dcterms:created>
  <dcterms:modified xsi:type="dcterms:W3CDTF">2017-05-15T09:07:00Z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narang.rk3@doctors.org.uk@www.mendeley.com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ZOTERO_PREF_1">
    <vt:lpwstr>&lt;data data-version="3" zotero-version="4.0.29.17"&gt;&lt;session id="pKOZSig7"/&gt;&lt;style id="http://www.zotero.org/styles/thorax" hasBibliography="1" bibliographyStyleHasBeenSet="1"/&gt;&lt;prefs&gt;&lt;pref name="fieldType" value="Field"/&gt;&lt;pref name="storeReferences" value=</vt:lpwstr>
  </property>
  <property fmtid="{D5CDD505-2E9C-101B-9397-08002B2CF9AE}" pid="26" name="ZOTERO_PREF_2">
    <vt:lpwstr>"true"/&gt;&lt;pref name="automaticJournalAbbreviations" value="true"/&gt;&lt;pref name="noteType" value=""/&gt;&lt;/prefs&gt;&lt;/data&gt;</vt:lpwstr>
  </property>
</Properties>
</file>