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2729" w14:textId="77777777" w:rsidR="002850C1" w:rsidRDefault="002850C1" w:rsidP="001836FF">
      <w:pPr>
        <w:autoSpaceDE w:val="0"/>
        <w:autoSpaceDN w:val="0"/>
        <w:adjustRightInd w:val="0"/>
        <w:spacing w:after="0" w:line="240" w:lineRule="auto"/>
        <w:rPr>
          <w:rFonts w:ascii="Calibri" w:hAnsi="Calibri" w:cs="Calibri"/>
          <w:b/>
          <w:bCs/>
          <w:highlight w:val="yellow"/>
          <w:lang w:val="en-IE"/>
        </w:rPr>
      </w:pPr>
    </w:p>
    <w:p w14:paraId="4A7459DF" w14:textId="77777777" w:rsidR="0063417A" w:rsidRPr="008A51F1" w:rsidRDefault="0063417A" w:rsidP="0063417A">
      <w:r w:rsidRPr="00647797">
        <w:rPr>
          <w:rFonts w:ascii="Calibri" w:hAnsi="Calibri" w:cs="Calibri"/>
          <w:b/>
          <w:bCs/>
          <w:lang w:val="en-IE"/>
        </w:rPr>
        <w:t>Child health research and planning in Europe disadvantaged by major gaps and disparities in published statistics</w:t>
      </w:r>
    </w:p>
    <w:p w14:paraId="5855A49C" w14:textId="77777777" w:rsidR="00CD07E7" w:rsidRDefault="00CD07E7">
      <w:pPr>
        <w:rPr>
          <w:b/>
        </w:rPr>
      </w:pPr>
    </w:p>
    <w:p w14:paraId="6898DE52" w14:textId="77777777" w:rsidR="00CD07E7" w:rsidRDefault="00CD07E7">
      <w:pPr>
        <w:rPr>
          <w:b/>
        </w:rPr>
      </w:pPr>
    </w:p>
    <w:p w14:paraId="4B95CDF9" w14:textId="1FD4530F" w:rsidR="00CD07E7" w:rsidRDefault="00CD07E7" w:rsidP="00CD07E7">
      <w:r w:rsidRPr="006C7CC3">
        <w:t xml:space="preserve">Michael </w:t>
      </w:r>
      <w:r>
        <w:t xml:space="preserve">J </w:t>
      </w:r>
      <w:r w:rsidRPr="006C7CC3">
        <w:t>Rigby</w:t>
      </w:r>
      <w:r w:rsidR="002C4343">
        <w:t xml:space="preserve"> </w:t>
      </w:r>
      <w:r w:rsidR="00E1735F">
        <w:rPr>
          <w:vertAlign w:val="superscript"/>
        </w:rPr>
        <w:t>1</w:t>
      </w:r>
      <w:r w:rsidR="002C4343">
        <w:t xml:space="preserve"> </w:t>
      </w:r>
      <w:r>
        <w:t>*</w:t>
      </w:r>
      <w:r w:rsidRPr="006C7CC3">
        <w:t>, Shalmali Deshpande</w:t>
      </w:r>
      <w:r w:rsidR="002C4343">
        <w:t xml:space="preserve"> </w:t>
      </w:r>
      <w:r w:rsidR="00E1735F">
        <w:rPr>
          <w:vertAlign w:val="superscript"/>
        </w:rPr>
        <w:t>2</w:t>
      </w:r>
      <w:r w:rsidRPr="006C7CC3">
        <w:t>, Mitch</w:t>
      </w:r>
      <w:r>
        <w:t xml:space="preserve"> E </w:t>
      </w:r>
      <w:r w:rsidRPr="006C7CC3">
        <w:t>Blair</w:t>
      </w:r>
      <w:r w:rsidR="002C4343">
        <w:t xml:space="preserve"> </w:t>
      </w:r>
      <w:r w:rsidR="00E1735F">
        <w:rPr>
          <w:vertAlign w:val="superscript"/>
        </w:rPr>
        <w:t>2</w:t>
      </w:r>
    </w:p>
    <w:p w14:paraId="7B094A6C" w14:textId="56098A5F" w:rsidR="002C4343" w:rsidRDefault="002C4343" w:rsidP="00CD07E7"/>
    <w:p w14:paraId="470E30A2" w14:textId="567A68C1" w:rsidR="002C4343" w:rsidRDefault="00E1735F" w:rsidP="00CD07E7">
      <w:r>
        <w:t>1</w:t>
      </w:r>
      <w:r w:rsidR="002C4343">
        <w:t xml:space="preserve">. </w:t>
      </w:r>
      <w:r w:rsidR="006D294F" w:rsidRPr="006D294F">
        <w:t>School</w:t>
      </w:r>
      <w:r w:rsidR="006D294F">
        <w:t>s</w:t>
      </w:r>
      <w:r w:rsidR="006D294F" w:rsidRPr="006D294F">
        <w:t xml:space="preserve"> of Social, Political and Global Studies</w:t>
      </w:r>
      <w:r w:rsidR="006D294F">
        <w:t xml:space="preserve">, and </w:t>
      </w:r>
      <w:r w:rsidR="006D294F" w:rsidRPr="006D294F">
        <w:t>Primary, Community and Social Care</w:t>
      </w:r>
      <w:r w:rsidR="006D294F">
        <w:t xml:space="preserve">, </w:t>
      </w:r>
      <w:r w:rsidR="002C4343">
        <w:t>Keele University, UK</w:t>
      </w:r>
    </w:p>
    <w:p w14:paraId="4D0BAFA9" w14:textId="0DBB4A8F" w:rsidR="00CD07E7" w:rsidRPr="006C7CC3" w:rsidRDefault="00E1735F" w:rsidP="00CD07E7">
      <w:r>
        <w:t>2</w:t>
      </w:r>
      <w:bookmarkStart w:id="0" w:name="_GoBack"/>
      <w:bookmarkEnd w:id="0"/>
      <w:r w:rsidR="002C4343">
        <w:t xml:space="preserve">. </w:t>
      </w:r>
      <w:r w:rsidR="006D294F">
        <w:t xml:space="preserve">Section of Primary Care and Public Health, </w:t>
      </w:r>
      <w:r w:rsidR="00CD07E7">
        <w:t>Imperial College London</w:t>
      </w:r>
    </w:p>
    <w:p w14:paraId="545EB6F1" w14:textId="77777777" w:rsidR="00CD07E7" w:rsidRDefault="00CD07E7">
      <w:pPr>
        <w:rPr>
          <w:b/>
        </w:rPr>
      </w:pPr>
    </w:p>
    <w:p w14:paraId="509D1F81" w14:textId="77777777" w:rsidR="00607B10" w:rsidRDefault="00607B10">
      <w:pPr>
        <w:rPr>
          <w:b/>
        </w:rPr>
      </w:pPr>
    </w:p>
    <w:p w14:paraId="36CE7D8B" w14:textId="77777777" w:rsidR="00607B10" w:rsidRDefault="00607B10">
      <w:pPr>
        <w:rPr>
          <w:b/>
        </w:rPr>
      </w:pPr>
    </w:p>
    <w:p w14:paraId="2AB303A1" w14:textId="77777777" w:rsidR="00607B10" w:rsidRDefault="00607B10">
      <w:pPr>
        <w:rPr>
          <w:b/>
        </w:rPr>
      </w:pPr>
    </w:p>
    <w:p w14:paraId="309F11EE" w14:textId="77777777" w:rsidR="00607B10" w:rsidRDefault="00607B10">
      <w:pPr>
        <w:rPr>
          <w:b/>
        </w:rPr>
      </w:pPr>
    </w:p>
    <w:p w14:paraId="617F9427" w14:textId="77777777" w:rsidR="00607B10" w:rsidRDefault="00607B10">
      <w:pPr>
        <w:rPr>
          <w:b/>
        </w:rPr>
      </w:pPr>
    </w:p>
    <w:p w14:paraId="76637AF3" w14:textId="77777777" w:rsidR="00607B10" w:rsidRDefault="00607B10">
      <w:pPr>
        <w:rPr>
          <w:b/>
        </w:rPr>
      </w:pPr>
    </w:p>
    <w:p w14:paraId="6170B3DC" w14:textId="77777777" w:rsidR="00607B10" w:rsidRDefault="00607B10">
      <w:pPr>
        <w:rPr>
          <w:b/>
        </w:rPr>
      </w:pPr>
    </w:p>
    <w:p w14:paraId="3BB0FB3A" w14:textId="77777777" w:rsidR="00607B10" w:rsidRDefault="00607B10">
      <w:pPr>
        <w:rPr>
          <w:b/>
        </w:rPr>
      </w:pPr>
    </w:p>
    <w:p w14:paraId="0FA2C706" w14:textId="77777777" w:rsidR="00CD07E7" w:rsidRDefault="00CD07E7" w:rsidP="00CD07E7">
      <w:pPr>
        <w:spacing w:after="0"/>
        <w:rPr>
          <w:i/>
        </w:rPr>
      </w:pPr>
      <w:r w:rsidRPr="00CD07E7">
        <w:rPr>
          <w:i/>
        </w:rPr>
        <w:t xml:space="preserve">*Corresponding Author </w:t>
      </w:r>
    </w:p>
    <w:p w14:paraId="72B9FAAE" w14:textId="77777777" w:rsidR="00CD07E7" w:rsidRPr="00CD07E7" w:rsidRDefault="00CD07E7" w:rsidP="00CD07E7">
      <w:pPr>
        <w:spacing w:after="0"/>
        <w:rPr>
          <w:i/>
        </w:rPr>
      </w:pPr>
    </w:p>
    <w:p w14:paraId="6EE269EE" w14:textId="7C5356EF" w:rsidR="00CD07E7" w:rsidRDefault="002C4343" w:rsidP="00CD07E7">
      <w:pPr>
        <w:spacing w:after="0"/>
      </w:pPr>
      <w:r>
        <w:t>Laven</w:t>
      </w:r>
      <w:r w:rsidR="00FC6E58">
        <w:t>d</w:t>
      </w:r>
      <w:r>
        <w:t>er Hill</w:t>
      </w:r>
    </w:p>
    <w:p w14:paraId="59E1D750" w14:textId="1B5B3EA8" w:rsidR="002C4343" w:rsidRDefault="002C4343" w:rsidP="00CD07E7">
      <w:pPr>
        <w:spacing w:after="0"/>
      </w:pPr>
      <w:r>
        <w:t>6, Carrighill Lower</w:t>
      </w:r>
    </w:p>
    <w:p w14:paraId="167F7FD6" w14:textId="1B55D5F4" w:rsidR="002C4343" w:rsidRDefault="002C4343" w:rsidP="00CD07E7">
      <w:pPr>
        <w:spacing w:after="0"/>
      </w:pPr>
      <w:r>
        <w:t>Calverstown</w:t>
      </w:r>
    </w:p>
    <w:p w14:paraId="46FDB0A8" w14:textId="45476944" w:rsidR="002C4343" w:rsidRDefault="002C4343" w:rsidP="00CD07E7">
      <w:pPr>
        <w:spacing w:after="0"/>
      </w:pPr>
      <w:r>
        <w:t>Kilcullen</w:t>
      </w:r>
    </w:p>
    <w:p w14:paraId="5F9E3948" w14:textId="76DC0B90" w:rsidR="002C4343" w:rsidRDefault="002C4343" w:rsidP="00CD07E7">
      <w:pPr>
        <w:spacing w:after="0"/>
      </w:pPr>
      <w:r>
        <w:t>Co. Kildare</w:t>
      </w:r>
    </w:p>
    <w:p w14:paraId="72B48DD1" w14:textId="243B085C" w:rsidR="002C4343" w:rsidRDefault="002C4343" w:rsidP="00CD07E7">
      <w:pPr>
        <w:spacing w:after="0"/>
      </w:pPr>
      <w:r>
        <w:t>R56 DT91</w:t>
      </w:r>
    </w:p>
    <w:p w14:paraId="07BC7CE1" w14:textId="0C462159" w:rsidR="00FC6E58" w:rsidRDefault="00FC6E58" w:rsidP="00CD07E7">
      <w:pPr>
        <w:spacing w:after="0"/>
      </w:pPr>
      <w:r>
        <w:t>Ireland</w:t>
      </w:r>
    </w:p>
    <w:p w14:paraId="7979F86B" w14:textId="573C1DB3" w:rsidR="005A075A" w:rsidRDefault="005A075A" w:rsidP="00CD07E7">
      <w:pPr>
        <w:spacing w:after="0"/>
      </w:pPr>
    </w:p>
    <w:p w14:paraId="384C4D8B" w14:textId="633709C3" w:rsidR="005A075A" w:rsidRDefault="005A075A" w:rsidP="00CD07E7">
      <w:pPr>
        <w:spacing w:after="0"/>
      </w:pPr>
      <w:r>
        <w:t>m.j.rigby@keele.ac.uk</w:t>
      </w:r>
    </w:p>
    <w:p w14:paraId="5F60ADFC" w14:textId="77777777" w:rsidR="002C4343" w:rsidRDefault="002C4343" w:rsidP="00CD07E7">
      <w:pPr>
        <w:spacing w:after="0"/>
      </w:pPr>
    </w:p>
    <w:p w14:paraId="7F06C877" w14:textId="77777777" w:rsidR="00CD07E7" w:rsidRPr="00CD07E7" w:rsidRDefault="00CD07E7" w:rsidP="00CD07E7">
      <w:pPr>
        <w:spacing w:after="0"/>
      </w:pPr>
      <w:r>
        <w:t>Tel: 00353 87765 3399</w:t>
      </w:r>
    </w:p>
    <w:p w14:paraId="42458AEC" w14:textId="77777777" w:rsidR="00CD07E7" w:rsidRPr="00CD07E7" w:rsidRDefault="00CD07E7" w:rsidP="00CD07E7">
      <w:pPr>
        <w:spacing w:after="0"/>
      </w:pPr>
    </w:p>
    <w:p w14:paraId="00EF45CC" w14:textId="77777777" w:rsidR="00CD07E7" w:rsidRDefault="00CD07E7">
      <w:pPr>
        <w:rPr>
          <w:b/>
        </w:rPr>
      </w:pPr>
    </w:p>
    <w:p w14:paraId="76555037" w14:textId="77777777" w:rsidR="00CD07E7" w:rsidRDefault="00CD07E7">
      <w:pPr>
        <w:rPr>
          <w:b/>
        </w:rPr>
      </w:pPr>
      <w:r>
        <w:rPr>
          <w:b/>
        </w:rPr>
        <w:br w:type="page"/>
      </w:r>
    </w:p>
    <w:p w14:paraId="41F33528" w14:textId="77777777" w:rsidR="00CD07E7" w:rsidRDefault="00CD07E7">
      <w:pPr>
        <w:rPr>
          <w:b/>
        </w:rPr>
      </w:pPr>
    </w:p>
    <w:p w14:paraId="34F3BF82" w14:textId="77777777" w:rsidR="0063417A" w:rsidRPr="008A51F1" w:rsidRDefault="0063417A" w:rsidP="0063417A">
      <w:r w:rsidRPr="00647797">
        <w:rPr>
          <w:rFonts w:ascii="Calibri" w:hAnsi="Calibri" w:cs="Calibri"/>
          <w:b/>
          <w:bCs/>
          <w:lang w:val="en-IE"/>
        </w:rPr>
        <w:t>Child health research and planning in Europe disadvantaged by major gaps and disparities in published statistics</w:t>
      </w:r>
    </w:p>
    <w:p w14:paraId="7D9676D7" w14:textId="77777777" w:rsidR="00FD1EFF" w:rsidRPr="006B6226" w:rsidRDefault="00FD1EFF" w:rsidP="002C4343">
      <w:pPr>
        <w:autoSpaceDE w:val="0"/>
        <w:autoSpaceDN w:val="0"/>
        <w:adjustRightInd w:val="0"/>
        <w:spacing w:after="0" w:line="240" w:lineRule="auto"/>
        <w:rPr>
          <w:b/>
        </w:rPr>
      </w:pPr>
    </w:p>
    <w:p w14:paraId="20860740" w14:textId="77777777" w:rsidR="00260E3C" w:rsidRPr="006C7CC3" w:rsidRDefault="002A7226">
      <w:r w:rsidRPr="006C7CC3">
        <w:t>Michael Rigby, Shalmali Deshpande, Mitch Blair</w:t>
      </w:r>
    </w:p>
    <w:p w14:paraId="50D0F3D9" w14:textId="77777777" w:rsidR="008A51F1" w:rsidRDefault="008A51F1" w:rsidP="00157A2E">
      <w:pPr>
        <w:pStyle w:val="Heading1"/>
        <w:spacing w:line="480" w:lineRule="auto"/>
      </w:pPr>
    </w:p>
    <w:p w14:paraId="7B279E40" w14:textId="77777777" w:rsidR="002A7226" w:rsidRPr="006C7CC3" w:rsidRDefault="002A7226" w:rsidP="00157A2E">
      <w:pPr>
        <w:pStyle w:val="Heading1"/>
        <w:spacing w:line="480" w:lineRule="auto"/>
      </w:pPr>
      <w:r w:rsidRPr="006C7CC3">
        <w:t>Abstract</w:t>
      </w:r>
    </w:p>
    <w:p w14:paraId="39EEF5F6" w14:textId="7C003EE4" w:rsidR="00260E3C" w:rsidRDefault="00802A35" w:rsidP="00157A2E">
      <w:pPr>
        <w:spacing w:line="480" w:lineRule="auto"/>
        <w:jc w:val="both"/>
      </w:pPr>
      <w:r w:rsidRPr="00C85876">
        <w:rPr>
          <w:u w:val="single"/>
        </w:rPr>
        <w:t>Background</w:t>
      </w:r>
      <w:r w:rsidR="00B5337A">
        <w:t xml:space="preserve">. </w:t>
      </w:r>
      <w:r w:rsidR="00C14AB6">
        <w:t>P</w:t>
      </w:r>
      <w:r w:rsidR="009477E2">
        <w:t xml:space="preserve">opulation data such as mortality and morbidity statistics are </w:t>
      </w:r>
      <w:r w:rsidR="00EA169A">
        <w:t>essential for</w:t>
      </w:r>
      <w:r w:rsidR="009D09E1">
        <w:t xml:space="preserve"> </w:t>
      </w:r>
      <w:r w:rsidR="00BC4498">
        <w:t xml:space="preserve">many reasons, including </w:t>
      </w:r>
      <w:r w:rsidR="009D09E1">
        <w:t xml:space="preserve">giving context for research, </w:t>
      </w:r>
      <w:r w:rsidR="00BC4498" w:rsidRPr="00BC4498">
        <w:t>supporting action on health determinants</w:t>
      </w:r>
      <w:r w:rsidR="00A30EC2">
        <w:t>,</w:t>
      </w:r>
      <w:r w:rsidR="00F10B1C">
        <w:t xml:space="preserve"> formulation of </w:t>
      </w:r>
      <w:r w:rsidR="00EA169A">
        <w:t>evidence-based policy</w:t>
      </w:r>
      <w:r w:rsidR="00FC6E58">
        <w:t xml:space="preserve"> </w:t>
      </w:r>
      <w:r w:rsidR="009D09E1">
        <w:t>for health care</w:t>
      </w:r>
      <w:r w:rsidR="00BC4498">
        <w:t>,</w:t>
      </w:r>
      <w:r w:rsidR="009D09E1">
        <w:t xml:space="preserve"> </w:t>
      </w:r>
      <w:r w:rsidR="00BC4498">
        <w:t>and</w:t>
      </w:r>
      <w:r w:rsidR="00BC4498" w:rsidRPr="00BC4498">
        <w:t xml:space="preserve"> </w:t>
      </w:r>
      <w:r w:rsidR="00BC4498">
        <w:t>outcome evaluation</w:t>
      </w:r>
      <w:r w:rsidR="009D09E1">
        <w:t xml:space="preserve">. However, when </w:t>
      </w:r>
      <w:r w:rsidR="00C431C1">
        <w:t>considering</w:t>
      </w:r>
      <w:r w:rsidR="00F10B1C">
        <w:t xml:space="preserve"> children, it </w:t>
      </w:r>
      <w:r w:rsidR="00EA169A">
        <w:t>is difficult to find such data</w:t>
      </w:r>
      <w:r w:rsidR="00FC6E58">
        <w:t xml:space="preserve">, </w:t>
      </w:r>
      <w:r w:rsidR="009D09E1">
        <w:t xml:space="preserve">despite children comprising one fifth of the European population and being in a key formative life stage and dependent on societal support. </w:t>
      </w:r>
      <w:r w:rsidR="00F10B1C">
        <w:t>Mor</w:t>
      </w:r>
      <w:r w:rsidR="004813FC">
        <w:t>e</w:t>
      </w:r>
      <w:r w:rsidR="00F10B1C">
        <w:t>over, i</w:t>
      </w:r>
      <w:r w:rsidR="00EA02EA">
        <w:t xml:space="preserve">t </w:t>
      </w:r>
      <w:r w:rsidR="00F10B1C">
        <w:t xml:space="preserve">would be </w:t>
      </w:r>
      <w:r w:rsidR="00EA02EA">
        <w:t xml:space="preserve">expected that there should be </w:t>
      </w:r>
      <w:r w:rsidR="00A30EC2">
        <w:t xml:space="preserve">confidence in the key child health data available, with </w:t>
      </w:r>
      <w:r w:rsidR="00EA02EA">
        <w:t>little to no</w:t>
      </w:r>
      <w:r w:rsidR="002B1BD9">
        <w:t xml:space="preserve"> discrepancy</w:t>
      </w:r>
      <w:r w:rsidR="00EA02EA">
        <w:t xml:space="preserve"> </w:t>
      </w:r>
      <w:r w:rsidR="002B1BD9">
        <w:t xml:space="preserve">between </w:t>
      </w:r>
      <w:r w:rsidR="00F10B1C">
        <w:t xml:space="preserve">recognised </w:t>
      </w:r>
      <w:r w:rsidR="00EA02EA">
        <w:t xml:space="preserve">health statistic databases. </w:t>
      </w:r>
    </w:p>
    <w:p w14:paraId="1F5EA9D3" w14:textId="77777777" w:rsidR="00802A35" w:rsidRDefault="00802A35" w:rsidP="00157A2E">
      <w:pPr>
        <w:spacing w:line="480" w:lineRule="auto"/>
        <w:jc w:val="both"/>
      </w:pPr>
      <w:r w:rsidRPr="00C85876">
        <w:rPr>
          <w:u w:val="single"/>
        </w:rPr>
        <w:t>Methods</w:t>
      </w:r>
      <w:r w:rsidR="007406EB">
        <w:t xml:space="preserve">. </w:t>
      </w:r>
      <w:r w:rsidR="005E1BC3">
        <w:t>This study explored t</w:t>
      </w:r>
      <w:r w:rsidR="007406EB">
        <w:t xml:space="preserve">he main health databases </w:t>
      </w:r>
      <w:r w:rsidR="00F10B1C">
        <w:t xml:space="preserve">in or including Europe </w:t>
      </w:r>
      <w:r w:rsidR="005E1BC3">
        <w:t>to collate</w:t>
      </w:r>
      <w:r w:rsidR="007406EB">
        <w:t xml:space="preserve"> </w:t>
      </w:r>
      <w:r w:rsidR="005E1BC3">
        <w:t>child mortality data</w:t>
      </w:r>
      <w:r w:rsidR="00ED20F7">
        <w:t>, for both all-cause and specific cause mortality</w:t>
      </w:r>
      <w:r w:rsidR="00ED20F7" w:rsidRPr="00F76A9E">
        <w:t xml:space="preserve">. </w:t>
      </w:r>
      <w:r w:rsidR="00416A31" w:rsidRPr="004E2465">
        <w:t xml:space="preserve">Tables were constructed </w:t>
      </w:r>
      <w:r w:rsidR="00160217" w:rsidRPr="004E2465">
        <w:t>for comparison of values and rankings.</w:t>
      </w:r>
      <w:r w:rsidR="00160217">
        <w:t xml:space="preserve"> </w:t>
      </w:r>
    </w:p>
    <w:p w14:paraId="0DA5B3C2" w14:textId="0508C5B0" w:rsidR="00802A35" w:rsidRDefault="00802A35" w:rsidP="00157A2E">
      <w:pPr>
        <w:spacing w:line="480" w:lineRule="auto"/>
        <w:jc w:val="both"/>
      </w:pPr>
      <w:r w:rsidRPr="00C85876">
        <w:rPr>
          <w:b/>
        </w:rPr>
        <w:t>Results</w:t>
      </w:r>
      <w:r w:rsidR="00160217">
        <w:t xml:space="preserve">. The results show that there </w:t>
      </w:r>
      <w:r w:rsidR="00F76A9E">
        <w:t>are major differences</w:t>
      </w:r>
      <w:r w:rsidR="00160217">
        <w:t xml:space="preserve"> in </w:t>
      </w:r>
      <w:r w:rsidR="00F76A9E">
        <w:t xml:space="preserve">reported </w:t>
      </w:r>
      <w:r w:rsidR="00160217">
        <w:t>mortality data between two prominent health statistic databases</w:t>
      </w:r>
      <w:r w:rsidR="00A30EC2">
        <w:t xml:space="preserve">, </w:t>
      </w:r>
      <w:r w:rsidR="00BD062E">
        <w:t xml:space="preserve">difference in coding systems, </w:t>
      </w:r>
      <w:r w:rsidR="00A30EC2">
        <w:t>and unannounced changes within one of the</w:t>
      </w:r>
      <w:r w:rsidR="00BD062E">
        <w:t xml:space="preserve"> databases</w:t>
      </w:r>
      <w:r w:rsidR="00160217">
        <w:t xml:space="preserve">. </w:t>
      </w:r>
    </w:p>
    <w:p w14:paraId="28EDE47B" w14:textId="325BBA52" w:rsidR="00802A35" w:rsidRDefault="004E6D30" w:rsidP="00157A2E">
      <w:pPr>
        <w:spacing w:line="480" w:lineRule="auto"/>
        <w:jc w:val="both"/>
      </w:pPr>
      <w:r w:rsidRPr="00C85876">
        <w:rPr>
          <w:b/>
        </w:rPr>
        <w:t>Conclusion</w:t>
      </w:r>
      <w:r w:rsidR="00E24AD8" w:rsidRPr="00C85876">
        <w:rPr>
          <w:b/>
        </w:rPr>
        <w:t>.</w:t>
      </w:r>
      <w:r w:rsidR="00E24AD8">
        <w:t xml:space="preserve"> </w:t>
      </w:r>
      <w:r>
        <w:t xml:space="preserve"> </w:t>
      </w:r>
      <w:r w:rsidR="00A30EC2">
        <w:t xml:space="preserve">The lack of health data for children seems compounded by challenges to the trust </w:t>
      </w:r>
      <w:r w:rsidR="00F10B1C">
        <w:t xml:space="preserve">and credibility </w:t>
      </w:r>
      <w:r w:rsidR="00A30EC2">
        <w:t xml:space="preserve">which </w:t>
      </w:r>
      <w:r w:rsidR="00F10B1C">
        <w:t xml:space="preserve">are vital if </w:t>
      </w:r>
      <w:r w:rsidR="006A6BE6">
        <w:t>these data are to have utility</w:t>
      </w:r>
      <w:r w:rsidR="00FC6E58">
        <w:t>.</w:t>
      </w:r>
      <w:r w:rsidR="006A6BE6">
        <w:t xml:space="preserve"> </w:t>
      </w:r>
      <w:r w:rsidR="00A30EC2">
        <w:t xml:space="preserve">Children and </w:t>
      </w:r>
      <w:r w:rsidR="006A6BE6">
        <w:t xml:space="preserve">society </w:t>
      </w:r>
      <w:r w:rsidR="00A30EC2">
        <w:t xml:space="preserve">are </w:t>
      </w:r>
      <w:r w:rsidR="006A6BE6">
        <w:t>the loser</w:t>
      </w:r>
      <w:r w:rsidR="00A30EC2">
        <w:t>s</w:t>
      </w:r>
      <w:r w:rsidR="00BD062E">
        <w:t>, and resolution is needed</w:t>
      </w:r>
      <w:r w:rsidR="002D5A23">
        <w:t xml:space="preserve"> as a priority</w:t>
      </w:r>
      <w:r w:rsidR="00FC6E58">
        <w:t>.</w:t>
      </w:r>
      <w:r w:rsidR="006A6BE6">
        <w:t xml:space="preserve"> </w:t>
      </w:r>
    </w:p>
    <w:p w14:paraId="5C25C11C" w14:textId="1251C9F5" w:rsidR="00FC6E58" w:rsidRDefault="00B10CA8" w:rsidP="00157A2E">
      <w:pPr>
        <w:spacing w:line="480" w:lineRule="auto"/>
        <w:jc w:val="both"/>
      </w:pPr>
      <w:r>
        <w:t>198</w:t>
      </w:r>
      <w:r w:rsidR="00FC6E58">
        <w:t xml:space="preserve"> </w:t>
      </w:r>
      <w:r w:rsidR="00B75328">
        <w:t xml:space="preserve">of </w:t>
      </w:r>
      <w:r w:rsidR="00FC6E58">
        <w:t>Max 250 words</w:t>
      </w:r>
    </w:p>
    <w:p w14:paraId="496315B4" w14:textId="77777777" w:rsidR="008A51F1" w:rsidRDefault="008A51F1" w:rsidP="008A51F1">
      <w:pPr>
        <w:pStyle w:val="Heading1"/>
      </w:pPr>
      <w:r>
        <w:lastRenderedPageBreak/>
        <w:t>Key Words</w:t>
      </w:r>
    </w:p>
    <w:p w14:paraId="79447E1E" w14:textId="77777777" w:rsidR="008A51F1" w:rsidRDefault="008A51F1" w:rsidP="008A51F1"/>
    <w:p w14:paraId="53A73C09" w14:textId="77777777" w:rsidR="008A51F1" w:rsidRDefault="008A51F1" w:rsidP="008A51F1">
      <w:r>
        <w:t>Child health; published data; evidence; policy; evaluation</w:t>
      </w:r>
    </w:p>
    <w:p w14:paraId="51B6F7EA" w14:textId="77777777" w:rsidR="008A51F1" w:rsidRDefault="008A51F1">
      <w:r>
        <w:br w:type="page"/>
      </w:r>
    </w:p>
    <w:p w14:paraId="211A2764" w14:textId="77777777" w:rsidR="0063417A" w:rsidRPr="008A51F1" w:rsidRDefault="0063417A" w:rsidP="0063417A">
      <w:r w:rsidRPr="00647797">
        <w:rPr>
          <w:rFonts w:ascii="Calibri" w:hAnsi="Calibri" w:cs="Calibri"/>
          <w:b/>
          <w:bCs/>
          <w:lang w:val="en-IE"/>
        </w:rPr>
        <w:lastRenderedPageBreak/>
        <w:t>Child health research and planning in Europe disadvantaged by major gaps and disparities in published statistics</w:t>
      </w:r>
    </w:p>
    <w:p w14:paraId="7351B342" w14:textId="77777777" w:rsidR="008A51F1" w:rsidRPr="008A51F1" w:rsidRDefault="008A51F1" w:rsidP="008A51F1"/>
    <w:p w14:paraId="2056D05B" w14:textId="77777777" w:rsidR="002A7226" w:rsidRPr="006B6226" w:rsidRDefault="002A7226" w:rsidP="006B6226">
      <w:pPr>
        <w:pStyle w:val="Heading1"/>
        <w:spacing w:line="480" w:lineRule="auto"/>
      </w:pPr>
      <w:r w:rsidRPr="006C7CC3">
        <w:t>Introduction</w:t>
      </w:r>
    </w:p>
    <w:p w14:paraId="1540FA37" w14:textId="291D0BA7" w:rsidR="00BE75B5" w:rsidRDefault="00BE75B5" w:rsidP="006B6226">
      <w:pPr>
        <w:spacing w:line="480" w:lineRule="auto"/>
        <w:jc w:val="both"/>
        <w:rPr>
          <w:lang w:eastAsia="en-GB"/>
        </w:rPr>
      </w:pPr>
      <w:r>
        <w:rPr>
          <w:lang w:eastAsia="en-GB"/>
        </w:rPr>
        <w:t xml:space="preserve">Research into and planning of children’s services require robust baseline data. Not only are children a dependent population group, for whom society has a particular duty of provision and care, but they are a dynamic group. The individual child matures rapidly, but </w:t>
      </w:r>
      <w:r w:rsidR="00314738">
        <w:rPr>
          <w:lang w:eastAsia="en-GB"/>
        </w:rPr>
        <w:t>additionally</w:t>
      </w:r>
      <w:r>
        <w:rPr>
          <w:lang w:eastAsia="en-GB"/>
        </w:rPr>
        <w:t xml:space="preserve"> health conditions, child and parental attitudes to services, and determinants of health</w:t>
      </w:r>
      <w:r w:rsidR="00314738">
        <w:rPr>
          <w:lang w:eastAsia="en-GB"/>
        </w:rPr>
        <w:t>,</w:t>
      </w:r>
      <w:r>
        <w:rPr>
          <w:lang w:eastAsia="en-GB"/>
        </w:rPr>
        <w:t xml:space="preserve"> also change fast.  This puts a particular focus on good research, evaluation, and planning.</w:t>
      </w:r>
    </w:p>
    <w:p w14:paraId="3DF07BD6" w14:textId="5A54CFC5" w:rsidR="00BE75B5" w:rsidRDefault="00BE75B5" w:rsidP="006B6226">
      <w:pPr>
        <w:spacing w:line="480" w:lineRule="auto"/>
        <w:jc w:val="both"/>
        <w:rPr>
          <w:lang w:eastAsia="en-GB"/>
        </w:rPr>
      </w:pPr>
      <w:r>
        <w:rPr>
          <w:lang w:eastAsia="en-GB"/>
        </w:rPr>
        <w:t xml:space="preserve">Yet set against this need, </w:t>
      </w:r>
      <w:r w:rsidR="00905395">
        <w:rPr>
          <w:lang w:eastAsia="en-GB"/>
        </w:rPr>
        <w:t xml:space="preserve">important </w:t>
      </w:r>
      <w:r>
        <w:rPr>
          <w:lang w:eastAsia="en-GB"/>
        </w:rPr>
        <w:t xml:space="preserve">baseline data are somewhat sparse, children being not well represented in most types of health data, from morbidity to health behaviour, </w:t>
      </w:r>
      <w:r w:rsidR="00E4671E">
        <w:rPr>
          <w:lang w:eastAsia="en-GB"/>
        </w:rPr>
        <w:t>in part</w:t>
      </w:r>
      <w:r>
        <w:rPr>
          <w:lang w:eastAsia="en-GB"/>
        </w:rPr>
        <w:t xml:space="preserve"> due to challenges of data capture.  This </w:t>
      </w:r>
      <w:r w:rsidR="00E4671E">
        <w:rPr>
          <w:lang w:eastAsia="en-GB"/>
        </w:rPr>
        <w:t xml:space="preserve">results in </w:t>
      </w:r>
      <w:r>
        <w:rPr>
          <w:lang w:eastAsia="en-GB"/>
        </w:rPr>
        <w:t xml:space="preserve">children are not </w:t>
      </w:r>
      <w:r w:rsidR="00E4671E">
        <w:rPr>
          <w:lang w:eastAsia="en-GB"/>
        </w:rPr>
        <w:t xml:space="preserve">being </w:t>
      </w:r>
      <w:r>
        <w:rPr>
          <w:lang w:eastAsia="en-GB"/>
        </w:rPr>
        <w:t xml:space="preserve">well represented in health data sources </w:t>
      </w:r>
      <w:r w:rsidR="004A5690">
        <w:rPr>
          <w:lang w:eastAsia="en-GB"/>
        </w:rPr>
        <w:t>in Europe</w:t>
      </w:r>
      <w:r w:rsidR="009639FE">
        <w:rPr>
          <w:lang w:eastAsia="en-GB"/>
        </w:rPr>
        <w:t xml:space="preserve"> </w:t>
      </w:r>
      <w:r>
        <w:rPr>
          <w:lang w:eastAsia="en-GB"/>
        </w:rPr>
        <w:t>[1].</w:t>
      </w:r>
    </w:p>
    <w:p w14:paraId="3D8403C2" w14:textId="241D616C" w:rsidR="00710FB1" w:rsidRPr="006C7CC3" w:rsidRDefault="00710FB1" w:rsidP="006B6226">
      <w:pPr>
        <w:spacing w:line="480" w:lineRule="auto"/>
        <w:jc w:val="both"/>
        <w:rPr>
          <w:lang w:eastAsia="en-GB"/>
        </w:rPr>
      </w:pPr>
      <w:r w:rsidRPr="006C7CC3">
        <w:rPr>
          <w:lang w:eastAsia="en-GB"/>
        </w:rPr>
        <w:t xml:space="preserve">The Models of Child Health Appraised (MOCHA) project </w:t>
      </w:r>
      <w:r w:rsidR="00314738" w:rsidRPr="006C7CC3">
        <w:rPr>
          <w:lang w:eastAsia="en-GB"/>
        </w:rPr>
        <w:t>ha</w:t>
      </w:r>
      <w:r w:rsidR="00314738">
        <w:rPr>
          <w:lang w:eastAsia="en-GB"/>
        </w:rPr>
        <w:t>d</w:t>
      </w:r>
      <w:r w:rsidR="00314738" w:rsidRPr="006C7CC3">
        <w:rPr>
          <w:lang w:eastAsia="en-GB"/>
        </w:rPr>
        <w:t xml:space="preserve"> </w:t>
      </w:r>
      <w:r w:rsidR="00314738">
        <w:rPr>
          <w:lang w:eastAsia="en-GB"/>
        </w:rPr>
        <w:t xml:space="preserve">a particular interest in this </w:t>
      </w:r>
      <w:r w:rsidR="00E4671E">
        <w:rPr>
          <w:lang w:eastAsia="en-GB"/>
        </w:rPr>
        <w:t xml:space="preserve">topic </w:t>
      </w:r>
      <w:r w:rsidR="00314738">
        <w:rPr>
          <w:lang w:eastAsia="en-GB"/>
        </w:rPr>
        <w:t xml:space="preserve">given its </w:t>
      </w:r>
      <w:r w:rsidRPr="006C7CC3">
        <w:rPr>
          <w:lang w:eastAsia="en-GB"/>
        </w:rPr>
        <w:t xml:space="preserve">remit of assessing models of primary health care in the </w:t>
      </w:r>
      <w:r w:rsidR="002D5A23">
        <w:rPr>
          <w:lang w:eastAsia="en-GB"/>
        </w:rPr>
        <w:t xml:space="preserve">then </w:t>
      </w:r>
      <w:r w:rsidRPr="006C7CC3">
        <w:rPr>
          <w:lang w:eastAsia="en-GB"/>
        </w:rPr>
        <w:t>30 European Union (EU) and European Economic Area (EEA) countries</w:t>
      </w:r>
      <w:r w:rsidR="00C15C17">
        <w:rPr>
          <w:lang w:eastAsia="en-GB"/>
        </w:rPr>
        <w:t xml:space="preserve"> [</w:t>
      </w:r>
      <w:r w:rsidR="00314738">
        <w:rPr>
          <w:lang w:eastAsia="en-GB"/>
        </w:rPr>
        <w:t>2</w:t>
      </w:r>
      <w:r w:rsidR="00C15C17">
        <w:rPr>
          <w:lang w:eastAsia="en-GB"/>
        </w:rPr>
        <w:t>]</w:t>
      </w:r>
      <w:r w:rsidR="00314738">
        <w:rPr>
          <w:lang w:eastAsia="en-GB"/>
        </w:rPr>
        <w:t>,</w:t>
      </w:r>
      <w:r w:rsidR="0050407E" w:rsidRPr="006C7CC3">
        <w:rPr>
          <w:lang w:eastAsia="en-GB"/>
        </w:rPr>
        <w:t xml:space="preserve"> funded under the European Commission’s Horizon 2020 </w:t>
      </w:r>
      <w:r w:rsidR="00736618" w:rsidRPr="006C7CC3">
        <w:rPr>
          <w:lang w:eastAsia="en-GB"/>
        </w:rPr>
        <w:t>programme</w:t>
      </w:r>
      <w:r w:rsidR="00736618" w:rsidRPr="0054198D">
        <w:rPr>
          <w:lang w:eastAsia="en-GB"/>
        </w:rPr>
        <w:t xml:space="preserve"> </w:t>
      </w:r>
      <w:r w:rsidR="0050407E" w:rsidRPr="006C7CC3">
        <w:rPr>
          <w:lang w:eastAsia="en-GB"/>
        </w:rPr>
        <w:t xml:space="preserve">from 2015 to 2018. Core to the MOCHA project </w:t>
      </w:r>
      <w:r w:rsidR="00314738">
        <w:rPr>
          <w:lang w:eastAsia="en-GB"/>
        </w:rPr>
        <w:t>was</w:t>
      </w:r>
      <w:r w:rsidR="00314738" w:rsidRPr="006C7CC3">
        <w:rPr>
          <w:lang w:eastAsia="en-GB"/>
        </w:rPr>
        <w:t xml:space="preserve"> </w:t>
      </w:r>
      <w:r w:rsidR="0050407E" w:rsidRPr="006C7CC3">
        <w:rPr>
          <w:lang w:eastAsia="en-GB"/>
        </w:rPr>
        <w:t xml:space="preserve">the focus on the child – </w:t>
      </w:r>
      <w:r w:rsidR="009B5BEC" w:rsidRPr="006C7CC3">
        <w:rPr>
          <w:lang w:eastAsia="en-GB"/>
        </w:rPr>
        <w:t>defined</w:t>
      </w:r>
      <w:r w:rsidR="0050407E" w:rsidRPr="006C7CC3">
        <w:rPr>
          <w:lang w:eastAsia="en-GB"/>
        </w:rPr>
        <w:t xml:space="preserve"> according </w:t>
      </w:r>
      <w:r w:rsidR="009B5BEC" w:rsidRPr="006C7CC3">
        <w:rPr>
          <w:lang w:eastAsia="en-GB"/>
        </w:rPr>
        <w:t>to</w:t>
      </w:r>
      <w:r w:rsidR="0050407E" w:rsidRPr="006C7CC3">
        <w:rPr>
          <w:lang w:eastAsia="en-GB"/>
        </w:rPr>
        <w:t xml:space="preserve"> the </w:t>
      </w:r>
      <w:r w:rsidR="009B5BEC" w:rsidRPr="006C7CC3">
        <w:rPr>
          <w:lang w:eastAsia="en-GB"/>
        </w:rPr>
        <w:t>United</w:t>
      </w:r>
      <w:r w:rsidR="0050407E" w:rsidRPr="006C7CC3">
        <w:rPr>
          <w:lang w:eastAsia="en-GB"/>
        </w:rPr>
        <w:t xml:space="preserve"> Nationa</w:t>
      </w:r>
      <w:r w:rsidR="00CC09FF" w:rsidRPr="006C7CC3">
        <w:rPr>
          <w:lang w:eastAsia="en-GB"/>
        </w:rPr>
        <w:t>l</w:t>
      </w:r>
      <w:r w:rsidR="0050407E" w:rsidRPr="006C7CC3">
        <w:rPr>
          <w:lang w:eastAsia="en-GB"/>
        </w:rPr>
        <w:t xml:space="preserve"> Convention of the Rights of the Child </w:t>
      </w:r>
      <w:r w:rsidR="00107716" w:rsidRPr="006C7CC3">
        <w:rPr>
          <w:lang w:eastAsia="en-GB"/>
        </w:rPr>
        <w:t xml:space="preserve">(UNCRC) </w:t>
      </w:r>
      <w:r w:rsidR="0050407E" w:rsidRPr="006C7CC3">
        <w:rPr>
          <w:lang w:eastAsia="en-GB"/>
        </w:rPr>
        <w:t>as a person from birth up to their 18</w:t>
      </w:r>
      <w:r w:rsidR="0050407E" w:rsidRPr="006C7CC3">
        <w:rPr>
          <w:vertAlign w:val="superscript"/>
          <w:lang w:eastAsia="en-GB"/>
        </w:rPr>
        <w:t>th</w:t>
      </w:r>
      <w:r w:rsidR="0050407E" w:rsidRPr="006C7CC3">
        <w:rPr>
          <w:lang w:eastAsia="en-GB"/>
        </w:rPr>
        <w:t xml:space="preserve"> </w:t>
      </w:r>
      <w:r w:rsidR="00877475" w:rsidRPr="006C7CC3">
        <w:rPr>
          <w:lang w:eastAsia="en-GB"/>
        </w:rPr>
        <w:t>b</w:t>
      </w:r>
      <w:r w:rsidR="0050407E" w:rsidRPr="006C7CC3">
        <w:rPr>
          <w:lang w:eastAsia="en-GB"/>
        </w:rPr>
        <w:t>irthday</w:t>
      </w:r>
      <w:r w:rsidR="002D5A23">
        <w:rPr>
          <w:lang w:eastAsia="en-GB"/>
        </w:rPr>
        <w:t xml:space="preserve"> [3]</w:t>
      </w:r>
      <w:r w:rsidR="006A6BE6">
        <w:rPr>
          <w:lang w:eastAsia="en-GB"/>
        </w:rPr>
        <w:t>. A</w:t>
      </w:r>
      <w:r w:rsidR="009B5BEC" w:rsidRPr="006C7CC3">
        <w:rPr>
          <w:lang w:eastAsia="en-GB"/>
        </w:rPr>
        <w:t>ll EU and EEA countries are signatories to this convention</w:t>
      </w:r>
      <w:r w:rsidR="0050407E" w:rsidRPr="006C7CC3">
        <w:rPr>
          <w:lang w:eastAsia="en-GB"/>
        </w:rPr>
        <w:t>.</w:t>
      </w:r>
    </w:p>
    <w:p w14:paraId="0C90F502" w14:textId="3D22DA17" w:rsidR="00710FB1" w:rsidRPr="006C7CC3" w:rsidRDefault="0050407E" w:rsidP="006B6226">
      <w:pPr>
        <w:spacing w:line="480" w:lineRule="auto"/>
        <w:jc w:val="both"/>
        <w:rPr>
          <w:lang w:eastAsia="en-GB"/>
        </w:rPr>
      </w:pPr>
      <w:r w:rsidRPr="006C7CC3">
        <w:rPr>
          <w:lang w:eastAsia="en-GB"/>
        </w:rPr>
        <w:t xml:space="preserve">In order to undertake the function of appraisal, one key aspect </w:t>
      </w:r>
      <w:r w:rsidR="00AC3698">
        <w:rPr>
          <w:lang w:eastAsia="en-GB"/>
        </w:rPr>
        <w:t>was</w:t>
      </w:r>
      <w:r w:rsidR="00AC3698" w:rsidRPr="006C7CC3">
        <w:rPr>
          <w:lang w:eastAsia="en-GB"/>
        </w:rPr>
        <w:t xml:space="preserve"> </w:t>
      </w:r>
      <w:r w:rsidRPr="006C7CC3">
        <w:rPr>
          <w:lang w:eastAsia="en-GB"/>
        </w:rPr>
        <w:t>to relate population and epidemiolo</w:t>
      </w:r>
      <w:r w:rsidR="0099095C" w:rsidRPr="006C7CC3">
        <w:rPr>
          <w:lang w:eastAsia="en-GB"/>
        </w:rPr>
        <w:t>gical</w:t>
      </w:r>
      <w:r w:rsidRPr="006C7CC3">
        <w:rPr>
          <w:lang w:eastAsia="en-GB"/>
        </w:rPr>
        <w:t xml:space="preserve"> data for the study countries to various aspects of health service provision, from spend levels to workforce numbers and training, in order to consider optimal outcomes for the type and volume </w:t>
      </w:r>
      <w:r w:rsidR="00107716" w:rsidRPr="006C7CC3">
        <w:rPr>
          <w:lang w:eastAsia="en-GB"/>
        </w:rPr>
        <w:t>of input</w:t>
      </w:r>
      <w:r w:rsidRPr="006C7CC3">
        <w:rPr>
          <w:lang w:eastAsia="en-GB"/>
        </w:rPr>
        <w:t xml:space="preserve"> and the </w:t>
      </w:r>
      <w:r w:rsidR="00656A92" w:rsidRPr="006C7CC3">
        <w:rPr>
          <w:lang w:eastAsia="en-GB"/>
        </w:rPr>
        <w:t>population needs to be addressed</w:t>
      </w:r>
      <w:r w:rsidR="004B50E1" w:rsidRPr="006C7CC3">
        <w:rPr>
          <w:lang w:eastAsia="en-GB"/>
        </w:rPr>
        <w:t xml:space="preserve">.  Ascertaining comparable baseline data for all 30 countries was clearly a core requirement, and recourse was made to the reputable published public health </w:t>
      </w:r>
      <w:r w:rsidR="00107716" w:rsidRPr="006C7CC3">
        <w:rPr>
          <w:lang w:eastAsia="en-GB"/>
        </w:rPr>
        <w:t>datasets</w:t>
      </w:r>
      <w:r w:rsidR="004B50E1" w:rsidRPr="006C7CC3">
        <w:rPr>
          <w:lang w:eastAsia="en-GB"/>
        </w:rPr>
        <w:t xml:space="preserve">. The </w:t>
      </w:r>
      <w:r w:rsidR="00107716" w:rsidRPr="006C7CC3">
        <w:rPr>
          <w:lang w:eastAsia="en-GB"/>
        </w:rPr>
        <w:t>intention</w:t>
      </w:r>
      <w:r w:rsidR="004B50E1" w:rsidRPr="006C7CC3">
        <w:rPr>
          <w:lang w:eastAsia="en-GB"/>
        </w:rPr>
        <w:t xml:space="preserve"> was to seek to relate </w:t>
      </w:r>
      <w:r w:rsidR="00107716" w:rsidRPr="006C7CC3">
        <w:rPr>
          <w:lang w:eastAsia="en-GB"/>
        </w:rPr>
        <w:t>comparative</w:t>
      </w:r>
      <w:r w:rsidR="004B50E1" w:rsidRPr="006C7CC3">
        <w:rPr>
          <w:lang w:eastAsia="en-GB"/>
        </w:rPr>
        <w:t xml:space="preserve"> </w:t>
      </w:r>
      <w:r w:rsidR="00107716" w:rsidRPr="006C7CC3">
        <w:rPr>
          <w:lang w:eastAsia="en-GB"/>
        </w:rPr>
        <w:t>position</w:t>
      </w:r>
      <w:r w:rsidR="004B50E1" w:rsidRPr="006C7CC3">
        <w:rPr>
          <w:lang w:eastAsia="en-GB"/>
        </w:rPr>
        <w:t xml:space="preserve"> in the distribution of </w:t>
      </w:r>
      <w:r w:rsidR="00107716" w:rsidRPr="006C7CC3">
        <w:rPr>
          <w:lang w:eastAsia="en-GB"/>
        </w:rPr>
        <w:lastRenderedPageBreak/>
        <w:t>core</w:t>
      </w:r>
      <w:r w:rsidR="004B50E1" w:rsidRPr="006C7CC3">
        <w:rPr>
          <w:lang w:eastAsia="en-GB"/>
        </w:rPr>
        <w:t xml:space="preserve"> child</w:t>
      </w:r>
      <w:r w:rsidR="00107716" w:rsidRPr="006C7CC3">
        <w:rPr>
          <w:lang w:eastAsia="en-GB"/>
        </w:rPr>
        <w:t xml:space="preserve"> health</w:t>
      </w:r>
      <w:r w:rsidR="004B50E1" w:rsidRPr="006C7CC3">
        <w:rPr>
          <w:lang w:eastAsia="en-GB"/>
        </w:rPr>
        <w:t xml:space="preserve"> </w:t>
      </w:r>
      <w:r w:rsidR="00F32337">
        <w:rPr>
          <w:lang w:eastAsia="en-GB"/>
        </w:rPr>
        <w:t>status</w:t>
      </w:r>
      <w:r w:rsidR="00F32337" w:rsidRPr="006C7CC3">
        <w:rPr>
          <w:lang w:eastAsia="en-GB"/>
        </w:rPr>
        <w:t xml:space="preserve"> </w:t>
      </w:r>
      <w:r w:rsidR="0099095C" w:rsidRPr="006C7CC3">
        <w:rPr>
          <w:lang w:eastAsia="en-GB"/>
        </w:rPr>
        <w:t>in each of the 30 countries</w:t>
      </w:r>
      <w:r w:rsidR="004B50E1" w:rsidRPr="006C7CC3">
        <w:rPr>
          <w:lang w:eastAsia="en-GB"/>
        </w:rPr>
        <w:t xml:space="preserve"> with aspects </w:t>
      </w:r>
      <w:r w:rsidR="00107716" w:rsidRPr="006C7CC3">
        <w:rPr>
          <w:lang w:eastAsia="en-GB"/>
        </w:rPr>
        <w:t>of</w:t>
      </w:r>
      <w:r w:rsidR="004B50E1" w:rsidRPr="006C7CC3">
        <w:rPr>
          <w:lang w:eastAsia="en-GB"/>
        </w:rPr>
        <w:t xml:space="preserve"> service structure and delivery, in order to identify correlations, and if possible </w:t>
      </w:r>
      <w:r w:rsidR="00F32337">
        <w:rPr>
          <w:lang w:eastAsia="en-GB"/>
        </w:rPr>
        <w:t>indicate</w:t>
      </w:r>
      <w:r w:rsidR="004B50E1" w:rsidRPr="006C7CC3">
        <w:rPr>
          <w:lang w:eastAsia="en-GB"/>
        </w:rPr>
        <w:t xml:space="preserve"> putative causality.  </w:t>
      </w:r>
      <w:r w:rsidR="00AC3698">
        <w:rPr>
          <w:lang w:eastAsia="en-GB"/>
        </w:rPr>
        <w:t xml:space="preserve">In this need for baseline data the MOCHA project was no different from any other child health research or policy-setting activity, other than that it had a focus of expertise and resources.  </w:t>
      </w:r>
      <w:r w:rsidR="004B50E1" w:rsidRPr="006C7CC3">
        <w:rPr>
          <w:lang w:eastAsia="en-GB"/>
        </w:rPr>
        <w:t>However, a major problem was identified, as reported here</w:t>
      </w:r>
      <w:r w:rsidR="00AC3698">
        <w:rPr>
          <w:lang w:eastAsia="en-GB"/>
        </w:rPr>
        <w:t>, and this will compromise other child health studies</w:t>
      </w:r>
      <w:r w:rsidR="002D5A23">
        <w:rPr>
          <w:lang w:eastAsia="en-GB"/>
        </w:rPr>
        <w:t xml:space="preserve"> and service design and planning</w:t>
      </w:r>
      <w:r w:rsidR="004B50E1" w:rsidRPr="006C7CC3">
        <w:rPr>
          <w:lang w:eastAsia="en-GB"/>
        </w:rPr>
        <w:t>.</w:t>
      </w:r>
    </w:p>
    <w:p w14:paraId="301404CD" w14:textId="77777777" w:rsidR="002A7226" w:rsidRPr="006B6226" w:rsidRDefault="002A7226" w:rsidP="006B6226">
      <w:pPr>
        <w:pStyle w:val="Heading1"/>
        <w:spacing w:line="480" w:lineRule="auto"/>
      </w:pPr>
      <w:r w:rsidRPr="006B6226">
        <w:t>Methods</w:t>
      </w:r>
    </w:p>
    <w:p w14:paraId="0B08F35C" w14:textId="397AF0AA" w:rsidR="004B50E1" w:rsidRPr="006C7CC3" w:rsidRDefault="006B6226" w:rsidP="006B6226">
      <w:pPr>
        <w:spacing w:line="480" w:lineRule="auto"/>
        <w:jc w:val="both"/>
        <w:rPr>
          <w:lang w:eastAsia="en-GB"/>
        </w:rPr>
      </w:pPr>
      <w:r>
        <w:rPr>
          <w:lang w:eastAsia="en-GB"/>
        </w:rPr>
        <w:t>A central</w:t>
      </w:r>
      <w:r w:rsidRPr="006C7CC3">
        <w:rPr>
          <w:lang w:eastAsia="en-GB"/>
        </w:rPr>
        <w:t xml:space="preserve"> </w:t>
      </w:r>
      <w:r>
        <w:rPr>
          <w:lang w:eastAsia="en-GB"/>
        </w:rPr>
        <w:t xml:space="preserve">initial </w:t>
      </w:r>
      <w:r w:rsidR="004B50E1" w:rsidRPr="006C7CC3">
        <w:rPr>
          <w:lang w:eastAsia="en-GB"/>
        </w:rPr>
        <w:t xml:space="preserve">objective </w:t>
      </w:r>
      <w:r w:rsidR="00AC3698">
        <w:rPr>
          <w:lang w:eastAsia="en-GB"/>
        </w:rPr>
        <w:t xml:space="preserve">of the MOCHA project </w:t>
      </w:r>
      <w:r w:rsidR="004B50E1" w:rsidRPr="006C7CC3">
        <w:rPr>
          <w:lang w:eastAsia="en-GB"/>
        </w:rPr>
        <w:t>was to cr</w:t>
      </w:r>
      <w:r w:rsidR="00B8285F" w:rsidRPr="006C7CC3">
        <w:rPr>
          <w:lang w:eastAsia="en-GB"/>
        </w:rPr>
        <w:t>eate table</w:t>
      </w:r>
      <w:r w:rsidR="004B50E1" w:rsidRPr="006C7CC3">
        <w:rPr>
          <w:lang w:eastAsia="en-GB"/>
        </w:rPr>
        <w:t>s</w:t>
      </w:r>
      <w:r w:rsidR="00B8285F" w:rsidRPr="006C7CC3">
        <w:rPr>
          <w:lang w:eastAsia="en-GB"/>
        </w:rPr>
        <w:t xml:space="preserve"> </w:t>
      </w:r>
      <w:r w:rsidR="004B50E1" w:rsidRPr="006C7CC3">
        <w:rPr>
          <w:lang w:eastAsia="en-GB"/>
        </w:rPr>
        <w:t xml:space="preserve">of child </w:t>
      </w:r>
      <w:r w:rsidR="00B8285F" w:rsidRPr="006C7CC3">
        <w:rPr>
          <w:lang w:eastAsia="en-GB"/>
        </w:rPr>
        <w:t>population</w:t>
      </w:r>
      <w:r w:rsidR="004B50E1" w:rsidRPr="006C7CC3">
        <w:rPr>
          <w:lang w:eastAsia="en-GB"/>
        </w:rPr>
        <w:t>, cau</w:t>
      </w:r>
      <w:r w:rsidR="00B8285F" w:rsidRPr="006C7CC3">
        <w:rPr>
          <w:lang w:eastAsia="en-GB"/>
        </w:rPr>
        <w:t>s</w:t>
      </w:r>
      <w:r w:rsidR="004B50E1" w:rsidRPr="006C7CC3">
        <w:rPr>
          <w:lang w:eastAsia="en-GB"/>
        </w:rPr>
        <w:t xml:space="preserve">e-related child </w:t>
      </w:r>
      <w:r w:rsidR="00B8285F" w:rsidRPr="006C7CC3">
        <w:rPr>
          <w:lang w:eastAsia="en-GB"/>
        </w:rPr>
        <w:t>mortality</w:t>
      </w:r>
      <w:r w:rsidR="00C629C5" w:rsidRPr="006C7CC3">
        <w:rPr>
          <w:lang w:eastAsia="en-GB"/>
        </w:rPr>
        <w:t xml:space="preserve"> rates</w:t>
      </w:r>
      <w:r w:rsidR="004B50E1" w:rsidRPr="006C7CC3">
        <w:rPr>
          <w:lang w:eastAsia="en-GB"/>
        </w:rPr>
        <w:t xml:space="preserve"> using broad groupings of </w:t>
      </w:r>
      <w:r w:rsidR="00C629C5" w:rsidRPr="006C7CC3">
        <w:rPr>
          <w:lang w:eastAsia="en-GB"/>
        </w:rPr>
        <w:t>diagnoses</w:t>
      </w:r>
      <w:r w:rsidR="004B50E1" w:rsidRPr="006C7CC3">
        <w:rPr>
          <w:lang w:eastAsia="en-GB"/>
        </w:rPr>
        <w:t>, and if possible some key morbidity or service use data.</w:t>
      </w:r>
      <w:r w:rsidR="00C629C5" w:rsidRPr="006C7CC3">
        <w:rPr>
          <w:lang w:eastAsia="en-GB"/>
        </w:rPr>
        <w:t xml:space="preserve"> </w:t>
      </w:r>
      <w:r w:rsidR="00107716" w:rsidRPr="006C7CC3">
        <w:rPr>
          <w:lang w:eastAsia="en-GB"/>
        </w:rPr>
        <w:t xml:space="preserve">These </w:t>
      </w:r>
      <w:r w:rsidR="00AC3698">
        <w:rPr>
          <w:lang w:eastAsia="en-GB"/>
        </w:rPr>
        <w:t>were planned</w:t>
      </w:r>
      <w:r w:rsidR="00107716" w:rsidRPr="006C7CC3">
        <w:rPr>
          <w:lang w:eastAsia="en-GB"/>
        </w:rPr>
        <w:t xml:space="preserve"> to drive deeper focussed studies</w:t>
      </w:r>
      <w:r w:rsidR="00AC3698">
        <w:rPr>
          <w:lang w:eastAsia="en-GB"/>
        </w:rPr>
        <w:t>, and power emerging major conclusions</w:t>
      </w:r>
      <w:r w:rsidR="00FE2486">
        <w:rPr>
          <w:lang w:eastAsia="en-GB"/>
        </w:rPr>
        <w:t xml:space="preserve">; the same </w:t>
      </w:r>
      <w:r w:rsidR="00755C71">
        <w:rPr>
          <w:lang w:eastAsia="en-GB"/>
        </w:rPr>
        <w:t>needs would</w:t>
      </w:r>
      <w:r w:rsidR="00FE2486">
        <w:rPr>
          <w:lang w:eastAsia="en-GB"/>
        </w:rPr>
        <w:t xml:space="preserve"> apply for many other </w:t>
      </w:r>
      <w:r w:rsidR="00755C71">
        <w:rPr>
          <w:lang w:eastAsia="en-GB"/>
        </w:rPr>
        <w:t>researchers</w:t>
      </w:r>
      <w:r w:rsidR="00FE2486">
        <w:rPr>
          <w:lang w:eastAsia="en-GB"/>
        </w:rPr>
        <w:t xml:space="preserve"> or policy</w:t>
      </w:r>
      <w:r w:rsidR="00755C71">
        <w:rPr>
          <w:lang w:eastAsia="en-GB"/>
        </w:rPr>
        <w:t>-makers</w:t>
      </w:r>
    </w:p>
    <w:p w14:paraId="716CBD73" w14:textId="77777777" w:rsidR="00C629C5" w:rsidRPr="006B6226" w:rsidRDefault="00C629C5" w:rsidP="006B6226">
      <w:pPr>
        <w:pStyle w:val="Heading2"/>
        <w:spacing w:line="480" w:lineRule="auto"/>
      </w:pPr>
      <w:r w:rsidRPr="006B6226">
        <w:t>Children are not counted</w:t>
      </w:r>
    </w:p>
    <w:p w14:paraId="28F26A38" w14:textId="3C61988E" w:rsidR="00A45BAD" w:rsidRDefault="00C629C5" w:rsidP="006B6226">
      <w:pPr>
        <w:spacing w:line="480" w:lineRule="auto"/>
        <w:jc w:val="both"/>
        <w:rPr>
          <w:lang w:eastAsia="en-GB"/>
        </w:rPr>
      </w:pPr>
      <w:r w:rsidRPr="006C7CC3">
        <w:rPr>
          <w:lang w:eastAsia="en-GB"/>
        </w:rPr>
        <w:t xml:space="preserve">The </w:t>
      </w:r>
      <w:r w:rsidR="001F498B" w:rsidRPr="006C7CC3">
        <w:rPr>
          <w:lang w:eastAsia="en-GB"/>
        </w:rPr>
        <w:t>first</w:t>
      </w:r>
      <w:r w:rsidRPr="006C7CC3">
        <w:rPr>
          <w:lang w:eastAsia="en-GB"/>
        </w:rPr>
        <w:t xml:space="preserve"> problem </w:t>
      </w:r>
      <w:r w:rsidR="00755C71">
        <w:rPr>
          <w:lang w:eastAsia="en-GB"/>
        </w:rPr>
        <w:t>is</w:t>
      </w:r>
      <w:r w:rsidRPr="006C7CC3">
        <w:rPr>
          <w:lang w:eastAsia="en-GB"/>
        </w:rPr>
        <w:t xml:space="preserve"> </w:t>
      </w:r>
      <w:r w:rsidR="00F32337">
        <w:rPr>
          <w:lang w:eastAsia="en-GB"/>
        </w:rPr>
        <w:t>the variation in how children are counted</w:t>
      </w:r>
      <w:r w:rsidRPr="006C7CC3">
        <w:rPr>
          <w:lang w:eastAsia="en-GB"/>
        </w:rPr>
        <w:t xml:space="preserve">.  </w:t>
      </w:r>
      <w:r w:rsidR="00D710D7" w:rsidRPr="006C7CC3">
        <w:rPr>
          <w:lang w:eastAsia="en-GB"/>
        </w:rPr>
        <w:t>While</w:t>
      </w:r>
      <w:r w:rsidRPr="006C7CC3">
        <w:rPr>
          <w:lang w:eastAsia="en-GB"/>
        </w:rPr>
        <w:t xml:space="preserve"> the </w:t>
      </w:r>
      <w:r w:rsidR="00D710D7" w:rsidRPr="006C7CC3">
        <w:rPr>
          <w:lang w:eastAsia="en-GB"/>
        </w:rPr>
        <w:t>neatness</w:t>
      </w:r>
      <w:r w:rsidRPr="006C7CC3">
        <w:rPr>
          <w:lang w:eastAsia="en-GB"/>
        </w:rPr>
        <w:t xml:space="preserve"> of five-year age groupings is understanda</w:t>
      </w:r>
      <w:r w:rsidR="00107716" w:rsidRPr="006C7CC3">
        <w:rPr>
          <w:lang w:eastAsia="en-GB"/>
        </w:rPr>
        <w:t>ble, it cuts across any attempt</w:t>
      </w:r>
      <w:r w:rsidRPr="006C7CC3">
        <w:rPr>
          <w:lang w:eastAsia="en-GB"/>
        </w:rPr>
        <w:t xml:space="preserve"> at serious </w:t>
      </w:r>
      <w:r w:rsidR="00D710D7" w:rsidRPr="006C7CC3">
        <w:rPr>
          <w:lang w:eastAsia="en-GB"/>
        </w:rPr>
        <w:t>consideration</w:t>
      </w:r>
      <w:r w:rsidRPr="006C7CC3">
        <w:rPr>
          <w:lang w:eastAsia="en-GB"/>
        </w:rPr>
        <w:t xml:space="preserve"> of children’s health needs or outcomes</w:t>
      </w:r>
      <w:r w:rsidR="00755C71">
        <w:rPr>
          <w:lang w:eastAsia="en-GB"/>
        </w:rPr>
        <w:t xml:space="preserve"> by the legal definition enshrined also in the United Nations Convention on the Rights of the Child</w:t>
      </w:r>
      <w:r w:rsidR="00A45BAD">
        <w:rPr>
          <w:lang w:eastAsia="en-GB"/>
        </w:rPr>
        <w:t xml:space="preserve"> (UNCRC) [3], namely persons from birth up to their 18</w:t>
      </w:r>
      <w:r w:rsidR="00A45BAD" w:rsidRPr="004E2465">
        <w:rPr>
          <w:vertAlign w:val="superscript"/>
          <w:lang w:eastAsia="en-GB"/>
        </w:rPr>
        <w:t>th</w:t>
      </w:r>
      <w:r w:rsidR="00A45BAD">
        <w:rPr>
          <w:lang w:eastAsia="en-GB"/>
        </w:rPr>
        <w:t>. birthday</w:t>
      </w:r>
      <w:r w:rsidRPr="006C7CC3">
        <w:rPr>
          <w:lang w:eastAsia="en-GB"/>
        </w:rPr>
        <w:t xml:space="preserve">.  </w:t>
      </w:r>
      <w:r w:rsidR="00107716" w:rsidRPr="006C7CC3">
        <w:rPr>
          <w:lang w:eastAsia="en-GB"/>
        </w:rPr>
        <w:t xml:space="preserve">Perforce </w:t>
      </w:r>
      <w:r w:rsidR="00786DE2" w:rsidRPr="006C7CC3">
        <w:rPr>
          <w:lang w:eastAsia="en-GB"/>
        </w:rPr>
        <w:t>either</w:t>
      </w:r>
      <w:r w:rsidRPr="006C7CC3">
        <w:rPr>
          <w:lang w:eastAsia="en-GB"/>
        </w:rPr>
        <w:t xml:space="preserve"> 0-15 </w:t>
      </w:r>
      <w:r w:rsidR="00107716" w:rsidRPr="006C7CC3">
        <w:rPr>
          <w:lang w:eastAsia="en-GB"/>
        </w:rPr>
        <w:t xml:space="preserve">years </w:t>
      </w:r>
      <w:r w:rsidRPr="006C7CC3">
        <w:rPr>
          <w:lang w:eastAsia="en-GB"/>
        </w:rPr>
        <w:t xml:space="preserve">has </w:t>
      </w:r>
      <w:r w:rsidR="00D710D7" w:rsidRPr="006C7CC3">
        <w:rPr>
          <w:lang w:eastAsia="en-GB"/>
        </w:rPr>
        <w:t>to</w:t>
      </w:r>
      <w:r w:rsidRPr="006C7CC3">
        <w:rPr>
          <w:lang w:eastAsia="en-GB"/>
        </w:rPr>
        <w:t xml:space="preserve"> be </w:t>
      </w:r>
      <w:r w:rsidR="00D710D7" w:rsidRPr="006C7CC3">
        <w:rPr>
          <w:lang w:eastAsia="en-GB"/>
        </w:rPr>
        <w:t xml:space="preserve">adopted </w:t>
      </w:r>
      <w:r w:rsidR="006B6226">
        <w:rPr>
          <w:lang w:eastAsia="en-GB"/>
        </w:rPr>
        <w:t xml:space="preserve">as the total child population </w:t>
      </w:r>
      <w:r w:rsidR="00D710D7" w:rsidRPr="006C7CC3">
        <w:rPr>
          <w:lang w:eastAsia="en-GB"/>
        </w:rPr>
        <w:t>when consulting databases</w:t>
      </w:r>
      <w:r w:rsidRPr="006C7CC3">
        <w:rPr>
          <w:lang w:eastAsia="en-GB"/>
        </w:rPr>
        <w:t xml:space="preserve">, discounting the </w:t>
      </w:r>
      <w:r w:rsidR="00D710D7" w:rsidRPr="006C7CC3">
        <w:rPr>
          <w:lang w:eastAsia="en-GB"/>
        </w:rPr>
        <w:t>interests</w:t>
      </w:r>
      <w:r w:rsidRPr="006C7CC3">
        <w:rPr>
          <w:lang w:eastAsia="en-GB"/>
        </w:rPr>
        <w:t xml:space="preserve"> of </w:t>
      </w:r>
      <w:r w:rsidR="00D710D7" w:rsidRPr="006C7CC3">
        <w:rPr>
          <w:lang w:eastAsia="en-GB"/>
        </w:rPr>
        <w:t>adolescents</w:t>
      </w:r>
      <w:r w:rsidRPr="006C7CC3">
        <w:rPr>
          <w:lang w:eastAsia="en-GB"/>
        </w:rPr>
        <w:t xml:space="preserve"> at a key stage in </w:t>
      </w:r>
      <w:r w:rsidR="00D710D7" w:rsidRPr="006C7CC3">
        <w:rPr>
          <w:lang w:eastAsia="en-GB"/>
        </w:rPr>
        <w:t>their</w:t>
      </w:r>
      <w:r w:rsidRPr="006C7CC3">
        <w:rPr>
          <w:lang w:eastAsia="en-GB"/>
        </w:rPr>
        <w:t xml:space="preserve"> lives, or </w:t>
      </w:r>
      <w:r w:rsidR="00D710D7" w:rsidRPr="006C7CC3">
        <w:rPr>
          <w:lang w:eastAsia="en-GB"/>
        </w:rPr>
        <w:t xml:space="preserve">alternatively </w:t>
      </w:r>
      <w:r w:rsidR="006B6226">
        <w:rPr>
          <w:lang w:eastAsia="en-GB"/>
        </w:rPr>
        <w:t xml:space="preserve">0-20 years is adopted, meaning that </w:t>
      </w:r>
      <w:r w:rsidRPr="006C7CC3">
        <w:rPr>
          <w:lang w:eastAsia="en-GB"/>
        </w:rPr>
        <w:t xml:space="preserve">18 and </w:t>
      </w:r>
      <w:r w:rsidR="00BB4854" w:rsidRPr="006C7CC3">
        <w:rPr>
          <w:lang w:eastAsia="en-GB"/>
        </w:rPr>
        <w:t>19-year-old</w:t>
      </w:r>
      <w:r w:rsidRPr="006C7CC3">
        <w:rPr>
          <w:lang w:eastAsia="en-GB"/>
        </w:rPr>
        <w:t xml:space="preserve"> </w:t>
      </w:r>
      <w:r w:rsidR="00D710D7" w:rsidRPr="006C7CC3">
        <w:rPr>
          <w:lang w:eastAsia="en-GB"/>
        </w:rPr>
        <w:t>adults</w:t>
      </w:r>
      <w:r w:rsidRPr="006C7CC3">
        <w:rPr>
          <w:lang w:eastAsia="en-GB"/>
        </w:rPr>
        <w:t xml:space="preserve"> have t</w:t>
      </w:r>
      <w:r w:rsidR="00D710D7" w:rsidRPr="006C7CC3">
        <w:rPr>
          <w:lang w:eastAsia="en-GB"/>
        </w:rPr>
        <w:t>o</w:t>
      </w:r>
      <w:r w:rsidRPr="006C7CC3">
        <w:rPr>
          <w:lang w:eastAsia="en-GB"/>
        </w:rPr>
        <w:t xml:space="preserve"> be included though the</w:t>
      </w:r>
      <w:r w:rsidR="00107716" w:rsidRPr="006C7CC3">
        <w:rPr>
          <w:lang w:eastAsia="en-GB"/>
        </w:rPr>
        <w:t>ir</w:t>
      </w:r>
      <w:r w:rsidRPr="006C7CC3">
        <w:rPr>
          <w:lang w:eastAsia="en-GB"/>
        </w:rPr>
        <w:t xml:space="preserve"> service </w:t>
      </w:r>
      <w:r w:rsidR="00107716" w:rsidRPr="006C7CC3">
        <w:rPr>
          <w:lang w:eastAsia="en-GB"/>
        </w:rPr>
        <w:t>provision</w:t>
      </w:r>
      <w:r w:rsidRPr="006C7CC3">
        <w:rPr>
          <w:lang w:eastAsia="en-GB"/>
        </w:rPr>
        <w:t xml:space="preserve"> and many needs are different</w:t>
      </w:r>
      <w:r w:rsidR="000350CE">
        <w:rPr>
          <w:lang w:eastAsia="en-GB"/>
        </w:rPr>
        <w:t>, as of course is their legal status</w:t>
      </w:r>
      <w:r w:rsidRPr="006C7CC3">
        <w:rPr>
          <w:lang w:eastAsia="en-GB"/>
        </w:rPr>
        <w:t xml:space="preserve">.  </w:t>
      </w:r>
    </w:p>
    <w:p w14:paraId="73ACEB59" w14:textId="52F46A98" w:rsidR="00C629C5" w:rsidRPr="006B6226" w:rsidRDefault="00A45BAD" w:rsidP="006B6226">
      <w:pPr>
        <w:spacing w:line="480" w:lineRule="auto"/>
        <w:jc w:val="both"/>
      </w:pPr>
      <w:r>
        <w:rPr>
          <w:lang w:eastAsia="en-GB"/>
        </w:rPr>
        <w:t>Moreover, t</w:t>
      </w:r>
      <w:r w:rsidR="00C629C5" w:rsidRPr="006C7CC3">
        <w:rPr>
          <w:lang w:eastAsia="en-GB"/>
        </w:rPr>
        <w:t xml:space="preserve">he United Nations </w:t>
      </w:r>
      <w:r w:rsidR="00C629C5" w:rsidRPr="006B6226">
        <w:t xml:space="preserve">Committee on the Rights of the Child oversees a process of countries individually reporting on their </w:t>
      </w:r>
      <w:r w:rsidR="00107716" w:rsidRPr="006B6226">
        <w:t>imp</w:t>
      </w:r>
      <w:r w:rsidR="00C629C5" w:rsidRPr="006B6226">
        <w:t>le</w:t>
      </w:r>
      <w:r w:rsidR="00107716" w:rsidRPr="006B6226">
        <w:t>me</w:t>
      </w:r>
      <w:r w:rsidR="00C629C5" w:rsidRPr="006B6226">
        <w:t>ntation of the Convention.  Sadly, Eurostat</w:t>
      </w:r>
      <w:r w:rsidR="001F498B" w:rsidRPr="006B6226">
        <w:t xml:space="preserve"> </w:t>
      </w:r>
      <w:r w:rsidR="00B5337A">
        <w:t>[</w:t>
      </w:r>
      <w:r>
        <w:t>4</w:t>
      </w:r>
      <w:r w:rsidR="00B5337A">
        <w:t>]</w:t>
      </w:r>
      <w:r w:rsidR="001F498B" w:rsidRPr="006B6226">
        <w:t xml:space="preserve"> and </w:t>
      </w:r>
      <w:r w:rsidR="00C629C5" w:rsidRPr="006B6226">
        <w:t>the WHO European Health for All Database</w:t>
      </w:r>
      <w:r w:rsidR="00B5337A">
        <w:t xml:space="preserve"> [</w:t>
      </w:r>
      <w:r>
        <w:t>5</w:t>
      </w:r>
      <w:r w:rsidR="00B5337A">
        <w:t>]</w:t>
      </w:r>
      <w:r w:rsidR="001F498B" w:rsidRPr="006B6226">
        <w:t xml:space="preserve"> fail totally, as they do not have a category </w:t>
      </w:r>
      <w:r w:rsidR="00107716" w:rsidRPr="006B6226">
        <w:t>matching</w:t>
      </w:r>
      <w:r w:rsidR="001F498B" w:rsidRPr="006B6226">
        <w:t xml:space="preserve"> children 0-17</w:t>
      </w:r>
      <w:r w:rsidR="00107716" w:rsidRPr="006B6226">
        <w:t xml:space="preserve"> years</w:t>
      </w:r>
      <w:r w:rsidR="001F498B" w:rsidRPr="006B6226">
        <w:t xml:space="preserve"> </w:t>
      </w:r>
      <w:r w:rsidR="00107716" w:rsidRPr="006B6226">
        <w:t>inclusive</w:t>
      </w:r>
      <w:r w:rsidR="002F26E5">
        <w:t xml:space="preserve">, and therefore cannot monitor </w:t>
      </w:r>
      <w:r w:rsidR="004813FC">
        <w:t xml:space="preserve">all </w:t>
      </w:r>
      <w:r w:rsidR="002F26E5">
        <w:t>children or factors affecting them, nor aid others in their own monitoring functions</w:t>
      </w:r>
      <w:r w:rsidR="00107716" w:rsidRPr="006B6226">
        <w:t>.  The Institute fo</w:t>
      </w:r>
      <w:r w:rsidR="001F498B" w:rsidRPr="006B6226">
        <w:t xml:space="preserve">r </w:t>
      </w:r>
      <w:r w:rsidR="00107716" w:rsidRPr="006B6226">
        <w:t>Health</w:t>
      </w:r>
      <w:r w:rsidR="001F498B" w:rsidRPr="006B6226">
        <w:t xml:space="preserve"> Metrics and </w:t>
      </w:r>
      <w:r w:rsidR="00107716" w:rsidRPr="006B6226">
        <w:t>Evaluation</w:t>
      </w:r>
      <w:r w:rsidR="00786DE2" w:rsidRPr="006B6226">
        <w:t xml:space="preserve"> (IHME)</w:t>
      </w:r>
      <w:r w:rsidR="001F498B" w:rsidRPr="006B6226">
        <w:t xml:space="preserve">, </w:t>
      </w:r>
      <w:r w:rsidR="00107716" w:rsidRPr="006B6226">
        <w:t>creators</w:t>
      </w:r>
      <w:r w:rsidR="001F498B" w:rsidRPr="006B6226">
        <w:t xml:space="preserve"> o</w:t>
      </w:r>
      <w:r w:rsidR="00107716" w:rsidRPr="006B6226">
        <w:t>f</w:t>
      </w:r>
      <w:r w:rsidR="001F498B" w:rsidRPr="006B6226">
        <w:t xml:space="preserve"> </w:t>
      </w:r>
      <w:r w:rsidR="001F498B" w:rsidRPr="006B6226">
        <w:lastRenderedPageBreak/>
        <w:t xml:space="preserve">the Global Burden of Disease </w:t>
      </w:r>
      <w:r w:rsidR="00786DE2" w:rsidRPr="006B6226">
        <w:t>(GBD)</w:t>
      </w:r>
      <w:r w:rsidR="0099095C" w:rsidRPr="006B6226">
        <w:t xml:space="preserve"> </w:t>
      </w:r>
      <w:r w:rsidR="00107716" w:rsidRPr="006B6226">
        <w:t>calculations</w:t>
      </w:r>
      <w:r w:rsidR="00B5337A">
        <w:t xml:space="preserve"> [</w:t>
      </w:r>
      <w:r w:rsidR="006317EF">
        <w:t>6</w:t>
      </w:r>
      <w:r w:rsidR="00B5337A">
        <w:t>]</w:t>
      </w:r>
      <w:r w:rsidR="001F498B" w:rsidRPr="006B6226">
        <w:t xml:space="preserve">, would fail too but they have the ignominious position of being located in the one significant country </w:t>
      </w:r>
      <w:r w:rsidR="000350CE">
        <w:t xml:space="preserve">globally </w:t>
      </w:r>
      <w:r w:rsidR="001F498B" w:rsidRPr="006B6226">
        <w:t xml:space="preserve">that has not ratified the </w:t>
      </w:r>
      <w:r w:rsidR="00107716" w:rsidRPr="006B6226">
        <w:t>UNCRC</w:t>
      </w:r>
      <w:r w:rsidR="002304FE">
        <w:t>, namely the United States of America</w:t>
      </w:r>
      <w:r w:rsidR="001F498B" w:rsidRPr="006B6226">
        <w:t>.</w:t>
      </w:r>
    </w:p>
    <w:p w14:paraId="4BCD97DD" w14:textId="77777777" w:rsidR="00786DE2" w:rsidRPr="006C7CC3" w:rsidRDefault="00786DE2" w:rsidP="002F26E5">
      <w:pPr>
        <w:pStyle w:val="Heading2"/>
        <w:spacing w:line="480" w:lineRule="auto"/>
      </w:pPr>
      <w:r w:rsidRPr="006C7CC3">
        <w:t>Mortality</w:t>
      </w:r>
    </w:p>
    <w:p w14:paraId="2947CDBB" w14:textId="05E4A95C" w:rsidR="00786DE2" w:rsidRPr="006B6226" w:rsidRDefault="001F5389" w:rsidP="002F26E5">
      <w:pPr>
        <w:spacing w:line="480" w:lineRule="auto"/>
        <w:jc w:val="both"/>
      </w:pPr>
      <w:r>
        <w:t>Even i</w:t>
      </w:r>
      <w:r w:rsidR="00786DE2" w:rsidRPr="006B6226">
        <w:t xml:space="preserve">f counting children is </w:t>
      </w:r>
      <w:r w:rsidR="00B60625">
        <w:t>not achieved by</w:t>
      </w:r>
      <w:r w:rsidR="00786DE2" w:rsidRPr="006B6226">
        <w:t xml:space="preserve"> the </w:t>
      </w:r>
      <w:r w:rsidR="000350CE">
        <w:t xml:space="preserve">major </w:t>
      </w:r>
      <w:r w:rsidR="00786DE2" w:rsidRPr="006B6226">
        <w:t xml:space="preserve">statistical teams, hopefully calculating mortality rates – even for rigid five-year age bands – </w:t>
      </w:r>
      <w:r>
        <w:t>sh</w:t>
      </w:r>
      <w:r w:rsidR="00786DE2" w:rsidRPr="006B6226">
        <w:t xml:space="preserve">ould not be difficult. Developed countries have strict and presumed </w:t>
      </w:r>
      <w:r w:rsidR="00D90638" w:rsidRPr="006B6226">
        <w:t>reliable</w:t>
      </w:r>
      <w:r w:rsidR="00786DE2" w:rsidRPr="006B6226">
        <w:t xml:space="preserve"> means of </w:t>
      </w:r>
      <w:r w:rsidR="00D90638" w:rsidRPr="006B6226">
        <w:t>registering, reporting and aggregating deaths</w:t>
      </w:r>
      <w:r w:rsidR="00DC2B5A">
        <w:t>.</w:t>
      </w:r>
      <w:r w:rsidR="00D90638" w:rsidRPr="006B6226">
        <w:t xml:space="preserve"> </w:t>
      </w:r>
      <w:r w:rsidR="00DC2B5A">
        <w:t>E</w:t>
      </w:r>
      <w:r w:rsidR="00D90638" w:rsidRPr="006B6226">
        <w:t xml:space="preserve">very </w:t>
      </w:r>
      <w:r w:rsidR="00DC2B5A">
        <w:t xml:space="preserve">EU </w:t>
      </w:r>
      <w:r w:rsidR="00D90638" w:rsidRPr="006B6226">
        <w:t xml:space="preserve">country </w:t>
      </w:r>
      <w:r w:rsidR="00DC2B5A">
        <w:t xml:space="preserve">also </w:t>
      </w:r>
      <w:r w:rsidR="00D90638" w:rsidRPr="006B6226">
        <w:t xml:space="preserve">has </w:t>
      </w:r>
      <w:r w:rsidR="00DC2B5A">
        <w:t xml:space="preserve">quinquennial or decennial </w:t>
      </w:r>
      <w:r w:rsidR="00D90638" w:rsidRPr="006B6226">
        <w:t xml:space="preserve">census counts </w:t>
      </w:r>
      <w:r w:rsidR="00DC2B5A">
        <w:t>which establish</w:t>
      </w:r>
      <w:r>
        <w:t>es</w:t>
      </w:r>
      <w:r w:rsidR="00DC2B5A">
        <w:t xml:space="preserve"> the number of children on </w:t>
      </w:r>
      <w:r w:rsidR="00935666">
        <w:t>census</w:t>
      </w:r>
      <w:r w:rsidR="00DC2B5A">
        <w:t xml:space="preserve"> years, and </w:t>
      </w:r>
      <w:r w:rsidR="00B60625">
        <w:t>processes for</w:t>
      </w:r>
      <w:r w:rsidR="00DC2B5A">
        <w:t xml:space="preserve"> making year-on-year adjustments for change due to inward and outward movement as well as death</w:t>
      </w:r>
      <w:r w:rsidR="00B60625">
        <w:t xml:space="preserve"> so as to create population values for inter-censal years</w:t>
      </w:r>
      <w:r w:rsidR="00DC2B5A">
        <w:t>.</w:t>
      </w:r>
      <w:r w:rsidR="00D90638" w:rsidRPr="006B6226">
        <w:t xml:space="preserve">  </w:t>
      </w:r>
      <w:r w:rsidR="00B60625">
        <w:t xml:space="preserve">Hence both the numerator (deaths) and the denominator (resident children) should be available to enable calculation of annual mortality rates which can be trusted as reliable.  </w:t>
      </w:r>
      <w:r w:rsidR="00D90638" w:rsidRPr="006B6226">
        <w:t xml:space="preserve">However, this </w:t>
      </w:r>
      <w:r w:rsidR="008C0A58">
        <w:t>proves</w:t>
      </w:r>
      <w:r w:rsidR="008C0A58" w:rsidRPr="006B6226">
        <w:t xml:space="preserve"> </w:t>
      </w:r>
      <w:r w:rsidR="00D90638" w:rsidRPr="006B6226">
        <w:t xml:space="preserve">not </w:t>
      </w:r>
      <w:r w:rsidR="008C0A58">
        <w:t xml:space="preserve">to be </w:t>
      </w:r>
      <w:r w:rsidR="00D90638" w:rsidRPr="006B6226">
        <w:t>the case.</w:t>
      </w:r>
    </w:p>
    <w:p w14:paraId="42AC4D9C" w14:textId="3041E558" w:rsidR="005D6247" w:rsidRPr="006B6226" w:rsidRDefault="005D6247" w:rsidP="002F26E5">
      <w:pPr>
        <w:spacing w:line="480" w:lineRule="auto"/>
        <w:jc w:val="both"/>
      </w:pPr>
      <w:r w:rsidRPr="006B6226">
        <w:t xml:space="preserve">In order to progress its work, researchers in the MOCHA project sought to produce comparable data on </w:t>
      </w:r>
      <w:r w:rsidR="00B60625">
        <w:t xml:space="preserve">overall, and selected </w:t>
      </w:r>
      <w:r w:rsidRPr="006B6226">
        <w:t>specific</w:t>
      </w:r>
      <w:r w:rsidR="00B60625">
        <w:t>,</w:t>
      </w:r>
      <w:r w:rsidRPr="006B6226">
        <w:t xml:space="preserve"> </w:t>
      </w:r>
      <w:r w:rsidR="0064498A" w:rsidRPr="006B6226">
        <w:t>causes</w:t>
      </w:r>
      <w:r w:rsidRPr="006B6226">
        <w:t xml:space="preserve"> of death for each country in comparable format.  Though it </w:t>
      </w:r>
      <w:r w:rsidR="0064498A" w:rsidRPr="006B6226">
        <w:t>has</w:t>
      </w:r>
      <w:r w:rsidRPr="006B6226">
        <w:t xml:space="preserve"> many valuable statistics, the WHO Health for All database does not compil</w:t>
      </w:r>
      <w:r w:rsidR="0064498A" w:rsidRPr="006B6226">
        <w:t>e this data</w:t>
      </w:r>
      <w:r w:rsidR="004813FC">
        <w:t>. However,</w:t>
      </w:r>
      <w:r w:rsidR="000350CE">
        <w:t xml:space="preserve"> </w:t>
      </w:r>
      <w:r w:rsidR="0064498A" w:rsidRPr="006B6226">
        <w:t>Eurostat and I</w:t>
      </w:r>
      <w:r w:rsidRPr="006B6226">
        <w:t>HME-GBD do produce it</w:t>
      </w:r>
      <w:r w:rsidR="004813FC">
        <w:t xml:space="preserve"> and </w:t>
      </w:r>
      <w:r w:rsidR="00B60625">
        <w:t xml:space="preserve">project researchers </w:t>
      </w:r>
      <w:r w:rsidR="004813FC">
        <w:t xml:space="preserve">consulted </w:t>
      </w:r>
      <w:r w:rsidR="000F1969" w:rsidRPr="006B6226">
        <w:t>both the Eurostat and the IHME-GBD data sources</w:t>
      </w:r>
      <w:r w:rsidR="004813FC">
        <w:t xml:space="preserve"> to ensure robustness</w:t>
      </w:r>
      <w:r w:rsidR="000F1969" w:rsidRPr="006B6226">
        <w:t xml:space="preserve">.  What was not expected </w:t>
      </w:r>
      <w:r w:rsidR="0064498A" w:rsidRPr="006B6226">
        <w:t>was the difference</w:t>
      </w:r>
      <w:r w:rsidR="000F1969" w:rsidRPr="006B6226">
        <w:t xml:space="preserve"> in </w:t>
      </w:r>
      <w:r w:rsidR="00B60625">
        <w:t xml:space="preserve">published </w:t>
      </w:r>
      <w:r w:rsidR="000F1969" w:rsidRPr="006B6226">
        <w:t>data, including not only death rates but also the ranking of countries, between the two sites</w:t>
      </w:r>
      <w:r w:rsidR="00B60625">
        <w:t xml:space="preserve">, and secondly that one of the </w:t>
      </w:r>
      <w:r w:rsidR="007C0DD0">
        <w:t>published</w:t>
      </w:r>
      <w:r w:rsidR="00B60625">
        <w:t xml:space="preserve"> data tabulations </w:t>
      </w:r>
      <w:r w:rsidR="002B765A">
        <w:t xml:space="preserve">would </w:t>
      </w:r>
      <w:r w:rsidR="007C0DD0">
        <w:t xml:space="preserve">prove </w:t>
      </w:r>
      <w:r w:rsidR="00385D00">
        <w:t>not to be</w:t>
      </w:r>
      <w:r w:rsidR="00B60625">
        <w:t xml:space="preserve"> stable</w:t>
      </w:r>
      <w:r w:rsidR="000F1969" w:rsidRPr="006B6226">
        <w:t>.</w:t>
      </w:r>
    </w:p>
    <w:p w14:paraId="672A28DE" w14:textId="77777777" w:rsidR="000F1969" w:rsidRPr="008C0A58" w:rsidRDefault="000F1969" w:rsidP="008C0A58">
      <w:pPr>
        <w:pStyle w:val="Heading1"/>
        <w:spacing w:line="480" w:lineRule="auto"/>
      </w:pPr>
      <w:r w:rsidRPr="008C0A58">
        <w:t>Results</w:t>
      </w:r>
    </w:p>
    <w:p w14:paraId="3FD6BA50" w14:textId="78AAD850" w:rsidR="00305482" w:rsidRDefault="000F1969" w:rsidP="008C0A58">
      <w:pPr>
        <w:spacing w:line="480" w:lineRule="auto"/>
        <w:jc w:val="both"/>
      </w:pPr>
      <w:r w:rsidRPr="008C0A58">
        <w:t xml:space="preserve">First, the </w:t>
      </w:r>
      <w:r w:rsidR="0064498A" w:rsidRPr="008C0A58">
        <w:t>basic</w:t>
      </w:r>
      <w:r w:rsidRPr="008C0A58">
        <w:t xml:space="preserve"> question of child mortality. </w:t>
      </w:r>
      <w:r w:rsidR="00390FB0">
        <w:t xml:space="preserve">The authors have already reported </w:t>
      </w:r>
      <w:r w:rsidR="00305482">
        <w:t xml:space="preserve">in a brief communication elsewhere, the discrepancy between Eurostat and IHME data for death rates for children aged 10-14 years, this age-group being taken as a sample less affected by post-partum sequalae and infectious diseases, and also adolescent risk-based accidents [7]. </w:t>
      </w:r>
      <w:r w:rsidR="00EF14A0">
        <w:t xml:space="preserve"> That analysis showed important differences </w:t>
      </w:r>
      <w:r w:rsidR="004C08E8">
        <w:t xml:space="preserve">in </w:t>
      </w:r>
      <w:r w:rsidR="004C08E8">
        <w:lastRenderedPageBreak/>
        <w:t xml:space="preserve">individual countries between Eurostat and GBD data as of August 2018. </w:t>
      </w:r>
      <w:r w:rsidR="00EF14A0">
        <w:t>Secondly</w:t>
      </w:r>
      <w:r w:rsidR="004C08E8">
        <w:t xml:space="preserve">, the authors </w:t>
      </w:r>
      <w:r w:rsidR="00B93624">
        <w:t xml:space="preserve">subsequently </w:t>
      </w:r>
      <w:r w:rsidR="004C08E8">
        <w:t xml:space="preserve">identified a change in the data posted by the GBD study two months later, for the same mortality rate definition, and they published an analysis of the degree of change [8]. </w:t>
      </w:r>
      <w:r w:rsidR="00B93624">
        <w:t>Death r</w:t>
      </w:r>
      <w:r w:rsidR="004C08E8">
        <w:t>ates per country changed by between an upwards change of 29.28 % (Slovenia) to a decrease of 29.12 % (Ireland).</w:t>
      </w:r>
    </w:p>
    <w:p w14:paraId="6382CE56" w14:textId="1BE2EAB6" w:rsidR="00BD2FE1" w:rsidRDefault="004C08E8" w:rsidP="008C0A58">
      <w:pPr>
        <w:spacing w:line="480" w:lineRule="auto"/>
        <w:jc w:val="both"/>
      </w:pPr>
      <w:r>
        <w:t xml:space="preserve">Table 1 now summates these two differences and changes into one table, </w:t>
      </w:r>
      <w:r w:rsidR="000F45E7">
        <w:t xml:space="preserve">and shows that after the </w:t>
      </w:r>
      <w:r w:rsidR="00BD2FE1">
        <w:t>GBD adjustments the difference between th</w:t>
      </w:r>
      <w:r w:rsidR="00657B04">
        <w:t>e</w:t>
      </w:r>
      <w:r w:rsidR="00BD2FE1">
        <w:t xml:space="preserve"> two calculations of child mortality in this age group is between 2</w:t>
      </w:r>
      <w:r w:rsidR="00657B04">
        <w:t>9</w:t>
      </w:r>
      <w:r w:rsidR="00BD2FE1">
        <w:t xml:space="preserve">.8% </w:t>
      </w:r>
      <w:r w:rsidR="00657B04">
        <w:t xml:space="preserve">upwards of the Eurostat rate </w:t>
      </w:r>
      <w:r w:rsidR="00BD2FE1">
        <w:t xml:space="preserve">(Hungary) and </w:t>
      </w:r>
      <w:r w:rsidR="00657B04">
        <w:t>38.5</w:t>
      </w:r>
      <w:r w:rsidR="00BD2FE1">
        <w:t>% lower</w:t>
      </w:r>
      <w:r w:rsidR="00657B04">
        <w:t xml:space="preserve"> (Iceland)</w:t>
      </w:r>
      <w:r w:rsidR="00BD2FE1">
        <w:t>.</w:t>
      </w:r>
    </w:p>
    <w:p w14:paraId="11BAADD9" w14:textId="784A99BC" w:rsidR="00305482" w:rsidRDefault="00BD2FE1" w:rsidP="008C0A58">
      <w:pPr>
        <w:spacing w:line="480" w:lineRule="auto"/>
        <w:jc w:val="both"/>
      </w:pPr>
      <w:r>
        <w:tab/>
      </w:r>
      <w:r>
        <w:tab/>
      </w:r>
      <w:r>
        <w:tab/>
      </w:r>
      <w:r>
        <w:tab/>
      </w:r>
      <w:r>
        <w:tab/>
        <w:t>Table 1 about here</w:t>
      </w:r>
    </w:p>
    <w:p w14:paraId="60F8BC1A" w14:textId="1FCF78A6" w:rsidR="00BD2FE1" w:rsidRDefault="00BD2FE1" w:rsidP="008C0A58">
      <w:pPr>
        <w:spacing w:line="480" w:lineRule="auto"/>
        <w:jc w:val="both"/>
      </w:pPr>
      <w:r>
        <w:t>Figure 1 shows these three rates graphically. There is no obvious pattern as to which countries have strong concordance and which have considerable variation.</w:t>
      </w:r>
      <w:r w:rsidR="00F02CED">
        <w:t xml:space="preserve">  The strongest concordance is with data for Portugal and Romania.</w:t>
      </w:r>
    </w:p>
    <w:p w14:paraId="6A86D4BA" w14:textId="77777777" w:rsidR="00BD2FE1" w:rsidRDefault="00BD2FE1" w:rsidP="008C0A58">
      <w:pPr>
        <w:spacing w:line="480" w:lineRule="auto"/>
        <w:jc w:val="both"/>
      </w:pPr>
    </w:p>
    <w:p w14:paraId="50ACF941" w14:textId="1A49C6A5" w:rsidR="00387F79" w:rsidRDefault="00BD2FE1" w:rsidP="008A51F1">
      <w:pPr>
        <w:spacing w:line="480" w:lineRule="auto"/>
        <w:jc w:val="center"/>
      </w:pPr>
      <w:r w:rsidRPr="008C0A58" w:rsidDel="00BD2FE1">
        <w:t xml:space="preserve"> </w:t>
      </w:r>
      <w:r w:rsidR="00387F79">
        <w:t>[Figure 1 about here]</w:t>
      </w:r>
    </w:p>
    <w:p w14:paraId="5B002830" w14:textId="77777777" w:rsidR="00BD2FE1" w:rsidRPr="008C0A58" w:rsidRDefault="00BD2FE1" w:rsidP="00BD2FE1">
      <w:pPr>
        <w:spacing w:line="480" w:lineRule="auto"/>
      </w:pPr>
    </w:p>
    <w:p w14:paraId="16E3185E" w14:textId="081443C0" w:rsidR="00D90638" w:rsidRPr="008C0A58" w:rsidRDefault="00D90638" w:rsidP="008C0A58">
      <w:pPr>
        <w:spacing w:line="480" w:lineRule="auto"/>
        <w:jc w:val="both"/>
      </w:pPr>
      <w:r w:rsidRPr="008C0A58">
        <w:t>It wil</w:t>
      </w:r>
      <w:r w:rsidR="001A7673" w:rsidRPr="008C0A58">
        <w:t>l be seen that there are notew</w:t>
      </w:r>
      <w:r w:rsidRPr="008C0A58">
        <w:t xml:space="preserve">orthy </w:t>
      </w:r>
      <w:r w:rsidR="001A7673" w:rsidRPr="008C0A58">
        <w:t>differences</w:t>
      </w:r>
      <w:r w:rsidRPr="008C0A58">
        <w:t xml:space="preserve"> between the computed values, but also </w:t>
      </w:r>
      <w:r w:rsidR="00F02CED">
        <w:t xml:space="preserve">from the earlier publications [7, 8] </w:t>
      </w:r>
      <w:r w:rsidRPr="008C0A58">
        <w:t xml:space="preserve">that there is little match as </w:t>
      </w:r>
      <w:r w:rsidR="00F02CED">
        <w:t xml:space="preserve">to </w:t>
      </w:r>
      <w:r w:rsidRPr="008C0A58">
        <w:t xml:space="preserve">the rankings of the 30 </w:t>
      </w:r>
      <w:r w:rsidR="001A7673" w:rsidRPr="008C0A58">
        <w:t>countries</w:t>
      </w:r>
      <w:r w:rsidRPr="008C0A58">
        <w:t xml:space="preserve"> between the two sources.  </w:t>
      </w:r>
      <w:r w:rsidR="001A7673" w:rsidRPr="008C0A58">
        <w:t>Indeed</w:t>
      </w:r>
      <w:r w:rsidRPr="008C0A58">
        <w:t xml:space="preserve">, </w:t>
      </w:r>
      <w:r w:rsidR="008C0A58">
        <w:t xml:space="preserve">no countries have the same value and </w:t>
      </w:r>
      <w:r w:rsidRPr="008C0A58">
        <w:t xml:space="preserve">only two countries </w:t>
      </w:r>
      <w:r w:rsidR="00822A1C" w:rsidRPr="008C0A58">
        <w:t xml:space="preserve">have the same rank order across the databases. </w:t>
      </w:r>
    </w:p>
    <w:p w14:paraId="212A9B40" w14:textId="77777777" w:rsidR="00822A1C" w:rsidRPr="006C7CC3" w:rsidRDefault="00822A1C" w:rsidP="008C0A58">
      <w:pPr>
        <w:pStyle w:val="Heading2"/>
        <w:spacing w:line="480" w:lineRule="auto"/>
      </w:pPr>
      <w:r w:rsidRPr="006C7CC3">
        <w:t>Cause-Specific Mortality</w:t>
      </w:r>
    </w:p>
    <w:p w14:paraId="7A92BC90" w14:textId="18BD9D91" w:rsidR="00274846" w:rsidRPr="008C0A58" w:rsidRDefault="003C67CD" w:rsidP="008C0A58">
      <w:pPr>
        <w:spacing w:line="480" w:lineRule="auto"/>
        <w:jc w:val="both"/>
      </w:pPr>
      <w:r w:rsidRPr="008C0A58">
        <w:t xml:space="preserve">Important for </w:t>
      </w:r>
      <w:r w:rsidR="007E1834">
        <w:t xml:space="preserve">assessment of needs and </w:t>
      </w:r>
      <w:r w:rsidRPr="008C0A58">
        <w:t>evaluation of services is cause-</w:t>
      </w:r>
      <w:r w:rsidR="00274846" w:rsidRPr="008C0A58">
        <w:t>related</w:t>
      </w:r>
      <w:r w:rsidRPr="008C0A58">
        <w:t xml:space="preserve"> mortality.</w:t>
      </w:r>
      <w:r w:rsidR="00274846" w:rsidRPr="008C0A58">
        <w:t xml:space="preserve">  A first topic studied </w:t>
      </w:r>
      <w:r w:rsidR="007E1834">
        <w:t xml:space="preserve">within the MOCHA project </w:t>
      </w:r>
      <w:r w:rsidR="00274846" w:rsidRPr="008C0A58">
        <w:t>was mortality in older children excluding accidents.  This is</w:t>
      </w:r>
      <w:r w:rsidR="000F1969" w:rsidRPr="008C0A58">
        <w:t xml:space="preserve"> important as accidents are br</w:t>
      </w:r>
      <w:r w:rsidR="00274846" w:rsidRPr="008C0A58">
        <w:t xml:space="preserve">oadly outside </w:t>
      </w:r>
      <w:r w:rsidR="0064498A" w:rsidRPr="008C0A58">
        <w:t>the</w:t>
      </w:r>
      <w:r w:rsidR="00274846" w:rsidRPr="008C0A58">
        <w:t xml:space="preserve"> direct scope of health services, being </w:t>
      </w:r>
      <w:r w:rsidR="00A01E9E" w:rsidRPr="008C0A58">
        <w:t xml:space="preserve">primarily </w:t>
      </w:r>
      <w:r w:rsidR="00274846" w:rsidRPr="008C0A58">
        <w:t xml:space="preserve">related </w:t>
      </w:r>
      <w:r w:rsidR="00274846" w:rsidRPr="008C0A58">
        <w:lastRenderedPageBreak/>
        <w:t>to road traffic events, accidental drowning, activity-related events</w:t>
      </w:r>
      <w:r w:rsidR="007E1834">
        <w:t>, and inter-personal violence</w:t>
      </w:r>
      <w:r w:rsidR="00274846" w:rsidRPr="008C0A58">
        <w:t xml:space="preserve">.  </w:t>
      </w:r>
      <w:r w:rsidR="007E1834">
        <w:t xml:space="preserve">These are indeed amenable to public health and societal programmes, as shown for instance by the Child Safety Action Plan project [9], </w:t>
      </w:r>
      <w:r w:rsidR="000F399C">
        <w:t xml:space="preserve">rather than by primary health care services. </w:t>
      </w:r>
      <w:r w:rsidR="00274846" w:rsidRPr="008C0A58">
        <w:t xml:space="preserve">By excluding accidental deaths, analysis </w:t>
      </w:r>
      <w:r w:rsidR="00FA311C">
        <w:t xml:space="preserve">was </w:t>
      </w:r>
      <w:r w:rsidR="000F399C">
        <w:t>intended to</w:t>
      </w:r>
      <w:r w:rsidR="000F399C" w:rsidRPr="008C0A58">
        <w:t xml:space="preserve"> </w:t>
      </w:r>
      <w:r w:rsidR="00274846" w:rsidRPr="008C0A58">
        <w:t xml:space="preserve">show deaths caused by illness and other health-related conditions.  </w:t>
      </w:r>
    </w:p>
    <w:p w14:paraId="6A58EA1A" w14:textId="6A811883" w:rsidR="00ED2C7F" w:rsidRPr="00157A2E" w:rsidRDefault="00726AA1" w:rsidP="008C0A58">
      <w:pPr>
        <w:spacing w:line="480" w:lineRule="auto"/>
        <w:jc w:val="both"/>
      </w:pPr>
      <w:r>
        <w:t xml:space="preserve">As adolescent deaths have overtaken </w:t>
      </w:r>
      <w:r w:rsidR="00736618">
        <w:t>under-fives</w:t>
      </w:r>
      <w:r>
        <w:t xml:space="preserve"> mortality in most countries in terms of policy emphasis, and survival of those with complex medical conditions has imp</w:t>
      </w:r>
      <w:r w:rsidR="00085B70">
        <w:t>roved</w:t>
      </w:r>
      <w:r w:rsidR="002304FE">
        <w:t>,</w:t>
      </w:r>
      <w:r w:rsidR="00085B70">
        <w:t xml:space="preserve"> </w:t>
      </w:r>
      <w:r w:rsidR="000F399C">
        <w:t xml:space="preserve">for this aspect of the data availability review the researchers </w:t>
      </w:r>
      <w:r w:rsidR="00085B70">
        <w:t>chose to focus on 15-1</w:t>
      </w:r>
      <w:r>
        <w:t xml:space="preserve">9 year old age group, fully recognising that this spans </w:t>
      </w:r>
      <w:r w:rsidR="00085B70">
        <w:t xml:space="preserve">beyond </w:t>
      </w:r>
      <w:r>
        <w:t>the usually defined period of childhood.</w:t>
      </w:r>
      <w:r w:rsidRPr="008C0A58" w:rsidDel="00726AA1">
        <w:t xml:space="preserve"> </w:t>
      </w:r>
      <w:r w:rsidR="000F399C">
        <w:t xml:space="preserve">They </w:t>
      </w:r>
      <w:r w:rsidR="00085B70">
        <w:t>hypothesised that if accidental and violent deaths were excluded, deaths in this age-group could be considered an outcome of exposure to the health care system</w:t>
      </w:r>
      <w:r w:rsidR="000F399C" w:rsidRPr="000F399C">
        <w:t xml:space="preserve"> </w:t>
      </w:r>
      <w:r w:rsidR="000F399C">
        <w:t>in the preceding childhood years</w:t>
      </w:r>
      <w:r w:rsidR="00C85876">
        <w:t xml:space="preserve"> </w:t>
      </w:r>
      <w:r w:rsidR="000F399C">
        <w:t>as the main</w:t>
      </w:r>
      <w:r w:rsidR="008A51F1">
        <w:t xml:space="preserve"> influence</w:t>
      </w:r>
      <w:r w:rsidR="00085B70">
        <w:t>.</w:t>
      </w:r>
      <w:r w:rsidR="00274846" w:rsidRPr="00157A2E">
        <w:t xml:space="preserve"> </w:t>
      </w:r>
      <w:r w:rsidR="008A51F1">
        <w:t>Figure</w:t>
      </w:r>
      <w:r w:rsidR="00274846" w:rsidRPr="00157A2E">
        <w:t xml:space="preserve"> 2 shows the variation between Eur</w:t>
      </w:r>
      <w:r w:rsidR="00A01E9E" w:rsidRPr="00157A2E">
        <w:t>o</w:t>
      </w:r>
      <w:r w:rsidR="00274846" w:rsidRPr="00157A2E">
        <w:t>stat and IHME-GBD data</w:t>
      </w:r>
      <w:r w:rsidR="000F1969" w:rsidRPr="00157A2E">
        <w:t>, of children whose cause of death is not related to accident or violence</w:t>
      </w:r>
      <w:r w:rsidR="00274846" w:rsidRPr="00157A2E">
        <w:t>.</w:t>
      </w:r>
    </w:p>
    <w:p w14:paraId="7019E925" w14:textId="77777777" w:rsidR="00A80019" w:rsidRPr="008A51F1" w:rsidRDefault="008A51F1" w:rsidP="008A51F1">
      <w:pPr>
        <w:jc w:val="center"/>
      </w:pPr>
      <w:r w:rsidRPr="008A51F1">
        <w:t>[Figure 2 about here]</w:t>
      </w:r>
    </w:p>
    <w:p w14:paraId="2D121A64" w14:textId="77777777" w:rsidR="008A51F1" w:rsidRPr="00157A2E" w:rsidRDefault="008A51F1" w:rsidP="00E85B71">
      <w:pPr>
        <w:rPr>
          <w:b/>
        </w:rPr>
      </w:pPr>
    </w:p>
    <w:p w14:paraId="2A8B422D" w14:textId="07AF1E77" w:rsidR="0025557B" w:rsidRDefault="0025557B">
      <w:pPr>
        <w:spacing w:line="480" w:lineRule="auto"/>
        <w:jc w:val="both"/>
      </w:pPr>
      <w:r>
        <w:t xml:space="preserve">This </w:t>
      </w:r>
      <w:r w:rsidR="00FA311C">
        <w:t xml:space="preserve">figure </w:t>
      </w:r>
      <w:r>
        <w:t>shows the very great differences in this mortality rate for each country</w:t>
      </w:r>
      <w:r w:rsidR="006B69A6">
        <w:t>, as compiled by the two databases</w:t>
      </w:r>
      <w:r>
        <w:t xml:space="preserve">.  With variation of this magnitude, and unable as end users to have the ability to drill down into source data and contributing calculations, this data set </w:t>
      </w:r>
      <w:r w:rsidR="00FA311C">
        <w:t xml:space="preserve">was </w:t>
      </w:r>
      <w:r w:rsidR="008532C3">
        <w:t>too challenging</w:t>
      </w:r>
      <w:r>
        <w:t xml:space="preserve"> in its positioning of each country to be of any value for the core purpose of seeking correlation with patterns of resource or </w:t>
      </w:r>
      <w:r w:rsidR="006B69A6">
        <w:t xml:space="preserve">health </w:t>
      </w:r>
      <w:r>
        <w:t>service provision structure.</w:t>
      </w:r>
      <w:r w:rsidR="00BD062E">
        <w:t xml:space="preserve">  Only rates can be shown, not actual counts, as Eurostat does not </w:t>
      </w:r>
      <w:r w:rsidR="00AF5553">
        <w:t>publi</w:t>
      </w:r>
      <w:r w:rsidR="00334E7F">
        <w:t>sh</w:t>
      </w:r>
      <w:r w:rsidR="00BD062E">
        <w:t xml:space="preserve"> </w:t>
      </w:r>
      <w:r w:rsidR="00AF5553">
        <w:t>counts</w:t>
      </w:r>
      <w:r w:rsidR="00BD062E">
        <w:t xml:space="preserve">, </w:t>
      </w:r>
      <w:r w:rsidR="00AF5553">
        <w:t>while</w:t>
      </w:r>
      <w:r w:rsidR="00BD062E">
        <w:t xml:space="preserve"> </w:t>
      </w:r>
      <w:r w:rsidR="00AF5553">
        <w:t>the</w:t>
      </w:r>
      <w:r w:rsidR="00BD062E">
        <w:t xml:space="preserve"> GBD method of estimation </w:t>
      </w:r>
      <w:r w:rsidR="00AF5553">
        <w:t>shows</w:t>
      </w:r>
      <w:r w:rsidR="00BD062E">
        <w:t xml:space="preserve"> </w:t>
      </w:r>
      <w:r w:rsidR="00AF5553">
        <w:t>numbers</w:t>
      </w:r>
      <w:r w:rsidR="00BD062E">
        <w:t xml:space="preserve"> of deaths with decimal points, </w:t>
      </w:r>
      <w:r w:rsidR="00AF5553">
        <w:t>which is difficult for many non-statistician users to accept as credible.</w:t>
      </w:r>
    </w:p>
    <w:p w14:paraId="3B7675A4" w14:textId="67340169" w:rsidR="0025557B" w:rsidRDefault="0025557B">
      <w:pPr>
        <w:spacing w:line="480" w:lineRule="auto"/>
        <w:jc w:val="both"/>
      </w:pPr>
    </w:p>
    <w:p w14:paraId="4A8BDE62" w14:textId="74B525F2" w:rsidR="00771C0C" w:rsidRDefault="007A0006" w:rsidP="008A51F1">
      <w:pPr>
        <w:spacing w:line="480" w:lineRule="auto"/>
        <w:jc w:val="both"/>
      </w:pPr>
      <w:r>
        <w:t xml:space="preserve">Intrigued by this disparity, </w:t>
      </w:r>
      <w:r w:rsidR="00FA311C">
        <w:t xml:space="preserve">the researchers </w:t>
      </w:r>
      <w:r>
        <w:t xml:space="preserve">wondered if it applied </w:t>
      </w:r>
      <w:r w:rsidR="003D4D15">
        <w:t>to</w:t>
      </w:r>
      <w:r>
        <w:t xml:space="preserve"> all </w:t>
      </w:r>
      <w:r w:rsidR="003D4D15">
        <w:t>causes</w:t>
      </w:r>
      <w:r>
        <w:t xml:space="preserve"> of </w:t>
      </w:r>
      <w:r w:rsidR="003D4D15">
        <w:t>childhood</w:t>
      </w:r>
      <w:r>
        <w:t xml:space="preserve"> death.</w:t>
      </w:r>
      <w:r w:rsidR="003D4D15">
        <w:t xml:space="preserve">  </w:t>
      </w:r>
      <w:r w:rsidR="007F0915">
        <w:t xml:space="preserve">Fine granularity comparison by cause is difficult as the two databases use different systems of coding death – WHO and Eurostat use the International Classification of Disease (ICD), while the Global </w:t>
      </w:r>
      <w:r w:rsidR="007F0915">
        <w:lastRenderedPageBreak/>
        <w:t>Burden of Disease uses a customised four level hierarchy of causes [1]</w:t>
      </w:r>
      <w:r w:rsidR="00334E7F">
        <w:t xml:space="preserve">. </w:t>
      </w:r>
      <w:r w:rsidR="00FA311C">
        <w:t>The</w:t>
      </w:r>
      <w:r w:rsidR="007F0915">
        <w:t xml:space="preserve"> researchers </w:t>
      </w:r>
      <w:r w:rsidR="003D4D15">
        <w:t xml:space="preserve">therefore selected death by drowning </w:t>
      </w:r>
      <w:r w:rsidR="00597ACE">
        <w:t xml:space="preserve">(defined as accidental drowning and submersion) </w:t>
      </w:r>
      <w:r w:rsidR="003D4D15">
        <w:t xml:space="preserve">for analysis, as </w:t>
      </w:r>
      <w:r w:rsidR="007F0915">
        <w:t xml:space="preserve">the coding allocations are similar, and at the stage of reporting of each death </w:t>
      </w:r>
      <w:r w:rsidR="003D4D15">
        <w:t>the diagnosis should not be in doubt in the majority of cases</w:t>
      </w:r>
      <w:r w:rsidR="007F0915">
        <w:t>.</w:t>
      </w:r>
      <w:r w:rsidR="00334E7F">
        <w:t xml:space="preserve"> </w:t>
      </w:r>
      <w:r w:rsidR="007F0915">
        <w:t>The results are presented</w:t>
      </w:r>
      <w:r w:rsidR="008A51F1">
        <w:t xml:space="preserve"> the results in Figure </w:t>
      </w:r>
      <w:r w:rsidR="00EF7E0C">
        <w:t>3</w:t>
      </w:r>
      <w:r w:rsidR="008A51F1">
        <w:t>.</w:t>
      </w:r>
      <w:r w:rsidR="003D4D15">
        <w:t xml:space="preserve"> </w:t>
      </w:r>
    </w:p>
    <w:p w14:paraId="72DF2C37" w14:textId="09E8C321" w:rsidR="008A51F1" w:rsidRDefault="008A51F1" w:rsidP="008A51F1">
      <w:pPr>
        <w:spacing w:line="480" w:lineRule="auto"/>
        <w:jc w:val="both"/>
      </w:pPr>
    </w:p>
    <w:p w14:paraId="76B03948" w14:textId="305FFFAA" w:rsidR="008A51F1" w:rsidRDefault="008A51F1" w:rsidP="008A51F1">
      <w:pPr>
        <w:spacing w:line="480" w:lineRule="auto"/>
        <w:jc w:val="center"/>
        <w:rPr>
          <w:b/>
        </w:rPr>
      </w:pPr>
      <w:r>
        <w:t>[Figure 3 about here]</w:t>
      </w:r>
    </w:p>
    <w:p w14:paraId="6192705F" w14:textId="436BCB32" w:rsidR="00366A43" w:rsidRPr="00157A2E" w:rsidRDefault="008A51F1" w:rsidP="00C629C5">
      <w:r>
        <w:t xml:space="preserve"> </w:t>
      </w:r>
    </w:p>
    <w:p w14:paraId="49EDD809" w14:textId="7A688C42" w:rsidR="00F658CB" w:rsidRDefault="00597ACE">
      <w:pPr>
        <w:spacing w:line="480" w:lineRule="auto"/>
        <w:jc w:val="both"/>
      </w:pPr>
      <w:r>
        <w:t xml:space="preserve">For four small countries (identified by an asterisk by the name) Eurostat does not compile rates. The results show considerable variations in country-specific rates, though </w:t>
      </w:r>
      <w:r w:rsidR="00F658CB">
        <w:t xml:space="preserve">in broad </w:t>
      </w:r>
      <w:r w:rsidR="00736618">
        <w:t>terms</w:t>
      </w:r>
      <w:r w:rsidR="00F658CB">
        <w:t xml:space="preserve"> the rankings are similar. </w:t>
      </w:r>
      <w:r w:rsidR="00107EE0">
        <w:t>However</w:t>
      </w:r>
      <w:r>
        <w:t xml:space="preserve">, the country differences are considerable. The GBD data are </w:t>
      </w:r>
      <w:r w:rsidR="00780706">
        <w:t xml:space="preserve">different from Eurostat by between 59% lower (Slovakia) and 475% higher (Spain). Indeed, in only five of the 20 countries with non nil data from both sources is the difference less than 25% of the Eurostat figure. </w:t>
      </w:r>
      <w:r w:rsidR="00736618">
        <w:t>Thus,</w:t>
      </w:r>
      <w:r w:rsidR="00F658CB">
        <w:t xml:space="preserve"> with a very specific </w:t>
      </w:r>
      <w:r w:rsidR="00736618">
        <w:t>and clear</w:t>
      </w:r>
      <w:r w:rsidR="00F658CB">
        <w:t xml:space="preserve">-cut cause of death, there is </w:t>
      </w:r>
      <w:r w:rsidR="00780706">
        <w:t xml:space="preserve">considerable </w:t>
      </w:r>
      <w:r w:rsidR="00F658CB">
        <w:t xml:space="preserve">variation between Eurostat and the </w:t>
      </w:r>
      <w:r w:rsidR="00F658CB" w:rsidRPr="00780706">
        <w:t>GBD</w:t>
      </w:r>
      <w:r w:rsidR="00E6427E">
        <w:t>.</w:t>
      </w:r>
      <w:r w:rsidR="00780706">
        <w:t xml:space="preserve"> Thus for comparison at the condition-specific level, and from this of services targeted for specific conditions, cross-site validation of mortality data is severely challenged by both different coding systems, and different data where comparison appears possible.</w:t>
      </w:r>
    </w:p>
    <w:p w14:paraId="5117AB7C" w14:textId="77777777" w:rsidR="00260E3C" w:rsidRPr="00157A2E" w:rsidRDefault="002A7226" w:rsidP="00157A2E">
      <w:pPr>
        <w:pStyle w:val="Heading1"/>
        <w:spacing w:line="480" w:lineRule="auto"/>
        <w:jc w:val="both"/>
      </w:pPr>
      <w:r w:rsidRPr="00157A2E">
        <w:t>Discussion</w:t>
      </w:r>
    </w:p>
    <w:p w14:paraId="141AA2A5" w14:textId="1552D15E" w:rsidR="0050407E" w:rsidRPr="006C7CC3" w:rsidRDefault="00A01E9E" w:rsidP="00157A2E">
      <w:pPr>
        <w:spacing w:line="480" w:lineRule="auto"/>
        <w:jc w:val="both"/>
      </w:pPr>
      <w:r w:rsidRPr="006C7CC3">
        <w:t>Evidence</w:t>
      </w:r>
      <w:r w:rsidR="000F1969" w:rsidRPr="006C7CC3">
        <w:t xml:space="preserve"> is vital to underpin health planning, health policy,</w:t>
      </w:r>
      <w:r w:rsidR="005A2909" w:rsidRPr="006C7CC3">
        <w:t xml:space="preserve"> and investment in health</w:t>
      </w:r>
      <w:r w:rsidR="0079051F" w:rsidRPr="006C7CC3">
        <w:t xml:space="preserve">, </w:t>
      </w:r>
      <w:r w:rsidRPr="006C7CC3">
        <w:t>emerging</w:t>
      </w:r>
      <w:r w:rsidR="0079051F" w:rsidRPr="006C7CC3">
        <w:t xml:space="preserve"> </w:t>
      </w:r>
      <w:r w:rsidRPr="006C7CC3">
        <w:t>out</w:t>
      </w:r>
      <w:r w:rsidR="0079051F" w:rsidRPr="006C7CC3">
        <w:t xml:space="preserve"> of the </w:t>
      </w:r>
      <w:r w:rsidRPr="006C7CC3">
        <w:t>fundamental</w:t>
      </w:r>
      <w:r w:rsidR="0079051F" w:rsidRPr="006C7CC3">
        <w:t xml:space="preserve"> principles of </w:t>
      </w:r>
      <w:r w:rsidRPr="006C7CC3">
        <w:t>evidence</w:t>
      </w:r>
      <w:r w:rsidR="0079051F" w:rsidRPr="006C7CC3">
        <w:t>-based medicine</w:t>
      </w:r>
      <w:r w:rsidR="00B5337A">
        <w:t xml:space="preserve"> [</w:t>
      </w:r>
      <w:r w:rsidR="001D0DC1">
        <w:t>10</w:t>
      </w:r>
      <w:r w:rsidR="00B5337A">
        <w:t>]</w:t>
      </w:r>
      <w:r w:rsidR="0079051F" w:rsidRPr="006C7CC3">
        <w:t xml:space="preserve">, into recognition of its own </w:t>
      </w:r>
      <w:r w:rsidRPr="006C7CC3">
        <w:t>value</w:t>
      </w:r>
      <w:r w:rsidR="0079051F" w:rsidRPr="006C7CC3">
        <w:t>, given that health policy is important and thus it too should be evidence-based</w:t>
      </w:r>
      <w:r w:rsidR="00B5337A">
        <w:t xml:space="preserve"> [</w:t>
      </w:r>
      <w:r w:rsidR="001D0DC1">
        <w:t>11</w:t>
      </w:r>
      <w:r w:rsidR="00B5337A">
        <w:t>,</w:t>
      </w:r>
      <w:r w:rsidR="001D0DC1">
        <w:t>12</w:t>
      </w:r>
      <w:r w:rsidR="00B5337A">
        <w:t>]</w:t>
      </w:r>
      <w:r w:rsidR="0079051F" w:rsidRPr="006C7CC3">
        <w:t>.</w:t>
      </w:r>
      <w:r w:rsidRPr="006C7CC3">
        <w:t xml:space="preserve"> </w:t>
      </w:r>
      <w:r w:rsidR="00033409" w:rsidRPr="006C7CC3">
        <w:t xml:space="preserve">Morrato </w:t>
      </w:r>
      <w:r w:rsidR="00033409" w:rsidRPr="006C7CC3">
        <w:rPr>
          <w:i/>
        </w:rPr>
        <w:t>et al</w:t>
      </w:r>
      <w:r w:rsidR="00033409" w:rsidRPr="006C7CC3">
        <w:t xml:space="preserve"> have emphasised the value of </w:t>
      </w:r>
      <w:r w:rsidRPr="006C7CC3">
        <w:t>population</w:t>
      </w:r>
      <w:r w:rsidR="00033409" w:rsidRPr="006C7CC3">
        <w:t>-based data in providing a robust under-pinning for policy</w:t>
      </w:r>
      <w:r w:rsidR="00B5337A">
        <w:t xml:space="preserve"> [</w:t>
      </w:r>
      <w:r w:rsidR="001D0DC1">
        <w:t>13</w:t>
      </w:r>
      <w:r w:rsidR="00B5337A">
        <w:t>]</w:t>
      </w:r>
      <w:r w:rsidR="00033409" w:rsidRPr="006C7CC3">
        <w:t xml:space="preserve">.  This </w:t>
      </w:r>
      <w:r w:rsidR="00107EE0">
        <w:t>was</w:t>
      </w:r>
      <w:r w:rsidR="00107EE0" w:rsidRPr="006C7CC3">
        <w:t xml:space="preserve"> </w:t>
      </w:r>
      <w:r w:rsidR="00033409" w:rsidRPr="006C7CC3">
        <w:t xml:space="preserve">part of the approach taken by the MOCHA project, seeking </w:t>
      </w:r>
      <w:r w:rsidR="00186AD8" w:rsidRPr="006C7CC3">
        <w:t>to utilise</w:t>
      </w:r>
      <w:r w:rsidR="00776564" w:rsidRPr="006C7CC3">
        <w:t xml:space="preserve"> published population data as one of the projects key analytic inputs.</w:t>
      </w:r>
    </w:p>
    <w:p w14:paraId="5CDE4B50" w14:textId="51B391B9" w:rsidR="00776564" w:rsidRPr="006C7CC3" w:rsidRDefault="00776564" w:rsidP="00157A2E">
      <w:pPr>
        <w:spacing w:line="480" w:lineRule="auto"/>
        <w:jc w:val="both"/>
      </w:pPr>
      <w:r w:rsidRPr="006C7CC3">
        <w:lastRenderedPageBreak/>
        <w:t xml:space="preserve">It </w:t>
      </w:r>
      <w:r w:rsidR="0003420E" w:rsidRPr="006C7CC3">
        <w:t xml:space="preserve">was </w:t>
      </w:r>
      <w:r w:rsidR="00E43E45">
        <w:t xml:space="preserve">already </w:t>
      </w:r>
      <w:r w:rsidR="0003420E" w:rsidRPr="006C7CC3">
        <w:t>known that morbidity data</w:t>
      </w:r>
      <w:r w:rsidR="00A01E9E" w:rsidRPr="006C7CC3">
        <w:t>, though in many ways potentially more valuable,</w:t>
      </w:r>
      <w:r w:rsidR="0003420E" w:rsidRPr="006C7CC3">
        <w:t xml:space="preserve"> </w:t>
      </w:r>
      <w:r w:rsidRPr="006C7CC3">
        <w:t xml:space="preserve">would be hard to come by – </w:t>
      </w:r>
      <w:r w:rsidR="0003420E" w:rsidRPr="006C7CC3">
        <w:t>primary</w:t>
      </w:r>
      <w:r w:rsidRPr="006C7CC3">
        <w:t xml:space="preserve"> care data in statistical form are </w:t>
      </w:r>
      <w:r w:rsidR="00C256C8" w:rsidRPr="006C7CC3">
        <w:t>hard</w:t>
      </w:r>
      <w:r w:rsidRPr="006C7CC3">
        <w:t xml:space="preserve"> to obtain though this project tried</w:t>
      </w:r>
      <w:r w:rsidR="00B5337A">
        <w:t xml:space="preserve"> [</w:t>
      </w:r>
      <w:r w:rsidR="001D0DC1">
        <w:t>14</w:t>
      </w:r>
      <w:r w:rsidR="00B5337A">
        <w:t>-1</w:t>
      </w:r>
      <w:r w:rsidR="001D0DC1">
        <w:t>6</w:t>
      </w:r>
      <w:r w:rsidR="00B5337A">
        <w:t xml:space="preserve">], </w:t>
      </w:r>
      <w:r w:rsidRPr="006C7CC3">
        <w:t xml:space="preserve">while secondary care data are </w:t>
      </w:r>
      <w:r w:rsidR="00C256C8" w:rsidRPr="006C7CC3">
        <w:t>seldom</w:t>
      </w:r>
      <w:r w:rsidRPr="006C7CC3">
        <w:t xml:space="preserve"> available by </w:t>
      </w:r>
      <w:r w:rsidR="0003420E" w:rsidRPr="006C7CC3">
        <w:t>s</w:t>
      </w:r>
      <w:r w:rsidRPr="006C7CC3">
        <w:t>mall age group</w:t>
      </w:r>
      <w:r w:rsidR="00011B55" w:rsidRPr="00011B55">
        <w:t xml:space="preserve"> </w:t>
      </w:r>
      <w:r w:rsidR="00011B55" w:rsidRPr="006C7CC3">
        <w:t>band</w:t>
      </w:r>
      <w:r w:rsidR="00011B55">
        <w:t>s</w:t>
      </w:r>
      <w:r w:rsidRPr="006C7CC3">
        <w:t>.</w:t>
      </w:r>
      <w:r w:rsidR="004B5DFB" w:rsidRPr="006C7CC3">
        <w:t xml:space="preserve">  </w:t>
      </w:r>
      <w:r w:rsidR="00736618">
        <w:t>Thus,</w:t>
      </w:r>
      <w:r w:rsidR="00E43E45">
        <w:t xml:space="preserve"> </w:t>
      </w:r>
      <w:r w:rsidR="001D0DC1">
        <w:t xml:space="preserve">the </w:t>
      </w:r>
      <w:r w:rsidR="00892D34">
        <w:t>preferred</w:t>
      </w:r>
      <w:r w:rsidR="00E43E45">
        <w:t xml:space="preserve"> approach – assessment of prevalence represented by children receiving treatment</w:t>
      </w:r>
      <w:r w:rsidR="00892D34">
        <w:t xml:space="preserve"> - </w:t>
      </w:r>
      <w:r w:rsidR="001D0DC1">
        <w:t xml:space="preserve">is </w:t>
      </w:r>
      <w:r w:rsidR="00E43E45">
        <w:t xml:space="preserve">not </w:t>
      </w:r>
      <w:r w:rsidR="00892D34">
        <w:t>to</w:t>
      </w:r>
      <w:r w:rsidR="00E43E45">
        <w:t xml:space="preserve"> available.  </w:t>
      </w:r>
      <w:r w:rsidR="004B5DFB" w:rsidRPr="006C7CC3">
        <w:t xml:space="preserve">However, it would seem reasonable to be able to rely on recognised sources </w:t>
      </w:r>
      <w:r w:rsidR="00A01E9E" w:rsidRPr="006C7CC3">
        <w:t>of</w:t>
      </w:r>
      <w:r w:rsidR="004B5DFB" w:rsidRPr="006C7CC3">
        <w:t xml:space="preserve"> mortality </w:t>
      </w:r>
      <w:r w:rsidR="00A01E9E" w:rsidRPr="006C7CC3">
        <w:t>data</w:t>
      </w:r>
      <w:r w:rsidR="00E43E45">
        <w:t xml:space="preserve"> as a </w:t>
      </w:r>
      <w:r w:rsidR="00892D34">
        <w:t>broad</w:t>
      </w:r>
      <w:r w:rsidR="00E43E45">
        <w:t xml:space="preserve"> guide</w:t>
      </w:r>
      <w:r w:rsidR="004B5DFB" w:rsidRPr="006C7CC3">
        <w:t xml:space="preserve">, not least given </w:t>
      </w:r>
      <w:r w:rsidR="00A01E9E" w:rsidRPr="006C7CC3">
        <w:t>the</w:t>
      </w:r>
      <w:r w:rsidR="004B5DFB" w:rsidRPr="006C7CC3">
        <w:t xml:space="preserve"> robust</w:t>
      </w:r>
      <w:r w:rsidR="00A01E9E" w:rsidRPr="006C7CC3">
        <w:t>nes</w:t>
      </w:r>
      <w:r w:rsidR="004B5DFB" w:rsidRPr="006C7CC3">
        <w:t>s of certification systems in developed countries</w:t>
      </w:r>
      <w:r w:rsidR="001D0DC1">
        <w:t xml:space="preserve"> and the harmonisation activities of Eurostat</w:t>
      </w:r>
      <w:r w:rsidR="004B5DFB" w:rsidRPr="006C7CC3">
        <w:t>.</w:t>
      </w:r>
    </w:p>
    <w:p w14:paraId="56FC1ED1" w14:textId="70EA3D0C" w:rsidR="004B5DFB" w:rsidRPr="006C7CC3" w:rsidRDefault="004B5DFB" w:rsidP="00157A2E">
      <w:pPr>
        <w:spacing w:line="480" w:lineRule="auto"/>
        <w:jc w:val="both"/>
      </w:pPr>
      <w:r w:rsidRPr="006C7CC3">
        <w:t>Th</w:t>
      </w:r>
      <w:r w:rsidR="00A01E9E" w:rsidRPr="006C7CC3">
        <w:t>e</w:t>
      </w:r>
      <w:r w:rsidRPr="006C7CC3">
        <w:t xml:space="preserve"> issues presented </w:t>
      </w:r>
      <w:r w:rsidR="00A01E9E" w:rsidRPr="006C7CC3">
        <w:t>here</w:t>
      </w:r>
      <w:r w:rsidRPr="006C7CC3">
        <w:t xml:space="preserve"> are not just</w:t>
      </w:r>
      <w:r w:rsidR="00A01E9E" w:rsidRPr="006C7CC3">
        <w:t xml:space="preserve"> a</w:t>
      </w:r>
      <w:r w:rsidRPr="006C7CC3">
        <w:t xml:space="preserve"> hindrance to the analyses of </w:t>
      </w:r>
      <w:r w:rsidR="001D0DC1">
        <w:t>one large strategic study</w:t>
      </w:r>
      <w:r w:rsidRPr="006C7CC3">
        <w:t xml:space="preserve">.  More fundamentally worrying is that these </w:t>
      </w:r>
      <w:r w:rsidR="00A01E9E" w:rsidRPr="006C7CC3">
        <w:t>variations</w:t>
      </w:r>
      <w:r w:rsidRPr="006C7CC3">
        <w:t xml:space="preserve"> </w:t>
      </w:r>
      <w:r w:rsidR="00A01E9E" w:rsidRPr="006C7CC3">
        <w:t>will</w:t>
      </w:r>
      <w:r w:rsidRPr="006C7CC3">
        <w:t xml:space="preserve"> undermine not only credibility </w:t>
      </w:r>
      <w:r w:rsidR="00A01E9E" w:rsidRPr="006C7CC3">
        <w:t>i</w:t>
      </w:r>
      <w:r w:rsidRPr="006C7CC3">
        <w:t xml:space="preserve">n </w:t>
      </w:r>
      <w:r w:rsidR="00A01E9E" w:rsidRPr="006C7CC3">
        <w:t>the</w:t>
      </w:r>
      <w:r w:rsidRPr="006C7CC3">
        <w:t xml:space="preserve"> sources, but in </w:t>
      </w:r>
      <w:r w:rsidR="00A01E9E" w:rsidRPr="006C7CC3">
        <w:t>evidence</w:t>
      </w:r>
      <w:r w:rsidRPr="006C7CC3">
        <w:t>-based policy itself</w:t>
      </w:r>
      <w:r w:rsidR="00011B55">
        <w:t>, over a much wider range of uses</w:t>
      </w:r>
      <w:r w:rsidRPr="006C7CC3">
        <w:t xml:space="preserve">. If policy </w:t>
      </w:r>
      <w:r w:rsidR="00A01E9E" w:rsidRPr="006C7CC3">
        <w:t>makers</w:t>
      </w:r>
      <w:r w:rsidRPr="006C7CC3">
        <w:t xml:space="preserve">, including politicians, and in </w:t>
      </w:r>
      <w:r w:rsidR="00A01E9E" w:rsidRPr="006C7CC3">
        <w:t>turn</w:t>
      </w:r>
      <w:r w:rsidRPr="006C7CC3">
        <w:t xml:space="preserve"> the press, are able to undermine well-intentioned plans on </w:t>
      </w:r>
      <w:r w:rsidR="00A01E9E" w:rsidRPr="006C7CC3">
        <w:t>the</w:t>
      </w:r>
      <w:r w:rsidRPr="006C7CC3">
        <w:t xml:space="preserve"> </w:t>
      </w:r>
      <w:r w:rsidR="00A01E9E" w:rsidRPr="006C7CC3">
        <w:t>basis</w:t>
      </w:r>
      <w:r w:rsidRPr="006C7CC3">
        <w:t xml:space="preserve"> that even the database </w:t>
      </w:r>
      <w:r w:rsidR="00A01E9E" w:rsidRPr="006C7CC3">
        <w:t>calculations</w:t>
      </w:r>
      <w:r w:rsidRPr="006C7CC3">
        <w:t xml:space="preserve"> of relative size of problems do not agree, the adverse effect on grounded policy making and investment is serious.</w:t>
      </w:r>
      <w:r w:rsidR="00422025">
        <w:t xml:space="preserve">  At face value these </w:t>
      </w:r>
      <w:r w:rsidR="000053BA">
        <w:t>sources</w:t>
      </w:r>
      <w:r w:rsidR="00422025">
        <w:t xml:space="preserve"> and their </w:t>
      </w:r>
      <w:r w:rsidR="000053BA">
        <w:t>definitions</w:t>
      </w:r>
      <w:r w:rsidR="00422025">
        <w:t xml:space="preserve"> are the same, and the point </w:t>
      </w:r>
      <w:r w:rsidR="000053BA">
        <w:t>about</w:t>
      </w:r>
      <w:r w:rsidR="00422025">
        <w:t xml:space="preserve"> such data publication is that they can be trusted as they read,</w:t>
      </w:r>
      <w:r w:rsidR="000053BA">
        <w:t xml:space="preserve"> </w:t>
      </w:r>
      <w:r w:rsidR="00422025">
        <w:t xml:space="preserve">and that </w:t>
      </w:r>
      <w:r w:rsidR="000053BA">
        <w:t>detailed review of compilation algorithms is not necessary at the point of use.  The end user should be able to trust what they read as being what the display claims to purport.</w:t>
      </w:r>
    </w:p>
    <w:p w14:paraId="21372134" w14:textId="0A429985" w:rsidR="00A01E9E" w:rsidRDefault="004B5DFB" w:rsidP="00157A2E">
      <w:pPr>
        <w:spacing w:line="480" w:lineRule="auto"/>
        <w:jc w:val="both"/>
      </w:pPr>
      <w:r w:rsidRPr="006C7CC3">
        <w:t xml:space="preserve">It </w:t>
      </w:r>
      <w:r w:rsidR="00A01E9E" w:rsidRPr="006C7CC3">
        <w:t>is</w:t>
      </w:r>
      <w:r w:rsidRPr="006C7CC3">
        <w:t xml:space="preserve"> recognised </w:t>
      </w:r>
      <w:r w:rsidR="00A01E9E" w:rsidRPr="006C7CC3">
        <w:t>that</w:t>
      </w:r>
      <w:r w:rsidRPr="006C7CC3">
        <w:t xml:space="preserve"> the Global Burden of Disease </w:t>
      </w:r>
      <w:r w:rsidR="00A01E9E" w:rsidRPr="006C7CC3">
        <w:t>initiative is breaking new ground</w:t>
      </w:r>
      <w:r w:rsidRPr="006C7CC3">
        <w:t xml:space="preserve"> in important ways, and now has the active support of the World Health </w:t>
      </w:r>
      <w:r w:rsidR="00A01E9E" w:rsidRPr="006C7CC3">
        <w:t>Organisation</w:t>
      </w:r>
      <w:r w:rsidR="00B5337A">
        <w:t xml:space="preserve"> [</w:t>
      </w:r>
      <w:r w:rsidR="001D0DC1">
        <w:t>17</w:t>
      </w:r>
      <w:r w:rsidR="00B5337A">
        <w:t>]</w:t>
      </w:r>
      <w:r w:rsidR="004315E5" w:rsidRPr="006C7CC3">
        <w:t xml:space="preserve">, but this needs </w:t>
      </w:r>
      <w:r w:rsidR="00A01E9E" w:rsidRPr="006C7CC3">
        <w:t>to</w:t>
      </w:r>
      <w:r w:rsidR="004315E5" w:rsidRPr="006C7CC3">
        <w:t xml:space="preserve"> be based on a position of credibility.</w:t>
      </w:r>
      <w:r w:rsidR="008B0C3C" w:rsidRPr="006C7CC3">
        <w:t xml:space="preserve"> A recent GBD study on the global impact of alcohol consumption </w:t>
      </w:r>
      <w:r w:rsidR="00B5337A">
        <w:t>[</w:t>
      </w:r>
      <w:r w:rsidR="00894342">
        <w:t>18</w:t>
      </w:r>
      <w:r w:rsidR="00B5337A">
        <w:t>]</w:t>
      </w:r>
      <w:r w:rsidR="00E231AC" w:rsidRPr="006C7CC3">
        <w:t xml:space="preserve"> </w:t>
      </w:r>
      <w:r w:rsidR="008B0C3C" w:rsidRPr="006C7CC3">
        <w:t xml:space="preserve">has led to comment </w:t>
      </w:r>
      <w:r w:rsidR="00A01E9E" w:rsidRPr="006C7CC3">
        <w:t xml:space="preserve">from a very senior statistician </w:t>
      </w:r>
      <w:r w:rsidR="008B0C3C" w:rsidRPr="006C7CC3">
        <w:t xml:space="preserve">about the opacity of some of the </w:t>
      </w:r>
      <w:r w:rsidR="00E231AC" w:rsidRPr="006C7CC3">
        <w:t>calculations</w:t>
      </w:r>
      <w:r w:rsidR="00B5337A">
        <w:t xml:space="preserve"> [</w:t>
      </w:r>
      <w:r w:rsidR="00894342">
        <w:t>19</w:t>
      </w:r>
      <w:r w:rsidR="00B5337A">
        <w:t>]</w:t>
      </w:r>
      <w:r w:rsidR="00E231AC" w:rsidRPr="006C7CC3">
        <w:t xml:space="preserve">.  At the same time, and quite fairly, members </w:t>
      </w:r>
      <w:r w:rsidR="00A01E9E" w:rsidRPr="006C7CC3">
        <w:t>o</w:t>
      </w:r>
      <w:r w:rsidR="00E231AC" w:rsidRPr="006C7CC3">
        <w:t>f the IHME team have explained the need to estimate when looking at complex public health topics</w:t>
      </w:r>
      <w:r w:rsidR="00B5337A">
        <w:t xml:space="preserve"> [</w:t>
      </w:r>
      <w:r w:rsidR="00894342">
        <w:t>20</w:t>
      </w:r>
      <w:r w:rsidR="00B5337A">
        <w:t>]</w:t>
      </w:r>
      <w:r w:rsidR="00E231AC" w:rsidRPr="006C7CC3">
        <w:t xml:space="preserve">. However, counting children’s </w:t>
      </w:r>
      <w:r w:rsidR="00A01E9E" w:rsidRPr="006C7CC3">
        <w:t>deaths</w:t>
      </w:r>
      <w:r w:rsidR="00E231AC" w:rsidRPr="006C7CC3">
        <w:t xml:space="preserve"> in European countries should not need significant estimation.  </w:t>
      </w:r>
    </w:p>
    <w:p w14:paraId="3F53501B" w14:textId="517B19EC" w:rsidR="00894342" w:rsidRPr="006C7CC3" w:rsidRDefault="00894342" w:rsidP="00157A2E">
      <w:pPr>
        <w:spacing w:line="480" w:lineRule="auto"/>
        <w:jc w:val="both"/>
      </w:pPr>
      <w:r>
        <w:t>Following publication of the commun</w:t>
      </w:r>
      <w:r w:rsidR="001F5389">
        <w:t>i</w:t>
      </w:r>
      <w:r>
        <w:t xml:space="preserve">cation about changes in IHME-GBD death rates [8] the IHME-GBD team have published an explanation that their methods are constantly improving, and therefore </w:t>
      </w:r>
      <w:r>
        <w:lastRenderedPageBreak/>
        <w:t>they are able to refine earlier estimates, and feel a duty to do so in order to make better data available for use</w:t>
      </w:r>
      <w:r w:rsidR="0094369E">
        <w:t xml:space="preserve"> [21]</w:t>
      </w:r>
      <w:r>
        <w:t>.  However, this good intention does nothing to create trust in publication of statistics in that or indeed any other source, and it does not address the core issue of research or policy formation based on those data subsequently being rendered arguably erroneous.  This has the risk of playing into the hands of ‘post-truth’ lobbies who argue against scientific methods, and in favour of strong decisions based on ungrounded belief models.</w:t>
      </w:r>
    </w:p>
    <w:p w14:paraId="5B01833C" w14:textId="77777777" w:rsidR="004B5DFB" w:rsidRPr="006C7CC3" w:rsidRDefault="00E231AC" w:rsidP="00157A2E">
      <w:pPr>
        <w:spacing w:line="480" w:lineRule="auto"/>
        <w:jc w:val="both"/>
      </w:pPr>
      <w:r w:rsidRPr="006C7CC3">
        <w:t xml:space="preserve">Eurostat sources its material from European Union member state official statistics </w:t>
      </w:r>
      <w:r w:rsidR="00A01E9E" w:rsidRPr="006C7CC3">
        <w:t>sources</w:t>
      </w:r>
      <w:r w:rsidRPr="006C7CC3">
        <w:t>. The</w:t>
      </w:r>
      <w:r w:rsidR="00A01E9E" w:rsidRPr="006C7CC3">
        <w:t xml:space="preserve">se may indeed contain inbuilt </w:t>
      </w:r>
      <w:r w:rsidRPr="006C7CC3">
        <w:t xml:space="preserve">error, while at the same time the </w:t>
      </w:r>
      <w:r w:rsidR="00A01E9E" w:rsidRPr="006C7CC3">
        <w:t>resident</w:t>
      </w:r>
      <w:r w:rsidRPr="006C7CC3">
        <w:t xml:space="preserve"> population calculation needs some estimation – of errors in each country’s </w:t>
      </w:r>
      <w:r w:rsidR="00A01E9E" w:rsidRPr="006C7CC3">
        <w:t>last</w:t>
      </w:r>
      <w:r w:rsidRPr="006C7CC3">
        <w:t xml:space="preserve"> census, and </w:t>
      </w:r>
      <w:r w:rsidR="00A01E9E" w:rsidRPr="006C7CC3">
        <w:t>of</w:t>
      </w:r>
      <w:r w:rsidRPr="006C7CC3">
        <w:t xml:space="preserve"> </w:t>
      </w:r>
      <w:r w:rsidR="00A01E9E" w:rsidRPr="006C7CC3">
        <w:t>population</w:t>
      </w:r>
      <w:r w:rsidRPr="006C7CC3">
        <w:t xml:space="preserve"> change in subsequent years. However, that would not seem to support the </w:t>
      </w:r>
      <w:r w:rsidR="00A01E9E" w:rsidRPr="006C7CC3">
        <w:t>degree o</w:t>
      </w:r>
      <w:r w:rsidRPr="006C7CC3">
        <w:t xml:space="preserve">f difference </w:t>
      </w:r>
      <w:r w:rsidR="00011B55">
        <w:t xml:space="preserve">including difference in ranking </w:t>
      </w:r>
      <w:r w:rsidRPr="006C7CC3">
        <w:t>shown in these sample analyses.</w:t>
      </w:r>
    </w:p>
    <w:p w14:paraId="6414693D" w14:textId="5D5D997D" w:rsidR="00E231AC" w:rsidRDefault="00E231AC" w:rsidP="00157A2E">
      <w:pPr>
        <w:spacing w:line="480" w:lineRule="auto"/>
        <w:jc w:val="both"/>
      </w:pPr>
      <w:r w:rsidRPr="006C7CC3">
        <w:t xml:space="preserve">Robust and trustworthy population data, including </w:t>
      </w:r>
      <w:r w:rsidR="00A01E9E" w:rsidRPr="006C7CC3">
        <w:t>mortality</w:t>
      </w:r>
      <w:r w:rsidRPr="006C7CC3">
        <w:t xml:space="preserve"> data by main causes, can be considered vital to support ongoing health system </w:t>
      </w:r>
      <w:r w:rsidR="00A01E9E" w:rsidRPr="006C7CC3">
        <w:t>evaluation</w:t>
      </w:r>
      <w:r w:rsidRPr="006C7CC3">
        <w:t xml:space="preserve"> and </w:t>
      </w:r>
      <w:r w:rsidR="00A01E9E" w:rsidRPr="006C7CC3">
        <w:t>development</w:t>
      </w:r>
      <w:r w:rsidRPr="006C7CC3">
        <w:t>.</w:t>
      </w:r>
      <w:r w:rsidR="00B5337A">
        <w:t xml:space="preserve"> </w:t>
      </w:r>
      <w:r w:rsidRPr="006C7CC3">
        <w:t xml:space="preserve">Understanding children’s statistics would seem vital, given all </w:t>
      </w:r>
      <w:r w:rsidR="002B4C9D" w:rsidRPr="006C7CC3">
        <w:t>European nation</w:t>
      </w:r>
      <w:r w:rsidR="00A01E9E" w:rsidRPr="006C7CC3">
        <w:t>s’</w:t>
      </w:r>
      <w:r w:rsidR="002B4C9D" w:rsidRPr="006C7CC3">
        <w:t xml:space="preserve"> ratification of the UN</w:t>
      </w:r>
      <w:r w:rsidR="00A01E9E" w:rsidRPr="006C7CC3">
        <w:t xml:space="preserve"> Convention on the Rights of the Child</w:t>
      </w:r>
      <w:r w:rsidR="002B4C9D" w:rsidRPr="006C7CC3">
        <w:t xml:space="preserve">. </w:t>
      </w:r>
      <w:r w:rsidR="00A01E9E" w:rsidRPr="006C7CC3">
        <w:t xml:space="preserve"> </w:t>
      </w:r>
      <w:bookmarkStart w:id="1" w:name="_Hlk526762341"/>
      <w:r w:rsidR="002B4C9D" w:rsidRPr="006C7CC3">
        <w:t xml:space="preserve">Our </w:t>
      </w:r>
      <w:r w:rsidR="00A01E9E" w:rsidRPr="006C7CC3">
        <w:t>findings</w:t>
      </w:r>
      <w:r w:rsidR="002B4C9D" w:rsidRPr="006C7CC3">
        <w:t xml:space="preserve"> suggest that significant work needs to be do</w:t>
      </w:r>
      <w:r w:rsidR="00A01E9E" w:rsidRPr="006C7CC3">
        <w:t>n</w:t>
      </w:r>
      <w:r w:rsidR="002B4C9D" w:rsidRPr="006C7CC3">
        <w:t xml:space="preserve">e to reconcile data differences.  </w:t>
      </w:r>
      <w:bookmarkEnd w:id="1"/>
      <w:r w:rsidR="002B4C9D" w:rsidRPr="006C7CC3">
        <w:t>Now that WHO ha</w:t>
      </w:r>
      <w:r w:rsidR="000134F3">
        <w:t>s</w:t>
      </w:r>
      <w:r w:rsidR="002B4C9D" w:rsidRPr="006C7CC3">
        <w:t xml:space="preserve"> formalised an agreement with the IHME-GBD and therefore by </w:t>
      </w:r>
      <w:r w:rsidR="00A01E9E" w:rsidRPr="006C7CC3">
        <w:t>that</w:t>
      </w:r>
      <w:r w:rsidR="002B4C9D" w:rsidRPr="006C7CC3">
        <w:t xml:space="preserve"> action indicated trust in the data processes, it too has an </w:t>
      </w:r>
      <w:r w:rsidR="00A01E9E" w:rsidRPr="006C7CC3">
        <w:t>interest</w:t>
      </w:r>
      <w:r w:rsidR="002B4C9D" w:rsidRPr="006C7CC3">
        <w:t xml:space="preserve"> in this conundrum.</w:t>
      </w:r>
      <w:r w:rsidR="00B5337A">
        <w:t xml:space="preserve"> </w:t>
      </w:r>
      <w:r w:rsidR="00A01E9E" w:rsidRPr="006C7CC3">
        <w:t xml:space="preserve">The world needs credible and reliable sources of core </w:t>
      </w:r>
      <w:r w:rsidR="00E93DC7">
        <w:t xml:space="preserve">child health and mortality </w:t>
      </w:r>
      <w:r w:rsidR="00A01E9E" w:rsidRPr="006C7CC3">
        <w:t>data.</w:t>
      </w:r>
    </w:p>
    <w:p w14:paraId="1D375638" w14:textId="3833477D" w:rsidR="00FC6E58" w:rsidRPr="006C7CC3" w:rsidRDefault="00107EE0" w:rsidP="00157A2E">
      <w:pPr>
        <w:spacing w:line="480" w:lineRule="auto"/>
        <w:jc w:val="both"/>
      </w:pPr>
      <w:r>
        <w:t xml:space="preserve"> 2,50</w:t>
      </w:r>
      <w:r w:rsidR="00E93DC7">
        <w:t>6</w:t>
      </w:r>
      <w:r>
        <w:t xml:space="preserve"> </w:t>
      </w:r>
      <w:r w:rsidR="00FC6E58">
        <w:t>of Max 3,000 words</w:t>
      </w:r>
    </w:p>
    <w:p w14:paraId="7E163E32" w14:textId="77777777" w:rsidR="0050407E" w:rsidRDefault="00164195" w:rsidP="00157A2E">
      <w:pPr>
        <w:pStyle w:val="Heading1"/>
        <w:spacing w:line="480" w:lineRule="auto"/>
        <w:jc w:val="both"/>
      </w:pPr>
      <w:r>
        <w:t>Key Points</w:t>
      </w:r>
    </w:p>
    <w:p w14:paraId="365CF9BA" w14:textId="77777777" w:rsidR="00164195" w:rsidRDefault="00011B55" w:rsidP="00607B10">
      <w:pPr>
        <w:pStyle w:val="ListParagraph"/>
        <w:numPr>
          <w:ilvl w:val="0"/>
          <w:numId w:val="2"/>
        </w:numPr>
        <w:spacing w:line="480" w:lineRule="auto"/>
        <w:jc w:val="both"/>
      </w:pPr>
      <w:r>
        <w:t>Recognised sources</w:t>
      </w:r>
      <w:r w:rsidR="001C58C3">
        <w:t xml:space="preserve"> </w:t>
      </w:r>
      <w:r>
        <w:t xml:space="preserve">of European data </w:t>
      </w:r>
      <w:r w:rsidR="001C58C3">
        <w:t xml:space="preserve">do not </w:t>
      </w:r>
      <w:r w:rsidR="00F479EC">
        <w:t>match on key</w:t>
      </w:r>
      <w:r>
        <w:t xml:space="preserve"> child</w:t>
      </w:r>
      <w:r w:rsidR="00F479EC">
        <w:t xml:space="preserve"> population data, such as crude mortality rate. </w:t>
      </w:r>
    </w:p>
    <w:p w14:paraId="27E52E43" w14:textId="6B527996" w:rsidR="0081798B" w:rsidRDefault="00F479EC" w:rsidP="00607B10">
      <w:pPr>
        <w:pStyle w:val="ListParagraph"/>
        <w:numPr>
          <w:ilvl w:val="0"/>
          <w:numId w:val="2"/>
        </w:numPr>
        <w:spacing w:line="480" w:lineRule="auto"/>
        <w:jc w:val="both"/>
      </w:pPr>
      <w:r>
        <w:lastRenderedPageBreak/>
        <w:t xml:space="preserve">Both data values and rankings </w:t>
      </w:r>
      <w:r w:rsidR="00E84B7F">
        <w:t>differ</w:t>
      </w:r>
      <w:r>
        <w:t xml:space="preserve"> between </w:t>
      </w:r>
      <w:r w:rsidR="00736618">
        <w:t>Eurostat</w:t>
      </w:r>
      <w:r>
        <w:t xml:space="preserve"> and IHME-GBD</w:t>
      </w:r>
      <w:r w:rsidR="006256C9">
        <w:t xml:space="preserve">, with </w:t>
      </w:r>
      <w:r w:rsidR="00E84B7F">
        <w:t xml:space="preserve">only </w:t>
      </w:r>
      <w:r w:rsidR="006256C9">
        <w:t>a few exceptions</w:t>
      </w:r>
      <w:r w:rsidR="00E93DC7">
        <w:t>; u</w:t>
      </w:r>
      <w:r w:rsidR="00CE70F6">
        <w:t xml:space="preserve">se </w:t>
      </w:r>
      <w:r w:rsidR="00CB6D41">
        <w:t>of such</w:t>
      </w:r>
      <w:r w:rsidR="0081798B">
        <w:t xml:space="preserve"> data to appraise and compare national primary care systems</w:t>
      </w:r>
      <w:r w:rsidR="00CE70F6">
        <w:t xml:space="preserve"> is problematic</w:t>
      </w:r>
      <w:r w:rsidR="00CB6D41">
        <w:t>.</w:t>
      </w:r>
      <w:r w:rsidR="00CE70F6">
        <w:t xml:space="preserve"> </w:t>
      </w:r>
    </w:p>
    <w:p w14:paraId="2B17B39C" w14:textId="38BFD225" w:rsidR="00BD062E" w:rsidRDefault="00BD062E" w:rsidP="00607B10">
      <w:pPr>
        <w:pStyle w:val="ListParagraph"/>
        <w:numPr>
          <w:ilvl w:val="0"/>
          <w:numId w:val="2"/>
        </w:numPr>
        <w:spacing w:line="480" w:lineRule="auto"/>
        <w:jc w:val="both"/>
      </w:pPr>
      <w:r>
        <w:t>There is a core issue of whether to include estimation; this needs high level moderation and agreement so as not to critically underpin trust in data sources, research, and health planning.</w:t>
      </w:r>
    </w:p>
    <w:p w14:paraId="1E2C8414" w14:textId="77777777" w:rsidR="00E43E45" w:rsidRDefault="00E43E45" w:rsidP="00607B10">
      <w:pPr>
        <w:pStyle w:val="ListParagraph"/>
        <w:numPr>
          <w:ilvl w:val="0"/>
          <w:numId w:val="2"/>
        </w:numPr>
        <w:spacing w:line="480" w:lineRule="auto"/>
        <w:jc w:val="both"/>
      </w:pPr>
      <w:r>
        <w:t xml:space="preserve">Credibility of key major data sources in the eyes of policy makers and public </w:t>
      </w:r>
      <w:r w:rsidR="00736618">
        <w:t>representatives</w:t>
      </w:r>
      <w:r>
        <w:t xml:space="preserve"> will be diminished if there are major discrepancies of apparently hard facts such as total death rate for child age groups.</w:t>
      </w:r>
    </w:p>
    <w:p w14:paraId="2CD3AE89" w14:textId="77777777" w:rsidR="00E43E45" w:rsidRDefault="00E43E45" w:rsidP="00607B10">
      <w:pPr>
        <w:pStyle w:val="ListParagraph"/>
        <w:numPr>
          <w:ilvl w:val="0"/>
          <w:numId w:val="2"/>
        </w:numPr>
        <w:spacing w:line="480" w:lineRule="auto"/>
        <w:jc w:val="both"/>
      </w:pPr>
      <w:r>
        <w:t>Public health and health services research, already impeded by lack of good morbidity data, are further handicapped if not even mortality data can be used convincingly.</w:t>
      </w:r>
    </w:p>
    <w:p w14:paraId="4FDB8B3F" w14:textId="77777777" w:rsidR="00B5337A" w:rsidRDefault="00B5337A" w:rsidP="00157A2E">
      <w:pPr>
        <w:spacing w:line="480" w:lineRule="auto"/>
        <w:jc w:val="both"/>
      </w:pPr>
    </w:p>
    <w:p w14:paraId="3479C2AF" w14:textId="77777777" w:rsidR="00E6427E" w:rsidRDefault="00E6427E" w:rsidP="00E6427E">
      <w:pPr>
        <w:pStyle w:val="Heading1"/>
        <w:spacing w:line="480" w:lineRule="auto"/>
      </w:pPr>
      <w:r>
        <w:t>Conflict of Interest</w:t>
      </w:r>
    </w:p>
    <w:p w14:paraId="3E2E8266" w14:textId="77777777" w:rsidR="00E6427E" w:rsidRPr="00E6427E" w:rsidRDefault="00E6427E" w:rsidP="00157A2E">
      <w:pPr>
        <w:spacing w:line="480" w:lineRule="auto"/>
      </w:pPr>
      <w:r>
        <w:t xml:space="preserve">None. </w:t>
      </w:r>
    </w:p>
    <w:p w14:paraId="194D6031" w14:textId="77777777" w:rsidR="00692CCA" w:rsidRDefault="00692CCA" w:rsidP="00157A2E">
      <w:pPr>
        <w:pStyle w:val="Heading1"/>
        <w:spacing w:line="480" w:lineRule="auto"/>
      </w:pPr>
      <w:r w:rsidRPr="00692CCA">
        <w:t xml:space="preserve">Funding </w:t>
      </w:r>
    </w:p>
    <w:p w14:paraId="4870092C" w14:textId="25871D59" w:rsidR="00692CCA" w:rsidRPr="00692CCA" w:rsidRDefault="00692CCA" w:rsidP="00157A2E">
      <w:pPr>
        <w:spacing w:line="480" w:lineRule="auto"/>
        <w:jc w:val="both"/>
        <w:rPr>
          <w:b/>
          <w:u w:val="single"/>
          <w:lang w:val="en-US"/>
        </w:rPr>
      </w:pPr>
      <w:r w:rsidRPr="00692CCA">
        <w:rPr>
          <w:lang w:val="en-US"/>
        </w:rPr>
        <w:t xml:space="preserve">The Models of Child Health Appraised (MOCHA) project </w:t>
      </w:r>
      <w:r w:rsidR="00BD062E">
        <w:rPr>
          <w:lang w:val="en-US"/>
        </w:rPr>
        <w:t>was</w:t>
      </w:r>
      <w:r w:rsidR="00BD062E" w:rsidRPr="00692CCA">
        <w:rPr>
          <w:lang w:val="en-US"/>
        </w:rPr>
        <w:t xml:space="preserve"> </w:t>
      </w:r>
      <w:r w:rsidRPr="00692CCA">
        <w:rPr>
          <w:lang w:val="en-US"/>
        </w:rPr>
        <w:t>funded by the European Commission through the Horizon 2020 Framework under the grant agreement number: 634201</w:t>
      </w:r>
      <w:r w:rsidR="00BD062E">
        <w:rPr>
          <w:lang w:val="en-US"/>
        </w:rPr>
        <w:t>, but this work has been produced subsequently without funding</w:t>
      </w:r>
      <w:r w:rsidRPr="00692CCA">
        <w:rPr>
          <w:lang w:val="en-US"/>
        </w:rPr>
        <w:t>. The sole responsibility for the content of this paper lies with the authors. It does not necessarily reflect the opinion of the European Union, or of the full project. The European Commission is not responsible for any use that may be made of the information contained therein.</w:t>
      </w:r>
      <w:r w:rsidRPr="00692CCA">
        <w:rPr>
          <w:b/>
          <w:u w:val="single"/>
          <w:lang w:val="en-US"/>
        </w:rPr>
        <w:t xml:space="preserve"> </w:t>
      </w:r>
    </w:p>
    <w:p w14:paraId="0D1CC0DE" w14:textId="77777777" w:rsidR="00BF042C" w:rsidRDefault="00BF042C">
      <w:r>
        <w:br w:type="page"/>
      </w:r>
    </w:p>
    <w:p w14:paraId="231FBCFF" w14:textId="77777777" w:rsidR="00260E3C" w:rsidRDefault="00BF042C" w:rsidP="00C85876">
      <w:pPr>
        <w:pStyle w:val="Heading1"/>
        <w:spacing w:line="480" w:lineRule="auto"/>
      </w:pPr>
      <w:r>
        <w:lastRenderedPageBreak/>
        <w:t>References</w:t>
      </w:r>
    </w:p>
    <w:p w14:paraId="46A1AB56" w14:textId="00C37C1E" w:rsidR="004A5690" w:rsidRPr="004A5690" w:rsidRDefault="004A5690" w:rsidP="00C85876">
      <w:pPr>
        <w:spacing w:line="480" w:lineRule="auto"/>
      </w:pPr>
      <w:r>
        <w:t xml:space="preserve">[1] Rigby M, </w:t>
      </w:r>
      <w:r>
        <w:rPr>
          <w:i/>
          <w:iCs/>
        </w:rPr>
        <w:t>et al</w:t>
      </w:r>
      <w:r>
        <w:t xml:space="preserve">. </w:t>
      </w:r>
      <w:r w:rsidRPr="004A5690">
        <w:t xml:space="preserve">The Invisibility of Children in Data Systems; in Mitch Blair, Michael Rigby, Denise Alexander. Issues and Opportunities in Primary Health Care for Children in Europe: The Final Summarised Results of the Models of Child Health Appraised (MOCHA) Project; Emerald Publishing, Bingley, 2019; Open Access at </w:t>
      </w:r>
      <w:r w:rsidR="00A82CB9" w:rsidRPr="00A82CB9">
        <w:t>https://www.emerald.com/insight/content/doi/10.1108/978-1-78973-351-820191011/full/html</w:t>
      </w:r>
    </w:p>
    <w:p w14:paraId="13A24CE5" w14:textId="2D810956" w:rsidR="00C15C17" w:rsidRDefault="00C15C17" w:rsidP="00C85876">
      <w:pPr>
        <w:spacing w:line="480" w:lineRule="auto"/>
      </w:pPr>
      <w:r>
        <w:t>[</w:t>
      </w:r>
      <w:r w:rsidR="00755C71">
        <w:t>2</w:t>
      </w:r>
      <w:r>
        <w:t>] Models of Child Health Appraised</w:t>
      </w:r>
      <w:r w:rsidR="00D8086C">
        <w:t>:</w:t>
      </w:r>
      <w:r>
        <w:t xml:space="preserve"> </w:t>
      </w:r>
      <w:hyperlink r:id="rId8" w:history="1">
        <w:r w:rsidRPr="00BF042C">
          <w:rPr>
            <w:rStyle w:val="Hyperlink"/>
          </w:rPr>
          <w:t>www.childhealthservicemodels.eu</w:t>
        </w:r>
      </w:hyperlink>
      <w:r w:rsidR="00485CD6">
        <w:t>.</w:t>
      </w:r>
      <w:r>
        <w:t xml:space="preserve"> Access</w:t>
      </w:r>
      <w:r w:rsidR="00D8086C">
        <w:t>ed [</w:t>
      </w:r>
      <w:r>
        <w:t>07/09/2018</w:t>
      </w:r>
      <w:r w:rsidR="00D8086C">
        <w:t>].</w:t>
      </w:r>
    </w:p>
    <w:p w14:paraId="546CA0E4" w14:textId="4A4FEC80" w:rsidR="00C15C17" w:rsidRDefault="00C15C17" w:rsidP="00C85876">
      <w:pPr>
        <w:spacing w:line="480" w:lineRule="auto"/>
      </w:pPr>
      <w:r>
        <w:t>[</w:t>
      </w:r>
      <w:r w:rsidR="00755C71">
        <w:t>3</w:t>
      </w:r>
      <w:r>
        <w:t>] Convention on the Rights of the Child</w:t>
      </w:r>
      <w:r w:rsidR="00D8086C">
        <w:t>:</w:t>
      </w:r>
      <w:r>
        <w:t xml:space="preserve"> </w:t>
      </w:r>
      <w:hyperlink r:id="rId9" w:history="1">
        <w:r w:rsidR="00D8086C" w:rsidRPr="00D8086C">
          <w:rPr>
            <w:rStyle w:val="Hyperlink"/>
          </w:rPr>
          <w:t>https://treaties.un.org/doc/Treaties/1990/09/19900902%2003-14%20AM/Ch_IV_11p.pdf</w:t>
        </w:r>
      </w:hyperlink>
      <w:r w:rsidR="00485CD6">
        <w:t>.</w:t>
      </w:r>
      <w:r>
        <w:t xml:space="preserve"> Access</w:t>
      </w:r>
      <w:r w:rsidR="00D8086C">
        <w:t>ed [</w:t>
      </w:r>
      <w:r>
        <w:t>07/09/2018</w:t>
      </w:r>
      <w:r w:rsidR="00D8086C">
        <w:t xml:space="preserve">]. </w:t>
      </w:r>
    </w:p>
    <w:p w14:paraId="66653167" w14:textId="7730D68B" w:rsidR="00C15C17" w:rsidRDefault="00C15C17" w:rsidP="00C85876">
      <w:pPr>
        <w:spacing w:line="480" w:lineRule="auto"/>
        <w:rPr>
          <w:rStyle w:val="Hyperlink"/>
        </w:rPr>
      </w:pPr>
      <w:r>
        <w:t>[</w:t>
      </w:r>
      <w:r w:rsidR="00A45BAD">
        <w:t>4</w:t>
      </w:r>
      <w:r>
        <w:t>] European Commission</w:t>
      </w:r>
      <w:r w:rsidR="00D8086C">
        <w:t>,</w:t>
      </w:r>
      <w:r>
        <w:t xml:space="preserve"> Eurostat database</w:t>
      </w:r>
      <w:r w:rsidR="00D8086C">
        <w:t>:</w:t>
      </w:r>
      <w:r>
        <w:t xml:space="preserve"> </w:t>
      </w:r>
      <w:hyperlink r:id="rId10" w:history="1">
        <w:r w:rsidR="00D8086C" w:rsidRPr="00D8086C">
          <w:rPr>
            <w:rStyle w:val="Hyperlink"/>
          </w:rPr>
          <w:t>https://ec.europa.eu/eurostat/data/database</w:t>
        </w:r>
      </w:hyperlink>
      <w:r w:rsidR="00485CD6">
        <w:rPr>
          <w:rStyle w:val="Hyperlink"/>
        </w:rPr>
        <w:t>.</w:t>
      </w:r>
      <w:r>
        <w:rPr>
          <w:rStyle w:val="Hyperlink"/>
        </w:rPr>
        <w:t xml:space="preserve"> Access</w:t>
      </w:r>
      <w:r w:rsidR="00D8086C">
        <w:rPr>
          <w:rStyle w:val="Hyperlink"/>
        </w:rPr>
        <w:t>ed</w:t>
      </w:r>
      <w:r>
        <w:rPr>
          <w:rStyle w:val="Hyperlink"/>
        </w:rPr>
        <w:t xml:space="preserve"> </w:t>
      </w:r>
      <w:r w:rsidR="00485CD6">
        <w:rPr>
          <w:rStyle w:val="Hyperlink"/>
        </w:rPr>
        <w:t>[</w:t>
      </w:r>
      <w:r>
        <w:rPr>
          <w:rStyle w:val="Hyperlink"/>
        </w:rPr>
        <w:t>10/09/2018</w:t>
      </w:r>
      <w:r w:rsidR="00485CD6">
        <w:rPr>
          <w:rStyle w:val="Hyperlink"/>
        </w:rPr>
        <w:t>].</w:t>
      </w:r>
    </w:p>
    <w:p w14:paraId="53252FCF" w14:textId="27A38FDA" w:rsidR="00C15C17" w:rsidRDefault="00C15C17" w:rsidP="00C85876">
      <w:pPr>
        <w:spacing w:line="480" w:lineRule="auto"/>
      </w:pPr>
      <w:r>
        <w:t>[</w:t>
      </w:r>
      <w:r w:rsidR="00A45BAD">
        <w:t>5</w:t>
      </w:r>
      <w:r>
        <w:t>] World Health Organisation</w:t>
      </w:r>
      <w:r w:rsidR="00485CD6">
        <w:t>,</w:t>
      </w:r>
      <w:r>
        <w:t xml:space="preserve"> Health For All Database</w:t>
      </w:r>
      <w:r w:rsidR="00485CD6">
        <w:t>:</w:t>
      </w:r>
      <w:r>
        <w:t xml:space="preserve"> </w:t>
      </w:r>
      <w:hyperlink r:id="rId11" w:history="1">
        <w:r w:rsidR="00485CD6" w:rsidRPr="00485CD6">
          <w:rPr>
            <w:rStyle w:val="Hyperlink"/>
          </w:rPr>
          <w:t>https://gateway.euro.who.int/en/datasets/european-health-for-all-database/</w:t>
        </w:r>
      </w:hyperlink>
      <w:r>
        <w:t>. Access</w:t>
      </w:r>
      <w:r w:rsidR="00485CD6">
        <w:t>ed [</w:t>
      </w:r>
      <w:r>
        <w:t>10/09/2018</w:t>
      </w:r>
      <w:r w:rsidR="00485CD6">
        <w:t xml:space="preserve">]. </w:t>
      </w:r>
    </w:p>
    <w:p w14:paraId="54A7E78C" w14:textId="48D273B0" w:rsidR="00C15C17" w:rsidRDefault="00C15C17" w:rsidP="00157A2E">
      <w:pPr>
        <w:spacing w:line="480" w:lineRule="auto"/>
        <w:jc w:val="both"/>
      </w:pPr>
      <w:r>
        <w:t>[</w:t>
      </w:r>
      <w:r w:rsidR="00DC2B5A">
        <w:t>6</w:t>
      </w:r>
      <w:r>
        <w:t>] Institute for Health Metrics and Evaluation</w:t>
      </w:r>
      <w:r w:rsidR="00485CD6">
        <w:t>,</w:t>
      </w:r>
      <w:r>
        <w:t xml:space="preserve"> Global Health Data Exchange</w:t>
      </w:r>
      <w:r w:rsidR="00485CD6">
        <w:t>,</w:t>
      </w:r>
      <w:r>
        <w:t xml:space="preserve"> Global Burden of Disease Results Tool</w:t>
      </w:r>
      <w:r w:rsidR="00485CD6">
        <w:t>:</w:t>
      </w:r>
      <w:r>
        <w:t xml:space="preserve"> </w:t>
      </w:r>
      <w:hyperlink r:id="rId12" w:history="1">
        <w:r w:rsidR="00485CD6" w:rsidRPr="00485CD6">
          <w:rPr>
            <w:rStyle w:val="Hyperlink"/>
          </w:rPr>
          <w:t>http://ghdx.healthdata.org/gbd-results-tool</w:t>
        </w:r>
      </w:hyperlink>
      <w:r>
        <w:t>. Access</w:t>
      </w:r>
      <w:r w:rsidR="00485CD6">
        <w:t>ed</w:t>
      </w:r>
      <w:r>
        <w:t xml:space="preserve"> </w:t>
      </w:r>
      <w:r w:rsidR="00485CD6">
        <w:t>[</w:t>
      </w:r>
      <w:r>
        <w:t>10/09/2018</w:t>
      </w:r>
      <w:r w:rsidR="00485CD6">
        <w:t xml:space="preserve">]. </w:t>
      </w:r>
    </w:p>
    <w:p w14:paraId="18FCC7CB" w14:textId="64EC2A0D" w:rsidR="00305482" w:rsidRDefault="00305482" w:rsidP="00305482">
      <w:pPr>
        <w:rPr>
          <w:bCs/>
          <w:iCs/>
        </w:rPr>
      </w:pPr>
      <w:r>
        <w:t xml:space="preserve">[7] </w:t>
      </w:r>
      <w:r w:rsidRPr="00DC3970">
        <w:rPr>
          <w:bCs/>
          <w:iCs/>
        </w:rPr>
        <w:t>Rigby M, Deshpande S, Blair M. Credibility in published data sources; Lancet, Vol 393, January 19, 2019</w:t>
      </w:r>
    </w:p>
    <w:p w14:paraId="54BE8E0F" w14:textId="6C1D867A" w:rsidR="00305482" w:rsidRDefault="00305482" w:rsidP="004E2465">
      <w:pPr>
        <w:rPr>
          <w:bCs/>
          <w:iCs/>
        </w:rPr>
      </w:pPr>
      <w:r>
        <w:rPr>
          <w:bCs/>
          <w:iCs/>
        </w:rPr>
        <w:t xml:space="preserve">[8] </w:t>
      </w:r>
      <w:r w:rsidRPr="000431C4">
        <w:rPr>
          <w:bCs/>
          <w:iCs/>
        </w:rPr>
        <w:t>Rigby</w:t>
      </w:r>
      <w:r>
        <w:rPr>
          <w:bCs/>
          <w:iCs/>
        </w:rPr>
        <w:t xml:space="preserve"> M, </w:t>
      </w:r>
      <w:r w:rsidRPr="000431C4">
        <w:rPr>
          <w:bCs/>
          <w:iCs/>
        </w:rPr>
        <w:t>Deshpande</w:t>
      </w:r>
      <w:r>
        <w:rPr>
          <w:bCs/>
          <w:iCs/>
        </w:rPr>
        <w:t xml:space="preserve"> S, </w:t>
      </w:r>
      <w:r w:rsidRPr="000431C4">
        <w:rPr>
          <w:bCs/>
          <w:iCs/>
        </w:rPr>
        <w:t>Blair</w:t>
      </w:r>
      <w:r>
        <w:rPr>
          <w:bCs/>
          <w:iCs/>
        </w:rPr>
        <w:t xml:space="preserve"> M. </w:t>
      </w:r>
      <w:r w:rsidRPr="00134C46">
        <w:rPr>
          <w:bCs/>
          <w:iCs/>
        </w:rPr>
        <w:t>Another blow to credibility in published data sources</w:t>
      </w:r>
      <w:r>
        <w:rPr>
          <w:bCs/>
          <w:iCs/>
        </w:rPr>
        <w:t>; The Lancet,</w:t>
      </w:r>
      <w:r w:rsidRPr="000431C4">
        <w:rPr>
          <w:bCs/>
          <w:iCs/>
        </w:rPr>
        <w:t xml:space="preserve"> Vol 394</w:t>
      </w:r>
      <w:r>
        <w:rPr>
          <w:bCs/>
          <w:iCs/>
        </w:rPr>
        <w:t xml:space="preserve">, </w:t>
      </w:r>
      <w:r w:rsidRPr="000431C4">
        <w:rPr>
          <w:bCs/>
          <w:iCs/>
        </w:rPr>
        <w:t>26</w:t>
      </w:r>
      <w:r>
        <w:rPr>
          <w:bCs/>
          <w:iCs/>
        </w:rPr>
        <w:t xml:space="preserve">, </w:t>
      </w:r>
      <w:r w:rsidRPr="000431C4">
        <w:rPr>
          <w:bCs/>
          <w:iCs/>
        </w:rPr>
        <w:t>July 6, 2019</w:t>
      </w:r>
      <w:r>
        <w:rPr>
          <w:bCs/>
          <w:iCs/>
        </w:rPr>
        <w:t>.</w:t>
      </w:r>
    </w:p>
    <w:p w14:paraId="53161E72" w14:textId="6372A1AD" w:rsidR="00305482" w:rsidRDefault="007E1834" w:rsidP="004E2465">
      <w:pPr>
        <w:rPr>
          <w:bCs/>
          <w:iCs/>
        </w:rPr>
      </w:pPr>
      <w:r>
        <w:rPr>
          <w:bCs/>
          <w:iCs/>
        </w:rPr>
        <w:t xml:space="preserve">[9] </w:t>
      </w:r>
      <w:hyperlink r:id="rId13" w:history="1">
        <w:r w:rsidRPr="00655B91">
          <w:rPr>
            <w:rStyle w:val="Hyperlink"/>
            <w:bCs/>
            <w:iCs/>
          </w:rPr>
          <w:t>https://www.childsafetyeurope.org/actionplans/index.html</w:t>
        </w:r>
      </w:hyperlink>
      <w:r>
        <w:rPr>
          <w:bCs/>
          <w:iCs/>
        </w:rPr>
        <w:t xml:space="preserve"> (accessed 16 September 2019)</w:t>
      </w:r>
    </w:p>
    <w:p w14:paraId="15EA4AFA" w14:textId="2CF9F7CE" w:rsidR="00305482" w:rsidRDefault="00305482" w:rsidP="00157A2E">
      <w:pPr>
        <w:spacing w:line="480" w:lineRule="auto"/>
        <w:jc w:val="both"/>
      </w:pPr>
    </w:p>
    <w:p w14:paraId="55AA28AC" w14:textId="77777777" w:rsidR="00305482" w:rsidRDefault="00305482" w:rsidP="00157A2E">
      <w:pPr>
        <w:spacing w:line="480" w:lineRule="auto"/>
        <w:jc w:val="both"/>
      </w:pPr>
    </w:p>
    <w:p w14:paraId="486ACD69" w14:textId="4CAD0A71" w:rsidR="00C15C17" w:rsidRDefault="00C15C17" w:rsidP="00157A2E">
      <w:pPr>
        <w:spacing w:line="480" w:lineRule="auto"/>
        <w:jc w:val="both"/>
      </w:pPr>
      <w:r>
        <w:lastRenderedPageBreak/>
        <w:t>[</w:t>
      </w:r>
      <w:r w:rsidR="001D0DC1">
        <w:t>10</w:t>
      </w:r>
      <w:r>
        <w:t xml:space="preserve">] </w:t>
      </w:r>
      <w:r w:rsidR="00485CD6" w:rsidRPr="00C15C17">
        <w:t xml:space="preserve">Sackett </w:t>
      </w:r>
      <w:r w:rsidRPr="00C15C17">
        <w:t xml:space="preserve">D, </w:t>
      </w:r>
      <w:r w:rsidR="00485CD6" w:rsidRPr="00C15C17">
        <w:t xml:space="preserve">Rosenberg </w:t>
      </w:r>
      <w:r w:rsidRPr="00C15C17">
        <w:t xml:space="preserve">W, </w:t>
      </w:r>
      <w:r w:rsidR="00485CD6" w:rsidRPr="00C15C17">
        <w:t xml:space="preserve">Gray </w:t>
      </w:r>
      <w:r w:rsidRPr="00C15C17">
        <w:t>J, Haynes</w:t>
      </w:r>
      <w:r w:rsidR="00485CD6" w:rsidRPr="00485CD6">
        <w:t xml:space="preserve"> </w:t>
      </w:r>
      <w:r w:rsidR="00485CD6" w:rsidRPr="00C15C17">
        <w:t>R</w:t>
      </w:r>
      <w:r w:rsidRPr="00C15C17">
        <w:t>, Richardson</w:t>
      </w:r>
      <w:r w:rsidR="00485CD6" w:rsidRPr="00485CD6">
        <w:t xml:space="preserve"> </w:t>
      </w:r>
      <w:r w:rsidR="00485CD6" w:rsidRPr="00C15C17">
        <w:t>S.</w:t>
      </w:r>
      <w:r w:rsidRPr="00C15C17">
        <w:t xml:space="preserve"> Evidence based medicine: what it is and what it isn’t</w:t>
      </w:r>
      <w:r w:rsidR="00485CD6">
        <w:t>.</w:t>
      </w:r>
      <w:r w:rsidRPr="00C15C17">
        <w:t xml:space="preserve"> BMJ </w:t>
      </w:r>
      <w:r w:rsidR="00485CD6" w:rsidRPr="00C15C17">
        <w:t>1996</w:t>
      </w:r>
      <w:r w:rsidR="00485CD6">
        <w:t>;</w:t>
      </w:r>
      <w:r w:rsidRPr="00C15C17">
        <w:t>312</w:t>
      </w:r>
      <w:r w:rsidR="00485CD6">
        <w:t>:</w:t>
      </w:r>
      <w:r w:rsidRPr="00C15C17">
        <w:t>71–72.</w:t>
      </w:r>
    </w:p>
    <w:p w14:paraId="44571008" w14:textId="25767349" w:rsidR="00C15C17" w:rsidRDefault="00C15C17" w:rsidP="00157A2E">
      <w:pPr>
        <w:spacing w:line="480" w:lineRule="auto"/>
        <w:jc w:val="both"/>
      </w:pPr>
      <w:r>
        <w:t>[</w:t>
      </w:r>
      <w:r w:rsidR="001D0DC1">
        <w:t>11</w:t>
      </w:r>
      <w:r>
        <w:t xml:space="preserve">] </w:t>
      </w:r>
      <w:r w:rsidRPr="00C15C17">
        <w:t>Solesbury W. Evidence Based Policy: Whence It Came and Where It's Going</w:t>
      </w:r>
      <w:r w:rsidR="00485CD6">
        <w:t>.</w:t>
      </w:r>
      <w:r w:rsidRPr="00C15C17">
        <w:t xml:space="preserve"> </w:t>
      </w:r>
      <w:r w:rsidR="00485CD6" w:rsidRPr="00C15C17">
        <w:t>Queen Mary</w:t>
      </w:r>
      <w:r w:rsidR="00485CD6">
        <w:t xml:space="preserve"> </w:t>
      </w:r>
      <w:r w:rsidR="00485CD6" w:rsidRPr="00C15C17">
        <w:t xml:space="preserve">University of London: ESRC UK Centre for Evidence Based Policy and Practice </w:t>
      </w:r>
      <w:r w:rsidRPr="00C15C17">
        <w:t>2001.</w:t>
      </w:r>
    </w:p>
    <w:p w14:paraId="5B0EE968" w14:textId="4C317004" w:rsidR="00C15C17" w:rsidRDefault="00C15C17" w:rsidP="00157A2E">
      <w:pPr>
        <w:spacing w:line="480" w:lineRule="auto"/>
        <w:jc w:val="both"/>
      </w:pPr>
      <w:r>
        <w:t>[</w:t>
      </w:r>
      <w:r w:rsidR="001D0DC1">
        <w:t>12</w:t>
      </w:r>
      <w:r>
        <w:t xml:space="preserve">] </w:t>
      </w:r>
      <w:r w:rsidRPr="00C15C17">
        <w:t>Dobrow MJ, Goel V, Upshur REG. Evidence-based health policy: context and utilisation</w:t>
      </w:r>
      <w:r w:rsidR="00485CD6">
        <w:t>.</w:t>
      </w:r>
      <w:r w:rsidRPr="00C15C17">
        <w:t xml:space="preserve"> Soc Sci Med 2004</w:t>
      </w:r>
      <w:r w:rsidR="00485CD6">
        <w:t>;</w:t>
      </w:r>
      <w:r w:rsidRPr="00C15C17">
        <w:t>58</w:t>
      </w:r>
      <w:r w:rsidR="00485CD6">
        <w:t>:</w:t>
      </w:r>
      <w:r w:rsidRPr="00C15C17">
        <w:t>207-17.</w:t>
      </w:r>
    </w:p>
    <w:p w14:paraId="661D2733" w14:textId="1FA321A5" w:rsidR="00C15C17" w:rsidRDefault="00C15C17" w:rsidP="00157A2E">
      <w:pPr>
        <w:spacing w:line="480" w:lineRule="auto"/>
        <w:jc w:val="both"/>
      </w:pPr>
      <w:r>
        <w:t>[</w:t>
      </w:r>
      <w:r w:rsidR="001D0DC1">
        <w:t>13</w:t>
      </w:r>
      <w:r>
        <w:t xml:space="preserve">] </w:t>
      </w:r>
      <w:r w:rsidRPr="00C15C17">
        <w:t>Morrato EH, Elias M, Gericke CA. Using population-based routine data for evidence-based health policy decisions: lessons from three examples of setting and evaluating national health policy in Australia, the UK and the USA</w:t>
      </w:r>
      <w:r w:rsidR="00485CD6">
        <w:t>.</w:t>
      </w:r>
      <w:r w:rsidRPr="00C15C17">
        <w:t xml:space="preserve"> J Public Health 2007;29:463-71.</w:t>
      </w:r>
    </w:p>
    <w:p w14:paraId="0775C95D" w14:textId="504E88C3" w:rsidR="00C15C17" w:rsidRDefault="00C15C17" w:rsidP="00157A2E">
      <w:pPr>
        <w:spacing w:line="480" w:lineRule="auto"/>
        <w:jc w:val="both"/>
        <w:rPr>
          <w:rStyle w:val="Hyperlink"/>
        </w:rPr>
      </w:pPr>
      <w:r>
        <w:t>[</w:t>
      </w:r>
      <w:r w:rsidR="00894342">
        <w:t>144</w:t>
      </w:r>
      <w:r>
        <w:t xml:space="preserve">] </w:t>
      </w:r>
      <w:r w:rsidR="00485CD6" w:rsidRPr="00C15C17">
        <w:t xml:space="preserve">Liyanage H, </w:t>
      </w:r>
      <w:r w:rsidR="00485CD6" w:rsidRPr="00C15C17">
        <w:rPr>
          <w:bCs/>
        </w:rPr>
        <w:t>Hoang</w:t>
      </w:r>
      <w:r w:rsidR="00485CD6" w:rsidRPr="00C15C17">
        <w:t xml:space="preserve"> U, Ferreira F, De </w:t>
      </w:r>
      <w:r w:rsidR="00485CD6" w:rsidRPr="00C15C17">
        <w:rPr>
          <w:bCs/>
        </w:rPr>
        <w:t>Lusignan</w:t>
      </w:r>
      <w:r w:rsidR="00485CD6" w:rsidRPr="00C15C17">
        <w:t xml:space="preserve"> S. </w:t>
      </w:r>
      <w:r w:rsidR="00485CD6">
        <w:t xml:space="preserve">Report of Measures of Quality and Outcomes derived from large datasets: </w:t>
      </w:r>
      <w:r>
        <w:t>Models of Child Health Appraised</w:t>
      </w:r>
      <w:r w:rsidR="00485CD6">
        <w:t>; 2018. Report No.:</w:t>
      </w:r>
      <w:r>
        <w:t xml:space="preserve"> D14 5.2. </w:t>
      </w:r>
    </w:p>
    <w:p w14:paraId="4CBAB599" w14:textId="6FE1882A" w:rsidR="00C15C17" w:rsidRDefault="00C15C17" w:rsidP="00157A2E">
      <w:pPr>
        <w:spacing w:line="480" w:lineRule="auto"/>
        <w:jc w:val="both"/>
      </w:pPr>
      <w:r>
        <w:t>[</w:t>
      </w:r>
      <w:r w:rsidR="00894342">
        <w:t>15</w:t>
      </w:r>
      <w:r>
        <w:t xml:space="preserve">] </w:t>
      </w:r>
      <w:r w:rsidRPr="00C15C17">
        <w:t xml:space="preserve">Liyanage H, </w:t>
      </w:r>
      <w:r w:rsidRPr="00C15C17">
        <w:rPr>
          <w:bCs/>
        </w:rPr>
        <w:t>Hoang</w:t>
      </w:r>
      <w:r w:rsidRPr="00C15C17">
        <w:t xml:space="preserve"> U, Ferreira F, Alexander D, Rigby M, Blair M, De </w:t>
      </w:r>
      <w:r w:rsidRPr="00C15C17">
        <w:rPr>
          <w:bCs/>
        </w:rPr>
        <w:t>Lusignan</w:t>
      </w:r>
      <w:r w:rsidRPr="00C15C17">
        <w:t xml:space="preserve"> S. Availability of Computerised Medical Record System Data to Compare Models of Child Health Care in Primary Care Across Europe</w:t>
      </w:r>
      <w:r w:rsidR="00485CD6">
        <w:t>.</w:t>
      </w:r>
      <w:r w:rsidRPr="00C15C17">
        <w:t xml:space="preserve"> Stud Health Technol Inform</w:t>
      </w:r>
      <w:r w:rsidR="00485CD6">
        <w:t xml:space="preserve"> </w:t>
      </w:r>
      <w:r w:rsidRPr="00C15C17">
        <w:t>2017;244:8-12.</w:t>
      </w:r>
    </w:p>
    <w:p w14:paraId="31D58CFE" w14:textId="3A319F9B" w:rsidR="00C15C17" w:rsidRDefault="00C15C17" w:rsidP="00157A2E">
      <w:pPr>
        <w:spacing w:line="480" w:lineRule="auto"/>
        <w:jc w:val="both"/>
      </w:pPr>
      <w:r>
        <w:t>[</w:t>
      </w:r>
      <w:r w:rsidR="00894342">
        <w:t>16</w:t>
      </w:r>
      <w:r>
        <w:t xml:space="preserve">] </w:t>
      </w:r>
      <w:r w:rsidRPr="00C15C17">
        <w:t>Liyanage H, Shinneman S, Hoang U, Ferreira F, Alexander D, Rigby M, Blair M, de Lusignan S. Profiling Databases to Facilitate Comparison of Child Health Systems Across Europe Using Standardised Quality Markers</w:t>
      </w:r>
      <w:r w:rsidR="00485CD6">
        <w:t>.</w:t>
      </w:r>
      <w:r w:rsidRPr="00C15C17">
        <w:t xml:space="preserve"> Stud Health Technol Inform 2018;247:61-65.</w:t>
      </w:r>
    </w:p>
    <w:p w14:paraId="688EC104" w14:textId="1CC4C9F6" w:rsidR="00C15C17" w:rsidRDefault="00C15C17" w:rsidP="00C85876">
      <w:pPr>
        <w:spacing w:line="480" w:lineRule="auto"/>
        <w:rPr>
          <w:rStyle w:val="Hyperlink"/>
        </w:rPr>
      </w:pPr>
      <w:r>
        <w:t>[</w:t>
      </w:r>
      <w:r w:rsidR="00894342">
        <w:t>17</w:t>
      </w:r>
      <w:r>
        <w:t>] Memorandum of Understanding between WHO and IHME</w:t>
      </w:r>
      <w:r w:rsidR="00485CD6">
        <w:t>, 2018:</w:t>
      </w:r>
      <w:r>
        <w:t xml:space="preserve"> </w:t>
      </w:r>
      <w:hyperlink r:id="rId14" w:history="1">
        <w:r w:rsidR="00485CD6" w:rsidRPr="00485CD6">
          <w:rPr>
            <w:rStyle w:val="Hyperlink"/>
          </w:rPr>
          <w:t>http://www.healthdata.org/sites/default/files/files/WHO-IHME%20MoU_052218.pdf</w:t>
        </w:r>
      </w:hyperlink>
      <w:r>
        <w:rPr>
          <w:rStyle w:val="Hyperlink"/>
        </w:rPr>
        <w:t>. Access</w:t>
      </w:r>
      <w:r w:rsidR="00485CD6">
        <w:rPr>
          <w:rStyle w:val="Hyperlink"/>
        </w:rPr>
        <w:t>ed</w:t>
      </w:r>
      <w:r>
        <w:rPr>
          <w:rStyle w:val="Hyperlink"/>
        </w:rPr>
        <w:t xml:space="preserve"> </w:t>
      </w:r>
      <w:r w:rsidR="00485CD6">
        <w:rPr>
          <w:rStyle w:val="Hyperlink"/>
        </w:rPr>
        <w:t>[</w:t>
      </w:r>
      <w:r>
        <w:rPr>
          <w:rStyle w:val="Hyperlink"/>
        </w:rPr>
        <w:t>11/09/201</w:t>
      </w:r>
      <w:r w:rsidR="00485CD6">
        <w:rPr>
          <w:rStyle w:val="Hyperlink"/>
        </w:rPr>
        <w:t>8]</w:t>
      </w:r>
      <w:r>
        <w:rPr>
          <w:rStyle w:val="Hyperlink"/>
        </w:rPr>
        <w:t xml:space="preserve">. </w:t>
      </w:r>
    </w:p>
    <w:p w14:paraId="478FA100" w14:textId="4484B53D" w:rsidR="00C15C17" w:rsidRDefault="00C15C17" w:rsidP="00157A2E">
      <w:pPr>
        <w:spacing w:line="480" w:lineRule="auto"/>
        <w:jc w:val="both"/>
      </w:pPr>
      <w:r>
        <w:t>[</w:t>
      </w:r>
      <w:r w:rsidR="0094369E">
        <w:t>18</w:t>
      </w:r>
      <w:r>
        <w:t xml:space="preserve">] </w:t>
      </w:r>
      <w:r w:rsidR="008D1D08">
        <w:t xml:space="preserve">The </w:t>
      </w:r>
      <w:r>
        <w:t xml:space="preserve">GBD 2016 Alcohol Collaboration. </w:t>
      </w:r>
      <w:r w:rsidRPr="003743ED">
        <w:t>Alcohol use and burden for 195 countries and territories, 1990–2016: a systematic analysis for the Global Burden of Disease Study 2016</w:t>
      </w:r>
      <w:r w:rsidR="008D1D08">
        <w:t>.</w:t>
      </w:r>
      <w:r>
        <w:t xml:space="preserve"> Lancet 2018</w:t>
      </w:r>
      <w:r w:rsidR="008D1D08">
        <w:t>;392:1015-35</w:t>
      </w:r>
      <w:r>
        <w:t>.</w:t>
      </w:r>
    </w:p>
    <w:p w14:paraId="6C206213" w14:textId="3229BAF4" w:rsidR="00C15C17" w:rsidRDefault="00C15C17" w:rsidP="00157A2E">
      <w:pPr>
        <w:spacing w:line="480" w:lineRule="auto"/>
        <w:jc w:val="both"/>
        <w:rPr>
          <w:rStyle w:val="Hyperlink"/>
        </w:rPr>
      </w:pPr>
      <w:r>
        <w:lastRenderedPageBreak/>
        <w:t>[</w:t>
      </w:r>
      <w:r w:rsidR="0094369E">
        <w:t>19</w:t>
      </w:r>
      <w:r>
        <w:t xml:space="preserve">] Spiegelhalter D. The Risks of Alcohol (again). </w:t>
      </w:r>
      <w:r w:rsidR="008D1D08">
        <w:t>Medium 2018 Aug 24.</w:t>
      </w:r>
    </w:p>
    <w:p w14:paraId="315F7461" w14:textId="05F5FBA9" w:rsidR="00C15C17" w:rsidRDefault="00C15C17" w:rsidP="00CD07E7">
      <w:pPr>
        <w:spacing w:line="480" w:lineRule="auto"/>
        <w:jc w:val="both"/>
      </w:pPr>
      <w:r>
        <w:t>[</w:t>
      </w:r>
      <w:r w:rsidR="0094369E">
        <w:t>20</w:t>
      </w:r>
      <w:r>
        <w:t xml:space="preserve">] </w:t>
      </w:r>
      <w:r w:rsidRPr="00C15C17">
        <w:t>Leach-Kemon K</w:t>
      </w:r>
      <w:r w:rsidR="008D1D08">
        <w:t>,</w:t>
      </w:r>
      <w:r w:rsidRPr="00C15C17">
        <w:t xml:space="preserve"> Gall J. Why Estimate?</w:t>
      </w:r>
      <w:r w:rsidR="008D1D08">
        <w:t>:</w:t>
      </w:r>
      <w:r w:rsidRPr="00C15C17">
        <w:t xml:space="preserve"> </w:t>
      </w:r>
      <w:hyperlink r:id="rId15" w:history="1">
        <w:r w:rsidR="008D1D08" w:rsidRPr="008D1D08">
          <w:rPr>
            <w:rStyle w:val="Hyperlink"/>
          </w:rPr>
          <w:t>http://www.healthdata.org/acting-data/why-estimate?utm_source=IHME+Updates&amp;utm_campaign=c062742ac8-Weekly_Email_Sep_6_2018&amp;utm_medium=email&amp;utm_term=0_1790fa6746-c062742ac8-422568873</w:t>
        </w:r>
      </w:hyperlink>
      <w:r>
        <w:t>. Access</w:t>
      </w:r>
      <w:r w:rsidR="008D1D08">
        <w:t>ed [</w:t>
      </w:r>
      <w:r>
        <w:t>11/09/2018</w:t>
      </w:r>
      <w:r w:rsidR="008D1D08">
        <w:t>]</w:t>
      </w:r>
      <w:r>
        <w:t xml:space="preserve">. </w:t>
      </w:r>
    </w:p>
    <w:p w14:paraId="6700A988" w14:textId="407E4FA7" w:rsidR="0094369E" w:rsidRPr="006C7CC3" w:rsidRDefault="0094369E" w:rsidP="00CD07E7">
      <w:pPr>
        <w:spacing w:line="480" w:lineRule="auto"/>
        <w:jc w:val="both"/>
      </w:pPr>
      <w:r>
        <w:t xml:space="preserve">[21] </w:t>
      </w:r>
      <w:r w:rsidRPr="0094369E">
        <w:t>Dicker D, Nguyen G, Lopez AD, Murray CJL.</w:t>
      </w:r>
      <w:r>
        <w:t xml:space="preserve"> </w:t>
      </w:r>
      <w:r w:rsidRPr="0094369E">
        <w:t>Another blow to credibility in published data sources - Author's reply.</w:t>
      </w:r>
      <w:hyperlink r:id="rId16" w:history="1">
        <w:r>
          <w:rPr>
            <w:rStyle w:val="Hyperlink"/>
            <w:rFonts w:ascii="Arial" w:hAnsi="Arial" w:cs="Arial"/>
            <w:color w:val="2222CC"/>
            <w:sz w:val="21"/>
            <w:szCs w:val="21"/>
          </w:rPr>
          <w:t>;</w:t>
        </w:r>
      </w:hyperlink>
      <w:r>
        <w:t xml:space="preserve"> </w:t>
      </w:r>
      <w:r w:rsidRPr="0094369E">
        <w:t>Lancet. 2019 Jul 6;394(10192):27-28.</w:t>
      </w:r>
    </w:p>
    <w:sectPr w:rsidR="0094369E" w:rsidRPr="006C7CC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CA6A" w14:textId="77777777" w:rsidR="00FA5714" w:rsidRDefault="00FA5714" w:rsidP="00771F5E">
      <w:pPr>
        <w:spacing w:after="0" w:line="240" w:lineRule="auto"/>
      </w:pPr>
      <w:r>
        <w:separator/>
      </w:r>
    </w:p>
  </w:endnote>
  <w:endnote w:type="continuationSeparator" w:id="0">
    <w:p w14:paraId="37D46F50" w14:textId="77777777" w:rsidR="00FA5714" w:rsidRDefault="00FA5714" w:rsidP="0077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8248" w14:textId="77777777" w:rsidR="00FA5714" w:rsidRDefault="00FA5714" w:rsidP="00771F5E">
      <w:pPr>
        <w:spacing w:after="0" w:line="240" w:lineRule="auto"/>
      </w:pPr>
      <w:r>
        <w:separator/>
      </w:r>
    </w:p>
  </w:footnote>
  <w:footnote w:type="continuationSeparator" w:id="0">
    <w:p w14:paraId="3A49E693" w14:textId="77777777" w:rsidR="00FA5714" w:rsidRDefault="00FA5714" w:rsidP="0077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025E6"/>
    <w:multiLevelType w:val="hybridMultilevel"/>
    <w:tmpl w:val="41A0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01436"/>
    <w:multiLevelType w:val="hybridMultilevel"/>
    <w:tmpl w:val="01A43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3C"/>
    <w:rsid w:val="000053BA"/>
    <w:rsid w:val="00005660"/>
    <w:rsid w:val="0000797E"/>
    <w:rsid w:val="0001061C"/>
    <w:rsid w:val="00011B55"/>
    <w:rsid w:val="000134F3"/>
    <w:rsid w:val="00031513"/>
    <w:rsid w:val="00033158"/>
    <w:rsid w:val="00033409"/>
    <w:rsid w:val="0003420E"/>
    <w:rsid w:val="000350CE"/>
    <w:rsid w:val="00046CE0"/>
    <w:rsid w:val="000526E1"/>
    <w:rsid w:val="00074B85"/>
    <w:rsid w:val="00080D86"/>
    <w:rsid w:val="00084759"/>
    <w:rsid w:val="00085B70"/>
    <w:rsid w:val="00094D96"/>
    <w:rsid w:val="000A034C"/>
    <w:rsid w:val="000A4819"/>
    <w:rsid w:val="000E757A"/>
    <w:rsid w:val="000F1969"/>
    <w:rsid w:val="000F399C"/>
    <w:rsid w:val="000F45E7"/>
    <w:rsid w:val="000F67AC"/>
    <w:rsid w:val="00107716"/>
    <w:rsid w:val="00107EE0"/>
    <w:rsid w:val="00143796"/>
    <w:rsid w:val="00155D7A"/>
    <w:rsid w:val="00157A2E"/>
    <w:rsid w:val="00160217"/>
    <w:rsid w:val="00164195"/>
    <w:rsid w:val="001836FF"/>
    <w:rsid w:val="00184643"/>
    <w:rsid w:val="00186AD8"/>
    <w:rsid w:val="001908B6"/>
    <w:rsid w:val="00190915"/>
    <w:rsid w:val="001A3E78"/>
    <w:rsid w:val="001A7673"/>
    <w:rsid w:val="001C1286"/>
    <w:rsid w:val="001C58C3"/>
    <w:rsid w:val="001D0DC1"/>
    <w:rsid w:val="001E59A6"/>
    <w:rsid w:val="001F498B"/>
    <w:rsid w:val="001F5389"/>
    <w:rsid w:val="002104BD"/>
    <w:rsid w:val="002138CE"/>
    <w:rsid w:val="00227CF3"/>
    <w:rsid w:val="002304FE"/>
    <w:rsid w:val="002344BD"/>
    <w:rsid w:val="00242EA6"/>
    <w:rsid w:val="0025557B"/>
    <w:rsid w:val="002555FC"/>
    <w:rsid w:val="002559D8"/>
    <w:rsid w:val="00260E3C"/>
    <w:rsid w:val="002656DD"/>
    <w:rsid w:val="002702B3"/>
    <w:rsid w:val="00274846"/>
    <w:rsid w:val="00276764"/>
    <w:rsid w:val="002850C1"/>
    <w:rsid w:val="00293AF9"/>
    <w:rsid w:val="00296B8F"/>
    <w:rsid w:val="002A7226"/>
    <w:rsid w:val="002B1BD9"/>
    <w:rsid w:val="002B4C9D"/>
    <w:rsid w:val="002B765A"/>
    <w:rsid w:val="002C0974"/>
    <w:rsid w:val="002C11F6"/>
    <w:rsid w:val="002C4343"/>
    <w:rsid w:val="002C4524"/>
    <w:rsid w:val="002C526E"/>
    <w:rsid w:val="002D539A"/>
    <w:rsid w:val="002D5A23"/>
    <w:rsid w:val="002E2404"/>
    <w:rsid w:val="002F26E5"/>
    <w:rsid w:val="002F2C94"/>
    <w:rsid w:val="00305482"/>
    <w:rsid w:val="00314738"/>
    <w:rsid w:val="00320F9E"/>
    <w:rsid w:val="00334E7F"/>
    <w:rsid w:val="00337C8D"/>
    <w:rsid w:val="00366A43"/>
    <w:rsid w:val="003743ED"/>
    <w:rsid w:val="00377B8E"/>
    <w:rsid w:val="00385D00"/>
    <w:rsid w:val="00387F79"/>
    <w:rsid w:val="00390FB0"/>
    <w:rsid w:val="003C229F"/>
    <w:rsid w:val="003C67CD"/>
    <w:rsid w:val="003D3C9E"/>
    <w:rsid w:val="003D4D15"/>
    <w:rsid w:val="003E40A1"/>
    <w:rsid w:val="003E458C"/>
    <w:rsid w:val="003E4C9B"/>
    <w:rsid w:val="003F0219"/>
    <w:rsid w:val="003F4DBF"/>
    <w:rsid w:val="00416A31"/>
    <w:rsid w:val="00422025"/>
    <w:rsid w:val="00425FD0"/>
    <w:rsid w:val="004315E5"/>
    <w:rsid w:val="00435C7F"/>
    <w:rsid w:val="004366E6"/>
    <w:rsid w:val="004674E2"/>
    <w:rsid w:val="004813FC"/>
    <w:rsid w:val="00485CD6"/>
    <w:rsid w:val="0049370A"/>
    <w:rsid w:val="004A5690"/>
    <w:rsid w:val="004B50E1"/>
    <w:rsid w:val="004B5DFB"/>
    <w:rsid w:val="004C08E8"/>
    <w:rsid w:val="004E2465"/>
    <w:rsid w:val="004E24E8"/>
    <w:rsid w:val="004E6D30"/>
    <w:rsid w:val="004E7014"/>
    <w:rsid w:val="004F3BD9"/>
    <w:rsid w:val="0050407E"/>
    <w:rsid w:val="0050447F"/>
    <w:rsid w:val="00511230"/>
    <w:rsid w:val="00516298"/>
    <w:rsid w:val="00531B35"/>
    <w:rsid w:val="0054587B"/>
    <w:rsid w:val="0055262A"/>
    <w:rsid w:val="00563CB4"/>
    <w:rsid w:val="00565515"/>
    <w:rsid w:val="00593E1F"/>
    <w:rsid w:val="00597ACE"/>
    <w:rsid w:val="005A075A"/>
    <w:rsid w:val="005A2909"/>
    <w:rsid w:val="005D6247"/>
    <w:rsid w:val="005D62BB"/>
    <w:rsid w:val="005E1BC3"/>
    <w:rsid w:val="00601993"/>
    <w:rsid w:val="00607B10"/>
    <w:rsid w:val="006256C9"/>
    <w:rsid w:val="006317EF"/>
    <w:rsid w:val="0063417A"/>
    <w:rsid w:val="0064498A"/>
    <w:rsid w:val="00656A92"/>
    <w:rsid w:val="00657B04"/>
    <w:rsid w:val="00666511"/>
    <w:rsid w:val="00692CCA"/>
    <w:rsid w:val="006959FB"/>
    <w:rsid w:val="006A6BE6"/>
    <w:rsid w:val="006A7CA3"/>
    <w:rsid w:val="006B6226"/>
    <w:rsid w:val="006B69A6"/>
    <w:rsid w:val="006C5D1C"/>
    <w:rsid w:val="006C7CC3"/>
    <w:rsid w:val="006D294F"/>
    <w:rsid w:val="006F66D4"/>
    <w:rsid w:val="00710FB1"/>
    <w:rsid w:val="00726AA1"/>
    <w:rsid w:val="00736618"/>
    <w:rsid w:val="007406EB"/>
    <w:rsid w:val="007462A2"/>
    <w:rsid w:val="00755C71"/>
    <w:rsid w:val="00756804"/>
    <w:rsid w:val="00771C0C"/>
    <w:rsid w:val="00771F5E"/>
    <w:rsid w:val="00776564"/>
    <w:rsid w:val="00780706"/>
    <w:rsid w:val="00782102"/>
    <w:rsid w:val="00786DE2"/>
    <w:rsid w:val="0079051F"/>
    <w:rsid w:val="007A0006"/>
    <w:rsid w:val="007A13DE"/>
    <w:rsid w:val="007A64AE"/>
    <w:rsid w:val="007B5823"/>
    <w:rsid w:val="007C0DD0"/>
    <w:rsid w:val="007C6DD2"/>
    <w:rsid w:val="007E1834"/>
    <w:rsid w:val="007F0915"/>
    <w:rsid w:val="007F6E1E"/>
    <w:rsid w:val="00802A35"/>
    <w:rsid w:val="00806ECE"/>
    <w:rsid w:val="0081798B"/>
    <w:rsid w:val="008203A3"/>
    <w:rsid w:val="00822A1C"/>
    <w:rsid w:val="008532C3"/>
    <w:rsid w:val="00854C94"/>
    <w:rsid w:val="0086742E"/>
    <w:rsid w:val="00877475"/>
    <w:rsid w:val="00892D34"/>
    <w:rsid w:val="00894342"/>
    <w:rsid w:val="008A51F1"/>
    <w:rsid w:val="008B0C3C"/>
    <w:rsid w:val="008B5BEE"/>
    <w:rsid w:val="008C0A58"/>
    <w:rsid w:val="008C6799"/>
    <w:rsid w:val="008D1D08"/>
    <w:rsid w:val="008D6B81"/>
    <w:rsid w:val="00901DD8"/>
    <w:rsid w:val="00905395"/>
    <w:rsid w:val="0092189B"/>
    <w:rsid w:val="009226BE"/>
    <w:rsid w:val="00935666"/>
    <w:rsid w:val="00941F7A"/>
    <w:rsid w:val="0094369E"/>
    <w:rsid w:val="009477E2"/>
    <w:rsid w:val="009639FE"/>
    <w:rsid w:val="0099095C"/>
    <w:rsid w:val="00992D71"/>
    <w:rsid w:val="009A11B3"/>
    <w:rsid w:val="009B46E9"/>
    <w:rsid w:val="009B5BEC"/>
    <w:rsid w:val="009D09E1"/>
    <w:rsid w:val="009D1F96"/>
    <w:rsid w:val="00A01E9E"/>
    <w:rsid w:val="00A11129"/>
    <w:rsid w:val="00A1308F"/>
    <w:rsid w:val="00A30EC2"/>
    <w:rsid w:val="00A45BAD"/>
    <w:rsid w:val="00A51777"/>
    <w:rsid w:val="00A80019"/>
    <w:rsid w:val="00A82CB9"/>
    <w:rsid w:val="00A839FA"/>
    <w:rsid w:val="00A941A0"/>
    <w:rsid w:val="00AC3698"/>
    <w:rsid w:val="00AF5553"/>
    <w:rsid w:val="00B10CA8"/>
    <w:rsid w:val="00B17674"/>
    <w:rsid w:val="00B341FC"/>
    <w:rsid w:val="00B51761"/>
    <w:rsid w:val="00B5337A"/>
    <w:rsid w:val="00B57AB6"/>
    <w:rsid w:val="00B60625"/>
    <w:rsid w:val="00B650AF"/>
    <w:rsid w:val="00B7396E"/>
    <w:rsid w:val="00B75328"/>
    <w:rsid w:val="00B8285F"/>
    <w:rsid w:val="00B93624"/>
    <w:rsid w:val="00B97907"/>
    <w:rsid w:val="00BA1156"/>
    <w:rsid w:val="00BA1957"/>
    <w:rsid w:val="00BB037E"/>
    <w:rsid w:val="00BB36A7"/>
    <w:rsid w:val="00BB4854"/>
    <w:rsid w:val="00BC0C04"/>
    <w:rsid w:val="00BC4498"/>
    <w:rsid w:val="00BC5EF3"/>
    <w:rsid w:val="00BD062E"/>
    <w:rsid w:val="00BD2FE1"/>
    <w:rsid w:val="00BE75B5"/>
    <w:rsid w:val="00BF042C"/>
    <w:rsid w:val="00C10902"/>
    <w:rsid w:val="00C14AB6"/>
    <w:rsid w:val="00C15C17"/>
    <w:rsid w:val="00C2279F"/>
    <w:rsid w:val="00C256C8"/>
    <w:rsid w:val="00C431C1"/>
    <w:rsid w:val="00C46991"/>
    <w:rsid w:val="00C629C5"/>
    <w:rsid w:val="00C62A30"/>
    <w:rsid w:val="00C63E81"/>
    <w:rsid w:val="00C85876"/>
    <w:rsid w:val="00CB2171"/>
    <w:rsid w:val="00CB6D41"/>
    <w:rsid w:val="00CC09FF"/>
    <w:rsid w:val="00CD07E7"/>
    <w:rsid w:val="00CD3920"/>
    <w:rsid w:val="00CE70F6"/>
    <w:rsid w:val="00CF185A"/>
    <w:rsid w:val="00CF7CDC"/>
    <w:rsid w:val="00D30698"/>
    <w:rsid w:val="00D54939"/>
    <w:rsid w:val="00D54F1C"/>
    <w:rsid w:val="00D710D7"/>
    <w:rsid w:val="00D773E9"/>
    <w:rsid w:val="00D8086C"/>
    <w:rsid w:val="00D90638"/>
    <w:rsid w:val="00D96569"/>
    <w:rsid w:val="00DC2B5A"/>
    <w:rsid w:val="00DC4402"/>
    <w:rsid w:val="00DD2FED"/>
    <w:rsid w:val="00E003BA"/>
    <w:rsid w:val="00E102EE"/>
    <w:rsid w:val="00E1735F"/>
    <w:rsid w:val="00E231AC"/>
    <w:rsid w:val="00E24AD8"/>
    <w:rsid w:val="00E43E45"/>
    <w:rsid w:val="00E4671E"/>
    <w:rsid w:val="00E6427E"/>
    <w:rsid w:val="00E70013"/>
    <w:rsid w:val="00E84B7F"/>
    <w:rsid w:val="00E85B71"/>
    <w:rsid w:val="00E93DC7"/>
    <w:rsid w:val="00EA02EA"/>
    <w:rsid w:val="00EA169A"/>
    <w:rsid w:val="00EA31F9"/>
    <w:rsid w:val="00EC2843"/>
    <w:rsid w:val="00EC3075"/>
    <w:rsid w:val="00ED20F7"/>
    <w:rsid w:val="00ED2C7F"/>
    <w:rsid w:val="00EF0496"/>
    <w:rsid w:val="00EF14A0"/>
    <w:rsid w:val="00EF78D8"/>
    <w:rsid w:val="00EF7E0C"/>
    <w:rsid w:val="00F02CED"/>
    <w:rsid w:val="00F10B1C"/>
    <w:rsid w:val="00F32337"/>
    <w:rsid w:val="00F448BA"/>
    <w:rsid w:val="00F479EC"/>
    <w:rsid w:val="00F658CB"/>
    <w:rsid w:val="00F73BAA"/>
    <w:rsid w:val="00F76A9E"/>
    <w:rsid w:val="00FA311C"/>
    <w:rsid w:val="00FA5714"/>
    <w:rsid w:val="00FB085C"/>
    <w:rsid w:val="00FB2CE2"/>
    <w:rsid w:val="00FC20BC"/>
    <w:rsid w:val="00FC6E58"/>
    <w:rsid w:val="00FD1EFF"/>
    <w:rsid w:val="00FD3527"/>
    <w:rsid w:val="00FD449A"/>
    <w:rsid w:val="00FE088E"/>
    <w:rsid w:val="00FE2486"/>
    <w:rsid w:val="00FE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4D85"/>
  <w15:chartTrackingRefBased/>
  <w15:docId w15:val="{DB5B0558-7459-47B7-B1BD-75F05F95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2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E3C"/>
    <w:rPr>
      <w:b/>
      <w:bCs/>
    </w:rPr>
  </w:style>
  <w:style w:type="paragraph" w:styleId="NormalWeb">
    <w:name w:val="Normal (Web)"/>
    <w:basedOn w:val="Normal"/>
    <w:uiPriority w:val="99"/>
    <w:unhideWhenUsed/>
    <w:rsid w:val="00260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A72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2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771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F5E"/>
    <w:rPr>
      <w:sz w:val="20"/>
      <w:szCs w:val="20"/>
    </w:rPr>
  </w:style>
  <w:style w:type="character" w:styleId="EndnoteReference">
    <w:name w:val="endnote reference"/>
    <w:basedOn w:val="DefaultParagraphFont"/>
    <w:uiPriority w:val="99"/>
    <w:semiHidden/>
    <w:unhideWhenUsed/>
    <w:rsid w:val="00771F5E"/>
    <w:rPr>
      <w:vertAlign w:val="superscript"/>
    </w:rPr>
  </w:style>
  <w:style w:type="character" w:styleId="Hyperlink">
    <w:name w:val="Hyperlink"/>
    <w:basedOn w:val="DefaultParagraphFont"/>
    <w:uiPriority w:val="99"/>
    <w:unhideWhenUsed/>
    <w:rsid w:val="00771F5E"/>
    <w:rPr>
      <w:color w:val="0563C1" w:themeColor="hyperlink"/>
      <w:u w:val="single"/>
    </w:rPr>
  </w:style>
  <w:style w:type="character" w:customStyle="1" w:styleId="UnresolvedMention1">
    <w:name w:val="Unresolved Mention1"/>
    <w:basedOn w:val="DefaultParagraphFont"/>
    <w:uiPriority w:val="99"/>
    <w:semiHidden/>
    <w:unhideWhenUsed/>
    <w:rsid w:val="00771F5E"/>
    <w:rPr>
      <w:color w:val="808080"/>
      <w:shd w:val="clear" w:color="auto" w:fill="E6E6E6"/>
    </w:rPr>
  </w:style>
  <w:style w:type="paragraph" w:styleId="NoSpacing">
    <w:name w:val="No Spacing"/>
    <w:link w:val="NoSpacingChar"/>
    <w:uiPriority w:val="1"/>
    <w:qFormat/>
    <w:rsid w:val="00806ECE"/>
    <w:pPr>
      <w:spacing w:after="0" w:line="240" w:lineRule="auto"/>
    </w:pPr>
  </w:style>
  <w:style w:type="character" w:customStyle="1" w:styleId="NoSpacingChar">
    <w:name w:val="No Spacing Char"/>
    <w:basedOn w:val="DefaultParagraphFont"/>
    <w:link w:val="NoSpacing"/>
    <w:uiPriority w:val="1"/>
    <w:rsid w:val="00806ECE"/>
  </w:style>
  <w:style w:type="table" w:styleId="ListTable1Light-Accent6">
    <w:name w:val="List Table 1 Light Accent 6"/>
    <w:basedOn w:val="TableNormal"/>
    <w:uiPriority w:val="46"/>
    <w:rsid w:val="00806EC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4">
    <w:name w:val="List Table 1 Light Accent 4"/>
    <w:basedOn w:val="TableNormal"/>
    <w:uiPriority w:val="46"/>
    <w:rsid w:val="0027484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A80019"/>
    <w:rPr>
      <w:sz w:val="16"/>
      <w:szCs w:val="16"/>
    </w:rPr>
  </w:style>
  <w:style w:type="paragraph" w:styleId="CommentText">
    <w:name w:val="annotation text"/>
    <w:basedOn w:val="Normal"/>
    <w:link w:val="CommentTextChar"/>
    <w:uiPriority w:val="99"/>
    <w:semiHidden/>
    <w:unhideWhenUsed/>
    <w:rsid w:val="00A80019"/>
    <w:pPr>
      <w:spacing w:line="240" w:lineRule="auto"/>
    </w:pPr>
    <w:rPr>
      <w:sz w:val="20"/>
      <w:szCs w:val="20"/>
    </w:rPr>
  </w:style>
  <w:style w:type="character" w:customStyle="1" w:styleId="CommentTextChar">
    <w:name w:val="Comment Text Char"/>
    <w:basedOn w:val="DefaultParagraphFont"/>
    <w:link w:val="CommentText"/>
    <w:uiPriority w:val="99"/>
    <w:semiHidden/>
    <w:rsid w:val="00A80019"/>
    <w:rPr>
      <w:sz w:val="20"/>
      <w:szCs w:val="20"/>
    </w:rPr>
  </w:style>
  <w:style w:type="paragraph" w:styleId="CommentSubject">
    <w:name w:val="annotation subject"/>
    <w:basedOn w:val="CommentText"/>
    <w:next w:val="CommentText"/>
    <w:link w:val="CommentSubjectChar"/>
    <w:uiPriority w:val="99"/>
    <w:semiHidden/>
    <w:unhideWhenUsed/>
    <w:rsid w:val="00A80019"/>
    <w:rPr>
      <w:b/>
      <w:bCs/>
    </w:rPr>
  </w:style>
  <w:style w:type="character" w:customStyle="1" w:styleId="CommentSubjectChar">
    <w:name w:val="Comment Subject Char"/>
    <w:basedOn w:val="CommentTextChar"/>
    <w:link w:val="CommentSubject"/>
    <w:uiPriority w:val="99"/>
    <w:semiHidden/>
    <w:rsid w:val="00A80019"/>
    <w:rPr>
      <w:b/>
      <w:bCs/>
      <w:sz w:val="20"/>
      <w:szCs w:val="20"/>
    </w:rPr>
  </w:style>
  <w:style w:type="paragraph" w:styleId="BalloonText">
    <w:name w:val="Balloon Text"/>
    <w:basedOn w:val="Normal"/>
    <w:link w:val="BalloonTextChar"/>
    <w:uiPriority w:val="99"/>
    <w:semiHidden/>
    <w:unhideWhenUsed/>
    <w:rsid w:val="00A8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19"/>
    <w:rPr>
      <w:rFonts w:ascii="Segoe UI" w:hAnsi="Segoe UI" w:cs="Segoe UI"/>
      <w:sz w:val="18"/>
      <w:szCs w:val="18"/>
    </w:rPr>
  </w:style>
  <w:style w:type="character" w:customStyle="1" w:styleId="jrnl">
    <w:name w:val="jrnl"/>
    <w:basedOn w:val="DefaultParagraphFont"/>
    <w:rsid w:val="00BB36A7"/>
  </w:style>
  <w:style w:type="paragraph" w:styleId="Revision">
    <w:name w:val="Revision"/>
    <w:hidden/>
    <w:uiPriority w:val="99"/>
    <w:semiHidden/>
    <w:rsid w:val="0055262A"/>
    <w:pPr>
      <w:spacing w:after="0" w:line="240" w:lineRule="auto"/>
    </w:pPr>
  </w:style>
  <w:style w:type="paragraph" w:styleId="FootnoteText">
    <w:name w:val="footnote text"/>
    <w:basedOn w:val="Normal"/>
    <w:link w:val="FootnoteTextChar"/>
    <w:uiPriority w:val="99"/>
    <w:semiHidden/>
    <w:unhideWhenUsed/>
    <w:rsid w:val="006C5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D1C"/>
    <w:rPr>
      <w:sz w:val="20"/>
      <w:szCs w:val="20"/>
    </w:rPr>
  </w:style>
  <w:style w:type="character" w:styleId="FootnoteReference">
    <w:name w:val="footnote reference"/>
    <w:basedOn w:val="DefaultParagraphFont"/>
    <w:uiPriority w:val="99"/>
    <w:semiHidden/>
    <w:unhideWhenUsed/>
    <w:rsid w:val="006C5D1C"/>
    <w:rPr>
      <w:vertAlign w:val="superscript"/>
    </w:rPr>
  </w:style>
  <w:style w:type="paragraph" w:styleId="ListParagraph">
    <w:name w:val="List Paragraph"/>
    <w:basedOn w:val="Normal"/>
    <w:uiPriority w:val="34"/>
    <w:qFormat/>
    <w:rsid w:val="00164195"/>
    <w:pPr>
      <w:ind w:left="720"/>
      <w:contextualSpacing/>
    </w:pPr>
  </w:style>
  <w:style w:type="character" w:customStyle="1" w:styleId="UnresolvedMention2">
    <w:name w:val="Unresolved Mention2"/>
    <w:basedOn w:val="DefaultParagraphFont"/>
    <w:uiPriority w:val="99"/>
    <w:semiHidden/>
    <w:unhideWhenUsed/>
    <w:rsid w:val="00BF042C"/>
    <w:rPr>
      <w:color w:val="605E5C"/>
      <w:shd w:val="clear" w:color="auto" w:fill="E1DFDD"/>
    </w:rPr>
  </w:style>
  <w:style w:type="character" w:styleId="FollowedHyperlink">
    <w:name w:val="FollowedHyperlink"/>
    <w:basedOn w:val="DefaultParagraphFont"/>
    <w:uiPriority w:val="99"/>
    <w:semiHidden/>
    <w:unhideWhenUsed/>
    <w:rsid w:val="00BF042C"/>
    <w:rPr>
      <w:color w:val="954F72" w:themeColor="followedHyperlink"/>
      <w:u w:val="single"/>
    </w:rPr>
  </w:style>
  <w:style w:type="paragraph" w:styleId="HTMLPreformatted">
    <w:name w:val="HTML Preformatted"/>
    <w:basedOn w:val="Normal"/>
    <w:link w:val="HTMLPreformattedChar"/>
    <w:uiPriority w:val="99"/>
    <w:semiHidden/>
    <w:unhideWhenUsed/>
    <w:rsid w:val="00CD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D07E7"/>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7E1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2302">
      <w:bodyDiv w:val="1"/>
      <w:marLeft w:val="0"/>
      <w:marRight w:val="0"/>
      <w:marTop w:val="0"/>
      <w:marBottom w:val="0"/>
      <w:divBdr>
        <w:top w:val="none" w:sz="0" w:space="0" w:color="auto"/>
        <w:left w:val="none" w:sz="0" w:space="0" w:color="auto"/>
        <w:bottom w:val="none" w:sz="0" w:space="0" w:color="auto"/>
        <w:right w:val="none" w:sz="0" w:space="0" w:color="auto"/>
      </w:divBdr>
      <w:divsChild>
        <w:div w:id="78868735">
          <w:marLeft w:val="0"/>
          <w:marRight w:val="0"/>
          <w:marTop w:val="0"/>
          <w:marBottom w:val="0"/>
          <w:divBdr>
            <w:top w:val="none" w:sz="0" w:space="0" w:color="auto"/>
            <w:left w:val="none" w:sz="0" w:space="0" w:color="auto"/>
            <w:bottom w:val="none" w:sz="0" w:space="0" w:color="auto"/>
            <w:right w:val="none" w:sz="0" w:space="0" w:color="auto"/>
          </w:divBdr>
          <w:divsChild>
            <w:div w:id="200485828">
              <w:marLeft w:val="0"/>
              <w:marRight w:val="0"/>
              <w:marTop w:val="0"/>
              <w:marBottom w:val="0"/>
              <w:divBdr>
                <w:top w:val="none" w:sz="0" w:space="0" w:color="auto"/>
                <w:left w:val="none" w:sz="0" w:space="0" w:color="auto"/>
                <w:bottom w:val="none" w:sz="0" w:space="0" w:color="auto"/>
                <w:right w:val="none" w:sz="0" w:space="0" w:color="auto"/>
              </w:divBdr>
              <w:divsChild>
                <w:div w:id="105735682">
                  <w:marLeft w:val="0"/>
                  <w:marRight w:val="0"/>
                  <w:marTop w:val="0"/>
                  <w:marBottom w:val="0"/>
                  <w:divBdr>
                    <w:top w:val="none" w:sz="0" w:space="0" w:color="auto"/>
                    <w:left w:val="none" w:sz="0" w:space="0" w:color="auto"/>
                    <w:bottom w:val="none" w:sz="0" w:space="0" w:color="auto"/>
                    <w:right w:val="none" w:sz="0" w:space="0" w:color="auto"/>
                  </w:divBdr>
                  <w:divsChild>
                    <w:div w:id="1554930641">
                      <w:marLeft w:val="0"/>
                      <w:marRight w:val="0"/>
                      <w:marTop w:val="0"/>
                      <w:marBottom w:val="0"/>
                      <w:divBdr>
                        <w:top w:val="none" w:sz="0" w:space="0" w:color="auto"/>
                        <w:left w:val="none" w:sz="0" w:space="0" w:color="auto"/>
                        <w:bottom w:val="none" w:sz="0" w:space="0" w:color="auto"/>
                        <w:right w:val="none" w:sz="0" w:space="0" w:color="auto"/>
                      </w:divBdr>
                      <w:divsChild>
                        <w:div w:id="731851411">
                          <w:marLeft w:val="0"/>
                          <w:marRight w:val="0"/>
                          <w:marTop w:val="0"/>
                          <w:marBottom w:val="0"/>
                          <w:divBdr>
                            <w:top w:val="none" w:sz="0" w:space="0" w:color="auto"/>
                            <w:left w:val="none" w:sz="0" w:space="0" w:color="auto"/>
                            <w:bottom w:val="none" w:sz="0" w:space="0" w:color="auto"/>
                            <w:right w:val="none" w:sz="0" w:space="0" w:color="auto"/>
                          </w:divBdr>
                          <w:divsChild>
                            <w:div w:id="956832764">
                              <w:marLeft w:val="0"/>
                              <w:marRight w:val="0"/>
                              <w:marTop w:val="0"/>
                              <w:marBottom w:val="0"/>
                              <w:divBdr>
                                <w:top w:val="none" w:sz="0" w:space="0" w:color="auto"/>
                                <w:left w:val="none" w:sz="0" w:space="0" w:color="auto"/>
                                <w:bottom w:val="none" w:sz="0" w:space="0" w:color="auto"/>
                                <w:right w:val="none" w:sz="0" w:space="0" w:color="auto"/>
                              </w:divBdr>
                              <w:divsChild>
                                <w:div w:id="303778686">
                                  <w:marLeft w:val="0"/>
                                  <w:marRight w:val="0"/>
                                  <w:marTop w:val="0"/>
                                  <w:marBottom w:val="0"/>
                                  <w:divBdr>
                                    <w:top w:val="none" w:sz="0" w:space="0" w:color="auto"/>
                                    <w:left w:val="none" w:sz="0" w:space="0" w:color="auto"/>
                                    <w:bottom w:val="none" w:sz="0" w:space="0" w:color="auto"/>
                                    <w:right w:val="none" w:sz="0" w:space="0" w:color="auto"/>
                                  </w:divBdr>
                                  <w:divsChild>
                                    <w:div w:id="975253818">
                                      <w:marLeft w:val="0"/>
                                      <w:marRight w:val="0"/>
                                      <w:marTop w:val="0"/>
                                      <w:marBottom w:val="0"/>
                                      <w:divBdr>
                                        <w:top w:val="none" w:sz="0" w:space="0" w:color="auto"/>
                                        <w:left w:val="none" w:sz="0" w:space="0" w:color="auto"/>
                                        <w:bottom w:val="none" w:sz="0" w:space="0" w:color="auto"/>
                                        <w:right w:val="none" w:sz="0" w:space="0" w:color="auto"/>
                                      </w:divBdr>
                                      <w:divsChild>
                                        <w:div w:id="1724333238">
                                          <w:marLeft w:val="0"/>
                                          <w:marRight w:val="0"/>
                                          <w:marTop w:val="0"/>
                                          <w:marBottom w:val="0"/>
                                          <w:divBdr>
                                            <w:top w:val="none" w:sz="0" w:space="0" w:color="auto"/>
                                            <w:left w:val="none" w:sz="0" w:space="0" w:color="auto"/>
                                            <w:bottom w:val="none" w:sz="0" w:space="0" w:color="auto"/>
                                            <w:right w:val="none" w:sz="0" w:space="0" w:color="auto"/>
                                          </w:divBdr>
                                          <w:divsChild>
                                            <w:div w:id="169756146">
                                              <w:marLeft w:val="0"/>
                                              <w:marRight w:val="0"/>
                                              <w:marTop w:val="0"/>
                                              <w:marBottom w:val="0"/>
                                              <w:divBdr>
                                                <w:top w:val="none" w:sz="0" w:space="0" w:color="auto"/>
                                                <w:left w:val="none" w:sz="0" w:space="0" w:color="auto"/>
                                                <w:bottom w:val="none" w:sz="0" w:space="0" w:color="auto"/>
                                                <w:right w:val="none" w:sz="0" w:space="0" w:color="auto"/>
                                              </w:divBdr>
                                              <w:divsChild>
                                                <w:div w:id="1540514393">
                                                  <w:marLeft w:val="0"/>
                                                  <w:marRight w:val="0"/>
                                                  <w:marTop w:val="0"/>
                                                  <w:marBottom w:val="0"/>
                                                  <w:divBdr>
                                                    <w:top w:val="none" w:sz="0" w:space="0" w:color="auto"/>
                                                    <w:left w:val="none" w:sz="0" w:space="0" w:color="auto"/>
                                                    <w:bottom w:val="none" w:sz="0" w:space="0" w:color="auto"/>
                                                    <w:right w:val="none" w:sz="0" w:space="0" w:color="auto"/>
                                                  </w:divBdr>
                                                  <w:divsChild>
                                                    <w:div w:id="2111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706596">
      <w:bodyDiv w:val="1"/>
      <w:marLeft w:val="0"/>
      <w:marRight w:val="0"/>
      <w:marTop w:val="0"/>
      <w:marBottom w:val="0"/>
      <w:divBdr>
        <w:top w:val="none" w:sz="0" w:space="0" w:color="auto"/>
        <w:left w:val="none" w:sz="0" w:space="0" w:color="auto"/>
        <w:bottom w:val="none" w:sz="0" w:space="0" w:color="auto"/>
        <w:right w:val="none" w:sz="0" w:space="0" w:color="auto"/>
      </w:divBdr>
    </w:div>
    <w:div w:id="1064840189">
      <w:bodyDiv w:val="1"/>
      <w:marLeft w:val="0"/>
      <w:marRight w:val="0"/>
      <w:marTop w:val="0"/>
      <w:marBottom w:val="0"/>
      <w:divBdr>
        <w:top w:val="none" w:sz="0" w:space="0" w:color="auto"/>
        <w:left w:val="none" w:sz="0" w:space="0" w:color="auto"/>
        <w:bottom w:val="none" w:sz="0" w:space="0" w:color="auto"/>
        <w:right w:val="none" w:sz="0" w:space="0" w:color="auto"/>
      </w:divBdr>
    </w:div>
    <w:div w:id="1563783737">
      <w:bodyDiv w:val="1"/>
      <w:marLeft w:val="0"/>
      <w:marRight w:val="0"/>
      <w:marTop w:val="0"/>
      <w:marBottom w:val="0"/>
      <w:divBdr>
        <w:top w:val="none" w:sz="0" w:space="0" w:color="auto"/>
        <w:left w:val="none" w:sz="0" w:space="0" w:color="auto"/>
        <w:bottom w:val="none" w:sz="0" w:space="0" w:color="auto"/>
        <w:right w:val="none" w:sz="0" w:space="0" w:color="auto"/>
      </w:divBdr>
    </w:div>
    <w:div w:id="1655259378">
      <w:bodyDiv w:val="1"/>
      <w:marLeft w:val="0"/>
      <w:marRight w:val="0"/>
      <w:marTop w:val="0"/>
      <w:marBottom w:val="0"/>
      <w:divBdr>
        <w:top w:val="none" w:sz="0" w:space="0" w:color="auto"/>
        <w:left w:val="none" w:sz="0" w:space="0" w:color="auto"/>
        <w:bottom w:val="none" w:sz="0" w:space="0" w:color="auto"/>
        <w:right w:val="none" w:sz="0" w:space="0" w:color="auto"/>
      </w:divBdr>
    </w:div>
    <w:div w:id="1700281324">
      <w:bodyDiv w:val="1"/>
      <w:marLeft w:val="0"/>
      <w:marRight w:val="0"/>
      <w:marTop w:val="0"/>
      <w:marBottom w:val="0"/>
      <w:divBdr>
        <w:top w:val="none" w:sz="0" w:space="0" w:color="auto"/>
        <w:left w:val="none" w:sz="0" w:space="0" w:color="auto"/>
        <w:bottom w:val="none" w:sz="0" w:space="0" w:color="auto"/>
        <w:right w:val="none" w:sz="0" w:space="0" w:color="auto"/>
      </w:divBdr>
      <w:divsChild>
        <w:div w:id="1613628515">
          <w:marLeft w:val="0"/>
          <w:marRight w:val="0"/>
          <w:marTop w:val="0"/>
          <w:marBottom w:val="0"/>
          <w:divBdr>
            <w:top w:val="none" w:sz="0" w:space="0" w:color="auto"/>
            <w:left w:val="none" w:sz="0" w:space="0" w:color="auto"/>
            <w:bottom w:val="none" w:sz="0" w:space="0" w:color="auto"/>
            <w:right w:val="none" w:sz="0" w:space="0" w:color="auto"/>
          </w:divBdr>
          <w:divsChild>
            <w:div w:id="161967795">
              <w:marLeft w:val="0"/>
              <w:marRight w:val="0"/>
              <w:marTop w:val="0"/>
              <w:marBottom w:val="0"/>
              <w:divBdr>
                <w:top w:val="none" w:sz="0" w:space="0" w:color="auto"/>
                <w:left w:val="none" w:sz="0" w:space="0" w:color="auto"/>
                <w:bottom w:val="none" w:sz="0" w:space="0" w:color="auto"/>
                <w:right w:val="none" w:sz="0" w:space="0" w:color="auto"/>
              </w:divBdr>
              <w:divsChild>
                <w:div w:id="894314065">
                  <w:marLeft w:val="0"/>
                  <w:marRight w:val="0"/>
                  <w:marTop w:val="0"/>
                  <w:marBottom w:val="0"/>
                  <w:divBdr>
                    <w:top w:val="none" w:sz="0" w:space="0" w:color="auto"/>
                    <w:left w:val="none" w:sz="0" w:space="0" w:color="auto"/>
                    <w:bottom w:val="none" w:sz="0" w:space="0" w:color="auto"/>
                    <w:right w:val="none" w:sz="0" w:space="0" w:color="auto"/>
                  </w:divBdr>
                  <w:divsChild>
                    <w:div w:id="2128545654">
                      <w:marLeft w:val="0"/>
                      <w:marRight w:val="0"/>
                      <w:marTop w:val="0"/>
                      <w:marBottom w:val="0"/>
                      <w:divBdr>
                        <w:top w:val="none" w:sz="0" w:space="0" w:color="auto"/>
                        <w:left w:val="none" w:sz="0" w:space="0" w:color="auto"/>
                        <w:bottom w:val="none" w:sz="0" w:space="0" w:color="auto"/>
                        <w:right w:val="none" w:sz="0" w:space="0" w:color="auto"/>
                      </w:divBdr>
                      <w:divsChild>
                        <w:div w:id="1800149694">
                          <w:marLeft w:val="0"/>
                          <w:marRight w:val="0"/>
                          <w:marTop w:val="0"/>
                          <w:marBottom w:val="0"/>
                          <w:divBdr>
                            <w:top w:val="none" w:sz="0" w:space="0" w:color="auto"/>
                            <w:left w:val="none" w:sz="0" w:space="0" w:color="auto"/>
                            <w:bottom w:val="none" w:sz="0" w:space="0" w:color="auto"/>
                            <w:right w:val="none" w:sz="0" w:space="0" w:color="auto"/>
                          </w:divBdr>
                          <w:divsChild>
                            <w:div w:id="659315648">
                              <w:marLeft w:val="0"/>
                              <w:marRight w:val="0"/>
                              <w:marTop w:val="0"/>
                              <w:marBottom w:val="0"/>
                              <w:divBdr>
                                <w:top w:val="none" w:sz="0" w:space="0" w:color="auto"/>
                                <w:left w:val="none" w:sz="0" w:space="0" w:color="auto"/>
                                <w:bottom w:val="none" w:sz="0" w:space="0" w:color="auto"/>
                                <w:right w:val="none" w:sz="0" w:space="0" w:color="auto"/>
                              </w:divBdr>
                              <w:divsChild>
                                <w:div w:id="1825505828">
                                  <w:marLeft w:val="0"/>
                                  <w:marRight w:val="0"/>
                                  <w:marTop w:val="0"/>
                                  <w:marBottom w:val="0"/>
                                  <w:divBdr>
                                    <w:top w:val="none" w:sz="0" w:space="0" w:color="auto"/>
                                    <w:left w:val="none" w:sz="0" w:space="0" w:color="auto"/>
                                    <w:bottom w:val="none" w:sz="0" w:space="0" w:color="auto"/>
                                    <w:right w:val="none" w:sz="0" w:space="0" w:color="auto"/>
                                  </w:divBdr>
                                  <w:divsChild>
                                    <w:div w:id="1028678792">
                                      <w:marLeft w:val="0"/>
                                      <w:marRight w:val="0"/>
                                      <w:marTop w:val="0"/>
                                      <w:marBottom w:val="0"/>
                                      <w:divBdr>
                                        <w:top w:val="none" w:sz="0" w:space="0" w:color="auto"/>
                                        <w:left w:val="none" w:sz="0" w:space="0" w:color="auto"/>
                                        <w:bottom w:val="none" w:sz="0" w:space="0" w:color="auto"/>
                                        <w:right w:val="none" w:sz="0" w:space="0" w:color="auto"/>
                                      </w:divBdr>
                                      <w:divsChild>
                                        <w:div w:id="1683238229">
                                          <w:marLeft w:val="0"/>
                                          <w:marRight w:val="0"/>
                                          <w:marTop w:val="0"/>
                                          <w:marBottom w:val="0"/>
                                          <w:divBdr>
                                            <w:top w:val="none" w:sz="0" w:space="0" w:color="auto"/>
                                            <w:left w:val="none" w:sz="0" w:space="0" w:color="auto"/>
                                            <w:bottom w:val="none" w:sz="0" w:space="0" w:color="auto"/>
                                            <w:right w:val="none" w:sz="0" w:space="0" w:color="auto"/>
                                          </w:divBdr>
                                          <w:divsChild>
                                            <w:div w:id="1653562240">
                                              <w:marLeft w:val="0"/>
                                              <w:marRight w:val="0"/>
                                              <w:marTop w:val="0"/>
                                              <w:marBottom w:val="0"/>
                                              <w:divBdr>
                                                <w:top w:val="none" w:sz="0" w:space="0" w:color="auto"/>
                                                <w:left w:val="none" w:sz="0" w:space="0" w:color="auto"/>
                                                <w:bottom w:val="none" w:sz="0" w:space="0" w:color="auto"/>
                                                <w:right w:val="none" w:sz="0" w:space="0" w:color="auto"/>
                                              </w:divBdr>
                                              <w:divsChild>
                                                <w:div w:id="34895603">
                                                  <w:marLeft w:val="0"/>
                                                  <w:marRight w:val="0"/>
                                                  <w:marTop w:val="0"/>
                                                  <w:marBottom w:val="0"/>
                                                  <w:divBdr>
                                                    <w:top w:val="none" w:sz="0" w:space="0" w:color="auto"/>
                                                    <w:left w:val="none" w:sz="0" w:space="0" w:color="auto"/>
                                                    <w:bottom w:val="none" w:sz="0" w:space="0" w:color="auto"/>
                                                    <w:right w:val="none" w:sz="0" w:space="0" w:color="auto"/>
                                                  </w:divBdr>
                                                  <w:divsChild>
                                                    <w:div w:id="70785638">
                                                      <w:marLeft w:val="0"/>
                                                      <w:marRight w:val="0"/>
                                                      <w:marTop w:val="0"/>
                                                      <w:marBottom w:val="0"/>
                                                      <w:divBdr>
                                                        <w:top w:val="none" w:sz="0" w:space="0" w:color="auto"/>
                                                        <w:left w:val="none" w:sz="0" w:space="0" w:color="auto"/>
                                                        <w:bottom w:val="none" w:sz="0" w:space="0" w:color="auto"/>
                                                        <w:right w:val="none" w:sz="0" w:space="0" w:color="auto"/>
                                                      </w:divBdr>
                                                      <w:divsChild>
                                                        <w:div w:id="596715693">
                                                          <w:marLeft w:val="0"/>
                                                          <w:marRight w:val="0"/>
                                                          <w:marTop w:val="0"/>
                                                          <w:marBottom w:val="0"/>
                                                          <w:divBdr>
                                                            <w:top w:val="none" w:sz="0" w:space="0" w:color="auto"/>
                                                            <w:left w:val="none" w:sz="0" w:space="0" w:color="auto"/>
                                                            <w:bottom w:val="none" w:sz="0" w:space="0" w:color="auto"/>
                                                            <w:right w:val="none" w:sz="0" w:space="0" w:color="auto"/>
                                                          </w:divBdr>
                                                          <w:divsChild>
                                                            <w:div w:id="2065375345">
                                                              <w:marLeft w:val="0"/>
                                                              <w:marRight w:val="0"/>
                                                              <w:marTop w:val="0"/>
                                                              <w:marBottom w:val="0"/>
                                                              <w:divBdr>
                                                                <w:top w:val="none" w:sz="0" w:space="0" w:color="auto"/>
                                                                <w:left w:val="none" w:sz="0" w:space="0" w:color="auto"/>
                                                                <w:bottom w:val="none" w:sz="0" w:space="0" w:color="auto"/>
                                                                <w:right w:val="none" w:sz="0" w:space="0" w:color="auto"/>
                                                              </w:divBdr>
                                                              <w:divsChild>
                                                                <w:div w:id="1115294013">
                                                                  <w:marLeft w:val="0"/>
                                                                  <w:marRight w:val="75"/>
                                                                  <w:marTop w:val="0"/>
                                                                  <w:marBottom w:val="0"/>
                                                                  <w:divBdr>
                                                                    <w:top w:val="none" w:sz="0" w:space="0" w:color="auto"/>
                                                                    <w:left w:val="none" w:sz="0" w:space="0" w:color="auto"/>
                                                                    <w:bottom w:val="none" w:sz="0" w:space="0" w:color="auto"/>
                                                                    <w:right w:val="none" w:sz="0" w:space="0" w:color="auto"/>
                                                                  </w:divBdr>
                                                                </w:div>
                                                                <w:div w:id="1683168611">
                                                                  <w:marLeft w:val="0"/>
                                                                  <w:marRight w:val="0"/>
                                                                  <w:marTop w:val="0"/>
                                                                  <w:marBottom w:val="0"/>
                                                                  <w:divBdr>
                                                                    <w:top w:val="none" w:sz="0" w:space="0" w:color="auto"/>
                                                                    <w:left w:val="none" w:sz="0" w:space="0" w:color="auto"/>
                                                                    <w:bottom w:val="none" w:sz="0" w:space="0" w:color="auto"/>
                                                                    <w:right w:val="none" w:sz="0" w:space="0" w:color="auto"/>
                                                                  </w:divBdr>
                                                                  <w:divsChild>
                                                                    <w:div w:id="1719354686">
                                                                      <w:marLeft w:val="0"/>
                                                                      <w:marRight w:val="0"/>
                                                                      <w:marTop w:val="0"/>
                                                                      <w:marBottom w:val="0"/>
                                                                      <w:divBdr>
                                                                        <w:top w:val="none" w:sz="0" w:space="0" w:color="auto"/>
                                                                        <w:left w:val="none" w:sz="0" w:space="0" w:color="auto"/>
                                                                        <w:bottom w:val="none" w:sz="0" w:space="0" w:color="auto"/>
                                                                        <w:right w:val="none" w:sz="0" w:space="0" w:color="auto"/>
                                                                      </w:divBdr>
                                                                      <w:divsChild>
                                                                        <w:div w:id="328993822">
                                                                          <w:marLeft w:val="0"/>
                                                                          <w:marRight w:val="0"/>
                                                                          <w:marTop w:val="0"/>
                                                                          <w:marBottom w:val="0"/>
                                                                          <w:divBdr>
                                                                            <w:top w:val="none" w:sz="0" w:space="0" w:color="auto"/>
                                                                            <w:left w:val="none" w:sz="0" w:space="0" w:color="auto"/>
                                                                            <w:bottom w:val="none" w:sz="0" w:space="0" w:color="auto"/>
                                                                            <w:right w:val="none" w:sz="0" w:space="0" w:color="auto"/>
                                                                          </w:divBdr>
                                                                          <w:divsChild>
                                                                            <w:div w:id="1760634980">
                                                                              <w:marLeft w:val="0"/>
                                                                              <w:marRight w:val="0"/>
                                                                              <w:marTop w:val="0"/>
                                                                              <w:marBottom w:val="0"/>
                                                                              <w:divBdr>
                                                                                <w:top w:val="none" w:sz="0" w:space="0" w:color="auto"/>
                                                                                <w:left w:val="none" w:sz="0" w:space="0" w:color="auto"/>
                                                                                <w:bottom w:val="none" w:sz="0" w:space="0" w:color="auto"/>
                                                                                <w:right w:val="none" w:sz="0" w:space="0" w:color="auto"/>
                                                                              </w:divBdr>
                                                                            </w:div>
                                                                            <w:div w:id="6847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3098">
                                                                      <w:marLeft w:val="0"/>
                                                                      <w:marRight w:val="0"/>
                                                                      <w:marTop w:val="0"/>
                                                                      <w:marBottom w:val="0"/>
                                                                      <w:divBdr>
                                                                        <w:top w:val="none" w:sz="0" w:space="0" w:color="auto"/>
                                                                        <w:left w:val="none" w:sz="0" w:space="0" w:color="auto"/>
                                                                        <w:bottom w:val="none" w:sz="0" w:space="0" w:color="auto"/>
                                                                        <w:right w:val="none" w:sz="0" w:space="0" w:color="auto"/>
                                                                      </w:divBdr>
                                                                    </w:div>
                                                                    <w:div w:id="333192545">
                                                                      <w:marLeft w:val="0"/>
                                                                      <w:marRight w:val="0"/>
                                                                      <w:marTop w:val="0"/>
                                                                      <w:marBottom w:val="0"/>
                                                                      <w:divBdr>
                                                                        <w:top w:val="none" w:sz="0" w:space="0" w:color="auto"/>
                                                                        <w:left w:val="none" w:sz="0" w:space="0" w:color="auto"/>
                                                                        <w:bottom w:val="none" w:sz="0" w:space="0" w:color="auto"/>
                                                                        <w:right w:val="none" w:sz="0" w:space="0" w:color="auto"/>
                                                                      </w:divBdr>
                                                                    </w:div>
                                                                    <w:div w:id="512107360">
                                                                      <w:marLeft w:val="0"/>
                                                                      <w:marRight w:val="0"/>
                                                                      <w:marTop w:val="0"/>
                                                                      <w:marBottom w:val="0"/>
                                                                      <w:divBdr>
                                                                        <w:top w:val="none" w:sz="0" w:space="0" w:color="auto"/>
                                                                        <w:left w:val="none" w:sz="0" w:space="0" w:color="auto"/>
                                                                        <w:bottom w:val="none" w:sz="0" w:space="0" w:color="auto"/>
                                                                        <w:right w:val="none" w:sz="0" w:space="0" w:color="auto"/>
                                                                      </w:divBdr>
                                                                    </w:div>
                                                                    <w:div w:id="4929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9775">
                                                      <w:marLeft w:val="0"/>
                                                      <w:marRight w:val="0"/>
                                                      <w:marTop w:val="0"/>
                                                      <w:marBottom w:val="0"/>
                                                      <w:divBdr>
                                                        <w:top w:val="none" w:sz="0" w:space="0" w:color="auto"/>
                                                        <w:left w:val="none" w:sz="0" w:space="0" w:color="auto"/>
                                                        <w:bottom w:val="none" w:sz="0" w:space="0" w:color="auto"/>
                                                        <w:right w:val="none" w:sz="0" w:space="0" w:color="auto"/>
                                                      </w:divBdr>
                                                      <w:divsChild>
                                                        <w:div w:id="1263033108">
                                                          <w:marLeft w:val="0"/>
                                                          <w:marRight w:val="0"/>
                                                          <w:marTop w:val="0"/>
                                                          <w:marBottom w:val="0"/>
                                                          <w:divBdr>
                                                            <w:top w:val="none" w:sz="0" w:space="0" w:color="auto"/>
                                                            <w:left w:val="none" w:sz="0" w:space="0" w:color="auto"/>
                                                            <w:bottom w:val="none" w:sz="0" w:space="0" w:color="auto"/>
                                                            <w:right w:val="none" w:sz="0" w:space="0" w:color="auto"/>
                                                          </w:divBdr>
                                                          <w:divsChild>
                                                            <w:div w:id="99373500">
                                                              <w:marLeft w:val="0"/>
                                                              <w:marRight w:val="0"/>
                                                              <w:marTop w:val="0"/>
                                                              <w:marBottom w:val="0"/>
                                                              <w:divBdr>
                                                                <w:top w:val="none" w:sz="0" w:space="0" w:color="auto"/>
                                                                <w:left w:val="none" w:sz="0" w:space="0" w:color="auto"/>
                                                                <w:bottom w:val="none" w:sz="0" w:space="0" w:color="auto"/>
                                                                <w:right w:val="none" w:sz="0" w:space="0" w:color="auto"/>
                                                              </w:divBdr>
                                                              <w:divsChild>
                                                                <w:div w:id="1498618594">
                                                                  <w:marLeft w:val="0"/>
                                                                  <w:marRight w:val="75"/>
                                                                  <w:marTop w:val="0"/>
                                                                  <w:marBottom w:val="0"/>
                                                                  <w:divBdr>
                                                                    <w:top w:val="none" w:sz="0" w:space="0" w:color="auto"/>
                                                                    <w:left w:val="none" w:sz="0" w:space="0" w:color="auto"/>
                                                                    <w:bottom w:val="none" w:sz="0" w:space="0" w:color="auto"/>
                                                                    <w:right w:val="none" w:sz="0" w:space="0" w:color="auto"/>
                                                                  </w:divBdr>
                                                                </w:div>
                                                                <w:div w:id="46421652">
                                                                  <w:marLeft w:val="0"/>
                                                                  <w:marRight w:val="0"/>
                                                                  <w:marTop w:val="0"/>
                                                                  <w:marBottom w:val="0"/>
                                                                  <w:divBdr>
                                                                    <w:top w:val="none" w:sz="0" w:space="0" w:color="auto"/>
                                                                    <w:left w:val="none" w:sz="0" w:space="0" w:color="auto"/>
                                                                    <w:bottom w:val="none" w:sz="0" w:space="0" w:color="auto"/>
                                                                    <w:right w:val="none" w:sz="0" w:space="0" w:color="auto"/>
                                                                  </w:divBdr>
                                                                  <w:divsChild>
                                                                    <w:div w:id="1098713347">
                                                                      <w:marLeft w:val="0"/>
                                                                      <w:marRight w:val="0"/>
                                                                      <w:marTop w:val="0"/>
                                                                      <w:marBottom w:val="0"/>
                                                                      <w:divBdr>
                                                                        <w:top w:val="none" w:sz="0" w:space="0" w:color="auto"/>
                                                                        <w:left w:val="none" w:sz="0" w:space="0" w:color="auto"/>
                                                                        <w:bottom w:val="none" w:sz="0" w:space="0" w:color="auto"/>
                                                                        <w:right w:val="none" w:sz="0" w:space="0" w:color="auto"/>
                                                                      </w:divBdr>
                                                                      <w:divsChild>
                                                                        <w:div w:id="197085125">
                                                                          <w:marLeft w:val="0"/>
                                                                          <w:marRight w:val="0"/>
                                                                          <w:marTop w:val="0"/>
                                                                          <w:marBottom w:val="0"/>
                                                                          <w:divBdr>
                                                                            <w:top w:val="none" w:sz="0" w:space="0" w:color="auto"/>
                                                                            <w:left w:val="none" w:sz="0" w:space="0" w:color="auto"/>
                                                                            <w:bottom w:val="none" w:sz="0" w:space="0" w:color="auto"/>
                                                                            <w:right w:val="none" w:sz="0" w:space="0" w:color="auto"/>
                                                                          </w:divBdr>
                                                                          <w:divsChild>
                                                                            <w:div w:id="1799376378">
                                                                              <w:marLeft w:val="0"/>
                                                                              <w:marRight w:val="0"/>
                                                                              <w:marTop w:val="0"/>
                                                                              <w:marBottom w:val="0"/>
                                                                              <w:divBdr>
                                                                                <w:top w:val="none" w:sz="0" w:space="0" w:color="auto"/>
                                                                                <w:left w:val="none" w:sz="0" w:space="0" w:color="auto"/>
                                                                                <w:bottom w:val="none" w:sz="0" w:space="0" w:color="auto"/>
                                                                                <w:right w:val="none" w:sz="0" w:space="0" w:color="auto"/>
                                                                              </w:divBdr>
                                                                            </w:div>
                                                                            <w:div w:id="10617119">
                                                                              <w:marLeft w:val="0"/>
                                                                              <w:marRight w:val="0"/>
                                                                              <w:marTop w:val="0"/>
                                                                              <w:marBottom w:val="0"/>
                                                                              <w:divBdr>
                                                                                <w:top w:val="none" w:sz="0" w:space="0" w:color="auto"/>
                                                                                <w:left w:val="none" w:sz="0" w:space="0" w:color="auto"/>
                                                                                <w:bottom w:val="none" w:sz="0" w:space="0" w:color="auto"/>
                                                                                <w:right w:val="none" w:sz="0" w:space="0" w:color="auto"/>
                                                                              </w:divBdr>
                                                                            </w:div>
                                                                          </w:divsChild>
                                                                        </w:div>
                                                                        <w:div w:id="1054695589">
                                                                          <w:marLeft w:val="0"/>
                                                                          <w:marRight w:val="0"/>
                                                                          <w:marTop w:val="0"/>
                                                                          <w:marBottom w:val="0"/>
                                                                          <w:divBdr>
                                                                            <w:top w:val="none" w:sz="0" w:space="0" w:color="auto"/>
                                                                            <w:left w:val="none" w:sz="0" w:space="0" w:color="auto"/>
                                                                            <w:bottom w:val="none" w:sz="0" w:space="0" w:color="auto"/>
                                                                            <w:right w:val="none" w:sz="0" w:space="0" w:color="auto"/>
                                                                          </w:divBdr>
                                                                          <w:divsChild>
                                                                            <w:div w:id="1846624423">
                                                                              <w:marLeft w:val="0"/>
                                                                              <w:marRight w:val="0"/>
                                                                              <w:marTop w:val="0"/>
                                                                              <w:marBottom w:val="0"/>
                                                                              <w:divBdr>
                                                                                <w:top w:val="none" w:sz="0" w:space="0" w:color="auto"/>
                                                                                <w:left w:val="none" w:sz="0" w:space="0" w:color="auto"/>
                                                                                <w:bottom w:val="none" w:sz="0" w:space="0" w:color="auto"/>
                                                                                <w:right w:val="none" w:sz="0" w:space="0" w:color="auto"/>
                                                                              </w:divBdr>
                                                                            </w:div>
                                                                            <w:div w:id="1392777419">
                                                                              <w:marLeft w:val="0"/>
                                                                              <w:marRight w:val="0"/>
                                                                              <w:marTop w:val="0"/>
                                                                              <w:marBottom w:val="0"/>
                                                                              <w:divBdr>
                                                                                <w:top w:val="none" w:sz="0" w:space="0" w:color="auto"/>
                                                                                <w:left w:val="none" w:sz="0" w:space="0" w:color="auto"/>
                                                                                <w:bottom w:val="none" w:sz="0" w:space="0" w:color="auto"/>
                                                                                <w:right w:val="none" w:sz="0" w:space="0" w:color="auto"/>
                                                                              </w:divBdr>
                                                                            </w:div>
                                                                          </w:divsChild>
                                                                        </w:div>
                                                                        <w:div w:id="522326572">
                                                                          <w:marLeft w:val="0"/>
                                                                          <w:marRight w:val="0"/>
                                                                          <w:marTop w:val="0"/>
                                                                          <w:marBottom w:val="0"/>
                                                                          <w:divBdr>
                                                                            <w:top w:val="none" w:sz="0" w:space="0" w:color="auto"/>
                                                                            <w:left w:val="none" w:sz="0" w:space="0" w:color="auto"/>
                                                                            <w:bottom w:val="none" w:sz="0" w:space="0" w:color="auto"/>
                                                                            <w:right w:val="none" w:sz="0" w:space="0" w:color="auto"/>
                                                                          </w:divBdr>
                                                                          <w:divsChild>
                                                                            <w:div w:id="903414508">
                                                                              <w:marLeft w:val="0"/>
                                                                              <w:marRight w:val="0"/>
                                                                              <w:marTop w:val="0"/>
                                                                              <w:marBottom w:val="0"/>
                                                                              <w:divBdr>
                                                                                <w:top w:val="none" w:sz="0" w:space="0" w:color="auto"/>
                                                                                <w:left w:val="none" w:sz="0" w:space="0" w:color="auto"/>
                                                                                <w:bottom w:val="none" w:sz="0" w:space="0" w:color="auto"/>
                                                                                <w:right w:val="none" w:sz="0" w:space="0" w:color="auto"/>
                                                                              </w:divBdr>
                                                                            </w:div>
                                                                            <w:div w:id="2654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964">
                                                                      <w:marLeft w:val="0"/>
                                                                      <w:marRight w:val="0"/>
                                                                      <w:marTop w:val="0"/>
                                                                      <w:marBottom w:val="0"/>
                                                                      <w:divBdr>
                                                                        <w:top w:val="none" w:sz="0" w:space="0" w:color="auto"/>
                                                                        <w:left w:val="none" w:sz="0" w:space="0" w:color="auto"/>
                                                                        <w:bottom w:val="none" w:sz="0" w:space="0" w:color="auto"/>
                                                                        <w:right w:val="none" w:sz="0" w:space="0" w:color="auto"/>
                                                                      </w:divBdr>
                                                                    </w:div>
                                                                    <w:div w:id="368339993">
                                                                      <w:marLeft w:val="0"/>
                                                                      <w:marRight w:val="0"/>
                                                                      <w:marTop w:val="0"/>
                                                                      <w:marBottom w:val="0"/>
                                                                      <w:divBdr>
                                                                        <w:top w:val="none" w:sz="0" w:space="0" w:color="auto"/>
                                                                        <w:left w:val="none" w:sz="0" w:space="0" w:color="auto"/>
                                                                        <w:bottom w:val="none" w:sz="0" w:space="0" w:color="auto"/>
                                                                        <w:right w:val="none" w:sz="0" w:space="0" w:color="auto"/>
                                                                      </w:divBdr>
                                                                    </w:div>
                                                                    <w:div w:id="709576822">
                                                                      <w:marLeft w:val="0"/>
                                                                      <w:marRight w:val="0"/>
                                                                      <w:marTop w:val="0"/>
                                                                      <w:marBottom w:val="0"/>
                                                                      <w:divBdr>
                                                                        <w:top w:val="none" w:sz="0" w:space="0" w:color="auto"/>
                                                                        <w:left w:val="none" w:sz="0" w:space="0" w:color="auto"/>
                                                                        <w:bottom w:val="none" w:sz="0" w:space="0" w:color="auto"/>
                                                                        <w:right w:val="none" w:sz="0" w:space="0" w:color="auto"/>
                                                                      </w:divBdr>
                                                                    </w:div>
                                                                    <w:div w:id="1782259826">
                                                                      <w:marLeft w:val="0"/>
                                                                      <w:marRight w:val="0"/>
                                                                      <w:marTop w:val="0"/>
                                                                      <w:marBottom w:val="0"/>
                                                                      <w:divBdr>
                                                                        <w:top w:val="none" w:sz="0" w:space="0" w:color="auto"/>
                                                                        <w:left w:val="none" w:sz="0" w:space="0" w:color="auto"/>
                                                                        <w:bottom w:val="none" w:sz="0" w:space="0" w:color="auto"/>
                                                                        <w:right w:val="none" w:sz="0" w:space="0" w:color="auto"/>
                                                                      </w:divBdr>
                                                                    </w:div>
                                                                    <w:div w:id="1362049200">
                                                                      <w:marLeft w:val="0"/>
                                                                      <w:marRight w:val="0"/>
                                                                      <w:marTop w:val="0"/>
                                                                      <w:marBottom w:val="0"/>
                                                                      <w:divBdr>
                                                                        <w:top w:val="none" w:sz="0" w:space="0" w:color="auto"/>
                                                                        <w:left w:val="none" w:sz="0" w:space="0" w:color="auto"/>
                                                                        <w:bottom w:val="none" w:sz="0" w:space="0" w:color="auto"/>
                                                                        <w:right w:val="none" w:sz="0" w:space="0" w:color="auto"/>
                                                                      </w:divBdr>
                                                                    </w:div>
                                                                    <w:div w:id="1208688657">
                                                                      <w:marLeft w:val="0"/>
                                                                      <w:marRight w:val="0"/>
                                                                      <w:marTop w:val="0"/>
                                                                      <w:marBottom w:val="0"/>
                                                                      <w:divBdr>
                                                                        <w:top w:val="none" w:sz="0" w:space="0" w:color="auto"/>
                                                                        <w:left w:val="none" w:sz="0" w:space="0" w:color="auto"/>
                                                                        <w:bottom w:val="none" w:sz="0" w:space="0" w:color="auto"/>
                                                                        <w:right w:val="none" w:sz="0" w:space="0" w:color="auto"/>
                                                                      </w:divBdr>
                                                                    </w:div>
                                                                    <w:div w:id="874080138">
                                                                      <w:marLeft w:val="0"/>
                                                                      <w:marRight w:val="0"/>
                                                                      <w:marTop w:val="0"/>
                                                                      <w:marBottom w:val="0"/>
                                                                      <w:divBdr>
                                                                        <w:top w:val="none" w:sz="0" w:space="0" w:color="auto"/>
                                                                        <w:left w:val="none" w:sz="0" w:space="0" w:color="auto"/>
                                                                        <w:bottom w:val="none" w:sz="0" w:space="0" w:color="auto"/>
                                                                        <w:right w:val="none" w:sz="0" w:space="0" w:color="auto"/>
                                                                      </w:divBdr>
                                                                    </w:div>
                                                                    <w:div w:id="141821295">
                                                                      <w:marLeft w:val="0"/>
                                                                      <w:marRight w:val="0"/>
                                                                      <w:marTop w:val="0"/>
                                                                      <w:marBottom w:val="0"/>
                                                                      <w:divBdr>
                                                                        <w:top w:val="none" w:sz="0" w:space="0" w:color="auto"/>
                                                                        <w:left w:val="none" w:sz="0" w:space="0" w:color="auto"/>
                                                                        <w:bottom w:val="none" w:sz="0" w:space="0" w:color="auto"/>
                                                                        <w:right w:val="none" w:sz="0" w:space="0" w:color="auto"/>
                                                                      </w:divBdr>
                                                                      <w:divsChild>
                                                                        <w:div w:id="762258540">
                                                                          <w:marLeft w:val="0"/>
                                                                          <w:marRight w:val="0"/>
                                                                          <w:marTop w:val="0"/>
                                                                          <w:marBottom w:val="0"/>
                                                                          <w:divBdr>
                                                                            <w:top w:val="none" w:sz="0" w:space="0" w:color="auto"/>
                                                                            <w:left w:val="none" w:sz="0" w:space="0" w:color="auto"/>
                                                                            <w:bottom w:val="none" w:sz="0" w:space="0" w:color="auto"/>
                                                                            <w:right w:val="none" w:sz="0" w:space="0" w:color="auto"/>
                                                                          </w:divBdr>
                                                                        </w:div>
                                                                        <w:div w:id="1662735903">
                                                                          <w:marLeft w:val="0"/>
                                                                          <w:marRight w:val="0"/>
                                                                          <w:marTop w:val="0"/>
                                                                          <w:marBottom w:val="0"/>
                                                                          <w:divBdr>
                                                                            <w:top w:val="none" w:sz="0" w:space="0" w:color="auto"/>
                                                                            <w:left w:val="none" w:sz="0" w:space="0" w:color="auto"/>
                                                                            <w:bottom w:val="none" w:sz="0" w:space="0" w:color="auto"/>
                                                                            <w:right w:val="none" w:sz="0" w:space="0" w:color="auto"/>
                                                                          </w:divBdr>
                                                                        </w:div>
                                                                        <w:div w:id="343899741">
                                                                          <w:marLeft w:val="0"/>
                                                                          <w:marRight w:val="0"/>
                                                                          <w:marTop w:val="0"/>
                                                                          <w:marBottom w:val="0"/>
                                                                          <w:divBdr>
                                                                            <w:top w:val="none" w:sz="0" w:space="0" w:color="auto"/>
                                                                            <w:left w:val="none" w:sz="0" w:space="0" w:color="auto"/>
                                                                            <w:bottom w:val="none" w:sz="0" w:space="0" w:color="auto"/>
                                                                            <w:right w:val="none" w:sz="0" w:space="0" w:color="auto"/>
                                                                          </w:divBdr>
                                                                        </w:div>
                                                                        <w:div w:id="18502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847018">
      <w:bodyDiv w:val="1"/>
      <w:marLeft w:val="0"/>
      <w:marRight w:val="0"/>
      <w:marTop w:val="0"/>
      <w:marBottom w:val="0"/>
      <w:divBdr>
        <w:top w:val="none" w:sz="0" w:space="0" w:color="auto"/>
        <w:left w:val="none" w:sz="0" w:space="0" w:color="auto"/>
        <w:bottom w:val="none" w:sz="0" w:space="0" w:color="auto"/>
        <w:right w:val="none" w:sz="0" w:space="0" w:color="auto"/>
      </w:divBdr>
    </w:div>
    <w:div w:id="1886526612">
      <w:bodyDiv w:val="1"/>
      <w:marLeft w:val="0"/>
      <w:marRight w:val="0"/>
      <w:marTop w:val="0"/>
      <w:marBottom w:val="0"/>
      <w:divBdr>
        <w:top w:val="none" w:sz="0" w:space="0" w:color="auto"/>
        <w:left w:val="none" w:sz="0" w:space="0" w:color="auto"/>
        <w:bottom w:val="none" w:sz="0" w:space="0" w:color="auto"/>
        <w:right w:val="none" w:sz="0" w:space="0" w:color="auto"/>
      </w:divBdr>
      <w:divsChild>
        <w:div w:id="1465467601">
          <w:marLeft w:val="0"/>
          <w:marRight w:val="0"/>
          <w:marTop w:val="0"/>
          <w:marBottom w:val="0"/>
          <w:divBdr>
            <w:top w:val="none" w:sz="0" w:space="0" w:color="auto"/>
            <w:left w:val="none" w:sz="0" w:space="0" w:color="auto"/>
            <w:bottom w:val="none" w:sz="0" w:space="0" w:color="auto"/>
            <w:right w:val="none" w:sz="0" w:space="0" w:color="auto"/>
          </w:divBdr>
          <w:divsChild>
            <w:div w:id="734860812">
              <w:marLeft w:val="0"/>
              <w:marRight w:val="0"/>
              <w:marTop w:val="0"/>
              <w:marBottom w:val="0"/>
              <w:divBdr>
                <w:top w:val="none" w:sz="0" w:space="0" w:color="auto"/>
                <w:left w:val="none" w:sz="0" w:space="0" w:color="auto"/>
                <w:bottom w:val="none" w:sz="0" w:space="0" w:color="auto"/>
                <w:right w:val="none" w:sz="0" w:space="0" w:color="auto"/>
              </w:divBdr>
              <w:divsChild>
                <w:div w:id="1707480934">
                  <w:marLeft w:val="0"/>
                  <w:marRight w:val="0"/>
                  <w:marTop w:val="0"/>
                  <w:marBottom w:val="0"/>
                  <w:divBdr>
                    <w:top w:val="none" w:sz="0" w:space="0" w:color="auto"/>
                    <w:left w:val="none" w:sz="0" w:space="0" w:color="auto"/>
                    <w:bottom w:val="none" w:sz="0" w:space="0" w:color="auto"/>
                    <w:right w:val="none" w:sz="0" w:space="0" w:color="auto"/>
                  </w:divBdr>
                  <w:divsChild>
                    <w:div w:id="1141193568">
                      <w:marLeft w:val="0"/>
                      <w:marRight w:val="0"/>
                      <w:marTop w:val="0"/>
                      <w:marBottom w:val="0"/>
                      <w:divBdr>
                        <w:top w:val="none" w:sz="0" w:space="0" w:color="auto"/>
                        <w:left w:val="none" w:sz="0" w:space="0" w:color="auto"/>
                        <w:bottom w:val="none" w:sz="0" w:space="0" w:color="auto"/>
                        <w:right w:val="none" w:sz="0" w:space="0" w:color="auto"/>
                      </w:divBdr>
                      <w:divsChild>
                        <w:div w:id="58869760">
                          <w:marLeft w:val="0"/>
                          <w:marRight w:val="0"/>
                          <w:marTop w:val="0"/>
                          <w:marBottom w:val="0"/>
                          <w:divBdr>
                            <w:top w:val="none" w:sz="0" w:space="0" w:color="auto"/>
                            <w:left w:val="none" w:sz="0" w:space="0" w:color="auto"/>
                            <w:bottom w:val="none" w:sz="0" w:space="0" w:color="auto"/>
                            <w:right w:val="none" w:sz="0" w:space="0" w:color="auto"/>
                          </w:divBdr>
                          <w:divsChild>
                            <w:div w:id="550966267">
                              <w:marLeft w:val="0"/>
                              <w:marRight w:val="0"/>
                              <w:marTop w:val="0"/>
                              <w:marBottom w:val="0"/>
                              <w:divBdr>
                                <w:top w:val="none" w:sz="0" w:space="0" w:color="auto"/>
                                <w:left w:val="none" w:sz="0" w:space="0" w:color="auto"/>
                                <w:bottom w:val="none" w:sz="0" w:space="0" w:color="auto"/>
                                <w:right w:val="none" w:sz="0" w:space="0" w:color="auto"/>
                              </w:divBdr>
                              <w:divsChild>
                                <w:div w:id="220289264">
                                  <w:marLeft w:val="0"/>
                                  <w:marRight w:val="0"/>
                                  <w:marTop w:val="0"/>
                                  <w:marBottom w:val="0"/>
                                  <w:divBdr>
                                    <w:top w:val="none" w:sz="0" w:space="0" w:color="auto"/>
                                    <w:left w:val="none" w:sz="0" w:space="0" w:color="auto"/>
                                    <w:bottom w:val="none" w:sz="0" w:space="0" w:color="auto"/>
                                    <w:right w:val="none" w:sz="0" w:space="0" w:color="auto"/>
                                  </w:divBdr>
                                  <w:divsChild>
                                    <w:div w:id="1068765045">
                                      <w:marLeft w:val="0"/>
                                      <w:marRight w:val="0"/>
                                      <w:marTop w:val="0"/>
                                      <w:marBottom w:val="0"/>
                                      <w:divBdr>
                                        <w:top w:val="none" w:sz="0" w:space="0" w:color="auto"/>
                                        <w:left w:val="none" w:sz="0" w:space="0" w:color="auto"/>
                                        <w:bottom w:val="none" w:sz="0" w:space="0" w:color="auto"/>
                                        <w:right w:val="none" w:sz="0" w:space="0" w:color="auto"/>
                                      </w:divBdr>
                                      <w:divsChild>
                                        <w:div w:id="168910082">
                                          <w:marLeft w:val="0"/>
                                          <w:marRight w:val="0"/>
                                          <w:marTop w:val="0"/>
                                          <w:marBottom w:val="0"/>
                                          <w:divBdr>
                                            <w:top w:val="none" w:sz="0" w:space="0" w:color="auto"/>
                                            <w:left w:val="none" w:sz="0" w:space="0" w:color="auto"/>
                                            <w:bottom w:val="none" w:sz="0" w:space="0" w:color="auto"/>
                                            <w:right w:val="none" w:sz="0" w:space="0" w:color="auto"/>
                                          </w:divBdr>
                                          <w:divsChild>
                                            <w:div w:id="327560385">
                                              <w:marLeft w:val="0"/>
                                              <w:marRight w:val="0"/>
                                              <w:marTop w:val="0"/>
                                              <w:marBottom w:val="0"/>
                                              <w:divBdr>
                                                <w:top w:val="none" w:sz="0" w:space="0" w:color="auto"/>
                                                <w:left w:val="none" w:sz="0" w:space="0" w:color="auto"/>
                                                <w:bottom w:val="none" w:sz="0" w:space="0" w:color="auto"/>
                                                <w:right w:val="none" w:sz="0" w:space="0" w:color="auto"/>
                                              </w:divBdr>
                                              <w:divsChild>
                                                <w:div w:id="8103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60186">
      <w:bodyDiv w:val="1"/>
      <w:marLeft w:val="0"/>
      <w:marRight w:val="0"/>
      <w:marTop w:val="0"/>
      <w:marBottom w:val="0"/>
      <w:divBdr>
        <w:top w:val="none" w:sz="0" w:space="0" w:color="auto"/>
        <w:left w:val="none" w:sz="0" w:space="0" w:color="auto"/>
        <w:bottom w:val="none" w:sz="0" w:space="0" w:color="auto"/>
        <w:right w:val="none" w:sz="0" w:space="0" w:color="auto"/>
      </w:divBdr>
      <w:divsChild>
        <w:div w:id="1920292379">
          <w:marLeft w:val="0"/>
          <w:marRight w:val="1"/>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6836655">
                  <w:marLeft w:val="0"/>
                  <w:marRight w:val="1"/>
                  <w:marTop w:val="0"/>
                  <w:marBottom w:val="0"/>
                  <w:divBdr>
                    <w:top w:val="none" w:sz="0" w:space="0" w:color="auto"/>
                    <w:left w:val="none" w:sz="0" w:space="0" w:color="auto"/>
                    <w:bottom w:val="none" w:sz="0" w:space="0" w:color="auto"/>
                    <w:right w:val="none" w:sz="0" w:space="0" w:color="auto"/>
                  </w:divBdr>
                  <w:divsChild>
                    <w:div w:id="604384189">
                      <w:marLeft w:val="0"/>
                      <w:marRight w:val="0"/>
                      <w:marTop w:val="0"/>
                      <w:marBottom w:val="0"/>
                      <w:divBdr>
                        <w:top w:val="none" w:sz="0" w:space="0" w:color="auto"/>
                        <w:left w:val="none" w:sz="0" w:space="0" w:color="auto"/>
                        <w:bottom w:val="none" w:sz="0" w:space="0" w:color="auto"/>
                        <w:right w:val="none" w:sz="0" w:space="0" w:color="auto"/>
                      </w:divBdr>
                      <w:divsChild>
                        <w:div w:id="1872836556">
                          <w:marLeft w:val="0"/>
                          <w:marRight w:val="0"/>
                          <w:marTop w:val="0"/>
                          <w:marBottom w:val="0"/>
                          <w:divBdr>
                            <w:top w:val="none" w:sz="0" w:space="0" w:color="auto"/>
                            <w:left w:val="none" w:sz="0" w:space="0" w:color="auto"/>
                            <w:bottom w:val="none" w:sz="0" w:space="0" w:color="auto"/>
                            <w:right w:val="none" w:sz="0" w:space="0" w:color="auto"/>
                          </w:divBdr>
                          <w:divsChild>
                            <w:div w:id="87585709">
                              <w:marLeft w:val="0"/>
                              <w:marRight w:val="0"/>
                              <w:marTop w:val="120"/>
                              <w:marBottom w:val="360"/>
                              <w:divBdr>
                                <w:top w:val="none" w:sz="0" w:space="0" w:color="auto"/>
                                <w:left w:val="none" w:sz="0" w:space="0" w:color="auto"/>
                                <w:bottom w:val="none" w:sz="0" w:space="0" w:color="auto"/>
                                <w:right w:val="none" w:sz="0" w:space="0" w:color="auto"/>
                              </w:divBdr>
                              <w:divsChild>
                                <w:div w:id="581451544">
                                  <w:marLeft w:val="0"/>
                                  <w:marRight w:val="0"/>
                                  <w:marTop w:val="0"/>
                                  <w:marBottom w:val="0"/>
                                  <w:divBdr>
                                    <w:top w:val="none" w:sz="0" w:space="0" w:color="auto"/>
                                    <w:left w:val="none" w:sz="0" w:space="0" w:color="auto"/>
                                    <w:bottom w:val="none" w:sz="0" w:space="0" w:color="auto"/>
                                    <w:right w:val="none" w:sz="0" w:space="0" w:color="auto"/>
                                  </w:divBdr>
                                </w:div>
                                <w:div w:id="173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healthservicemodels.eu" TargetMode="External"/><Relationship Id="rId13" Type="http://schemas.openxmlformats.org/officeDocument/2006/relationships/hyperlink" Target="https://www.childsafetyeurope.org/actionplan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hdx.healthdata.org/gbd-results-t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31282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way.euro.who.int/en/datasets/european-health-for-all-database/" TargetMode="External"/><Relationship Id="rId5" Type="http://schemas.openxmlformats.org/officeDocument/2006/relationships/webSettings" Target="webSettings.xml"/><Relationship Id="rId15" Type="http://schemas.openxmlformats.org/officeDocument/2006/relationships/hyperlink" Target="http://www.healthdata.org/acting-data/why-estimate?utm_source=IHME+Updates&amp;utm_campaign=c062742ac8-Weekly_Email_Sep_6_2018&amp;utm_medium=email&amp;utm_term=0_1790fa6746-c062742ac8-422568873" TargetMode="External"/><Relationship Id="rId10" Type="http://schemas.openxmlformats.org/officeDocument/2006/relationships/hyperlink" Target="https://ec.europa.eu/eurostat/data/database" TargetMode="External"/><Relationship Id="rId4" Type="http://schemas.openxmlformats.org/officeDocument/2006/relationships/settings" Target="settings.xml"/><Relationship Id="rId9" Type="http://schemas.openxmlformats.org/officeDocument/2006/relationships/hyperlink" Target="https://treaties.un.org/doc/Treaties/1990/09/19900902%2003-14%20AM/Ch_IV_11p.pdf" TargetMode="External"/><Relationship Id="rId14" Type="http://schemas.openxmlformats.org/officeDocument/2006/relationships/hyperlink" Target="http://www.healthdata.org/sites/default/files/files/WHO-IHME%20MoU_052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2CBA-98B0-4F9C-AC48-B21E8D3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Michael Rigby</dc:creator>
  <cp:keywords/>
  <dc:description/>
  <cp:lastModifiedBy>ProfMRigby</cp:lastModifiedBy>
  <cp:revision>5</cp:revision>
  <cp:lastPrinted>2019-10-07T14:56:00Z</cp:lastPrinted>
  <dcterms:created xsi:type="dcterms:W3CDTF">2020-02-19T11:20:00Z</dcterms:created>
  <dcterms:modified xsi:type="dcterms:W3CDTF">2020-02-19T14:38:00Z</dcterms:modified>
</cp:coreProperties>
</file>