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839" w:rsidRDefault="00683839" w:rsidP="00683839">
      <w:pPr>
        <w:pStyle w:val="Body"/>
        <w:rPr>
          <w:b/>
          <w:iCs/>
        </w:rPr>
      </w:pPr>
      <w:bookmarkStart w:id="0" w:name="_GoBack"/>
      <w:bookmarkEnd w:id="0"/>
      <w:r w:rsidRPr="00743DB6">
        <w:rPr>
          <w:b/>
          <w:iCs/>
        </w:rPr>
        <w:t>Bringing osteoporosis up to date: time to address the identity crisis</w:t>
      </w:r>
    </w:p>
    <w:p w:rsidR="008317F3" w:rsidRPr="00743DB6" w:rsidRDefault="008317F3" w:rsidP="00683839">
      <w:pPr>
        <w:pStyle w:val="Body"/>
        <w:rPr>
          <w:b/>
          <w:iCs/>
        </w:rPr>
      </w:pPr>
    </w:p>
    <w:p w:rsidR="008E4709" w:rsidRPr="00743DB6" w:rsidRDefault="008E4709" w:rsidP="008E4709">
      <w:pPr>
        <w:pStyle w:val="Body"/>
        <w:spacing w:line="480" w:lineRule="auto"/>
        <w:rPr>
          <w:i/>
          <w:iCs/>
        </w:rPr>
      </w:pPr>
      <w:r w:rsidRPr="00743DB6">
        <w:rPr>
          <w:i/>
          <w:iCs/>
        </w:rPr>
        <w:t xml:space="preserve">Barbara sustained a </w:t>
      </w:r>
      <w:r w:rsidR="00D04F26">
        <w:rPr>
          <w:i/>
          <w:iCs/>
        </w:rPr>
        <w:t xml:space="preserve">lumbar </w:t>
      </w:r>
      <w:r w:rsidRPr="00743DB6">
        <w:rPr>
          <w:i/>
          <w:iCs/>
        </w:rPr>
        <w:t xml:space="preserve">vertebral fracture aged </w:t>
      </w:r>
      <w:r w:rsidR="00A83ACA">
        <w:rPr>
          <w:i/>
          <w:iCs/>
        </w:rPr>
        <w:t>76</w:t>
      </w:r>
      <w:r w:rsidR="00A83ACA" w:rsidRPr="00743DB6">
        <w:rPr>
          <w:i/>
          <w:iCs/>
        </w:rPr>
        <w:t xml:space="preserve"> </w:t>
      </w:r>
      <w:r w:rsidRPr="00743DB6">
        <w:rPr>
          <w:i/>
          <w:iCs/>
        </w:rPr>
        <w:t>and was referred for a fracture and falls risk assessment. Her bone</w:t>
      </w:r>
      <w:r w:rsidRPr="00743DB6">
        <w:rPr>
          <w:i/>
          <w:iCs/>
          <w:lang w:val="de-DE"/>
        </w:rPr>
        <w:t xml:space="preserve"> mineral</w:t>
      </w:r>
      <w:r w:rsidRPr="00743DB6">
        <w:rPr>
          <w:i/>
          <w:iCs/>
        </w:rPr>
        <w:t xml:space="preserve"> density (BMD) was above the World Health Organisation (WHO) cut-off for diagnosing osteoporosis, and she was informed she did not have osteoporosis. In line with international</w:t>
      </w:r>
      <w:r w:rsidR="00543C06">
        <w:rPr>
          <w:i/>
          <w:iCs/>
        </w:rPr>
        <w:t xml:space="preserve"> guidance</w:t>
      </w:r>
      <w:r w:rsidR="00A83ACA" w:rsidRPr="00A83ACA">
        <w:rPr>
          <w:i/>
          <w:iCs/>
        </w:rPr>
        <w:t xml:space="preserve"> </w:t>
      </w:r>
      <w:r w:rsidR="00A83ACA">
        <w:rPr>
          <w:i/>
          <w:iCs/>
        </w:rPr>
        <w:t>however</w:t>
      </w:r>
      <w:r w:rsidR="00543C06">
        <w:rPr>
          <w:i/>
          <w:iCs/>
        </w:rPr>
        <w:t>,</w:t>
      </w:r>
      <w:r w:rsidRPr="00743DB6">
        <w:rPr>
          <w:i/>
          <w:iCs/>
        </w:rPr>
        <w:t xml:space="preserve"> a drug treatment for osteoporosis was recommended. She decided not to take it. </w:t>
      </w:r>
    </w:p>
    <w:p w:rsidR="00DD1689" w:rsidRPr="00743DB6" w:rsidRDefault="00DD1689" w:rsidP="00DD1689">
      <w:pPr>
        <w:pStyle w:val="Body"/>
        <w:spacing w:line="480" w:lineRule="auto"/>
      </w:pPr>
      <w:r w:rsidRPr="00743DB6">
        <w:t>Osteoporosis is a systemic skeletal disease characterised by low bone mass and microarchitectural deterioration of bone tissue, with a consequent increase in bone fragility and susceptibility to fracture.</w:t>
      </w:r>
      <w:r w:rsidR="00A23F6F">
        <w:t xml:space="preserve"> </w:t>
      </w:r>
      <w:r w:rsidRPr="00743DB6">
        <w:t>[</w:t>
      </w:r>
      <w:r w:rsidR="00A23F6F">
        <w:t>1</w:t>
      </w:r>
      <w:r w:rsidRPr="00743DB6">
        <w:t xml:space="preserve">] </w:t>
      </w:r>
      <w:r w:rsidR="007C4CD7">
        <w:t>In recent years, an</w:t>
      </w:r>
      <w:r w:rsidR="007C4CD7" w:rsidRPr="00743DB6">
        <w:t xml:space="preserve"> ‘osteoporosis crisis’</w:t>
      </w:r>
      <w:r w:rsidR="007C4CD7">
        <w:t xml:space="preserve"> has been described</w:t>
      </w:r>
      <w:r w:rsidR="007C4CD7" w:rsidRPr="00743DB6">
        <w:t xml:space="preserve">, characterised by poor treatment uptake and the consequent </w:t>
      </w:r>
      <w:r w:rsidR="00543C06">
        <w:t xml:space="preserve">high </w:t>
      </w:r>
      <w:r w:rsidR="007C4CD7" w:rsidRPr="00743DB6">
        <w:t>levels of preventable fracture.</w:t>
      </w:r>
      <w:r w:rsidR="007C4CD7">
        <w:t xml:space="preserve"> </w:t>
      </w:r>
      <w:r w:rsidR="007C4CD7" w:rsidRPr="00743DB6">
        <w:t>[</w:t>
      </w:r>
      <w:r w:rsidR="00A23F6F">
        <w:t>2</w:t>
      </w:r>
      <w:r w:rsidR="007C4CD7" w:rsidRPr="00743DB6">
        <w:t xml:space="preserve">] We suggest that a significantly overlooked influence on poor treatment uptake is the </w:t>
      </w:r>
      <w:r w:rsidR="007C4CD7" w:rsidRPr="00743DB6">
        <w:rPr>
          <w:i/>
        </w:rPr>
        <w:t xml:space="preserve">international </w:t>
      </w:r>
      <w:r w:rsidR="007C4CD7" w:rsidRPr="00743DB6">
        <w:rPr>
          <w:i/>
          <w:iCs/>
        </w:rPr>
        <w:t>inconsistency</w:t>
      </w:r>
      <w:r w:rsidR="007C4CD7" w:rsidRPr="00743DB6">
        <w:t xml:space="preserve"> regarding how the diagnostic label of osteoporosis is applied, and that it is timely for this to be reviewed.</w:t>
      </w:r>
    </w:p>
    <w:p w:rsidR="000204AE" w:rsidRPr="00743DB6" w:rsidRDefault="007C4CD7" w:rsidP="000204AE">
      <w:pPr>
        <w:pStyle w:val="Body"/>
        <w:spacing w:line="480" w:lineRule="auto"/>
        <w:rPr>
          <w:vertAlign w:val="superscript"/>
        </w:rPr>
      </w:pPr>
      <w:r w:rsidRPr="00743DB6">
        <w:t>Since 1994, the operational definition of osteoporosis, defined by the World Health Organisation, has been based on the T-score for BMD assessed at the femoral neck, defined as a value for BMD 2.5 SD or more below the young female adult mean (T-score ≤−2.5 SD).</w:t>
      </w:r>
      <w:r>
        <w:t xml:space="preserve"> </w:t>
      </w:r>
      <w:r w:rsidRPr="00743DB6">
        <w:t>[</w:t>
      </w:r>
      <w:r w:rsidR="00A23F6F">
        <w:t>1</w:t>
      </w:r>
      <w:r w:rsidRPr="00743DB6">
        <w:t xml:space="preserve">] BMD that lies between 2.5 and 1 SD below the young female adult mean is classified as osteopenic. These diagnostic thresholds were welcomed as an important advance for </w:t>
      </w:r>
      <w:r w:rsidR="00D04F26">
        <w:t>clinical management</w:t>
      </w:r>
      <w:r w:rsidRPr="00743DB6">
        <w:t>.</w:t>
      </w:r>
      <w:r>
        <w:t xml:space="preserve"> However, in</w:t>
      </w:r>
      <w:r w:rsidR="000204AE" w:rsidRPr="00743DB6">
        <w:t xml:space="preserve"> the last </w:t>
      </w:r>
      <w:r w:rsidR="00C73BC6" w:rsidRPr="00743DB6">
        <w:t>15 years, there has been a step-</w:t>
      </w:r>
      <w:r w:rsidR="000204AE" w:rsidRPr="00743DB6">
        <w:t xml:space="preserve">change in the field of osteoporosis, </w:t>
      </w:r>
      <w:r w:rsidR="004F0E74" w:rsidRPr="00743DB6">
        <w:t xml:space="preserve">namely </w:t>
      </w:r>
      <w:r w:rsidR="000204AE" w:rsidRPr="00743DB6">
        <w:t xml:space="preserve">to </w:t>
      </w:r>
      <w:r w:rsidR="00543C06">
        <w:t xml:space="preserve">base osteoporosis management </w:t>
      </w:r>
      <w:r w:rsidR="00782B99" w:rsidRPr="00743DB6">
        <w:t xml:space="preserve">not just on </w:t>
      </w:r>
      <w:r w:rsidR="000204AE" w:rsidRPr="00743DB6">
        <w:t xml:space="preserve">absolute </w:t>
      </w:r>
      <w:r w:rsidR="00CB0D0C" w:rsidRPr="00743DB6">
        <w:t xml:space="preserve">values of </w:t>
      </w:r>
      <w:r w:rsidR="000204AE" w:rsidRPr="00743DB6">
        <w:t>bone mineral density</w:t>
      </w:r>
      <w:r w:rsidR="00C73BC6" w:rsidRPr="00743DB6">
        <w:t xml:space="preserve"> (BMD)</w:t>
      </w:r>
      <w:r w:rsidR="00782B99" w:rsidRPr="00743DB6">
        <w:t>, but on broader consideration of future fracture risk</w:t>
      </w:r>
      <w:r w:rsidR="000204AE" w:rsidRPr="00743DB6">
        <w:t>.</w:t>
      </w:r>
      <w:r w:rsidR="0067229C" w:rsidRPr="00743DB6">
        <w:t>[</w:t>
      </w:r>
      <w:r w:rsidR="00A23F6F">
        <w:t>3</w:t>
      </w:r>
      <w:r w:rsidR="0067229C" w:rsidRPr="00743DB6">
        <w:t>]</w:t>
      </w:r>
      <w:r w:rsidR="000204AE" w:rsidRPr="00743DB6">
        <w:t xml:space="preserve"> This </w:t>
      </w:r>
      <w:r w:rsidR="00CB0D0C" w:rsidRPr="00743DB6">
        <w:t>change has been</w:t>
      </w:r>
      <w:r w:rsidR="000204AE" w:rsidRPr="00743DB6">
        <w:t xml:space="preserve"> underpinned by observations that the majority of patients with a fragility fracture do not have</w:t>
      </w:r>
      <w:r w:rsidR="00ED1766" w:rsidRPr="00743DB6">
        <w:t xml:space="preserve"> osteoporotic </w:t>
      </w:r>
      <w:r w:rsidR="00BC531E" w:rsidRPr="00743DB6">
        <w:t>BMD</w:t>
      </w:r>
      <w:r w:rsidR="0067229C" w:rsidRPr="00743DB6">
        <w:t xml:space="preserve"> [</w:t>
      </w:r>
      <w:r w:rsidR="00A23F6F">
        <w:t>4</w:t>
      </w:r>
      <w:r w:rsidR="0067229C" w:rsidRPr="00743DB6">
        <w:t>]</w:t>
      </w:r>
      <w:r w:rsidR="000204AE" w:rsidRPr="00743DB6">
        <w:t xml:space="preserve">, </w:t>
      </w:r>
      <w:r w:rsidR="00EF2A12" w:rsidRPr="00743DB6">
        <w:t xml:space="preserve">that </w:t>
      </w:r>
      <w:r w:rsidR="00D369EB" w:rsidRPr="00743DB6">
        <w:t>aggregates of</w:t>
      </w:r>
      <w:r w:rsidR="00EF2A12" w:rsidRPr="00743DB6">
        <w:t xml:space="preserve"> </w:t>
      </w:r>
      <w:r w:rsidR="00D369EB" w:rsidRPr="00743DB6">
        <w:t>risk factors</w:t>
      </w:r>
      <w:r w:rsidR="00886E0B" w:rsidRPr="00743DB6">
        <w:t xml:space="preserve"> </w:t>
      </w:r>
      <w:r w:rsidR="005B64E1" w:rsidRPr="00743DB6">
        <w:t xml:space="preserve">(calculated using algorithms such as FRAX), </w:t>
      </w:r>
      <w:r w:rsidR="00002DE2" w:rsidRPr="00743DB6">
        <w:t>perform</w:t>
      </w:r>
      <w:r w:rsidR="00EF2A12" w:rsidRPr="00743DB6">
        <w:t xml:space="preserve"> better than BMD alone in predicting those at risk of subsequent fracture</w:t>
      </w:r>
      <w:r w:rsidR="004D7BC1" w:rsidRPr="00743DB6">
        <w:t>,</w:t>
      </w:r>
      <w:r w:rsidR="0067229C" w:rsidRPr="00743DB6">
        <w:t>[</w:t>
      </w:r>
      <w:r w:rsidR="00A23F6F">
        <w:t>3</w:t>
      </w:r>
      <w:r w:rsidR="0067229C" w:rsidRPr="00743DB6">
        <w:t>]</w:t>
      </w:r>
      <w:r w:rsidR="00EF2A12" w:rsidRPr="00743DB6">
        <w:t xml:space="preserve"> and that</w:t>
      </w:r>
      <w:r w:rsidR="000204AE" w:rsidRPr="00743DB6">
        <w:t xml:space="preserve"> osteoporosis treatments have proven efficacy in </w:t>
      </w:r>
      <w:r w:rsidR="00580CD1" w:rsidRPr="00743DB6">
        <w:t xml:space="preserve">reducing fracture risk in </w:t>
      </w:r>
      <w:r w:rsidR="000204AE" w:rsidRPr="00743DB6">
        <w:t xml:space="preserve">patients with </w:t>
      </w:r>
      <w:r w:rsidR="00EF2A12" w:rsidRPr="00743DB6">
        <w:t xml:space="preserve">non-osteoporotic </w:t>
      </w:r>
      <w:r w:rsidR="00580CD1" w:rsidRPr="00743DB6">
        <w:t xml:space="preserve">levels of </w:t>
      </w:r>
      <w:r w:rsidR="0067229C" w:rsidRPr="00743DB6">
        <w:t>BMD.[</w:t>
      </w:r>
      <w:r w:rsidR="00A23F6F">
        <w:t>5</w:t>
      </w:r>
      <w:r w:rsidR="0067229C" w:rsidRPr="00743DB6">
        <w:t>]</w:t>
      </w:r>
      <w:r w:rsidR="00DD1689">
        <w:t xml:space="preserve"> Despite</w:t>
      </w:r>
      <w:r w:rsidR="00DD1689" w:rsidRPr="00743DB6">
        <w:t xml:space="preserve"> the well-accepted </w:t>
      </w:r>
      <w:r>
        <w:t xml:space="preserve">notion that </w:t>
      </w:r>
      <w:r>
        <w:lastRenderedPageBreak/>
        <w:t>treatment decisions should be informed by factors other than/in addition to BMD (e.g. prior fractures and calculated fracture risk)</w:t>
      </w:r>
      <w:r w:rsidR="00DD1689" w:rsidRPr="00743DB6">
        <w:t>, the WHO diagnosis, endorsed by current UK and European guidance,</w:t>
      </w:r>
      <w:r w:rsidR="00F45C1D">
        <w:t xml:space="preserve"> </w:t>
      </w:r>
      <w:r w:rsidR="00DD1689" w:rsidRPr="00743DB6">
        <w:t>[</w:t>
      </w:r>
      <w:r w:rsidR="00A23F6F">
        <w:t>3,6</w:t>
      </w:r>
      <w:r w:rsidR="00DD1689" w:rsidRPr="00743DB6">
        <w:t xml:space="preserve">] still relies purely on BMD testing. This means the diagnosis no longer relates to the population for whom osteoporosis drugs are recommended, i.e. the population known to have bone fragility and susceptibility to fracture.  </w:t>
      </w:r>
    </w:p>
    <w:p w:rsidR="00E165FB" w:rsidRPr="00743DB6" w:rsidRDefault="00AA206C" w:rsidP="007D2F77">
      <w:pPr>
        <w:pStyle w:val="Body"/>
        <w:spacing w:line="480" w:lineRule="auto"/>
        <w:rPr>
          <w:vertAlign w:val="superscript"/>
        </w:rPr>
      </w:pPr>
      <w:r w:rsidRPr="00743DB6">
        <w:t xml:space="preserve">In our view, </w:t>
      </w:r>
      <w:r w:rsidR="00DD1689">
        <w:t>inconsistency about the application of the osteoporosis label causes confusion</w:t>
      </w:r>
      <w:r w:rsidRPr="00743DB6">
        <w:t xml:space="preserve"> for clinicians and patients </w:t>
      </w:r>
      <w:r w:rsidR="008E4709" w:rsidRPr="00743DB6">
        <w:t xml:space="preserve">like Barbara </w:t>
      </w:r>
      <w:r w:rsidRPr="00743DB6">
        <w:t xml:space="preserve">for a number of reasons. </w:t>
      </w:r>
    </w:p>
    <w:p w:rsidR="00E165FB" w:rsidRPr="00743DB6" w:rsidRDefault="00AA206C" w:rsidP="00886E0B">
      <w:pPr>
        <w:pStyle w:val="Body"/>
        <w:spacing w:line="480" w:lineRule="auto"/>
      </w:pPr>
      <w:r w:rsidRPr="00743DB6">
        <w:t>First, many patients who fracture easily</w:t>
      </w:r>
      <w:r w:rsidR="0066642D" w:rsidRPr="00743DB6">
        <w:t xml:space="preserve"> and are recommended osteoporosis drugs,</w:t>
      </w:r>
      <w:r w:rsidRPr="00743DB6">
        <w:t xml:space="preserve"> do not receive a diagnosis of osteoporosis. This may </w:t>
      </w:r>
      <w:r w:rsidR="00E05744" w:rsidRPr="00743DB6">
        <w:t xml:space="preserve">be </w:t>
      </w:r>
      <w:r w:rsidRPr="00743DB6">
        <w:t>because</w:t>
      </w:r>
      <w:r w:rsidR="00E319C7" w:rsidRPr="00743DB6">
        <w:t xml:space="preserve"> </w:t>
      </w:r>
      <w:r w:rsidR="00D369EB" w:rsidRPr="00743DB6">
        <w:t>they do not have a BMD assessment</w:t>
      </w:r>
      <w:r w:rsidR="009A3ECD" w:rsidRPr="00743DB6">
        <w:t xml:space="preserve"> (DXA scan)</w:t>
      </w:r>
      <w:r w:rsidR="00E319C7" w:rsidRPr="00743DB6">
        <w:t xml:space="preserve">; </w:t>
      </w:r>
      <w:r w:rsidR="00A83ACA">
        <w:t>in the UK, treatment is recommended without need for a DXA in patients aged 75 and over. Alternatively, patients may not receive a diagnosis of osteoporosis because their</w:t>
      </w:r>
      <w:r w:rsidR="00D369EB" w:rsidRPr="00743DB6">
        <w:t xml:space="preserve"> BMD is spuriously raised</w:t>
      </w:r>
      <w:r w:rsidR="00E7695B" w:rsidRPr="00743DB6">
        <w:t>,</w:t>
      </w:r>
      <w:r w:rsidR="00D369EB" w:rsidRPr="00743DB6">
        <w:t xml:space="preserve"> e.g. in the presence of osteoarthritis</w:t>
      </w:r>
      <w:r w:rsidR="00E319C7" w:rsidRPr="00743DB6">
        <w:t xml:space="preserve">; or, </w:t>
      </w:r>
      <w:r w:rsidRPr="00743DB6">
        <w:t xml:space="preserve">their BMD is </w:t>
      </w:r>
      <w:r w:rsidR="00281182" w:rsidRPr="00743DB6">
        <w:t xml:space="preserve">within </w:t>
      </w:r>
      <w:r w:rsidR="00ED1766" w:rsidRPr="00743DB6">
        <w:t>the</w:t>
      </w:r>
      <w:r w:rsidR="00E7695B" w:rsidRPr="00743DB6">
        <w:t xml:space="preserve"> </w:t>
      </w:r>
      <w:r w:rsidRPr="00743DB6">
        <w:t>osteopenic</w:t>
      </w:r>
      <w:r w:rsidR="00281182" w:rsidRPr="00743DB6">
        <w:t xml:space="preserve"> range</w:t>
      </w:r>
      <w:r w:rsidR="00E319C7" w:rsidRPr="00743DB6">
        <w:t xml:space="preserve">. </w:t>
      </w:r>
      <w:r w:rsidR="00D95989" w:rsidRPr="00743DB6">
        <w:t xml:space="preserve">From a sociological perspective, </w:t>
      </w:r>
      <w:r w:rsidR="00002DE2" w:rsidRPr="00743DB6">
        <w:t xml:space="preserve">receiving </w:t>
      </w:r>
      <w:r w:rsidR="00D95989" w:rsidRPr="00743DB6">
        <w:t>a diagnosis</w:t>
      </w:r>
      <w:r w:rsidR="00002DE2" w:rsidRPr="00743DB6">
        <w:t xml:space="preserve"> or label</w:t>
      </w:r>
      <w:r w:rsidR="00D95989" w:rsidRPr="00743DB6">
        <w:t xml:space="preserve"> is </w:t>
      </w:r>
      <w:r w:rsidR="00002DE2" w:rsidRPr="00743DB6">
        <w:t>an important first step in making sense of, and accepting</w:t>
      </w:r>
      <w:r w:rsidR="00DE7805" w:rsidRPr="00743DB6">
        <w:t xml:space="preserve"> a condition</w:t>
      </w:r>
      <w:r w:rsidR="0067229C" w:rsidRPr="00743DB6">
        <w:t>.</w:t>
      </w:r>
      <w:r w:rsidR="00DD1689">
        <w:t xml:space="preserve"> </w:t>
      </w:r>
      <w:r w:rsidR="0067229C" w:rsidRPr="00743DB6">
        <w:t>[</w:t>
      </w:r>
      <w:r w:rsidR="00A23F6F">
        <w:t>7,8</w:t>
      </w:r>
      <w:r w:rsidR="0067229C" w:rsidRPr="00743DB6">
        <w:t>]</w:t>
      </w:r>
      <w:r w:rsidR="00002DE2" w:rsidRPr="00743DB6">
        <w:rPr>
          <w:vertAlign w:val="superscript"/>
        </w:rPr>
        <w:t xml:space="preserve"> </w:t>
      </w:r>
      <w:r w:rsidR="00002DE2" w:rsidRPr="00743DB6">
        <w:t>Q</w:t>
      </w:r>
      <w:r w:rsidR="00BC531E" w:rsidRPr="00743DB6">
        <w:t>ualitative research has demonstrated that the absence of a diagnosis of osteoporosis results in difficulty making sense of the need for osteoporosis medicines.</w:t>
      </w:r>
      <w:r w:rsidR="00DD1689">
        <w:t xml:space="preserve"> </w:t>
      </w:r>
      <w:r w:rsidR="0067229C" w:rsidRPr="00743DB6">
        <w:t>[</w:t>
      </w:r>
      <w:r w:rsidR="00A23F6F">
        <w:t>9</w:t>
      </w:r>
      <w:r w:rsidR="0067229C" w:rsidRPr="00743DB6">
        <w:t>]</w:t>
      </w:r>
    </w:p>
    <w:p w:rsidR="00E165FB" w:rsidRPr="00743DB6" w:rsidRDefault="00AA206C" w:rsidP="007D2F77">
      <w:pPr>
        <w:pStyle w:val="Body"/>
        <w:spacing w:line="480" w:lineRule="auto"/>
      </w:pPr>
      <w:r w:rsidRPr="00743DB6">
        <w:t xml:space="preserve">Second, </w:t>
      </w:r>
      <w:r w:rsidR="00164BEC" w:rsidRPr="00743DB6">
        <w:t xml:space="preserve">a diagnosis of osteoporosis based </w:t>
      </w:r>
      <w:r w:rsidRPr="00743DB6">
        <w:t xml:space="preserve">purely on BMD can result in patients being ‘cured’ of their </w:t>
      </w:r>
      <w:r w:rsidR="00E336EE" w:rsidRPr="00743DB6">
        <w:t>condition</w:t>
      </w:r>
      <w:r w:rsidRPr="00743DB6">
        <w:t xml:space="preserve">. </w:t>
      </w:r>
      <w:r w:rsidR="00164BEC" w:rsidRPr="00743DB6">
        <w:t>However, osteoporosis is a chronic condition, and t</w:t>
      </w:r>
      <w:r w:rsidRPr="00743DB6">
        <w:t>reated osteoporosis is still osteoporosis</w:t>
      </w:r>
      <w:r w:rsidR="00164BEC" w:rsidRPr="00743DB6">
        <w:t xml:space="preserve">. </w:t>
      </w:r>
      <w:r w:rsidR="0067229C" w:rsidRPr="00743DB6">
        <w:t>[</w:t>
      </w:r>
      <w:r w:rsidR="00A23F6F" w:rsidRPr="00743DB6">
        <w:t>1</w:t>
      </w:r>
      <w:r w:rsidR="00A23F6F">
        <w:t>0</w:t>
      </w:r>
      <w:r w:rsidR="0067229C" w:rsidRPr="00743DB6">
        <w:t>]</w:t>
      </w:r>
      <w:r w:rsidR="00D04F26">
        <w:t xml:space="preserve"> </w:t>
      </w:r>
      <w:r w:rsidRPr="00743DB6">
        <w:t>Third,</w:t>
      </w:r>
      <w:r w:rsidR="00E525BB" w:rsidRPr="00743DB6">
        <w:t xml:space="preserve"> </w:t>
      </w:r>
      <w:r w:rsidR="00DD1689">
        <w:t>i</w:t>
      </w:r>
      <w:r w:rsidRPr="00743DB6">
        <w:t>nterpretation of the BMD Z</w:t>
      </w:r>
      <w:r w:rsidR="009C6DFB" w:rsidRPr="00743DB6">
        <w:t>-</w:t>
      </w:r>
      <w:r w:rsidRPr="00743DB6">
        <w:t>score result, which defines BMD in SDs above or below an aged-matched mean, may lead to patients being informed their bone density is osteoporotic</w:t>
      </w:r>
      <w:r w:rsidR="00A15726" w:rsidRPr="00743DB6">
        <w:t>,</w:t>
      </w:r>
      <w:r w:rsidRPr="00743DB6">
        <w:t xml:space="preserve"> but normal for age. This reinforces the notion of a condition which is synonymous with age and which has inevitable consequences</w:t>
      </w:r>
      <w:r w:rsidR="008544B8" w:rsidRPr="00743DB6">
        <w:t xml:space="preserve">, suggesting </w:t>
      </w:r>
      <w:r w:rsidRPr="00743DB6">
        <w:t xml:space="preserve">that pharmaceutical intervention </w:t>
      </w:r>
      <w:r w:rsidR="0090215D" w:rsidRPr="00743DB6">
        <w:t>may be</w:t>
      </w:r>
      <w:r w:rsidR="008544B8" w:rsidRPr="00743DB6">
        <w:t xml:space="preserve"> </w:t>
      </w:r>
      <w:r w:rsidRPr="00743DB6">
        <w:t>futile</w:t>
      </w:r>
      <w:r w:rsidR="007555BC" w:rsidRPr="00743DB6">
        <w:t>.</w:t>
      </w:r>
      <w:r w:rsidR="00DD1689">
        <w:t xml:space="preserve"> </w:t>
      </w:r>
      <w:r w:rsidR="00743DB6" w:rsidRPr="00743DB6">
        <w:t>[</w:t>
      </w:r>
      <w:r w:rsidR="00A23F6F" w:rsidRPr="00743DB6">
        <w:t>1</w:t>
      </w:r>
      <w:r w:rsidR="00A23F6F">
        <w:t>1</w:t>
      </w:r>
      <w:r w:rsidR="00743DB6" w:rsidRPr="00743DB6">
        <w:t>]</w:t>
      </w:r>
    </w:p>
    <w:p w:rsidR="00E165FB" w:rsidRPr="00743DB6" w:rsidRDefault="0090215D" w:rsidP="007D2F77">
      <w:pPr>
        <w:pStyle w:val="Body"/>
        <w:spacing w:line="480" w:lineRule="auto"/>
      </w:pPr>
      <w:r w:rsidRPr="00743DB6">
        <w:t>Current levels of a</w:t>
      </w:r>
      <w:r w:rsidR="00AA206C" w:rsidRPr="00743DB6">
        <w:t>dherence</w:t>
      </w:r>
      <w:r w:rsidR="007555BC" w:rsidRPr="00743DB6">
        <w:t xml:space="preserve"> </w:t>
      </w:r>
      <w:r w:rsidR="00AA206C" w:rsidRPr="00743DB6">
        <w:t>with bisphosphonate</w:t>
      </w:r>
      <w:r w:rsidRPr="00743DB6">
        <w:t xml:space="preserve"> therapy</w:t>
      </w:r>
      <w:r w:rsidR="00AA206C" w:rsidRPr="00743DB6">
        <w:t xml:space="preserve"> </w:t>
      </w:r>
      <w:r w:rsidRPr="00743DB6">
        <w:t>are</w:t>
      </w:r>
      <w:r w:rsidR="00AA206C" w:rsidRPr="00743DB6">
        <w:t xml:space="preserve"> known to be poor</w:t>
      </w:r>
      <w:r w:rsidR="00743DB6" w:rsidRPr="00743DB6">
        <w:t>.</w:t>
      </w:r>
      <w:r w:rsidR="00DD1689">
        <w:t xml:space="preserve"> </w:t>
      </w:r>
      <w:r w:rsidR="00743DB6" w:rsidRPr="00743DB6">
        <w:t>[</w:t>
      </w:r>
      <w:r w:rsidR="00A23F6F" w:rsidRPr="00743DB6">
        <w:t>1</w:t>
      </w:r>
      <w:r w:rsidR="00A23F6F">
        <w:t>2</w:t>
      </w:r>
      <w:r w:rsidR="00743DB6" w:rsidRPr="00743DB6">
        <w:t>]</w:t>
      </w:r>
      <w:r w:rsidR="00AA206C" w:rsidRPr="00743DB6">
        <w:t xml:space="preserve"> </w:t>
      </w:r>
      <w:r w:rsidR="00581ADA" w:rsidRPr="00743DB6">
        <w:rPr>
          <w:lang w:val="fr-FR"/>
        </w:rPr>
        <w:t xml:space="preserve">Multiple </w:t>
      </w:r>
      <w:r w:rsidR="00581ADA" w:rsidRPr="00743DB6">
        <w:t>qualitative</w:t>
      </w:r>
      <w:r w:rsidR="00AA206C" w:rsidRPr="00743DB6">
        <w:t xml:space="preserve"> </w:t>
      </w:r>
      <w:r w:rsidR="00AA206C" w:rsidRPr="00743DB6">
        <w:rPr>
          <w:lang w:val="de-DE"/>
        </w:rPr>
        <w:t>studies</w:t>
      </w:r>
      <w:r w:rsidR="00AA206C" w:rsidRPr="00743DB6">
        <w:t xml:space="preserve"> identify that poor adherence is associated with health beliefs such as perceiving </w:t>
      </w:r>
      <w:r w:rsidR="00AA206C" w:rsidRPr="00743DB6">
        <w:lastRenderedPageBreak/>
        <w:t>osteoporosis as normal for age, not understanding what osteoporosis is or what treatment is for, and confusion about BMD results.</w:t>
      </w:r>
      <w:r w:rsidR="00DD1689">
        <w:t xml:space="preserve"> </w:t>
      </w:r>
      <w:r w:rsidR="00743DB6" w:rsidRPr="00743DB6">
        <w:t>[</w:t>
      </w:r>
      <w:r w:rsidR="00A23F6F">
        <w:t>9,11</w:t>
      </w:r>
      <w:r w:rsidR="00743DB6" w:rsidRPr="00743DB6">
        <w:t>]</w:t>
      </w:r>
    </w:p>
    <w:p w:rsidR="003C6DDC" w:rsidRDefault="007C4CD7" w:rsidP="00252FE6">
      <w:pPr>
        <w:pStyle w:val="Body"/>
        <w:spacing w:line="480" w:lineRule="auto"/>
      </w:pPr>
      <w:r>
        <w:t>At least t</w:t>
      </w:r>
      <w:r w:rsidR="00E658A6" w:rsidRPr="00743DB6">
        <w:t xml:space="preserve">wo </w:t>
      </w:r>
      <w:r w:rsidR="000A56ED" w:rsidRPr="00743DB6">
        <w:t>alternative diagnostic approaches</w:t>
      </w:r>
      <w:r w:rsidR="00E658A6" w:rsidRPr="00743DB6">
        <w:t xml:space="preserve"> have been proposed. </w:t>
      </w:r>
      <w:r w:rsidR="003C6DDC">
        <w:t>In the UK, the 20</w:t>
      </w:r>
      <w:r w:rsidR="0006784C">
        <w:t xml:space="preserve">18/19 General Medical Services </w:t>
      </w:r>
      <w:r w:rsidR="003C6DDC">
        <w:t>Quality and Outcomes Framework (QOF) states that in those aged 75 and over with fragility fractures, a clinical diagnosis of osteoporosis can be assumed</w:t>
      </w:r>
      <w:r w:rsidR="00A23F6F">
        <w:t xml:space="preserve"> [13]</w:t>
      </w:r>
      <w:r w:rsidR="003C6DDC">
        <w:t xml:space="preserve">. In </w:t>
      </w:r>
      <w:r w:rsidR="00E658A6" w:rsidRPr="00743DB6">
        <w:t xml:space="preserve">2014, </w:t>
      </w:r>
      <w:r w:rsidR="00A15726" w:rsidRPr="00743DB6">
        <w:t>the National Bone Health Alliance (NBHA) Working Group proposed that the diagnosis of osteoporosis should be widened</w:t>
      </w:r>
      <w:r w:rsidR="003C6DDC">
        <w:t xml:space="preserve"> even further</w:t>
      </w:r>
      <w:r w:rsidR="00A15726" w:rsidRPr="00743DB6">
        <w:t>, to include postmenopausal women and men aged 50 and over with hip fractures, with other low trauma fractures in the presence of osteopenia, and in those with high fracture risk calculated using FRAX, in addition to those meeting the WHO definition.</w:t>
      </w:r>
      <w:r w:rsidR="00DD1689">
        <w:t xml:space="preserve"> </w:t>
      </w:r>
      <w:r w:rsidR="00743DB6" w:rsidRPr="00743DB6">
        <w:t>[14]</w:t>
      </w:r>
      <w:r w:rsidR="00A15726" w:rsidRPr="00743DB6">
        <w:t xml:space="preserve"> </w:t>
      </w:r>
    </w:p>
    <w:p w:rsidR="00886E0B" w:rsidRPr="00743DB6" w:rsidRDefault="00DD1689" w:rsidP="00A23F6F">
      <w:pPr>
        <w:pStyle w:val="Body"/>
        <w:spacing w:line="480" w:lineRule="auto"/>
      </w:pPr>
      <w:r>
        <w:t xml:space="preserve">Ensrud et al </w:t>
      </w:r>
      <w:r w:rsidR="00B139A5" w:rsidRPr="00743DB6">
        <w:t xml:space="preserve">evaluated the effect of </w:t>
      </w:r>
      <w:r w:rsidR="003C6DDC">
        <w:t xml:space="preserve">the NHBA and </w:t>
      </w:r>
      <w:r w:rsidR="0006784C">
        <w:t>a more</w:t>
      </w:r>
      <w:r w:rsidR="00B139A5" w:rsidRPr="00743DB6">
        <w:t xml:space="preserve"> </w:t>
      </w:r>
      <w:r w:rsidR="003C6DDC">
        <w:t xml:space="preserve">clinical definition (defined </w:t>
      </w:r>
      <w:r w:rsidR="003C6DDC" w:rsidRPr="00743DB6">
        <w:t xml:space="preserve">as </w:t>
      </w:r>
      <w:r w:rsidR="003C6DDC">
        <w:t xml:space="preserve">those aged 80 and over with </w:t>
      </w:r>
      <w:r w:rsidR="003C6DDC" w:rsidRPr="00743DB6">
        <w:t xml:space="preserve">BMD meeting the WHO definition </w:t>
      </w:r>
      <w:r w:rsidR="003C6DDC" w:rsidRPr="00743DB6">
        <w:rPr>
          <w:i/>
        </w:rPr>
        <w:t>plus</w:t>
      </w:r>
      <w:r w:rsidR="003C6DDC" w:rsidRPr="00743DB6">
        <w:t xml:space="preserve"> those with incident hip- or prevalent vertebral fracture</w:t>
      </w:r>
      <w:r w:rsidR="003C6DDC">
        <w:t>) [15]</w:t>
      </w:r>
      <w:r w:rsidR="00B139A5" w:rsidRPr="00743DB6">
        <w:t xml:space="preserve"> thresholds on probability of hip fracture</w:t>
      </w:r>
      <w:r w:rsidR="00252FE6">
        <w:t xml:space="preserve">. They </w:t>
      </w:r>
      <w:r w:rsidR="00B139A5" w:rsidRPr="00743DB6">
        <w:t>demonstrated that</w:t>
      </w:r>
      <w:r w:rsidR="001E74C9" w:rsidRPr="00743DB6">
        <w:t xml:space="preserve"> </w:t>
      </w:r>
      <w:r w:rsidR="005B64E1" w:rsidRPr="00743DB6">
        <w:t>the</w:t>
      </w:r>
      <w:r w:rsidR="001E74C9" w:rsidRPr="00743DB6">
        <w:t xml:space="preserve"> </w:t>
      </w:r>
      <w:r w:rsidR="005B64E1" w:rsidRPr="00743DB6">
        <w:t>NHBA</w:t>
      </w:r>
      <w:r w:rsidR="001E74C9" w:rsidRPr="00743DB6">
        <w:t xml:space="preserve"> diagnosis resulted in the doubling of the proportion of women identified as treatment candidates</w:t>
      </w:r>
      <w:r w:rsidR="00A23F6F">
        <w:t xml:space="preserve">. </w:t>
      </w:r>
      <w:r w:rsidR="00A23F6F" w:rsidRPr="00743DB6">
        <w:t>[15]</w:t>
      </w:r>
      <w:r w:rsidR="00A23F6F">
        <w:t>.</w:t>
      </w:r>
      <w:r w:rsidR="00A23F6F" w:rsidRPr="00743DB6">
        <w:t xml:space="preserve"> </w:t>
      </w:r>
      <w:r w:rsidR="008E4709" w:rsidRPr="00743DB6">
        <w:t xml:space="preserve"> </w:t>
      </w:r>
      <w:r w:rsidR="00D04F26">
        <w:t>However, u</w:t>
      </w:r>
      <w:r w:rsidR="005B64E1" w:rsidRPr="00743DB6">
        <w:t xml:space="preserve">sing </w:t>
      </w:r>
      <w:r w:rsidR="00252FE6">
        <w:t xml:space="preserve">their own </w:t>
      </w:r>
      <w:r>
        <w:t xml:space="preserve">clinical </w:t>
      </w:r>
      <w:r w:rsidR="005B64E1" w:rsidRPr="00743DB6">
        <w:t>definition, women</w:t>
      </w:r>
      <w:r w:rsidR="00252FE6">
        <w:t>,</w:t>
      </w:r>
      <w:r w:rsidR="005B64E1" w:rsidRPr="00743DB6">
        <w:t xml:space="preserve"> </w:t>
      </w:r>
      <w:r w:rsidR="003C6DDC">
        <w:t>who already met criteria for treatment</w:t>
      </w:r>
      <w:r w:rsidR="00252FE6">
        <w:t>,</w:t>
      </w:r>
      <w:r w:rsidR="005B64E1" w:rsidRPr="00743DB6">
        <w:t xml:space="preserve"> had a</w:t>
      </w:r>
      <w:r w:rsidR="006B45FB" w:rsidRPr="00743DB6">
        <w:t xml:space="preserve"> higher 5-year probability of hip fracture, despite accounting for competing mortality risk</w:t>
      </w:r>
      <w:r w:rsidR="001E74C9" w:rsidRPr="00743DB6">
        <w:t xml:space="preserve">, than women with </w:t>
      </w:r>
      <w:r w:rsidR="005B64E1" w:rsidRPr="00743DB6">
        <w:t>‘high fracture risk’</w:t>
      </w:r>
      <w:r w:rsidR="003C6DDC">
        <w:t>.</w:t>
      </w:r>
      <w:r w:rsidR="00A23F6F">
        <w:t xml:space="preserve"> </w:t>
      </w:r>
      <w:r w:rsidR="00A23F6F" w:rsidRPr="00743DB6">
        <w:t>[15]</w:t>
      </w:r>
      <w:r w:rsidR="000A56ED" w:rsidRPr="00743DB6">
        <w:t xml:space="preserve"> So</w:t>
      </w:r>
      <w:r w:rsidR="00B139A5" w:rsidRPr="00743DB6">
        <w:t xml:space="preserve">, available evidence indicates that </w:t>
      </w:r>
      <w:r w:rsidR="00252FE6">
        <w:t>including a clinical component to the diagnosis</w:t>
      </w:r>
      <w:r w:rsidR="00E658A6" w:rsidRPr="00743DB6">
        <w:t xml:space="preserve"> </w:t>
      </w:r>
      <w:r w:rsidR="00252FE6">
        <w:t xml:space="preserve">as Ensrud and colleagues suggests </w:t>
      </w:r>
      <w:r w:rsidR="00B139A5" w:rsidRPr="00743DB6">
        <w:t>will not change the population eligible and targeted for evidence-based intervention</w:t>
      </w:r>
      <w:r w:rsidR="002E16B4">
        <w:t xml:space="preserve"> (avoiding concerns about over-treatment)</w:t>
      </w:r>
      <w:r w:rsidR="00E658A6" w:rsidRPr="00743DB6">
        <w:t xml:space="preserve"> and performs well at predicting those most in need of treatment</w:t>
      </w:r>
      <w:r w:rsidR="00E6795F">
        <w:t>.</w:t>
      </w:r>
    </w:p>
    <w:p w:rsidR="00E165FB" w:rsidRPr="00743DB6" w:rsidRDefault="000359F3" w:rsidP="007D2F77">
      <w:pPr>
        <w:pStyle w:val="Body"/>
        <w:spacing w:line="480" w:lineRule="auto"/>
      </w:pPr>
      <w:r w:rsidRPr="00743DB6">
        <w:t>We believe i</w:t>
      </w:r>
      <w:r w:rsidR="00AA206C" w:rsidRPr="00743DB6">
        <w:t>t is time for the World Health Organisation</w:t>
      </w:r>
      <w:r w:rsidR="009A3ECD" w:rsidRPr="00743DB6">
        <w:t xml:space="preserve"> and </w:t>
      </w:r>
      <w:r w:rsidR="003076E3" w:rsidRPr="00743DB6">
        <w:t>the International Society for Clinical Densitometry</w:t>
      </w:r>
      <w:r w:rsidR="00AA206C" w:rsidRPr="00743DB6">
        <w:t xml:space="preserve"> to consider a broader definition of osteoporosis which encompasses a clinical diagnosis</w:t>
      </w:r>
      <w:r w:rsidR="00DC68BE" w:rsidRPr="00743DB6">
        <w:t>,</w:t>
      </w:r>
      <w:r w:rsidR="003076E3" w:rsidRPr="00743DB6">
        <w:t xml:space="preserve"> and</w:t>
      </w:r>
      <w:r w:rsidR="00DC68BE" w:rsidRPr="00743DB6">
        <w:t>,</w:t>
      </w:r>
      <w:r w:rsidR="003076E3" w:rsidRPr="00743DB6">
        <w:t xml:space="preserve"> to </w:t>
      </w:r>
      <w:r w:rsidR="00BF2CA2" w:rsidRPr="00743DB6">
        <w:t xml:space="preserve">provide clear guidance on </w:t>
      </w:r>
      <w:r w:rsidR="00002DE2" w:rsidRPr="00743DB6">
        <w:t xml:space="preserve">communicating </w:t>
      </w:r>
      <w:r w:rsidR="00BF2CA2" w:rsidRPr="00743DB6">
        <w:t>BMD results to patients</w:t>
      </w:r>
      <w:r w:rsidR="003076E3" w:rsidRPr="00743DB6">
        <w:t>. A</w:t>
      </w:r>
      <w:r w:rsidRPr="00743DB6">
        <w:t xml:space="preserve"> consistent international approach is</w:t>
      </w:r>
      <w:r w:rsidR="00AA206C" w:rsidRPr="00743DB6">
        <w:t xml:space="preserve"> essential to reduce confusion</w:t>
      </w:r>
      <w:r w:rsidRPr="00743DB6">
        <w:t xml:space="preserve"> among clinicians and patients </w:t>
      </w:r>
      <w:r w:rsidRPr="00743DB6">
        <w:rPr>
          <w:lang w:val="fr-FR"/>
        </w:rPr>
        <w:t>and</w:t>
      </w:r>
      <w:r w:rsidR="00AA206C" w:rsidRPr="00743DB6">
        <w:t xml:space="preserve"> promote treatment adherence in those at </w:t>
      </w:r>
      <w:r w:rsidR="00FB5657" w:rsidRPr="00743DB6">
        <w:t xml:space="preserve">elevated </w:t>
      </w:r>
      <w:r w:rsidR="00AA206C" w:rsidRPr="00743DB6">
        <w:t>risk</w:t>
      </w:r>
      <w:r w:rsidR="00FB5657" w:rsidRPr="00743DB6">
        <w:t xml:space="preserve"> of future fracture</w:t>
      </w:r>
      <w:r w:rsidR="00AA206C" w:rsidRPr="00743DB6">
        <w:t>.</w:t>
      </w:r>
    </w:p>
    <w:p w:rsidR="00E165FB" w:rsidRPr="00743DB6" w:rsidRDefault="00E165FB" w:rsidP="007D2F77">
      <w:pPr>
        <w:pStyle w:val="Body"/>
        <w:spacing w:line="480" w:lineRule="auto"/>
        <w:jc w:val="both"/>
        <w:rPr>
          <w:b/>
          <w:bCs/>
        </w:rPr>
      </w:pPr>
    </w:p>
    <w:p w:rsidR="00EF4FE7" w:rsidRPr="00743DB6" w:rsidRDefault="00EF4FE7" w:rsidP="007D2F77">
      <w:pPr>
        <w:pStyle w:val="Body"/>
        <w:spacing w:line="480" w:lineRule="auto"/>
        <w:jc w:val="both"/>
        <w:rPr>
          <w:b/>
          <w:bCs/>
        </w:rPr>
      </w:pPr>
    </w:p>
    <w:p w:rsidR="00EF4FE7" w:rsidRPr="00743DB6" w:rsidRDefault="00EF4FE7" w:rsidP="00EF4FE7">
      <w:pPr>
        <w:pStyle w:val="Body"/>
        <w:spacing w:line="480" w:lineRule="auto"/>
        <w:jc w:val="both"/>
        <w:rPr>
          <w:bCs/>
        </w:rPr>
      </w:pPr>
    </w:p>
    <w:p w:rsidR="00581ADA" w:rsidRPr="00743DB6" w:rsidRDefault="00581ADA">
      <w:pPr>
        <w:rPr>
          <w:rFonts w:ascii="Calibri" w:eastAsia="Calibri" w:hAnsi="Calibri" w:cs="Calibri"/>
          <w:bCs/>
          <w:color w:val="000000"/>
          <w:sz w:val="22"/>
          <w:szCs w:val="22"/>
          <w:u w:color="000000"/>
          <w:lang w:eastAsia="en-GB"/>
        </w:rPr>
      </w:pPr>
      <w:r w:rsidRPr="00743DB6">
        <w:rPr>
          <w:rFonts w:ascii="Calibri" w:hAnsi="Calibri" w:cs="Calibri"/>
          <w:bCs/>
          <w:sz w:val="22"/>
          <w:szCs w:val="22"/>
        </w:rPr>
        <w:br w:type="page"/>
      </w:r>
    </w:p>
    <w:p w:rsidR="00EF4FE7" w:rsidRPr="00743DB6" w:rsidRDefault="00581ADA" w:rsidP="00EF4FE7">
      <w:pPr>
        <w:pStyle w:val="Body"/>
        <w:spacing w:line="480" w:lineRule="auto"/>
        <w:jc w:val="both"/>
        <w:rPr>
          <w:bCs/>
        </w:rPr>
      </w:pPr>
      <w:r w:rsidRPr="00743DB6">
        <w:rPr>
          <w:bCs/>
        </w:rPr>
        <w:lastRenderedPageBreak/>
        <w:t>References</w:t>
      </w:r>
    </w:p>
    <w:p w:rsidR="00A23F6F" w:rsidRDefault="00A23F6F" w:rsidP="00A23F6F">
      <w:pPr>
        <w:pStyle w:val="NormalWeb"/>
        <w:spacing w:line="480" w:lineRule="auto"/>
        <w:rPr>
          <w:rFonts w:ascii="Calibri" w:hAnsi="Calibri" w:cs="Calibri"/>
          <w:color w:val="000000"/>
          <w:sz w:val="22"/>
          <w:szCs w:val="22"/>
        </w:rPr>
      </w:pPr>
      <w:r>
        <w:rPr>
          <w:rFonts w:ascii="Calibri" w:hAnsi="Calibri" w:cs="Calibri"/>
          <w:color w:val="000000"/>
          <w:sz w:val="22"/>
          <w:szCs w:val="22"/>
        </w:rPr>
        <w:t>1</w:t>
      </w:r>
      <w:r w:rsidRPr="00743DB6">
        <w:rPr>
          <w:rFonts w:ascii="Calibri" w:hAnsi="Calibri" w:cs="Calibri"/>
          <w:color w:val="000000"/>
          <w:sz w:val="22"/>
          <w:szCs w:val="22"/>
        </w:rPr>
        <w:t>. Kanis JA, Melton III LJ, Christiansen C, Johnston CC, Khaltaev N. The diagnosis of osteoporosis</w:t>
      </w:r>
      <w:r w:rsidRPr="00743DB6">
        <w:rPr>
          <w:rFonts w:ascii="Calibri" w:hAnsi="Calibri" w:cs="Calibri"/>
          <w:i/>
          <w:iCs/>
          <w:color w:val="000000"/>
          <w:sz w:val="22"/>
          <w:szCs w:val="22"/>
        </w:rPr>
        <w:t>. Journal of bone and mineral research</w:t>
      </w:r>
      <w:r w:rsidRPr="00743DB6">
        <w:rPr>
          <w:rFonts w:ascii="Calibri" w:hAnsi="Calibri" w:cs="Calibri"/>
          <w:color w:val="000000"/>
          <w:sz w:val="22"/>
          <w:szCs w:val="22"/>
        </w:rPr>
        <w:t>. 1994;9(8):1137-1141.</w:t>
      </w:r>
    </w:p>
    <w:p w:rsidR="00A23F6F" w:rsidRPr="00A23F6F" w:rsidRDefault="00A23F6F" w:rsidP="00A23F6F">
      <w:pPr>
        <w:pStyle w:val="NormalWeb"/>
        <w:spacing w:line="480" w:lineRule="auto"/>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2</w:t>
      </w:r>
      <w:r w:rsidRPr="00743DB6">
        <w:rPr>
          <w:rFonts w:ascii="Calibri" w:hAnsi="Calibri" w:cs="Calibri"/>
          <w:color w:val="222222"/>
          <w:sz w:val="22"/>
          <w:szCs w:val="22"/>
          <w:shd w:val="clear" w:color="auto" w:fill="FFFFFF"/>
        </w:rPr>
        <w:t xml:space="preserve">. Khosla, S, Shane, E. A crisis in the treatment of osteoporosis. </w:t>
      </w:r>
      <w:r w:rsidRPr="00743DB6">
        <w:rPr>
          <w:rFonts w:ascii="Calibri" w:hAnsi="Calibri" w:cs="Calibri"/>
          <w:i/>
          <w:iCs/>
          <w:color w:val="222222"/>
          <w:sz w:val="22"/>
          <w:szCs w:val="22"/>
          <w:shd w:val="clear" w:color="auto" w:fill="FFFFFF"/>
        </w:rPr>
        <w:t>Journal of Bone and Mineral Research</w:t>
      </w:r>
      <w:r w:rsidRPr="00743DB6">
        <w:rPr>
          <w:rFonts w:ascii="Calibri" w:hAnsi="Calibri" w:cs="Calibri"/>
          <w:color w:val="222222"/>
          <w:sz w:val="22"/>
          <w:szCs w:val="22"/>
          <w:shd w:val="clear" w:color="auto" w:fill="FFFFFF"/>
        </w:rPr>
        <w:t> 2016; 31(8): 1485-1487</w:t>
      </w:r>
      <w:r w:rsidRPr="00743DB6">
        <w:rPr>
          <w:rFonts w:ascii="Calibri" w:hAnsi="Calibri" w:cs="Calibri"/>
          <w:color w:val="000000"/>
          <w:sz w:val="22"/>
          <w:szCs w:val="22"/>
        </w:rPr>
        <w:t>.</w:t>
      </w:r>
    </w:p>
    <w:p w:rsidR="0067229C" w:rsidRPr="00743DB6" w:rsidRDefault="00A23F6F" w:rsidP="0067229C">
      <w:pPr>
        <w:pStyle w:val="NormalWeb"/>
        <w:spacing w:line="480" w:lineRule="auto"/>
        <w:rPr>
          <w:rFonts w:ascii="Calibri" w:hAnsi="Calibri" w:cs="Calibri"/>
          <w:color w:val="000000"/>
          <w:sz w:val="22"/>
          <w:szCs w:val="22"/>
        </w:rPr>
      </w:pPr>
      <w:r>
        <w:rPr>
          <w:rFonts w:ascii="Calibri" w:hAnsi="Calibri" w:cs="Calibri"/>
          <w:color w:val="000000"/>
          <w:sz w:val="22"/>
          <w:szCs w:val="22"/>
        </w:rPr>
        <w:t>3</w:t>
      </w:r>
      <w:r w:rsidR="0067229C" w:rsidRPr="00743DB6">
        <w:rPr>
          <w:rFonts w:ascii="Calibri" w:hAnsi="Calibri" w:cs="Calibri"/>
          <w:color w:val="000000"/>
          <w:sz w:val="22"/>
          <w:szCs w:val="22"/>
        </w:rPr>
        <w:t>. Kanis JA, Cooper C, Rizzoli R, Reginster J-, on behalf of the Scientific Advisory Board of the European Society for Clinical and Economic Aspects of Osteoporosis (ESCEO) and the Committees of Scientific Advisors and National Societies of the International Osteoporosis Foundation. European guidance for the diagnosis and management of osteoporosis in post-menopausal women. Osteoporos Int. 2019;30(1):3-44.</w:t>
      </w:r>
    </w:p>
    <w:p w:rsidR="0067229C" w:rsidRPr="00743DB6" w:rsidRDefault="00A23F6F" w:rsidP="0067229C">
      <w:pPr>
        <w:pStyle w:val="NormalWeb"/>
        <w:spacing w:line="480" w:lineRule="auto"/>
        <w:rPr>
          <w:rFonts w:ascii="Calibri" w:hAnsi="Calibri" w:cs="Calibri"/>
          <w:color w:val="000000"/>
          <w:sz w:val="22"/>
          <w:szCs w:val="22"/>
        </w:rPr>
      </w:pPr>
      <w:r>
        <w:rPr>
          <w:rFonts w:ascii="Calibri" w:hAnsi="Calibri" w:cs="Calibri"/>
          <w:color w:val="222222"/>
          <w:sz w:val="22"/>
          <w:szCs w:val="22"/>
          <w:shd w:val="clear" w:color="auto" w:fill="FFFFFF"/>
        </w:rPr>
        <w:t>4</w:t>
      </w:r>
      <w:r w:rsidR="0067229C" w:rsidRPr="00743DB6">
        <w:rPr>
          <w:rFonts w:ascii="Calibri" w:hAnsi="Calibri" w:cs="Calibri"/>
          <w:color w:val="222222"/>
          <w:sz w:val="22"/>
          <w:szCs w:val="22"/>
          <w:shd w:val="clear" w:color="auto" w:fill="FFFFFF"/>
        </w:rPr>
        <w:t>. Siris ES, Chen YT, Abbott TA, Barrett-Connor E, Miller PD, Wehren LE, Berger ML. Bone mineral density thresholds for pharmacological intervention to prevent fractures. Archives of internal medicine. 2004 May 24;164(10):1108-12.</w:t>
      </w:r>
    </w:p>
    <w:p w:rsidR="0067229C" w:rsidRPr="00743DB6" w:rsidRDefault="00A23F6F" w:rsidP="0067229C">
      <w:pPr>
        <w:pStyle w:val="NormalWeb"/>
        <w:spacing w:line="480" w:lineRule="auto"/>
        <w:rPr>
          <w:rFonts w:ascii="Calibri" w:hAnsi="Calibri" w:cs="Calibri"/>
          <w:color w:val="000000"/>
          <w:sz w:val="22"/>
          <w:szCs w:val="22"/>
        </w:rPr>
      </w:pPr>
      <w:r>
        <w:rPr>
          <w:rFonts w:ascii="Calibri" w:hAnsi="Calibri" w:cs="Calibri"/>
          <w:color w:val="000000"/>
          <w:sz w:val="22"/>
          <w:szCs w:val="22"/>
        </w:rPr>
        <w:t>5</w:t>
      </w:r>
      <w:r w:rsidR="0067229C" w:rsidRPr="00743DB6">
        <w:rPr>
          <w:rFonts w:ascii="Calibri" w:hAnsi="Calibri" w:cs="Calibri"/>
          <w:color w:val="000000"/>
          <w:sz w:val="22"/>
          <w:szCs w:val="22"/>
        </w:rPr>
        <w:t>. Reid IR, Horne AM, Mihov B, et al. Fracture prevention with zoledronate in older women with osteopenia</w:t>
      </w:r>
      <w:r w:rsidR="0067229C" w:rsidRPr="00743DB6">
        <w:rPr>
          <w:rFonts w:ascii="Calibri" w:hAnsi="Calibri" w:cs="Calibri"/>
          <w:i/>
          <w:iCs/>
          <w:color w:val="000000"/>
          <w:sz w:val="22"/>
          <w:szCs w:val="22"/>
        </w:rPr>
        <w:t>. N Engl J Med</w:t>
      </w:r>
      <w:r w:rsidR="0067229C" w:rsidRPr="00743DB6">
        <w:rPr>
          <w:rFonts w:ascii="Calibri" w:hAnsi="Calibri" w:cs="Calibri"/>
          <w:color w:val="000000"/>
          <w:sz w:val="22"/>
          <w:szCs w:val="22"/>
        </w:rPr>
        <w:t xml:space="preserve">. 2018;379(25):2407-2416. </w:t>
      </w:r>
    </w:p>
    <w:p w:rsidR="0067229C" w:rsidRPr="00743DB6" w:rsidRDefault="00A23F6F" w:rsidP="0067229C">
      <w:pPr>
        <w:pStyle w:val="NormalWeb"/>
        <w:spacing w:line="480" w:lineRule="auto"/>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6</w:t>
      </w:r>
      <w:r w:rsidR="0067229C" w:rsidRPr="00743DB6">
        <w:rPr>
          <w:rFonts w:ascii="Calibri" w:hAnsi="Calibri" w:cs="Calibri"/>
          <w:color w:val="222222"/>
          <w:sz w:val="22"/>
          <w:szCs w:val="22"/>
          <w:shd w:val="clear" w:color="auto" w:fill="FFFFFF"/>
        </w:rPr>
        <w:t>. Compston J, Cooper A, Cooper C, Gittoes N, Gregson C, Harvey N, Hope S, Kanis JA, McCloskey EV, Poole KE, Reid DM. UK clinical guideline for the prevention and treatment of osteoporosis. Archives of osteoporosis. 2017 Dec 1;12(1):43.</w:t>
      </w:r>
    </w:p>
    <w:p w:rsidR="0067229C" w:rsidRPr="00743DB6" w:rsidRDefault="00A23F6F" w:rsidP="0067229C">
      <w:pPr>
        <w:pStyle w:val="NormalWeb"/>
        <w:spacing w:line="480" w:lineRule="auto"/>
        <w:rPr>
          <w:rFonts w:ascii="Calibri" w:hAnsi="Calibri" w:cs="Calibri"/>
          <w:color w:val="222222"/>
          <w:sz w:val="22"/>
          <w:szCs w:val="22"/>
          <w:shd w:val="clear" w:color="auto" w:fill="FFFFFF"/>
        </w:rPr>
      </w:pPr>
      <w:r>
        <w:rPr>
          <w:rFonts w:ascii="Calibri" w:hAnsi="Calibri" w:cs="Calibri"/>
          <w:color w:val="000000"/>
          <w:sz w:val="22"/>
          <w:szCs w:val="22"/>
        </w:rPr>
        <w:t>7</w:t>
      </w:r>
      <w:r w:rsidR="0067229C" w:rsidRPr="00743DB6">
        <w:rPr>
          <w:rFonts w:ascii="Calibri" w:hAnsi="Calibri" w:cs="Calibri"/>
          <w:color w:val="000000"/>
          <w:sz w:val="22"/>
          <w:szCs w:val="22"/>
        </w:rPr>
        <w:t xml:space="preserve">. </w:t>
      </w:r>
      <w:r w:rsidR="0067229C" w:rsidRPr="00743DB6">
        <w:rPr>
          <w:rFonts w:ascii="Calibri" w:hAnsi="Calibri" w:cs="Calibri"/>
          <w:color w:val="222222"/>
          <w:sz w:val="22"/>
          <w:szCs w:val="22"/>
          <w:shd w:val="clear" w:color="auto" w:fill="FFFFFF"/>
        </w:rPr>
        <w:t>Brown, P., 1995. Naming and framing: the social construction of diagnosis and illness. </w:t>
      </w:r>
      <w:r w:rsidR="0067229C" w:rsidRPr="00743DB6">
        <w:rPr>
          <w:rFonts w:ascii="Calibri" w:hAnsi="Calibri" w:cs="Calibri"/>
          <w:i/>
          <w:iCs/>
          <w:color w:val="222222"/>
          <w:sz w:val="22"/>
          <w:szCs w:val="22"/>
          <w:shd w:val="clear" w:color="auto" w:fill="FFFFFF"/>
        </w:rPr>
        <w:t>Journal of health and social behavior</w:t>
      </w:r>
      <w:r w:rsidR="0067229C" w:rsidRPr="00743DB6">
        <w:rPr>
          <w:rFonts w:ascii="Calibri" w:hAnsi="Calibri" w:cs="Calibri"/>
          <w:color w:val="222222"/>
          <w:sz w:val="22"/>
          <w:szCs w:val="22"/>
          <w:shd w:val="clear" w:color="auto" w:fill="FFFFFF"/>
        </w:rPr>
        <w:t>, pp.34-52.</w:t>
      </w:r>
    </w:p>
    <w:p w:rsidR="0067229C" w:rsidRPr="00743DB6" w:rsidRDefault="00A23F6F" w:rsidP="0067229C">
      <w:pPr>
        <w:pStyle w:val="NormalWeb"/>
        <w:spacing w:line="480" w:lineRule="auto"/>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lastRenderedPageBreak/>
        <w:t>8</w:t>
      </w:r>
      <w:r w:rsidR="0067229C" w:rsidRPr="00743DB6">
        <w:rPr>
          <w:rFonts w:ascii="Calibri" w:hAnsi="Calibri" w:cs="Calibri"/>
          <w:color w:val="222222"/>
          <w:sz w:val="22"/>
          <w:szCs w:val="22"/>
          <w:shd w:val="clear" w:color="auto" w:fill="FFFFFF"/>
        </w:rPr>
        <w:t>. Hale ED, Treharne GJ, Kitas GD. The Common-Sense Model of self-regulation of health and illness: how can we use it to understand and respond to our patients’ needs?. Rheumatology. 2007 Jun 1;46(6):904-6.</w:t>
      </w:r>
    </w:p>
    <w:p w:rsidR="0067229C" w:rsidRPr="00743DB6" w:rsidRDefault="00F45C1D" w:rsidP="0067229C">
      <w:pPr>
        <w:pStyle w:val="NormalWeb"/>
        <w:spacing w:line="480" w:lineRule="auto"/>
        <w:rPr>
          <w:rFonts w:ascii="Calibri" w:hAnsi="Calibri" w:cs="Calibri"/>
          <w:color w:val="222222"/>
          <w:sz w:val="22"/>
          <w:szCs w:val="22"/>
          <w:shd w:val="clear" w:color="auto" w:fill="FFFFFF"/>
        </w:rPr>
      </w:pPr>
      <w:r>
        <w:rPr>
          <w:rFonts w:ascii="Calibri" w:hAnsi="Calibri" w:cs="Calibri"/>
          <w:color w:val="000000"/>
          <w:sz w:val="22"/>
          <w:szCs w:val="22"/>
        </w:rPr>
        <w:t>9</w:t>
      </w:r>
      <w:r w:rsidR="0067229C" w:rsidRPr="00743DB6">
        <w:rPr>
          <w:rFonts w:ascii="Calibri" w:hAnsi="Calibri" w:cs="Calibri"/>
          <w:color w:val="000000"/>
          <w:sz w:val="22"/>
          <w:szCs w:val="22"/>
        </w:rPr>
        <w:t xml:space="preserve">. </w:t>
      </w:r>
      <w:r w:rsidR="0067229C" w:rsidRPr="00743DB6">
        <w:rPr>
          <w:rFonts w:ascii="Calibri" w:hAnsi="Calibri" w:cs="Calibri"/>
          <w:color w:val="222222"/>
          <w:sz w:val="22"/>
          <w:szCs w:val="22"/>
          <w:shd w:val="clear" w:color="auto" w:fill="FFFFFF"/>
        </w:rPr>
        <w:t>Salter, C.I., Howe, A., McDaid, L., Blacklock, J., Lenaghan, E. and Shepstone, L., 2011. Risk, significance and biomedicalisation of a new population: Older women’s experience of osteoporosis screening. </w:t>
      </w:r>
      <w:r w:rsidR="0067229C" w:rsidRPr="00743DB6">
        <w:rPr>
          <w:rFonts w:ascii="Calibri" w:hAnsi="Calibri" w:cs="Calibri"/>
          <w:i/>
          <w:iCs/>
          <w:color w:val="222222"/>
          <w:sz w:val="22"/>
          <w:szCs w:val="22"/>
          <w:shd w:val="clear" w:color="auto" w:fill="FFFFFF"/>
        </w:rPr>
        <w:t>Social Science &amp; Medicine</w:t>
      </w:r>
      <w:r w:rsidR="0067229C" w:rsidRPr="00743DB6">
        <w:rPr>
          <w:rFonts w:ascii="Calibri" w:hAnsi="Calibri" w:cs="Calibri"/>
          <w:color w:val="222222"/>
          <w:sz w:val="22"/>
          <w:szCs w:val="22"/>
          <w:shd w:val="clear" w:color="auto" w:fill="FFFFFF"/>
        </w:rPr>
        <w:t>, </w:t>
      </w:r>
      <w:r w:rsidR="0067229C" w:rsidRPr="00743DB6">
        <w:rPr>
          <w:rFonts w:ascii="Calibri" w:hAnsi="Calibri" w:cs="Calibri"/>
          <w:i/>
          <w:iCs/>
          <w:color w:val="222222"/>
          <w:sz w:val="22"/>
          <w:szCs w:val="22"/>
          <w:shd w:val="clear" w:color="auto" w:fill="FFFFFF"/>
        </w:rPr>
        <w:t>73</w:t>
      </w:r>
      <w:r w:rsidR="0067229C" w:rsidRPr="00743DB6">
        <w:rPr>
          <w:rFonts w:ascii="Calibri" w:hAnsi="Calibri" w:cs="Calibri"/>
          <w:color w:val="222222"/>
          <w:sz w:val="22"/>
          <w:szCs w:val="22"/>
          <w:shd w:val="clear" w:color="auto" w:fill="FFFFFF"/>
        </w:rPr>
        <w:t>(6), pp.808-815.</w:t>
      </w:r>
    </w:p>
    <w:p w:rsidR="0067229C" w:rsidRPr="00743DB6" w:rsidRDefault="00F45C1D" w:rsidP="0067229C">
      <w:pPr>
        <w:pStyle w:val="NormalWeb"/>
        <w:spacing w:line="480" w:lineRule="auto"/>
        <w:rPr>
          <w:rFonts w:ascii="Calibri" w:hAnsi="Calibri" w:cs="Calibri"/>
          <w:color w:val="000000"/>
          <w:sz w:val="22"/>
          <w:szCs w:val="22"/>
        </w:rPr>
      </w:pPr>
      <w:r w:rsidRPr="00743DB6">
        <w:rPr>
          <w:rFonts w:ascii="Calibri" w:hAnsi="Calibri" w:cs="Calibri"/>
          <w:color w:val="222222"/>
          <w:sz w:val="22"/>
          <w:szCs w:val="22"/>
          <w:shd w:val="clear" w:color="auto" w:fill="FFFFFF"/>
        </w:rPr>
        <w:t>1</w:t>
      </w:r>
      <w:r>
        <w:rPr>
          <w:rFonts w:ascii="Calibri" w:hAnsi="Calibri" w:cs="Calibri"/>
          <w:color w:val="222222"/>
          <w:sz w:val="22"/>
          <w:szCs w:val="22"/>
          <w:shd w:val="clear" w:color="auto" w:fill="FFFFFF"/>
        </w:rPr>
        <w:t>0</w:t>
      </w:r>
      <w:r w:rsidR="0067229C" w:rsidRPr="00743DB6">
        <w:rPr>
          <w:rFonts w:ascii="Calibri" w:hAnsi="Calibri" w:cs="Calibri"/>
          <w:color w:val="222222"/>
          <w:sz w:val="22"/>
          <w:szCs w:val="22"/>
          <w:shd w:val="clear" w:color="auto" w:fill="FFFFFF"/>
        </w:rPr>
        <w:t>. Lewiecki EM, Binkley N, Bilezikian JP. Treated Osteoporosis Is Still Osteoporosis. Journal of Bone and Mineral Research. 2019 Apr;34(4):605-6.</w:t>
      </w:r>
    </w:p>
    <w:p w:rsidR="0067229C" w:rsidRPr="00743DB6" w:rsidRDefault="00F45C1D" w:rsidP="0067229C">
      <w:pPr>
        <w:pStyle w:val="NormalWeb"/>
        <w:spacing w:line="480" w:lineRule="auto"/>
        <w:rPr>
          <w:rFonts w:ascii="Calibri" w:hAnsi="Calibri" w:cs="Calibri"/>
          <w:color w:val="000000"/>
          <w:sz w:val="22"/>
          <w:szCs w:val="22"/>
        </w:rPr>
      </w:pPr>
      <w:r w:rsidRPr="00743DB6">
        <w:rPr>
          <w:rFonts w:ascii="Calibri" w:hAnsi="Calibri" w:cs="Calibri"/>
          <w:color w:val="000000"/>
          <w:sz w:val="22"/>
          <w:szCs w:val="22"/>
        </w:rPr>
        <w:t>1</w:t>
      </w:r>
      <w:r>
        <w:rPr>
          <w:rFonts w:ascii="Calibri" w:hAnsi="Calibri" w:cs="Calibri"/>
          <w:color w:val="000000"/>
          <w:sz w:val="22"/>
          <w:szCs w:val="22"/>
        </w:rPr>
        <w:t>1</w:t>
      </w:r>
      <w:r w:rsidR="0067229C" w:rsidRPr="00743DB6">
        <w:rPr>
          <w:rFonts w:ascii="Calibri" w:hAnsi="Calibri" w:cs="Calibri"/>
          <w:color w:val="000000"/>
          <w:sz w:val="22"/>
          <w:szCs w:val="22"/>
        </w:rPr>
        <w:t>. Raybould, G., Babatunde, O., Evans, E., Jordan, J.L., Paskins Z. </w:t>
      </w:r>
      <w:r w:rsidR="0067229C" w:rsidRPr="00743DB6">
        <w:rPr>
          <w:rFonts w:ascii="Calibri" w:hAnsi="Calibri" w:cs="Calibri"/>
          <w:bCs/>
          <w:color w:val="000000"/>
          <w:sz w:val="22"/>
          <w:szCs w:val="22"/>
        </w:rPr>
        <w:t>Expressed information needs of patients with osteoporosis and/or fragility fractures: a qualitative systematic review</w:t>
      </w:r>
      <w:r w:rsidR="0067229C" w:rsidRPr="00743DB6">
        <w:rPr>
          <w:rFonts w:ascii="Calibri" w:hAnsi="Calibri" w:cs="Calibri"/>
          <w:i/>
          <w:iCs/>
          <w:color w:val="000000"/>
          <w:sz w:val="22"/>
          <w:szCs w:val="22"/>
        </w:rPr>
        <w:t xml:space="preserve">. </w:t>
      </w:r>
      <w:r w:rsidR="0067229C" w:rsidRPr="00743DB6">
        <w:rPr>
          <w:rFonts w:ascii="Calibri" w:hAnsi="Calibri" w:cs="Calibri"/>
          <w:color w:val="000000"/>
          <w:sz w:val="22"/>
          <w:szCs w:val="22"/>
        </w:rPr>
        <w:t>Arch Osteoporos (2018) 13: 55.</w:t>
      </w:r>
    </w:p>
    <w:p w:rsidR="00743DB6" w:rsidRDefault="00F45C1D" w:rsidP="00F45C1D">
      <w:pPr>
        <w:pStyle w:val="NormalWeb"/>
        <w:spacing w:line="480" w:lineRule="auto"/>
        <w:rPr>
          <w:rFonts w:ascii="Calibri" w:hAnsi="Calibri" w:cs="Calibri"/>
          <w:color w:val="222222"/>
          <w:sz w:val="22"/>
          <w:szCs w:val="22"/>
          <w:shd w:val="clear" w:color="auto" w:fill="FFFFFF"/>
        </w:rPr>
      </w:pPr>
      <w:r w:rsidRPr="00743DB6">
        <w:rPr>
          <w:rFonts w:ascii="Calibri" w:hAnsi="Calibri" w:cs="Calibri"/>
          <w:color w:val="222222"/>
          <w:sz w:val="22"/>
          <w:szCs w:val="22"/>
          <w:shd w:val="clear" w:color="auto" w:fill="FFFFFF"/>
        </w:rPr>
        <w:t>1</w:t>
      </w:r>
      <w:r>
        <w:rPr>
          <w:rFonts w:ascii="Calibri" w:hAnsi="Calibri" w:cs="Calibri"/>
          <w:color w:val="222222"/>
          <w:sz w:val="22"/>
          <w:szCs w:val="22"/>
          <w:shd w:val="clear" w:color="auto" w:fill="FFFFFF"/>
        </w:rPr>
        <w:t>2</w:t>
      </w:r>
      <w:r w:rsidR="00743DB6" w:rsidRPr="00743DB6">
        <w:rPr>
          <w:rFonts w:ascii="Calibri" w:hAnsi="Calibri" w:cs="Calibri"/>
          <w:color w:val="222222"/>
          <w:sz w:val="22"/>
          <w:szCs w:val="22"/>
          <w:shd w:val="clear" w:color="auto" w:fill="FFFFFF"/>
        </w:rPr>
        <w:t xml:space="preserve">. Siris ES, Harris ST, Rosen CJ, Barr CE, Arvesen JN, Abbott TA, Silverman S. Adherence to bisphosphonate therapy and fracture rates in osteoporotic women: relationship to vertebral and nonvertebral fractures from 2 US claims databases. Mayo Clinic Proceedings 2006 Aug 1 (Vol. 81, No. 8, pp. 1013-1022). </w:t>
      </w:r>
    </w:p>
    <w:p w:rsidR="00F45C1D" w:rsidRPr="00F45C1D" w:rsidRDefault="00F45C1D" w:rsidP="00F45C1D">
      <w:pPr>
        <w:pStyle w:val="NormalWeb"/>
        <w:spacing w:line="480" w:lineRule="auto"/>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 xml:space="preserve">13. NHS England. </w:t>
      </w:r>
      <w:r w:rsidRPr="00F45C1D">
        <w:rPr>
          <w:rFonts w:ascii="Calibri" w:hAnsi="Calibri" w:cs="Calibri"/>
          <w:color w:val="222222"/>
          <w:sz w:val="22"/>
          <w:szCs w:val="22"/>
          <w:shd w:val="clear" w:color="auto" w:fill="FFFFFF"/>
        </w:rPr>
        <w:t>2</w:t>
      </w:r>
      <w:r>
        <w:rPr>
          <w:rFonts w:ascii="Calibri" w:hAnsi="Calibri" w:cs="Calibri"/>
          <w:color w:val="222222"/>
          <w:sz w:val="22"/>
          <w:szCs w:val="22"/>
          <w:shd w:val="clear" w:color="auto" w:fill="FFFFFF"/>
        </w:rPr>
        <w:t xml:space="preserve">018/19 General Medical Services </w:t>
      </w:r>
      <w:r w:rsidRPr="00F45C1D">
        <w:rPr>
          <w:rFonts w:ascii="Calibri" w:hAnsi="Calibri" w:cs="Calibri"/>
          <w:color w:val="222222"/>
          <w:sz w:val="22"/>
          <w:szCs w:val="22"/>
          <w:shd w:val="clear" w:color="auto" w:fill="FFFFFF"/>
        </w:rPr>
        <w:t>(GMS) contract Quality and</w:t>
      </w:r>
      <w:r>
        <w:rPr>
          <w:rFonts w:ascii="Calibri" w:hAnsi="Calibri" w:cs="Calibri"/>
          <w:color w:val="222222"/>
          <w:sz w:val="22"/>
          <w:szCs w:val="22"/>
          <w:shd w:val="clear" w:color="auto" w:fill="FFFFFF"/>
        </w:rPr>
        <w:t xml:space="preserve"> </w:t>
      </w:r>
      <w:r w:rsidRPr="00F45C1D">
        <w:rPr>
          <w:rFonts w:ascii="Calibri" w:hAnsi="Calibri" w:cs="Calibri"/>
          <w:color w:val="222222"/>
          <w:sz w:val="22"/>
          <w:szCs w:val="22"/>
          <w:shd w:val="clear" w:color="auto" w:fill="FFFFFF"/>
        </w:rPr>
        <w:t>Outcomes Framework (QOF)Guidance for GMS contract 2018/19</w:t>
      </w:r>
      <w:r>
        <w:rPr>
          <w:rFonts w:ascii="Calibri" w:hAnsi="Calibri" w:cs="Calibri"/>
          <w:color w:val="222222"/>
          <w:sz w:val="22"/>
          <w:szCs w:val="22"/>
          <w:shd w:val="clear" w:color="auto" w:fill="FFFFFF"/>
        </w:rPr>
        <w:t xml:space="preserve"> Available at </w:t>
      </w:r>
      <w:r w:rsidRPr="00F45C1D">
        <w:rPr>
          <w:rFonts w:ascii="Calibri" w:hAnsi="Calibri" w:cs="Calibri"/>
          <w:color w:val="222222"/>
          <w:sz w:val="22"/>
          <w:szCs w:val="22"/>
          <w:shd w:val="clear" w:color="auto" w:fill="FFFFFF"/>
        </w:rPr>
        <w:t>https://www.nhsemployers.org/-/media/Employers/Documents/Primary-care-contracts/QOF/2018-19/2018-19-QOF-guidance-for-stakeholders.PDF</w:t>
      </w:r>
    </w:p>
    <w:p w:rsidR="0067229C" w:rsidRPr="00743DB6" w:rsidRDefault="0067229C" w:rsidP="0067229C">
      <w:pPr>
        <w:pStyle w:val="NormalWeb"/>
        <w:spacing w:line="480" w:lineRule="auto"/>
        <w:rPr>
          <w:rFonts w:ascii="Calibri" w:hAnsi="Calibri" w:cs="Calibri"/>
          <w:color w:val="222222"/>
          <w:sz w:val="22"/>
          <w:szCs w:val="22"/>
          <w:shd w:val="clear" w:color="auto" w:fill="FFFFFF"/>
        </w:rPr>
      </w:pPr>
      <w:r w:rsidRPr="00743DB6">
        <w:rPr>
          <w:rFonts w:ascii="Calibri" w:hAnsi="Calibri" w:cs="Calibri"/>
          <w:color w:val="000000"/>
          <w:sz w:val="22"/>
          <w:szCs w:val="22"/>
        </w:rPr>
        <w:t>1</w:t>
      </w:r>
      <w:r w:rsidR="00743DB6" w:rsidRPr="00743DB6">
        <w:rPr>
          <w:rFonts w:ascii="Calibri" w:hAnsi="Calibri" w:cs="Calibri"/>
          <w:color w:val="000000"/>
          <w:sz w:val="22"/>
          <w:szCs w:val="22"/>
        </w:rPr>
        <w:t>4</w:t>
      </w:r>
      <w:r w:rsidRPr="00743DB6">
        <w:rPr>
          <w:rFonts w:ascii="Calibri" w:hAnsi="Calibri" w:cs="Calibri"/>
          <w:color w:val="000000"/>
          <w:sz w:val="22"/>
          <w:szCs w:val="22"/>
        </w:rPr>
        <w:t xml:space="preserve">. </w:t>
      </w:r>
      <w:r w:rsidRPr="00743DB6">
        <w:rPr>
          <w:rFonts w:ascii="Calibri" w:hAnsi="Calibri" w:cs="Calibri"/>
          <w:color w:val="222222"/>
          <w:sz w:val="22"/>
          <w:szCs w:val="22"/>
          <w:shd w:val="clear" w:color="auto" w:fill="FFFFFF"/>
        </w:rPr>
        <w:t>Siris ES, Adler R, Bilezikian J, Bolognese M, Dawson-Hughes B, Favus MJ, Harris ST, De Beur SJ, Khosla S, Lane NE, Lindsay R. The clinical diagnosis of osteoporosis: a position statement from the National Bone Health Alliance Working Group. Osteoporosis international. 2014 May 1;25(5):1439-43.</w:t>
      </w:r>
    </w:p>
    <w:p w:rsidR="0067229C" w:rsidRPr="00743DB6" w:rsidRDefault="0067229C" w:rsidP="0067229C">
      <w:pPr>
        <w:pStyle w:val="NormalWeb"/>
        <w:spacing w:line="480" w:lineRule="auto"/>
        <w:rPr>
          <w:rFonts w:ascii="Calibri" w:hAnsi="Calibri" w:cs="Calibri"/>
          <w:b/>
          <w:color w:val="000000"/>
          <w:sz w:val="22"/>
          <w:szCs w:val="22"/>
        </w:rPr>
      </w:pPr>
      <w:r w:rsidRPr="00743DB6">
        <w:rPr>
          <w:rFonts w:ascii="Calibri" w:hAnsi="Calibri" w:cs="Calibri"/>
          <w:color w:val="000000"/>
          <w:sz w:val="22"/>
          <w:szCs w:val="22"/>
        </w:rPr>
        <w:t>1</w:t>
      </w:r>
      <w:r w:rsidR="00743DB6" w:rsidRPr="00743DB6">
        <w:rPr>
          <w:rFonts w:ascii="Calibri" w:hAnsi="Calibri" w:cs="Calibri"/>
          <w:color w:val="000000"/>
          <w:sz w:val="22"/>
          <w:szCs w:val="22"/>
        </w:rPr>
        <w:t>5</w:t>
      </w:r>
      <w:r w:rsidRPr="00743DB6">
        <w:rPr>
          <w:rFonts w:ascii="Calibri" w:hAnsi="Calibri" w:cs="Calibri"/>
          <w:color w:val="000000"/>
          <w:sz w:val="22"/>
          <w:szCs w:val="22"/>
        </w:rPr>
        <w:t xml:space="preserve">. </w:t>
      </w:r>
      <w:r w:rsidRPr="00743DB6">
        <w:rPr>
          <w:rFonts w:ascii="Calibri" w:hAnsi="Calibri" w:cs="Calibri"/>
          <w:color w:val="222222"/>
          <w:sz w:val="22"/>
          <w:szCs w:val="22"/>
          <w:shd w:val="clear" w:color="auto" w:fill="FFFFFF"/>
        </w:rPr>
        <w:t xml:space="preserve"> Ensrud, K.E., Kats, A.M., Boyd, C.M., Diem, S.J., Schousboe, J.T., Taylor, B.C., Bauer, D.C., Stone, K.L. and Langsetmo, L., 2019. Association of disease definition, comorbidity burden, and prognosis with hip fracture probability among late-life women. </w:t>
      </w:r>
      <w:r w:rsidRPr="00743DB6">
        <w:rPr>
          <w:rFonts w:ascii="Calibri" w:hAnsi="Calibri" w:cs="Calibri"/>
          <w:i/>
          <w:iCs/>
          <w:color w:val="222222"/>
          <w:sz w:val="22"/>
          <w:szCs w:val="22"/>
          <w:shd w:val="clear" w:color="auto" w:fill="FFFFFF"/>
        </w:rPr>
        <w:t>JAMA internal medicine</w:t>
      </w:r>
      <w:r w:rsidRPr="00743DB6">
        <w:rPr>
          <w:rFonts w:ascii="Calibri" w:hAnsi="Calibri" w:cs="Calibri"/>
          <w:color w:val="222222"/>
          <w:sz w:val="22"/>
          <w:szCs w:val="22"/>
          <w:shd w:val="clear" w:color="auto" w:fill="FFFFFF"/>
        </w:rPr>
        <w:t>.2019: doi:10.1001/jamainternmed.2019.0682</w:t>
      </w:r>
    </w:p>
    <w:p w:rsidR="00AE1E3F" w:rsidRPr="00743DB6" w:rsidRDefault="00AE1E3F" w:rsidP="00274305">
      <w:pPr>
        <w:pStyle w:val="NormalWeb"/>
        <w:spacing w:line="480" w:lineRule="auto"/>
        <w:rPr>
          <w:rFonts w:ascii="Calibri" w:hAnsi="Calibri" w:cs="Calibri"/>
          <w:b/>
          <w:color w:val="000000"/>
          <w:sz w:val="22"/>
          <w:szCs w:val="22"/>
        </w:rPr>
      </w:pPr>
    </w:p>
    <w:p w:rsidR="00E165FB" w:rsidRPr="00743DB6" w:rsidRDefault="00E165FB" w:rsidP="007D2F77">
      <w:pPr>
        <w:pStyle w:val="Body"/>
        <w:spacing w:line="480" w:lineRule="auto"/>
        <w:jc w:val="both"/>
        <w:rPr>
          <w:b/>
          <w:bCs/>
        </w:rPr>
      </w:pPr>
    </w:p>
    <w:p w:rsidR="00E165FB" w:rsidRPr="00743DB6" w:rsidRDefault="00E165FB" w:rsidP="007D2F77">
      <w:pPr>
        <w:pStyle w:val="Body"/>
        <w:spacing w:line="480" w:lineRule="auto"/>
        <w:jc w:val="both"/>
      </w:pPr>
    </w:p>
    <w:sectPr w:rsidR="00E165FB" w:rsidRPr="00743DB6">
      <w:headerReference w:type="default" r:id="rId8"/>
      <w:footerReference w:type="default" r:id="rId9"/>
      <w:pgSz w:w="11900" w:h="16840"/>
      <w:pgMar w:top="1440" w:right="1440" w:bottom="1440" w:left="1440"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D651D7" w16cid:durableId="208D900A"/>
  <w16cid:commentId w16cid:paraId="116FB1FB" w16cid:durableId="208D900B"/>
  <w16cid:commentId w16cid:paraId="301F8A41" w16cid:durableId="208D9E01"/>
  <w16cid:commentId w16cid:paraId="5AFA2E0B" w16cid:durableId="208D9FA0"/>
  <w16cid:commentId w16cid:paraId="6E5AD830" w16cid:durableId="208D900C"/>
  <w16cid:commentId w16cid:paraId="2246F7B9" w16cid:durableId="208DA21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CA4" w:rsidRDefault="00F44CA4">
      <w:r>
        <w:separator/>
      </w:r>
    </w:p>
  </w:endnote>
  <w:endnote w:type="continuationSeparator" w:id="0">
    <w:p w:rsidR="00F44CA4" w:rsidRDefault="00F4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5FB" w:rsidRDefault="00E165FB">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CA4" w:rsidRDefault="00F44CA4">
      <w:r>
        <w:separator/>
      </w:r>
    </w:p>
  </w:footnote>
  <w:footnote w:type="continuationSeparator" w:id="0">
    <w:p w:rsidR="00F44CA4" w:rsidRDefault="00F44C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5FB" w:rsidRDefault="00E165FB">
    <w:pPr>
      <w:pStyle w:val="HeaderFoot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EE1"/>
    <w:multiLevelType w:val="hybridMultilevel"/>
    <w:tmpl w:val="8B12A63C"/>
    <w:styleLink w:val="ImportedStyle1"/>
    <w:lvl w:ilvl="0" w:tplc="E0443E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8240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72F7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5808E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D070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F236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0C6DE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7C4C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9C2C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28D4BCC"/>
    <w:multiLevelType w:val="hybridMultilevel"/>
    <w:tmpl w:val="21B81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CB117A"/>
    <w:multiLevelType w:val="hybridMultilevel"/>
    <w:tmpl w:val="E74AC248"/>
    <w:numStyleLink w:val="ImportedStyle2"/>
  </w:abstractNum>
  <w:abstractNum w:abstractNumId="3" w15:restartNumberingAfterBreak="0">
    <w:nsid w:val="62B62340"/>
    <w:multiLevelType w:val="hybridMultilevel"/>
    <w:tmpl w:val="8B12A63C"/>
    <w:numStyleLink w:val="ImportedStyle1"/>
  </w:abstractNum>
  <w:abstractNum w:abstractNumId="4" w15:restartNumberingAfterBreak="0">
    <w:nsid w:val="6F403D7C"/>
    <w:multiLevelType w:val="hybridMultilevel"/>
    <w:tmpl w:val="E74AC248"/>
    <w:styleLink w:val="ImportedStyle2"/>
    <w:lvl w:ilvl="0" w:tplc="D1869450">
      <w:start w:val="1"/>
      <w:numFmt w:val="decimal"/>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6EEB94">
      <w:start w:val="1"/>
      <w:numFmt w:val="decimal"/>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6AA5C6">
      <w:start w:val="1"/>
      <w:numFmt w:val="decimal"/>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16A290">
      <w:start w:val="1"/>
      <w:numFmt w:val="decimal"/>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14F9CE">
      <w:start w:val="1"/>
      <w:numFmt w:val="decimal"/>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C027F4">
      <w:start w:val="1"/>
      <w:numFmt w:val="decimal"/>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FC550E">
      <w:start w:val="1"/>
      <w:numFmt w:val="decimal"/>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3C4296">
      <w:start w:val="1"/>
      <w:numFmt w:val="decimal"/>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082892">
      <w:start w:val="1"/>
      <w:numFmt w:val="decimal"/>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FB"/>
    <w:rsid w:val="00002DE2"/>
    <w:rsid w:val="00010FE8"/>
    <w:rsid w:val="000204AE"/>
    <w:rsid w:val="00023E99"/>
    <w:rsid w:val="000359F3"/>
    <w:rsid w:val="0006784C"/>
    <w:rsid w:val="00090E86"/>
    <w:rsid w:val="000A56ED"/>
    <w:rsid w:val="000C0321"/>
    <w:rsid w:val="00102D37"/>
    <w:rsid w:val="00147785"/>
    <w:rsid w:val="00155DC1"/>
    <w:rsid w:val="00164BEC"/>
    <w:rsid w:val="001E74C9"/>
    <w:rsid w:val="001F1824"/>
    <w:rsid w:val="00213D23"/>
    <w:rsid w:val="00236BD6"/>
    <w:rsid w:val="00240BF8"/>
    <w:rsid w:val="00241AA7"/>
    <w:rsid w:val="00252FE6"/>
    <w:rsid w:val="00274305"/>
    <w:rsid w:val="00281182"/>
    <w:rsid w:val="002939B9"/>
    <w:rsid w:val="002B3879"/>
    <w:rsid w:val="002E16B4"/>
    <w:rsid w:val="002F09A2"/>
    <w:rsid w:val="003076E3"/>
    <w:rsid w:val="00315222"/>
    <w:rsid w:val="00357A00"/>
    <w:rsid w:val="00371F82"/>
    <w:rsid w:val="00375C80"/>
    <w:rsid w:val="003C6DDC"/>
    <w:rsid w:val="003E0CC8"/>
    <w:rsid w:val="004160B4"/>
    <w:rsid w:val="004D7BC1"/>
    <w:rsid w:val="004F0E74"/>
    <w:rsid w:val="00511FF4"/>
    <w:rsid w:val="00516F7F"/>
    <w:rsid w:val="00543C06"/>
    <w:rsid w:val="00574FBF"/>
    <w:rsid w:val="00580CD1"/>
    <w:rsid w:val="00581ADA"/>
    <w:rsid w:val="005B2B33"/>
    <w:rsid w:val="005B64E1"/>
    <w:rsid w:val="005C4680"/>
    <w:rsid w:val="005E03D9"/>
    <w:rsid w:val="005E4D65"/>
    <w:rsid w:val="0062317F"/>
    <w:rsid w:val="0063538F"/>
    <w:rsid w:val="00662CD6"/>
    <w:rsid w:val="0066642D"/>
    <w:rsid w:val="006718D1"/>
    <w:rsid w:val="0067229C"/>
    <w:rsid w:val="00683839"/>
    <w:rsid w:val="006B45FB"/>
    <w:rsid w:val="00702574"/>
    <w:rsid w:val="00743DB6"/>
    <w:rsid w:val="007442D7"/>
    <w:rsid w:val="0075307F"/>
    <w:rsid w:val="007555BC"/>
    <w:rsid w:val="00763030"/>
    <w:rsid w:val="00774438"/>
    <w:rsid w:val="00782B99"/>
    <w:rsid w:val="007831E0"/>
    <w:rsid w:val="007C4CD7"/>
    <w:rsid w:val="007D2F77"/>
    <w:rsid w:val="008317F3"/>
    <w:rsid w:val="008544B8"/>
    <w:rsid w:val="00865F82"/>
    <w:rsid w:val="00886E0B"/>
    <w:rsid w:val="008B07F7"/>
    <w:rsid w:val="008E1581"/>
    <w:rsid w:val="008E1D32"/>
    <w:rsid w:val="008E4709"/>
    <w:rsid w:val="0090215D"/>
    <w:rsid w:val="00912ABD"/>
    <w:rsid w:val="00933A71"/>
    <w:rsid w:val="00937F87"/>
    <w:rsid w:val="00966EFC"/>
    <w:rsid w:val="00971BD0"/>
    <w:rsid w:val="009772B8"/>
    <w:rsid w:val="009A3ECD"/>
    <w:rsid w:val="009A50EC"/>
    <w:rsid w:val="009A5F1A"/>
    <w:rsid w:val="009C6DFB"/>
    <w:rsid w:val="009D1090"/>
    <w:rsid w:val="00A15726"/>
    <w:rsid w:val="00A23F6F"/>
    <w:rsid w:val="00A26F47"/>
    <w:rsid w:val="00A46A78"/>
    <w:rsid w:val="00A83ACA"/>
    <w:rsid w:val="00A867F8"/>
    <w:rsid w:val="00AA206C"/>
    <w:rsid w:val="00AC6CC0"/>
    <w:rsid w:val="00AE1E3F"/>
    <w:rsid w:val="00B139A5"/>
    <w:rsid w:val="00BC531E"/>
    <w:rsid w:val="00BD23EF"/>
    <w:rsid w:val="00BF2CA2"/>
    <w:rsid w:val="00C15DA9"/>
    <w:rsid w:val="00C541E1"/>
    <w:rsid w:val="00C6017A"/>
    <w:rsid w:val="00C73BC6"/>
    <w:rsid w:val="00CA4950"/>
    <w:rsid w:val="00CB0D0C"/>
    <w:rsid w:val="00CB2A18"/>
    <w:rsid w:val="00CD1C94"/>
    <w:rsid w:val="00CD54FC"/>
    <w:rsid w:val="00D031B8"/>
    <w:rsid w:val="00D04F26"/>
    <w:rsid w:val="00D27B39"/>
    <w:rsid w:val="00D33D9C"/>
    <w:rsid w:val="00D369EB"/>
    <w:rsid w:val="00D804DE"/>
    <w:rsid w:val="00D944E5"/>
    <w:rsid w:val="00D95989"/>
    <w:rsid w:val="00DC51BA"/>
    <w:rsid w:val="00DC68BE"/>
    <w:rsid w:val="00DD1689"/>
    <w:rsid w:val="00DE5B5E"/>
    <w:rsid w:val="00DE7805"/>
    <w:rsid w:val="00E05744"/>
    <w:rsid w:val="00E1236D"/>
    <w:rsid w:val="00E165FB"/>
    <w:rsid w:val="00E25249"/>
    <w:rsid w:val="00E319AC"/>
    <w:rsid w:val="00E319C7"/>
    <w:rsid w:val="00E336EE"/>
    <w:rsid w:val="00E347FE"/>
    <w:rsid w:val="00E377D7"/>
    <w:rsid w:val="00E525BB"/>
    <w:rsid w:val="00E658A6"/>
    <w:rsid w:val="00E6795F"/>
    <w:rsid w:val="00E7695B"/>
    <w:rsid w:val="00ED1766"/>
    <w:rsid w:val="00ED517C"/>
    <w:rsid w:val="00EE571F"/>
    <w:rsid w:val="00EF2A12"/>
    <w:rsid w:val="00EF4FE7"/>
    <w:rsid w:val="00F13F0F"/>
    <w:rsid w:val="00F44CA4"/>
    <w:rsid w:val="00F45C1D"/>
    <w:rsid w:val="00F47C97"/>
    <w:rsid w:val="00F6463A"/>
    <w:rsid w:val="00F64F25"/>
    <w:rsid w:val="00FA2AD0"/>
    <w:rsid w:val="00FB5657"/>
    <w:rsid w:val="00FB5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4BFA1-7483-4BCF-8177-D4C67D0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4">
    <w:name w:val="heading 4"/>
    <w:basedOn w:val="Normal"/>
    <w:link w:val="Heading4Char"/>
    <w:uiPriority w:val="9"/>
    <w:qFormat/>
    <w:rsid w:val="007630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42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2D7"/>
    <w:rPr>
      <w:rFonts w:ascii="Segoe UI" w:hAnsi="Segoe UI" w:cs="Segoe UI"/>
      <w:sz w:val="18"/>
      <w:szCs w:val="18"/>
      <w:lang w:val="en-US" w:eastAsia="en-US"/>
    </w:rPr>
  </w:style>
  <w:style w:type="paragraph" w:styleId="NormalWeb">
    <w:name w:val="Normal (Web)"/>
    <w:basedOn w:val="Normal"/>
    <w:uiPriority w:val="99"/>
    <w:unhideWhenUsed/>
    <w:rsid w:val="00ED51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CommentSubject">
    <w:name w:val="annotation subject"/>
    <w:basedOn w:val="CommentText"/>
    <w:next w:val="CommentText"/>
    <w:link w:val="CommentSubjectChar"/>
    <w:uiPriority w:val="99"/>
    <w:semiHidden/>
    <w:unhideWhenUsed/>
    <w:rsid w:val="00E525BB"/>
    <w:rPr>
      <w:b/>
      <w:bCs/>
    </w:rPr>
  </w:style>
  <w:style w:type="character" w:customStyle="1" w:styleId="CommentSubjectChar">
    <w:name w:val="Comment Subject Char"/>
    <w:basedOn w:val="CommentTextChar"/>
    <w:link w:val="CommentSubject"/>
    <w:uiPriority w:val="99"/>
    <w:semiHidden/>
    <w:rsid w:val="00E525BB"/>
    <w:rPr>
      <w:b/>
      <w:bCs/>
      <w:lang w:val="en-US" w:eastAsia="en-US"/>
    </w:rPr>
  </w:style>
  <w:style w:type="character" w:customStyle="1" w:styleId="Heading4Char">
    <w:name w:val="Heading 4 Char"/>
    <w:basedOn w:val="DefaultParagraphFont"/>
    <w:link w:val="Heading4"/>
    <w:uiPriority w:val="9"/>
    <w:rsid w:val="00763030"/>
    <w:rPr>
      <w:rFonts w:eastAsia="Times New Roman"/>
      <w:b/>
      <w:bCs/>
      <w:sz w:val="24"/>
      <w:szCs w:val="24"/>
      <w:bdr w:val="none" w:sz="0" w:space="0" w:color="auto"/>
    </w:rPr>
  </w:style>
  <w:style w:type="paragraph" w:customStyle="1" w:styleId="i4a-back-to-top">
    <w:name w:val="i4a-back-to-top"/>
    <w:basedOn w:val="Normal"/>
    <w:rsid w:val="007630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Revision">
    <w:name w:val="Revision"/>
    <w:hidden/>
    <w:uiPriority w:val="99"/>
    <w:semiHidden/>
    <w:rsid w:val="00543C0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9347">
      <w:bodyDiv w:val="1"/>
      <w:marLeft w:val="0"/>
      <w:marRight w:val="0"/>
      <w:marTop w:val="0"/>
      <w:marBottom w:val="0"/>
      <w:divBdr>
        <w:top w:val="none" w:sz="0" w:space="0" w:color="auto"/>
        <w:left w:val="none" w:sz="0" w:space="0" w:color="auto"/>
        <w:bottom w:val="none" w:sz="0" w:space="0" w:color="auto"/>
        <w:right w:val="none" w:sz="0" w:space="0" w:color="auto"/>
      </w:divBdr>
    </w:div>
    <w:div w:id="843783020">
      <w:bodyDiv w:val="1"/>
      <w:marLeft w:val="0"/>
      <w:marRight w:val="0"/>
      <w:marTop w:val="0"/>
      <w:marBottom w:val="0"/>
      <w:divBdr>
        <w:top w:val="none" w:sz="0" w:space="0" w:color="auto"/>
        <w:left w:val="none" w:sz="0" w:space="0" w:color="auto"/>
        <w:bottom w:val="none" w:sz="0" w:space="0" w:color="auto"/>
        <w:right w:val="none" w:sz="0" w:space="0" w:color="auto"/>
      </w:divBdr>
      <w:divsChild>
        <w:div w:id="719861728">
          <w:marLeft w:val="0"/>
          <w:marRight w:val="0"/>
          <w:marTop w:val="0"/>
          <w:marBottom w:val="0"/>
          <w:divBdr>
            <w:top w:val="none" w:sz="0" w:space="0" w:color="auto"/>
            <w:left w:val="none" w:sz="0" w:space="0" w:color="auto"/>
            <w:bottom w:val="none" w:sz="0" w:space="0" w:color="auto"/>
            <w:right w:val="none" w:sz="0" w:space="0" w:color="auto"/>
          </w:divBdr>
        </w:div>
      </w:divsChild>
    </w:div>
    <w:div w:id="1302691483">
      <w:bodyDiv w:val="1"/>
      <w:marLeft w:val="0"/>
      <w:marRight w:val="0"/>
      <w:marTop w:val="0"/>
      <w:marBottom w:val="0"/>
      <w:divBdr>
        <w:top w:val="none" w:sz="0" w:space="0" w:color="auto"/>
        <w:left w:val="none" w:sz="0" w:space="0" w:color="auto"/>
        <w:bottom w:val="none" w:sz="0" w:space="0" w:color="auto"/>
        <w:right w:val="none" w:sz="0" w:space="0" w:color="auto"/>
      </w:divBdr>
    </w:div>
    <w:div w:id="1608612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158C-E30D-4B35-A818-12FB5BC0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prb36</dc:creator>
  <cp:lastModifiedBy>Zoe Paskins</cp:lastModifiedBy>
  <cp:revision>2</cp:revision>
  <dcterms:created xsi:type="dcterms:W3CDTF">2020-05-15T08:17:00Z</dcterms:created>
  <dcterms:modified xsi:type="dcterms:W3CDTF">2020-05-15T08:17:00Z</dcterms:modified>
</cp:coreProperties>
</file>