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4474" w14:textId="5C2BB3F2" w:rsidR="004138B8" w:rsidRPr="00BB6B77" w:rsidRDefault="004138B8" w:rsidP="00404CD3">
      <w:pPr>
        <w:spacing w:after="0" w:line="240" w:lineRule="auto"/>
        <w:rPr>
          <w:rFonts w:cstheme="minorHAnsi"/>
          <w:caps/>
          <w:sz w:val="24"/>
          <w:szCs w:val="24"/>
        </w:rPr>
      </w:pPr>
      <w:r w:rsidRPr="00BB6B77">
        <w:rPr>
          <w:rFonts w:cstheme="minorHAnsi"/>
          <w:caps/>
          <w:sz w:val="24"/>
          <w:szCs w:val="24"/>
        </w:rPr>
        <w:t xml:space="preserve">trajectories of foot pain </w:t>
      </w:r>
      <w:r w:rsidR="00404CD3" w:rsidRPr="00BB6B77">
        <w:rPr>
          <w:rFonts w:cstheme="minorHAnsi"/>
          <w:caps/>
          <w:sz w:val="24"/>
          <w:szCs w:val="24"/>
        </w:rPr>
        <w:t xml:space="preserve">Severity </w:t>
      </w:r>
      <w:r w:rsidR="008C1AA5" w:rsidRPr="00BB6B77">
        <w:rPr>
          <w:rFonts w:cstheme="minorHAnsi"/>
          <w:caps/>
          <w:sz w:val="24"/>
          <w:szCs w:val="24"/>
        </w:rPr>
        <w:t xml:space="preserve">over </w:t>
      </w:r>
      <w:r w:rsidR="00500D57">
        <w:rPr>
          <w:rFonts w:cstheme="minorHAnsi"/>
          <w:caps/>
          <w:sz w:val="24"/>
          <w:szCs w:val="24"/>
        </w:rPr>
        <w:t>SEVEN</w:t>
      </w:r>
      <w:r w:rsidR="008C1AA5" w:rsidRPr="00BB6B77">
        <w:rPr>
          <w:rFonts w:cstheme="minorHAnsi"/>
          <w:caps/>
          <w:sz w:val="24"/>
          <w:szCs w:val="24"/>
        </w:rPr>
        <w:t xml:space="preserve"> years </w:t>
      </w:r>
      <w:r w:rsidRPr="00BB6B77">
        <w:rPr>
          <w:rFonts w:cstheme="minorHAnsi"/>
          <w:caps/>
          <w:sz w:val="24"/>
          <w:szCs w:val="24"/>
        </w:rPr>
        <w:t>and relationship to potential prognostic factors</w:t>
      </w:r>
      <w:r w:rsidR="00153247" w:rsidRPr="00BB6B77">
        <w:rPr>
          <w:rFonts w:cstheme="minorHAnsi"/>
          <w:caps/>
          <w:sz w:val="24"/>
          <w:szCs w:val="24"/>
        </w:rPr>
        <w:t>: t</w:t>
      </w:r>
      <w:r w:rsidR="00153247" w:rsidRPr="00BB6B77">
        <w:rPr>
          <w:rFonts w:cstheme="minorHAnsi"/>
          <w:caps/>
          <w:color w:val="000000" w:themeColor="text1"/>
          <w:sz w:val="24"/>
          <w:szCs w:val="24"/>
        </w:rPr>
        <w:t>he Clinical Assessment Study of the Foot</w:t>
      </w:r>
    </w:p>
    <w:p w14:paraId="03238514" w14:textId="77777777" w:rsidR="00404CD3" w:rsidRPr="004138B8" w:rsidRDefault="00404CD3" w:rsidP="00404CD3">
      <w:pPr>
        <w:spacing w:after="0" w:line="240" w:lineRule="auto"/>
        <w:rPr>
          <w:rFonts w:cstheme="minorHAnsi"/>
          <w:b/>
          <w:caps/>
        </w:rPr>
      </w:pPr>
    </w:p>
    <w:p w14:paraId="2FB5244C" w14:textId="330BE9D9" w:rsidR="00220B60" w:rsidRPr="00587304" w:rsidRDefault="0035129D" w:rsidP="00404CD3">
      <w:pPr>
        <w:spacing w:after="0" w:line="240" w:lineRule="auto"/>
        <w:rPr>
          <w:b/>
          <w:vertAlign w:val="superscript"/>
        </w:rPr>
      </w:pPr>
      <w:r>
        <w:rPr>
          <w:b/>
        </w:rPr>
        <w:t xml:space="preserve">Michelle </w:t>
      </w:r>
      <w:r w:rsidR="00587304">
        <w:rPr>
          <w:b/>
        </w:rPr>
        <w:t>Marshall</w:t>
      </w:r>
      <w:r w:rsidR="00587304">
        <w:rPr>
          <w:b/>
          <w:vertAlign w:val="superscript"/>
        </w:rPr>
        <w:t>1</w:t>
      </w:r>
      <w:r w:rsidR="00587304">
        <w:rPr>
          <w:b/>
        </w:rPr>
        <w:t xml:space="preserve">, </w:t>
      </w:r>
      <w:proofErr w:type="spellStart"/>
      <w:r>
        <w:rPr>
          <w:b/>
        </w:rPr>
        <w:t>Milica</w:t>
      </w:r>
      <w:proofErr w:type="spellEnd"/>
      <w:r>
        <w:rPr>
          <w:b/>
        </w:rPr>
        <w:t xml:space="preserve"> Blagojevic-Bucknall</w:t>
      </w:r>
      <w:r w:rsidR="00051CBE">
        <w:rPr>
          <w:b/>
          <w:vertAlign w:val="superscript"/>
        </w:rPr>
        <w:t>1</w:t>
      </w:r>
      <w:r w:rsidR="00587304">
        <w:rPr>
          <w:b/>
        </w:rPr>
        <w:t xml:space="preserve">, </w:t>
      </w:r>
      <w:proofErr w:type="spellStart"/>
      <w:r>
        <w:rPr>
          <w:b/>
        </w:rPr>
        <w:t>Trishna</w:t>
      </w:r>
      <w:proofErr w:type="spellEnd"/>
      <w:r>
        <w:rPr>
          <w:b/>
        </w:rPr>
        <w:t xml:space="preserve"> </w:t>
      </w:r>
      <w:r w:rsidR="00587304">
        <w:rPr>
          <w:b/>
        </w:rPr>
        <w:t>Rathod</w:t>
      </w:r>
      <w:r>
        <w:rPr>
          <w:b/>
        </w:rPr>
        <w:t>-Mistry</w:t>
      </w:r>
      <w:r w:rsidR="00587304">
        <w:rPr>
          <w:b/>
          <w:vertAlign w:val="superscript"/>
        </w:rPr>
        <w:t>1</w:t>
      </w:r>
      <w:r w:rsidR="00587304">
        <w:rPr>
          <w:b/>
        </w:rPr>
        <w:t xml:space="preserve">, </w:t>
      </w:r>
      <w:r>
        <w:rPr>
          <w:b/>
        </w:rPr>
        <w:t xml:space="preserve"> Martin</w:t>
      </w:r>
      <w:r w:rsidR="00451B56">
        <w:rPr>
          <w:b/>
        </w:rPr>
        <w:t xml:space="preserve"> J</w:t>
      </w:r>
      <w:r>
        <w:rPr>
          <w:b/>
        </w:rPr>
        <w:t xml:space="preserve"> </w:t>
      </w:r>
      <w:r w:rsidR="00587304">
        <w:rPr>
          <w:b/>
        </w:rPr>
        <w:t>Thomas</w:t>
      </w:r>
      <w:r w:rsidR="00587304">
        <w:rPr>
          <w:b/>
          <w:vertAlign w:val="superscript"/>
        </w:rPr>
        <w:t>1,3</w:t>
      </w:r>
      <w:r w:rsidR="00587304">
        <w:rPr>
          <w:b/>
        </w:rPr>
        <w:t xml:space="preserve">, </w:t>
      </w:r>
      <w:r>
        <w:rPr>
          <w:b/>
        </w:rPr>
        <w:t xml:space="preserve">John </w:t>
      </w:r>
      <w:r w:rsidR="00EA3D01">
        <w:rPr>
          <w:b/>
        </w:rPr>
        <w:t xml:space="preserve">J. </w:t>
      </w:r>
      <w:r>
        <w:rPr>
          <w:b/>
        </w:rPr>
        <w:t>Edwards</w:t>
      </w:r>
      <w:r w:rsidR="00587304">
        <w:rPr>
          <w:b/>
          <w:vertAlign w:val="superscript"/>
        </w:rPr>
        <w:t>1</w:t>
      </w:r>
      <w:r w:rsidR="00587304">
        <w:rPr>
          <w:b/>
        </w:rPr>
        <w:t xml:space="preserve">, </w:t>
      </w:r>
      <w:r>
        <w:rPr>
          <w:b/>
        </w:rPr>
        <w:t xml:space="preserve">George </w:t>
      </w:r>
      <w:r w:rsidR="00587304">
        <w:rPr>
          <w:b/>
        </w:rPr>
        <w:t>Peat</w:t>
      </w:r>
      <w:r w:rsidR="00587304">
        <w:rPr>
          <w:b/>
          <w:vertAlign w:val="superscript"/>
        </w:rPr>
        <w:t>1</w:t>
      </w:r>
      <w:r w:rsidR="00587304">
        <w:rPr>
          <w:b/>
        </w:rPr>
        <w:t xml:space="preserve">, </w:t>
      </w:r>
      <w:proofErr w:type="spellStart"/>
      <w:r>
        <w:rPr>
          <w:b/>
        </w:rPr>
        <w:t>Hylton</w:t>
      </w:r>
      <w:proofErr w:type="spellEnd"/>
      <w:r>
        <w:rPr>
          <w:b/>
        </w:rPr>
        <w:t xml:space="preserve"> B </w:t>
      </w:r>
      <w:r w:rsidR="00587304">
        <w:rPr>
          <w:b/>
        </w:rPr>
        <w:t>Menz</w:t>
      </w:r>
      <w:r w:rsidR="002D2DFE">
        <w:rPr>
          <w:b/>
          <w:vertAlign w:val="superscript"/>
        </w:rPr>
        <w:t>1,</w:t>
      </w:r>
      <w:r w:rsidR="00587304">
        <w:rPr>
          <w:b/>
          <w:vertAlign w:val="superscript"/>
        </w:rPr>
        <w:t>2</w:t>
      </w:r>
      <w:r w:rsidR="00587304">
        <w:rPr>
          <w:b/>
        </w:rPr>
        <w:t xml:space="preserve">, </w:t>
      </w:r>
      <w:r>
        <w:rPr>
          <w:b/>
        </w:rPr>
        <w:t>Edward Roddy</w:t>
      </w:r>
      <w:r w:rsidR="00587304">
        <w:rPr>
          <w:b/>
          <w:vertAlign w:val="superscript"/>
        </w:rPr>
        <w:t>,3</w:t>
      </w:r>
    </w:p>
    <w:p w14:paraId="533E3C65" w14:textId="6E98AFE2" w:rsidR="00587304" w:rsidRPr="00793E9B" w:rsidRDefault="00587304" w:rsidP="00404CD3">
      <w:pPr>
        <w:spacing w:after="0" w:line="240" w:lineRule="auto"/>
      </w:pPr>
      <w:r>
        <w:rPr>
          <w:vertAlign w:val="superscript"/>
        </w:rPr>
        <w:t xml:space="preserve">1 </w:t>
      </w:r>
      <w:r>
        <w:t xml:space="preserve">Primary Care Centre </w:t>
      </w:r>
      <w:proofErr w:type="gramStart"/>
      <w:r>
        <w:t>Versus</w:t>
      </w:r>
      <w:proofErr w:type="gramEnd"/>
      <w:r>
        <w:t xml:space="preserve"> Arthritis</w:t>
      </w:r>
      <w:r w:rsidRPr="00793E9B">
        <w:t xml:space="preserve">, </w:t>
      </w:r>
      <w:r>
        <w:t xml:space="preserve">School </w:t>
      </w:r>
      <w:r w:rsidR="00FA6814">
        <w:t>of</w:t>
      </w:r>
      <w:r>
        <w:t xml:space="preserve"> Primary, Community and Social Care</w:t>
      </w:r>
      <w:r w:rsidRPr="00793E9B">
        <w:t xml:space="preserve">, </w:t>
      </w:r>
      <w:proofErr w:type="spellStart"/>
      <w:r w:rsidRPr="00793E9B">
        <w:t>Keele</w:t>
      </w:r>
      <w:proofErr w:type="spellEnd"/>
      <w:r w:rsidRPr="00793E9B">
        <w:t xml:space="preserve"> University, Staffordshire, ST5 5BG, United Kingdom</w:t>
      </w:r>
    </w:p>
    <w:p w14:paraId="159FBECB" w14:textId="77777777" w:rsidR="00587304" w:rsidRDefault="00587304" w:rsidP="00404CD3">
      <w:pPr>
        <w:spacing w:after="0" w:line="240" w:lineRule="auto"/>
      </w:pPr>
      <w:r>
        <w:rPr>
          <w:vertAlign w:val="superscript"/>
        </w:rPr>
        <w:t xml:space="preserve">2 </w:t>
      </w:r>
      <w:r>
        <w:t>School of Allied Health</w:t>
      </w:r>
      <w:r w:rsidRPr="00793E9B">
        <w:t xml:space="preserve">, </w:t>
      </w:r>
      <w:r>
        <w:t xml:space="preserve">Human Services and Sport, College of Science, Health and Engineering, </w:t>
      </w:r>
      <w:r w:rsidRPr="00793E9B">
        <w:t xml:space="preserve">La Trobe University, </w:t>
      </w:r>
      <w:r>
        <w:t>Melbourne</w:t>
      </w:r>
      <w:r w:rsidRPr="00793E9B">
        <w:t>, Victoria 3086, Australia</w:t>
      </w:r>
    </w:p>
    <w:p w14:paraId="2C672BE4" w14:textId="77777777" w:rsidR="00587304" w:rsidRPr="00793E9B" w:rsidRDefault="00587304" w:rsidP="00404CD3">
      <w:pPr>
        <w:spacing w:after="0" w:line="240" w:lineRule="auto"/>
      </w:pPr>
      <w:r>
        <w:rPr>
          <w:vertAlign w:val="superscript"/>
        </w:rPr>
        <w:t xml:space="preserve">3 </w:t>
      </w:r>
      <w:r w:rsidRPr="0005680C">
        <w:t xml:space="preserve">Haywood Academic Rheumatology Centre, </w:t>
      </w:r>
      <w:r>
        <w:t xml:space="preserve">Midlands Partnership </w:t>
      </w:r>
      <w:r w:rsidRPr="0005680C">
        <w:t xml:space="preserve">NHS </w:t>
      </w:r>
      <w:r>
        <w:t xml:space="preserve">Foundation </w:t>
      </w:r>
      <w:r w:rsidRPr="0005680C">
        <w:t xml:space="preserve">Trust, Haywood Hospital, </w:t>
      </w:r>
      <w:proofErr w:type="spellStart"/>
      <w:r w:rsidRPr="0005680C">
        <w:t>Burslem</w:t>
      </w:r>
      <w:proofErr w:type="spellEnd"/>
      <w:r w:rsidRPr="0005680C">
        <w:t xml:space="preserve">, Staffordshire, </w:t>
      </w:r>
      <w:r w:rsidRPr="00793E9B">
        <w:t>ST</w:t>
      </w:r>
      <w:r>
        <w:t>6</w:t>
      </w:r>
      <w:r w:rsidRPr="00793E9B">
        <w:t xml:space="preserve"> 5</w:t>
      </w:r>
      <w:r>
        <w:t>7AG</w:t>
      </w:r>
      <w:r w:rsidRPr="00793E9B">
        <w:t>, United Kingdom</w:t>
      </w:r>
    </w:p>
    <w:p w14:paraId="0D0BA1DF" w14:textId="77777777" w:rsidR="00587304" w:rsidRDefault="00587304" w:rsidP="00404CD3">
      <w:pPr>
        <w:spacing w:after="0" w:line="240" w:lineRule="auto"/>
      </w:pPr>
    </w:p>
    <w:p w14:paraId="18EC50F5" w14:textId="18A66091" w:rsidR="009C6A5F" w:rsidRDefault="009C6A5F" w:rsidP="00404CD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Category: </w:t>
      </w:r>
      <w:r w:rsidRPr="007F2A0E">
        <w:rPr>
          <w:rFonts w:cstheme="minorHAnsi"/>
        </w:rPr>
        <w:t>Epidemiology and outcome research</w:t>
      </w:r>
    </w:p>
    <w:p w14:paraId="5C48C819" w14:textId="77777777" w:rsidR="00956E8A" w:rsidRDefault="00956E8A" w:rsidP="00404CD3">
      <w:pPr>
        <w:spacing w:after="0" w:line="240" w:lineRule="auto"/>
        <w:rPr>
          <w:rFonts w:cstheme="minorHAnsi"/>
          <w:b/>
        </w:rPr>
      </w:pPr>
    </w:p>
    <w:p w14:paraId="71099E08" w14:textId="75C9DDA4" w:rsidR="009C6A5F" w:rsidRPr="00AF3FA2" w:rsidRDefault="009C6A5F" w:rsidP="00404CD3">
      <w:pPr>
        <w:spacing w:after="0" w:line="240" w:lineRule="auto"/>
        <w:rPr>
          <w:rFonts w:cstheme="minorHAnsi"/>
          <w:b/>
        </w:rPr>
      </w:pPr>
      <w:r w:rsidRPr="00AF3FA2">
        <w:rPr>
          <w:rFonts w:cstheme="minorHAnsi"/>
          <w:b/>
        </w:rPr>
        <w:t>Keyword</w:t>
      </w:r>
      <w:r w:rsidR="00AF3FA2" w:rsidRPr="00AF3FA2">
        <w:rPr>
          <w:rFonts w:cstheme="minorHAnsi"/>
          <w:b/>
        </w:rPr>
        <w:t>s</w:t>
      </w:r>
      <w:r w:rsidR="00AF3FA2">
        <w:rPr>
          <w:rFonts w:cstheme="minorHAnsi"/>
          <w:b/>
        </w:rPr>
        <w:t xml:space="preserve">: </w:t>
      </w:r>
      <w:r w:rsidR="00AF3FA2" w:rsidRPr="00AF3FA2">
        <w:rPr>
          <w:rFonts w:cstheme="minorHAnsi"/>
        </w:rPr>
        <w:t>Foot, Symptoms, Outcome</w:t>
      </w:r>
    </w:p>
    <w:p w14:paraId="535A43F4" w14:textId="77777777" w:rsidR="00956E8A" w:rsidRDefault="00956E8A" w:rsidP="00404CD3">
      <w:pPr>
        <w:spacing w:after="0" w:line="240" w:lineRule="auto"/>
        <w:rPr>
          <w:rFonts w:cstheme="minorHAnsi"/>
          <w:b/>
        </w:rPr>
      </w:pPr>
    </w:p>
    <w:p w14:paraId="046B9B55" w14:textId="6F315A18" w:rsidR="00AF3FA2" w:rsidRDefault="00AF3FA2" w:rsidP="00404CD3">
      <w:pPr>
        <w:spacing w:after="0" w:line="240" w:lineRule="auto"/>
        <w:rPr>
          <w:rFonts w:cstheme="minorHAnsi"/>
        </w:rPr>
      </w:pPr>
      <w:r w:rsidRPr="00AF3FA2">
        <w:rPr>
          <w:rFonts w:cstheme="minorHAnsi"/>
          <w:b/>
        </w:rPr>
        <w:t>Presenting author:</w:t>
      </w:r>
      <w:r>
        <w:rPr>
          <w:rFonts w:cstheme="minorHAnsi"/>
        </w:rPr>
        <w:t xml:space="preserve"> Edward Roddy</w:t>
      </w:r>
    </w:p>
    <w:p w14:paraId="4030B98B" w14:textId="77777777" w:rsidR="00AF3FA2" w:rsidRDefault="00AF3FA2" w:rsidP="00404CD3">
      <w:pPr>
        <w:spacing w:after="0" w:line="240" w:lineRule="auto"/>
        <w:rPr>
          <w:rFonts w:cstheme="minorHAnsi"/>
          <w:b/>
        </w:rPr>
      </w:pPr>
    </w:p>
    <w:p w14:paraId="4A0ECA48" w14:textId="3D24EC99" w:rsidR="00AF3FA2" w:rsidRPr="00AF3FA2" w:rsidRDefault="00AF3FA2" w:rsidP="00404CD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Background:</w:t>
      </w:r>
    </w:p>
    <w:p w14:paraId="48C85FC2" w14:textId="60C817EA" w:rsidR="00587304" w:rsidRDefault="008C1AA5" w:rsidP="00404CD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Foot pain is common and disabling in older adults however little is known about its course. </w:t>
      </w:r>
      <w:r w:rsidR="007F2A0E">
        <w:t>The objective of this study was to identify foot pain trajectories over seven years and examine the associations between progressive symptom trajectories and potential prognostic factors.</w:t>
      </w:r>
    </w:p>
    <w:p w14:paraId="2CF07DA2" w14:textId="77777777" w:rsidR="00404CD3" w:rsidRPr="00514D3A" w:rsidRDefault="00404CD3" w:rsidP="00404CD3">
      <w:pPr>
        <w:spacing w:after="0" w:line="240" w:lineRule="auto"/>
        <w:rPr>
          <w:rFonts w:cstheme="minorHAnsi"/>
        </w:rPr>
      </w:pPr>
    </w:p>
    <w:p w14:paraId="4A0E8113" w14:textId="4C95715D" w:rsidR="00D27FBE" w:rsidRPr="00D27FBE" w:rsidRDefault="00D27FBE" w:rsidP="00404CD3">
      <w:pPr>
        <w:spacing w:after="0" w:line="240" w:lineRule="auto"/>
        <w:rPr>
          <w:b/>
        </w:rPr>
      </w:pPr>
      <w:r w:rsidRPr="00D27FBE">
        <w:rPr>
          <w:b/>
        </w:rPr>
        <w:t>Methods</w:t>
      </w:r>
      <w:r w:rsidR="00AF3FA2">
        <w:rPr>
          <w:b/>
        </w:rPr>
        <w:t>:</w:t>
      </w:r>
      <w:r w:rsidRPr="00D27FBE">
        <w:rPr>
          <w:b/>
        </w:rPr>
        <w:t xml:space="preserve"> </w:t>
      </w:r>
    </w:p>
    <w:p w14:paraId="326E2948" w14:textId="16C3E4BB" w:rsidR="00F60C47" w:rsidRDefault="00153247" w:rsidP="007F2A0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</w:t>
      </w:r>
      <w:r w:rsidR="00514D3A" w:rsidRPr="00514D3A">
        <w:rPr>
          <w:rFonts w:cstheme="minorHAnsi"/>
          <w:color w:val="000000" w:themeColor="text1"/>
        </w:rPr>
        <w:t>adults aged ≥50 years registered with four general practices in North Staffordshire</w:t>
      </w:r>
      <w:r w:rsidR="005A4369">
        <w:rPr>
          <w:rFonts w:cstheme="minorHAnsi"/>
          <w:color w:val="000000" w:themeColor="text1"/>
        </w:rPr>
        <w:t>, UK</w:t>
      </w:r>
      <w:r w:rsidR="00514D3A" w:rsidRPr="00514D3A">
        <w:rPr>
          <w:rFonts w:cstheme="minorHAnsi"/>
          <w:color w:val="000000" w:themeColor="text1"/>
        </w:rPr>
        <w:t xml:space="preserve"> were </w:t>
      </w:r>
      <w:r w:rsidR="008C1AA5">
        <w:rPr>
          <w:rFonts w:cstheme="minorHAnsi"/>
          <w:color w:val="000000" w:themeColor="text1"/>
        </w:rPr>
        <w:t>mailed a health survey at baseline</w:t>
      </w:r>
      <w:r w:rsidR="00514D3A" w:rsidRPr="00514D3A">
        <w:rPr>
          <w:rFonts w:cstheme="minorHAnsi"/>
          <w:color w:val="000000" w:themeColor="text1"/>
        </w:rPr>
        <w:t xml:space="preserve">. Those </w:t>
      </w:r>
      <w:r w:rsidR="008C1AA5">
        <w:rPr>
          <w:rFonts w:cstheme="minorHAnsi"/>
          <w:color w:val="000000" w:themeColor="text1"/>
        </w:rPr>
        <w:t>re</w:t>
      </w:r>
      <w:r w:rsidR="00514D3A" w:rsidRPr="00514D3A">
        <w:rPr>
          <w:rFonts w:cstheme="minorHAnsi"/>
          <w:color w:val="000000" w:themeColor="text1"/>
        </w:rPr>
        <w:t>port</w:t>
      </w:r>
      <w:r w:rsidR="00BB6B77">
        <w:rPr>
          <w:rFonts w:cstheme="minorHAnsi"/>
          <w:color w:val="000000" w:themeColor="text1"/>
        </w:rPr>
        <w:t>ing</w:t>
      </w:r>
      <w:r w:rsidR="00514D3A" w:rsidRPr="00514D3A">
        <w:rPr>
          <w:rFonts w:cstheme="minorHAnsi"/>
          <w:color w:val="000000" w:themeColor="text1"/>
        </w:rPr>
        <w:t xml:space="preserve"> foot pain in the previous 12 months were invited to attend a research clinic that included </w:t>
      </w:r>
      <w:r w:rsidR="00EA3D01">
        <w:rPr>
          <w:rFonts w:cstheme="minorHAnsi"/>
          <w:color w:val="000000" w:themeColor="text1"/>
        </w:rPr>
        <w:t xml:space="preserve">a </w:t>
      </w:r>
      <w:r w:rsidR="007F2A0E">
        <w:rPr>
          <w:rFonts w:cstheme="minorHAnsi"/>
          <w:color w:val="000000" w:themeColor="text1"/>
        </w:rPr>
        <w:t xml:space="preserve">standardised </w:t>
      </w:r>
      <w:r w:rsidR="00514D3A" w:rsidRPr="00514D3A">
        <w:rPr>
          <w:rFonts w:cstheme="minorHAnsi"/>
          <w:color w:val="000000" w:themeColor="text1"/>
        </w:rPr>
        <w:t xml:space="preserve">interview, physical </w:t>
      </w:r>
      <w:r w:rsidR="007F2A0E">
        <w:rPr>
          <w:rFonts w:cstheme="minorHAnsi"/>
          <w:color w:val="000000" w:themeColor="text1"/>
        </w:rPr>
        <w:t>examination</w:t>
      </w:r>
      <w:r w:rsidR="00EA3D01">
        <w:rPr>
          <w:rFonts w:cstheme="minorHAnsi"/>
          <w:color w:val="000000" w:themeColor="text1"/>
        </w:rPr>
        <w:t>,</w:t>
      </w:r>
      <w:r w:rsidR="00514D3A" w:rsidRPr="00514D3A">
        <w:rPr>
          <w:rFonts w:cstheme="minorHAnsi"/>
          <w:color w:val="000000" w:themeColor="text1"/>
        </w:rPr>
        <w:t xml:space="preserve"> and </w:t>
      </w:r>
      <w:r w:rsidR="007F2A0E">
        <w:rPr>
          <w:rFonts w:cstheme="minorHAnsi"/>
          <w:color w:val="000000" w:themeColor="text1"/>
        </w:rPr>
        <w:t xml:space="preserve">plain </w:t>
      </w:r>
      <w:r w:rsidR="00514D3A" w:rsidRPr="00514D3A">
        <w:rPr>
          <w:rFonts w:cstheme="minorHAnsi"/>
          <w:color w:val="000000" w:themeColor="text1"/>
        </w:rPr>
        <w:t>radiographs</w:t>
      </w:r>
      <w:r w:rsidR="007F2A0E">
        <w:rPr>
          <w:rFonts w:cstheme="minorHAnsi"/>
          <w:color w:val="000000" w:themeColor="text1"/>
        </w:rPr>
        <w:t xml:space="preserve"> of the feet</w:t>
      </w:r>
      <w:r w:rsidR="00514D3A" w:rsidRPr="00514D3A">
        <w:rPr>
          <w:rFonts w:cstheme="minorHAnsi"/>
          <w:color w:val="000000" w:themeColor="text1"/>
        </w:rPr>
        <w:t xml:space="preserve">. Follow-up </w:t>
      </w:r>
      <w:r w:rsidR="008C1AA5">
        <w:rPr>
          <w:rFonts w:cstheme="minorHAnsi"/>
          <w:color w:val="000000" w:themeColor="text1"/>
        </w:rPr>
        <w:t xml:space="preserve">was </w:t>
      </w:r>
      <w:r w:rsidR="008C1AA5">
        <w:rPr>
          <w:rFonts w:cstheme="minorHAnsi"/>
          <w:noProof/>
          <w:color w:val="000000" w:themeColor="text1"/>
        </w:rPr>
        <w:t>by repeated postal survey</w:t>
      </w:r>
      <w:r w:rsidR="00CE68B7">
        <w:rPr>
          <w:rFonts w:cstheme="minorHAnsi"/>
          <w:noProof/>
          <w:color w:val="000000" w:themeColor="text1"/>
        </w:rPr>
        <w:t>s</w:t>
      </w:r>
      <w:r w:rsidR="008C1AA5">
        <w:rPr>
          <w:rFonts w:cstheme="minorHAnsi"/>
          <w:noProof/>
          <w:color w:val="000000" w:themeColor="text1"/>
        </w:rPr>
        <w:t xml:space="preserve"> </w:t>
      </w:r>
      <w:r w:rsidR="00514D3A" w:rsidRPr="00514D3A">
        <w:rPr>
          <w:rFonts w:cstheme="minorHAnsi"/>
          <w:color w:val="000000" w:themeColor="text1"/>
        </w:rPr>
        <w:t>at 18 months, three years, 54 months</w:t>
      </w:r>
      <w:r w:rsidR="00EA3D01">
        <w:rPr>
          <w:rFonts w:cstheme="minorHAnsi"/>
          <w:color w:val="000000" w:themeColor="text1"/>
        </w:rPr>
        <w:t>,</w:t>
      </w:r>
      <w:r w:rsidR="00514D3A" w:rsidRPr="00514D3A">
        <w:rPr>
          <w:rFonts w:cstheme="minorHAnsi"/>
          <w:color w:val="000000" w:themeColor="text1"/>
        </w:rPr>
        <w:t xml:space="preserve"> and </w:t>
      </w:r>
      <w:r w:rsidR="00EA3D01">
        <w:rPr>
          <w:rFonts w:cstheme="minorHAnsi"/>
          <w:color w:val="000000" w:themeColor="text1"/>
        </w:rPr>
        <w:t>seven</w:t>
      </w:r>
      <w:r w:rsidR="00051CBE">
        <w:rPr>
          <w:rFonts w:cstheme="minorHAnsi"/>
          <w:color w:val="000000" w:themeColor="text1"/>
        </w:rPr>
        <w:t xml:space="preserve"> </w:t>
      </w:r>
      <w:r w:rsidR="00514D3A" w:rsidRPr="00514D3A">
        <w:rPr>
          <w:rFonts w:cstheme="minorHAnsi"/>
          <w:color w:val="000000" w:themeColor="text1"/>
        </w:rPr>
        <w:t xml:space="preserve">years. </w:t>
      </w:r>
      <w:r w:rsidR="002E722E">
        <w:rPr>
          <w:rFonts w:cstheme="minorHAnsi"/>
          <w:color w:val="000000" w:themeColor="text1"/>
        </w:rPr>
        <w:t xml:space="preserve">Trajectories of repeated measures of foot pain severity </w:t>
      </w:r>
      <w:r w:rsidR="006304B0">
        <w:rPr>
          <w:rFonts w:cstheme="minorHAnsi"/>
          <w:color w:val="000000" w:themeColor="text1"/>
        </w:rPr>
        <w:t xml:space="preserve">in the </w:t>
      </w:r>
      <w:r w:rsidR="00EA3D01">
        <w:rPr>
          <w:rFonts w:cstheme="minorHAnsi"/>
          <w:color w:val="000000" w:themeColor="text1"/>
        </w:rPr>
        <w:t xml:space="preserve">previous </w:t>
      </w:r>
      <w:r w:rsidR="006304B0">
        <w:rPr>
          <w:rFonts w:cstheme="minorHAnsi"/>
          <w:color w:val="000000" w:themeColor="text1"/>
        </w:rPr>
        <w:t xml:space="preserve">month </w:t>
      </w:r>
      <w:r w:rsidR="002E722E">
        <w:rPr>
          <w:rFonts w:cstheme="minorHAnsi"/>
          <w:color w:val="000000" w:themeColor="text1"/>
        </w:rPr>
        <w:t>(10</w:t>
      </w:r>
      <w:r w:rsidR="00AB1CC0">
        <w:rPr>
          <w:rFonts w:cstheme="minorHAnsi"/>
          <w:color w:val="000000" w:themeColor="text1"/>
        </w:rPr>
        <w:t>-</w:t>
      </w:r>
      <w:r w:rsidR="002E722E">
        <w:rPr>
          <w:rFonts w:cstheme="minorHAnsi"/>
          <w:color w:val="000000" w:themeColor="text1"/>
        </w:rPr>
        <w:t xml:space="preserve">point numerical rating scale) were identified using </w:t>
      </w:r>
      <w:r w:rsidR="00FA68BB" w:rsidRPr="00F60C47">
        <w:rPr>
          <w:rFonts w:cstheme="minorHAnsi"/>
          <w:bCs/>
          <w:color w:val="000000" w:themeColor="text1"/>
        </w:rPr>
        <w:t>Latent Class Growth Analysis (LCGA)</w:t>
      </w:r>
      <w:r w:rsidR="00D70ACD" w:rsidRPr="00F60C47">
        <w:rPr>
          <w:rFonts w:cstheme="minorHAnsi"/>
          <w:color w:val="000000" w:themeColor="text1"/>
        </w:rPr>
        <w:t xml:space="preserve">. </w:t>
      </w:r>
      <w:r w:rsidR="00051CBE">
        <w:rPr>
          <w:rFonts w:cstheme="minorHAnsi"/>
          <w:color w:val="000000" w:themeColor="text1"/>
        </w:rPr>
        <w:t>Logistic regression was undertaken</w:t>
      </w:r>
      <w:r w:rsidR="00051CBE" w:rsidRPr="00F60C47">
        <w:rPr>
          <w:rFonts w:cstheme="minorHAnsi"/>
          <w:color w:val="000000" w:themeColor="text1"/>
        </w:rPr>
        <w:t xml:space="preserve"> </w:t>
      </w:r>
      <w:r w:rsidR="00051CBE">
        <w:rPr>
          <w:rFonts w:cstheme="minorHAnsi"/>
          <w:color w:val="000000" w:themeColor="text1"/>
        </w:rPr>
        <w:t>t</w:t>
      </w:r>
      <w:r w:rsidR="00F60C47" w:rsidRPr="00F60C47">
        <w:rPr>
          <w:rFonts w:cstheme="minorHAnsi"/>
          <w:color w:val="000000" w:themeColor="text1"/>
        </w:rPr>
        <w:t xml:space="preserve">o explore the relationship between </w:t>
      </w:r>
      <w:r w:rsidR="006304B0">
        <w:rPr>
          <w:rFonts w:cstheme="minorHAnsi"/>
          <w:color w:val="000000" w:themeColor="text1"/>
        </w:rPr>
        <w:t xml:space="preserve">these </w:t>
      </w:r>
      <w:r w:rsidR="00F60C47" w:rsidRPr="00F60C47">
        <w:rPr>
          <w:rFonts w:cstheme="minorHAnsi"/>
          <w:color w:val="000000" w:themeColor="text1"/>
        </w:rPr>
        <w:t xml:space="preserve">trajectories and </w:t>
      </w:r>
      <w:r w:rsidR="006304B0">
        <w:rPr>
          <w:rFonts w:cstheme="minorHAnsi"/>
          <w:color w:val="000000" w:themeColor="text1"/>
        </w:rPr>
        <w:t xml:space="preserve">both person-level and foot-level </w:t>
      </w:r>
      <w:r w:rsidR="006304B0">
        <w:rPr>
          <w:rFonts w:cstheme="minorHAnsi"/>
          <w:noProof/>
          <w:color w:val="000000" w:themeColor="text1"/>
        </w:rPr>
        <w:t>prognostic</w:t>
      </w:r>
      <w:r w:rsidR="00F60C47" w:rsidRPr="00F60C47">
        <w:rPr>
          <w:rFonts w:cstheme="minorHAnsi"/>
          <w:color w:val="000000" w:themeColor="text1"/>
        </w:rPr>
        <w:t xml:space="preserve"> factors</w:t>
      </w:r>
      <w:r w:rsidR="00915273">
        <w:rPr>
          <w:rFonts w:cstheme="minorHAnsi"/>
          <w:color w:val="000000" w:themeColor="text1"/>
        </w:rPr>
        <w:t xml:space="preserve"> adjusted for covariates</w:t>
      </w:r>
      <w:r w:rsidR="0070029A">
        <w:rPr>
          <w:rFonts w:cstheme="minorHAnsi"/>
          <w:color w:val="000000" w:themeColor="text1"/>
        </w:rPr>
        <w:t xml:space="preserve"> (age, gender</w:t>
      </w:r>
      <w:r w:rsidR="00EA3D01">
        <w:rPr>
          <w:rFonts w:cstheme="minorHAnsi"/>
          <w:color w:val="000000" w:themeColor="text1"/>
        </w:rPr>
        <w:t>,</w:t>
      </w:r>
      <w:r w:rsidR="00991A23">
        <w:rPr>
          <w:rFonts w:cstheme="minorHAnsi"/>
          <w:color w:val="000000" w:themeColor="text1"/>
        </w:rPr>
        <w:t xml:space="preserve"> and</w:t>
      </w:r>
      <w:r w:rsidR="0070029A">
        <w:rPr>
          <w:rFonts w:cstheme="minorHAnsi"/>
          <w:color w:val="000000" w:themeColor="text1"/>
        </w:rPr>
        <w:t xml:space="preserve"> </w:t>
      </w:r>
      <w:r w:rsidR="00451B56">
        <w:rPr>
          <w:rFonts w:cstheme="minorHAnsi"/>
          <w:color w:val="000000" w:themeColor="text1"/>
        </w:rPr>
        <w:t>body mass index</w:t>
      </w:r>
      <w:r w:rsidR="0070029A">
        <w:rPr>
          <w:rFonts w:cstheme="minorHAnsi"/>
          <w:color w:val="000000" w:themeColor="text1"/>
        </w:rPr>
        <w:t>)</w:t>
      </w:r>
      <w:r w:rsidR="00F60C47" w:rsidRPr="00F60C47">
        <w:rPr>
          <w:rFonts w:cstheme="minorHAnsi"/>
          <w:color w:val="000000" w:themeColor="text1"/>
        </w:rPr>
        <w:t xml:space="preserve">. </w:t>
      </w:r>
    </w:p>
    <w:p w14:paraId="114B2ED7" w14:textId="77777777" w:rsidR="00404CD3" w:rsidRPr="00F60C47" w:rsidRDefault="00404CD3" w:rsidP="00404CD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7326FD2" w14:textId="6AF1ABD7" w:rsidR="00D27FBE" w:rsidRPr="00F60C47" w:rsidRDefault="00AF3FA2" w:rsidP="00404CD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Results:</w:t>
      </w:r>
    </w:p>
    <w:p w14:paraId="7C8B7B24" w14:textId="6B726969" w:rsidR="009A176E" w:rsidRDefault="00381DD1" w:rsidP="007F2A0E">
      <w:pPr>
        <w:keepNext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</w:t>
      </w:r>
      <w:r w:rsidR="00D70ACD" w:rsidRPr="00F60C47">
        <w:rPr>
          <w:rFonts w:cstheme="minorHAnsi"/>
          <w:color w:val="000000" w:themeColor="text1"/>
        </w:rPr>
        <w:t xml:space="preserve"> </w:t>
      </w:r>
      <w:r w:rsidR="00FA68BB" w:rsidRPr="00F60C47">
        <w:rPr>
          <w:rFonts w:cstheme="minorHAnsi"/>
          <w:color w:val="000000" w:themeColor="text1"/>
        </w:rPr>
        <w:t xml:space="preserve">560 </w:t>
      </w:r>
      <w:r>
        <w:rPr>
          <w:rFonts w:cstheme="minorHAnsi"/>
          <w:color w:val="000000" w:themeColor="text1"/>
        </w:rPr>
        <w:t>adults</w:t>
      </w:r>
      <w:r w:rsidR="00FA68BB" w:rsidRPr="00F60C47">
        <w:rPr>
          <w:rFonts w:cstheme="minorHAnsi"/>
          <w:color w:val="000000" w:themeColor="text1"/>
        </w:rPr>
        <w:t xml:space="preserve"> with foot pa</w:t>
      </w:r>
      <w:r w:rsidR="00D70ACD" w:rsidRPr="00F60C47">
        <w:rPr>
          <w:rFonts w:cstheme="minorHAnsi"/>
          <w:color w:val="000000" w:themeColor="text1"/>
        </w:rPr>
        <w:t>in attend</w:t>
      </w:r>
      <w:r>
        <w:rPr>
          <w:rFonts w:cstheme="minorHAnsi"/>
          <w:color w:val="000000" w:themeColor="text1"/>
        </w:rPr>
        <w:t>ing</w:t>
      </w:r>
      <w:r w:rsidR="00D70ACD" w:rsidRPr="00F60C4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baseline</w:t>
      </w:r>
      <w:r w:rsidR="007F2A0E">
        <w:rPr>
          <w:rFonts w:cstheme="minorHAnsi"/>
          <w:color w:val="000000" w:themeColor="text1"/>
        </w:rPr>
        <w:t xml:space="preserve"> </w:t>
      </w:r>
      <w:r w:rsidR="00D70ACD" w:rsidRPr="00F60C47">
        <w:rPr>
          <w:rFonts w:cstheme="minorHAnsi"/>
          <w:color w:val="000000" w:themeColor="text1"/>
        </w:rPr>
        <w:t>research clinic</w:t>
      </w:r>
      <w:r w:rsidR="0047633D">
        <w:rPr>
          <w:rFonts w:cstheme="minorHAnsi"/>
          <w:color w:val="000000" w:themeColor="text1"/>
        </w:rPr>
        <w:t>s</w:t>
      </w:r>
      <w:r w:rsidR="00D70ACD" w:rsidRPr="00F60C47">
        <w:rPr>
          <w:rFonts w:cstheme="minorHAnsi"/>
          <w:color w:val="000000" w:themeColor="text1"/>
        </w:rPr>
        <w:t>, 425</w:t>
      </w:r>
      <w:r w:rsidR="00D87F22">
        <w:rPr>
          <w:rFonts w:cstheme="minorHAnsi"/>
          <w:color w:val="000000" w:themeColor="text1"/>
        </w:rPr>
        <w:t xml:space="preserve"> (76%)</w:t>
      </w:r>
      <w:r w:rsidR="00D70ACD" w:rsidRPr="00F60C47">
        <w:rPr>
          <w:rFonts w:cstheme="minorHAnsi"/>
          <w:color w:val="000000" w:themeColor="text1"/>
        </w:rPr>
        <w:t xml:space="preserve"> </w:t>
      </w:r>
      <w:r w:rsidR="002A49DA">
        <w:rPr>
          <w:rFonts w:cstheme="minorHAnsi"/>
          <w:color w:val="000000" w:themeColor="text1"/>
        </w:rPr>
        <w:t>provided</w:t>
      </w:r>
      <w:r w:rsidR="00D70ACD" w:rsidRPr="00F60C47">
        <w:rPr>
          <w:rFonts w:cstheme="minorHAnsi"/>
          <w:color w:val="000000" w:themeColor="text1"/>
        </w:rPr>
        <w:t xml:space="preserve"> data at baseline and</w:t>
      </w:r>
      <w:r w:rsidR="00153247">
        <w:rPr>
          <w:rFonts w:cstheme="minorHAnsi"/>
          <w:color w:val="000000" w:themeColor="text1"/>
        </w:rPr>
        <w:t xml:space="preserve"> </w:t>
      </w:r>
      <w:r w:rsidR="002A49DA">
        <w:rPr>
          <w:rFonts w:cstheme="minorHAnsi"/>
          <w:color w:val="000000" w:themeColor="text1"/>
        </w:rPr>
        <w:t>≥</w:t>
      </w:r>
      <w:r w:rsidR="00153247">
        <w:rPr>
          <w:rFonts w:cstheme="minorHAnsi"/>
          <w:color w:val="000000" w:themeColor="text1"/>
        </w:rPr>
        <w:t>two follow-up time-</w:t>
      </w:r>
      <w:r w:rsidR="00D70ACD" w:rsidRPr="00F60C47">
        <w:rPr>
          <w:rFonts w:cstheme="minorHAnsi"/>
          <w:color w:val="000000" w:themeColor="text1"/>
        </w:rPr>
        <w:t>p</w:t>
      </w:r>
      <w:r w:rsidR="002A49DA">
        <w:rPr>
          <w:rFonts w:cstheme="minorHAnsi"/>
          <w:color w:val="000000" w:themeColor="text1"/>
        </w:rPr>
        <w:t>oint</w:t>
      </w:r>
      <w:r w:rsidR="00D70ACD" w:rsidRPr="00F60C47">
        <w:rPr>
          <w:rFonts w:cstheme="minorHAnsi"/>
          <w:color w:val="000000" w:themeColor="text1"/>
        </w:rPr>
        <w:t>s and were included in the analysis.</w:t>
      </w:r>
      <w:r w:rsidR="007F2A0E">
        <w:rPr>
          <w:rFonts w:cstheme="minorHAnsi"/>
          <w:color w:val="000000" w:themeColor="text1"/>
        </w:rPr>
        <w:t xml:space="preserve"> </w:t>
      </w:r>
      <w:r w:rsidR="00D70ACD" w:rsidRPr="00F60C47">
        <w:rPr>
          <w:rFonts w:cstheme="minorHAnsi"/>
          <w:color w:val="000000" w:themeColor="text1"/>
        </w:rPr>
        <w:t xml:space="preserve">The optimum </w:t>
      </w:r>
      <w:r w:rsidR="00153247">
        <w:rPr>
          <w:rFonts w:cstheme="minorHAnsi"/>
          <w:color w:val="000000" w:themeColor="text1"/>
        </w:rPr>
        <w:t>LGCA</w:t>
      </w:r>
      <w:r w:rsidR="00D70ACD" w:rsidRPr="00F60C47">
        <w:rPr>
          <w:rFonts w:cstheme="minorHAnsi"/>
          <w:color w:val="000000" w:themeColor="text1"/>
        </w:rPr>
        <w:t xml:space="preserve"> model for foot pain severity was a 4-class model</w:t>
      </w:r>
      <w:r w:rsidR="001E4A25">
        <w:rPr>
          <w:rFonts w:cstheme="minorHAnsi"/>
          <w:color w:val="000000" w:themeColor="text1"/>
        </w:rPr>
        <w:t xml:space="preserve"> with the following tr</w:t>
      </w:r>
      <w:r w:rsidR="00D70ACD" w:rsidRPr="00F60C47">
        <w:rPr>
          <w:rFonts w:cstheme="minorHAnsi"/>
          <w:color w:val="000000" w:themeColor="text1"/>
        </w:rPr>
        <w:t>ajectories:</w:t>
      </w:r>
      <w:r w:rsidR="006304B0">
        <w:rPr>
          <w:rFonts w:cstheme="minorHAnsi"/>
          <w:color w:val="000000" w:themeColor="text1"/>
        </w:rPr>
        <w:t xml:space="preserve"> m</w:t>
      </w:r>
      <w:r w:rsidR="00D70ACD" w:rsidRPr="007F2A0E">
        <w:rPr>
          <w:rFonts w:cstheme="minorHAnsi"/>
          <w:color w:val="000000" w:themeColor="text1"/>
        </w:rPr>
        <w:t>ild improving pain (</w:t>
      </w:r>
      <w:r w:rsidR="000654BB" w:rsidRPr="007F2A0E">
        <w:rPr>
          <w:rFonts w:cstheme="minorHAnsi"/>
          <w:color w:val="000000" w:themeColor="text1"/>
        </w:rPr>
        <w:t>n</w:t>
      </w:r>
      <w:r w:rsidR="00D70ACD" w:rsidRPr="007F2A0E">
        <w:rPr>
          <w:rFonts w:cstheme="minorHAnsi"/>
          <w:color w:val="000000" w:themeColor="text1"/>
        </w:rPr>
        <w:t>=109</w:t>
      </w:r>
      <w:r w:rsidR="00C219B6" w:rsidRPr="007F2A0E">
        <w:rPr>
          <w:rFonts w:cstheme="minorHAnsi"/>
          <w:color w:val="000000" w:themeColor="text1"/>
        </w:rPr>
        <w:t>, 26%</w:t>
      </w:r>
      <w:r w:rsidR="00D70ACD" w:rsidRPr="007F2A0E">
        <w:rPr>
          <w:rFonts w:cstheme="minorHAnsi"/>
          <w:color w:val="000000" w:themeColor="text1"/>
        </w:rPr>
        <w:t>)</w:t>
      </w:r>
      <w:r w:rsidR="003B1009">
        <w:rPr>
          <w:rFonts w:cstheme="minorHAnsi"/>
          <w:color w:val="000000" w:themeColor="text1"/>
        </w:rPr>
        <w:t xml:space="preserve">; </w:t>
      </w:r>
      <w:r w:rsidR="006304B0">
        <w:rPr>
          <w:rFonts w:cstheme="minorHAnsi"/>
          <w:color w:val="000000" w:themeColor="text1"/>
        </w:rPr>
        <w:t>m</w:t>
      </w:r>
      <w:r w:rsidR="00D70ACD" w:rsidRPr="007F2A0E">
        <w:rPr>
          <w:rFonts w:cstheme="minorHAnsi"/>
          <w:color w:val="000000" w:themeColor="text1"/>
        </w:rPr>
        <w:t>oderate improving pain (</w:t>
      </w:r>
      <w:r w:rsidR="000654BB" w:rsidRPr="007F2A0E">
        <w:rPr>
          <w:rFonts w:cstheme="minorHAnsi"/>
          <w:color w:val="000000" w:themeColor="text1"/>
        </w:rPr>
        <w:t>n</w:t>
      </w:r>
      <w:r w:rsidR="00D70ACD" w:rsidRPr="007F2A0E">
        <w:rPr>
          <w:rFonts w:cstheme="minorHAnsi"/>
          <w:color w:val="000000" w:themeColor="text1"/>
        </w:rPr>
        <w:t>=179</w:t>
      </w:r>
      <w:r w:rsidR="00C219B6" w:rsidRPr="007F2A0E">
        <w:rPr>
          <w:rFonts w:cstheme="minorHAnsi"/>
          <w:color w:val="000000" w:themeColor="text1"/>
        </w:rPr>
        <w:t>, 42%</w:t>
      </w:r>
      <w:r w:rsidR="00D70ACD" w:rsidRPr="007F2A0E">
        <w:rPr>
          <w:rFonts w:cstheme="minorHAnsi"/>
          <w:color w:val="000000" w:themeColor="text1"/>
        </w:rPr>
        <w:t>)</w:t>
      </w:r>
      <w:r w:rsidR="003B1009">
        <w:rPr>
          <w:rFonts w:cstheme="minorHAnsi"/>
          <w:color w:val="000000" w:themeColor="text1"/>
        </w:rPr>
        <w:t xml:space="preserve">; </w:t>
      </w:r>
      <w:r w:rsidR="006304B0">
        <w:rPr>
          <w:rFonts w:cstheme="minorHAnsi"/>
          <w:color w:val="000000" w:themeColor="text1"/>
        </w:rPr>
        <w:t>m</w:t>
      </w:r>
      <w:r w:rsidR="00D70ACD" w:rsidRPr="007F2A0E">
        <w:rPr>
          <w:rFonts w:cstheme="minorHAnsi"/>
          <w:color w:val="000000" w:themeColor="text1"/>
        </w:rPr>
        <w:t xml:space="preserve">oderate </w:t>
      </w:r>
      <w:r w:rsidR="007D1E8E" w:rsidRPr="007F2A0E">
        <w:rPr>
          <w:rFonts w:cstheme="minorHAnsi"/>
          <w:color w:val="000000" w:themeColor="text1"/>
        </w:rPr>
        <w:t>persi</w:t>
      </w:r>
      <w:r w:rsidR="00D70ACD" w:rsidRPr="007F2A0E">
        <w:rPr>
          <w:rFonts w:cstheme="minorHAnsi"/>
          <w:color w:val="000000" w:themeColor="text1"/>
        </w:rPr>
        <w:t>st</w:t>
      </w:r>
      <w:r w:rsidR="007D1E8E" w:rsidRPr="007F2A0E">
        <w:rPr>
          <w:rFonts w:cstheme="minorHAnsi"/>
          <w:color w:val="000000" w:themeColor="text1"/>
        </w:rPr>
        <w:t>e</w:t>
      </w:r>
      <w:r w:rsidR="00D70ACD" w:rsidRPr="007F2A0E">
        <w:rPr>
          <w:rFonts w:cstheme="minorHAnsi"/>
          <w:color w:val="000000" w:themeColor="text1"/>
        </w:rPr>
        <w:t xml:space="preserve">nt pain </w:t>
      </w:r>
      <w:r w:rsidR="00C219B6" w:rsidRPr="007F2A0E">
        <w:rPr>
          <w:rFonts w:cstheme="minorHAnsi"/>
          <w:color w:val="000000" w:themeColor="text1"/>
        </w:rPr>
        <w:t>(n</w:t>
      </w:r>
      <w:r w:rsidR="00D70ACD" w:rsidRPr="007F2A0E">
        <w:rPr>
          <w:rFonts w:cstheme="minorHAnsi"/>
          <w:color w:val="000000" w:themeColor="text1"/>
        </w:rPr>
        <w:t>=122</w:t>
      </w:r>
      <w:r w:rsidR="00C219B6" w:rsidRPr="007F2A0E">
        <w:rPr>
          <w:rFonts w:cstheme="minorHAnsi"/>
          <w:color w:val="000000" w:themeColor="text1"/>
        </w:rPr>
        <w:t>, 29%</w:t>
      </w:r>
      <w:r w:rsidR="00D70ACD" w:rsidRPr="007F2A0E">
        <w:rPr>
          <w:rFonts w:cstheme="minorHAnsi"/>
          <w:color w:val="000000" w:themeColor="text1"/>
        </w:rPr>
        <w:t>)</w:t>
      </w:r>
      <w:r w:rsidR="003B1009">
        <w:rPr>
          <w:rFonts w:cstheme="minorHAnsi"/>
          <w:color w:val="000000" w:themeColor="text1"/>
        </w:rPr>
        <w:t xml:space="preserve">; </w:t>
      </w:r>
      <w:r w:rsidR="006304B0">
        <w:rPr>
          <w:rFonts w:cstheme="minorHAnsi"/>
          <w:color w:val="000000" w:themeColor="text1"/>
        </w:rPr>
        <w:t>s</w:t>
      </w:r>
      <w:r w:rsidR="00D70ACD" w:rsidRPr="007F2A0E">
        <w:rPr>
          <w:rFonts w:cstheme="minorHAnsi"/>
          <w:color w:val="000000" w:themeColor="text1"/>
        </w:rPr>
        <w:t xml:space="preserve">evere </w:t>
      </w:r>
      <w:r w:rsidR="007D1E8E" w:rsidRPr="007F2A0E">
        <w:rPr>
          <w:rFonts w:cstheme="minorHAnsi"/>
          <w:color w:val="000000" w:themeColor="text1"/>
        </w:rPr>
        <w:t>persiste</w:t>
      </w:r>
      <w:r w:rsidR="00D70ACD" w:rsidRPr="007F2A0E">
        <w:rPr>
          <w:rFonts w:cstheme="minorHAnsi"/>
          <w:color w:val="000000" w:themeColor="text1"/>
        </w:rPr>
        <w:t>nt pain (</w:t>
      </w:r>
      <w:r w:rsidR="000654BB" w:rsidRPr="007F2A0E">
        <w:rPr>
          <w:rFonts w:cstheme="minorHAnsi"/>
          <w:color w:val="000000" w:themeColor="text1"/>
        </w:rPr>
        <w:t>n</w:t>
      </w:r>
      <w:r w:rsidR="00D70ACD" w:rsidRPr="007F2A0E">
        <w:rPr>
          <w:rFonts w:cstheme="minorHAnsi"/>
          <w:color w:val="000000" w:themeColor="text1"/>
        </w:rPr>
        <w:t>=15</w:t>
      </w:r>
      <w:r w:rsidR="00195ADC" w:rsidRPr="007F2A0E">
        <w:rPr>
          <w:rFonts w:cstheme="minorHAnsi"/>
          <w:color w:val="000000" w:themeColor="text1"/>
        </w:rPr>
        <w:t>, 4%</w:t>
      </w:r>
      <w:r w:rsidR="00D70ACD" w:rsidRPr="007F2A0E">
        <w:rPr>
          <w:rFonts w:cstheme="minorHAnsi"/>
          <w:color w:val="000000" w:themeColor="text1"/>
        </w:rPr>
        <w:t>)</w:t>
      </w:r>
      <w:r w:rsidR="003B1009">
        <w:rPr>
          <w:rFonts w:cstheme="minorHAnsi"/>
          <w:color w:val="000000" w:themeColor="text1"/>
        </w:rPr>
        <w:t>.</w:t>
      </w:r>
      <w:r w:rsidR="007F2A0E">
        <w:rPr>
          <w:rFonts w:cstheme="minorHAnsi"/>
          <w:color w:val="000000" w:themeColor="text1"/>
        </w:rPr>
        <w:t xml:space="preserve"> </w:t>
      </w:r>
      <w:r w:rsidR="00885C05">
        <w:rPr>
          <w:rFonts w:cstheme="minorHAnsi"/>
          <w:color w:val="000000" w:themeColor="text1"/>
        </w:rPr>
        <w:t xml:space="preserve">Compared with individuals </w:t>
      </w:r>
      <w:r w:rsidR="006304B0">
        <w:rPr>
          <w:rFonts w:cstheme="minorHAnsi"/>
          <w:color w:val="000000" w:themeColor="text1"/>
        </w:rPr>
        <w:t>with</w:t>
      </w:r>
      <w:r w:rsidR="00885C05">
        <w:rPr>
          <w:rFonts w:cstheme="minorHAnsi"/>
          <w:color w:val="000000" w:themeColor="text1"/>
        </w:rPr>
        <w:t xml:space="preserve"> mild/moderate improving pain trajectories, those</w:t>
      </w:r>
      <w:r w:rsidR="000654BB">
        <w:rPr>
          <w:rFonts w:cstheme="minorHAnsi"/>
          <w:color w:val="000000" w:themeColor="text1"/>
        </w:rPr>
        <w:t xml:space="preserve"> </w:t>
      </w:r>
      <w:r w:rsidR="006304B0">
        <w:rPr>
          <w:rFonts w:cstheme="minorHAnsi"/>
          <w:color w:val="000000" w:themeColor="text1"/>
        </w:rPr>
        <w:t xml:space="preserve">with </w:t>
      </w:r>
      <w:r w:rsidR="005A4369">
        <w:rPr>
          <w:rFonts w:cstheme="minorHAnsi"/>
          <w:color w:val="000000" w:themeColor="text1"/>
        </w:rPr>
        <w:t>moderate/</w:t>
      </w:r>
      <w:r w:rsidR="00F60C47" w:rsidRPr="00F60C47">
        <w:rPr>
          <w:rFonts w:cstheme="minorHAnsi"/>
          <w:color w:val="000000" w:themeColor="text1"/>
        </w:rPr>
        <w:t xml:space="preserve">severe </w:t>
      </w:r>
      <w:r w:rsidR="005A4369">
        <w:rPr>
          <w:rFonts w:cstheme="minorHAnsi"/>
          <w:color w:val="000000" w:themeColor="text1"/>
        </w:rPr>
        <w:t>persistent</w:t>
      </w:r>
      <w:r w:rsidR="00F60C47" w:rsidRPr="00F60C47">
        <w:rPr>
          <w:rFonts w:cstheme="minorHAnsi"/>
          <w:color w:val="000000" w:themeColor="text1"/>
        </w:rPr>
        <w:t xml:space="preserve"> pain</w:t>
      </w:r>
      <w:r w:rsidR="00F60C47">
        <w:rPr>
          <w:rFonts w:cstheme="minorHAnsi"/>
          <w:color w:val="000000" w:themeColor="text1"/>
        </w:rPr>
        <w:t xml:space="preserve"> </w:t>
      </w:r>
      <w:r w:rsidR="00885C05">
        <w:rPr>
          <w:rFonts w:cstheme="minorHAnsi"/>
          <w:color w:val="000000" w:themeColor="text1"/>
        </w:rPr>
        <w:t xml:space="preserve">trajectories </w:t>
      </w:r>
      <w:r w:rsidR="00B500C3" w:rsidRPr="00F60C47">
        <w:rPr>
          <w:rFonts w:cstheme="minorHAnsi"/>
          <w:color w:val="000000" w:themeColor="text1"/>
        </w:rPr>
        <w:t xml:space="preserve">over 7 years </w:t>
      </w:r>
      <w:r w:rsidR="009D3280">
        <w:rPr>
          <w:rFonts w:cstheme="minorHAnsi"/>
          <w:color w:val="000000" w:themeColor="text1"/>
        </w:rPr>
        <w:t>did not</w:t>
      </w:r>
      <w:r w:rsidR="00217227">
        <w:rPr>
          <w:rFonts w:cstheme="minorHAnsi"/>
          <w:color w:val="000000" w:themeColor="text1"/>
        </w:rPr>
        <w:t xml:space="preserve"> differ significantly by age,</w:t>
      </w:r>
      <w:r w:rsidR="009D3280">
        <w:rPr>
          <w:rFonts w:cstheme="minorHAnsi"/>
          <w:color w:val="000000" w:themeColor="text1"/>
        </w:rPr>
        <w:t xml:space="preserve"> sex</w:t>
      </w:r>
      <w:r w:rsidR="00217227">
        <w:rPr>
          <w:rFonts w:cstheme="minorHAnsi"/>
          <w:color w:val="000000" w:themeColor="text1"/>
        </w:rPr>
        <w:t xml:space="preserve">, </w:t>
      </w:r>
      <w:r w:rsidR="00F95AB1">
        <w:rPr>
          <w:rFonts w:cstheme="minorHAnsi"/>
          <w:color w:val="000000" w:themeColor="text1"/>
        </w:rPr>
        <w:t xml:space="preserve">foot posture </w:t>
      </w:r>
      <w:r w:rsidR="00217227">
        <w:rPr>
          <w:rFonts w:cstheme="minorHAnsi"/>
          <w:color w:val="000000" w:themeColor="text1"/>
        </w:rPr>
        <w:t>or radiographic foot OA phenotype at baseline</w:t>
      </w:r>
      <w:r w:rsidR="006304B0">
        <w:rPr>
          <w:rFonts w:cstheme="minorHAnsi"/>
          <w:color w:val="000000" w:themeColor="text1"/>
        </w:rPr>
        <w:t>,</w:t>
      </w:r>
      <w:r w:rsidR="00794FC4">
        <w:rPr>
          <w:rFonts w:cstheme="minorHAnsi"/>
          <w:color w:val="000000" w:themeColor="text1"/>
        </w:rPr>
        <w:t xml:space="preserve"> but were more likely to be overweight/obese. After adjustment for covariates</w:t>
      </w:r>
      <w:r w:rsidR="009D3280">
        <w:rPr>
          <w:rFonts w:cstheme="minorHAnsi"/>
          <w:color w:val="000000" w:themeColor="text1"/>
        </w:rPr>
        <w:t xml:space="preserve">, these less favourable long-term trajectories were associated with lower socioeconomic position, </w:t>
      </w:r>
      <w:r w:rsidR="00583110">
        <w:rPr>
          <w:rFonts w:cstheme="minorHAnsi"/>
          <w:color w:val="000000" w:themeColor="text1"/>
        </w:rPr>
        <w:t>poorer physical and mental health,</w:t>
      </w:r>
      <w:r w:rsidR="009D3280">
        <w:rPr>
          <w:rFonts w:cstheme="minorHAnsi"/>
          <w:color w:val="000000" w:themeColor="text1"/>
        </w:rPr>
        <w:t xml:space="preserve"> </w:t>
      </w:r>
      <w:proofErr w:type="spellStart"/>
      <w:r w:rsidR="00FA693E">
        <w:rPr>
          <w:rFonts w:cstheme="minorHAnsi"/>
          <w:color w:val="000000" w:themeColor="text1"/>
        </w:rPr>
        <w:t>catastrophising</w:t>
      </w:r>
      <w:proofErr w:type="spellEnd"/>
      <w:r w:rsidR="00FA693E">
        <w:rPr>
          <w:rFonts w:cstheme="minorHAnsi"/>
          <w:color w:val="000000" w:themeColor="text1"/>
        </w:rPr>
        <w:t xml:space="preserve">, </w:t>
      </w:r>
      <w:r w:rsidR="00AB1CC0">
        <w:rPr>
          <w:rFonts w:cstheme="minorHAnsi"/>
          <w:color w:val="000000" w:themeColor="text1"/>
        </w:rPr>
        <w:t>greater</w:t>
      </w:r>
      <w:r w:rsidR="00B56F62">
        <w:rPr>
          <w:rFonts w:cstheme="minorHAnsi"/>
          <w:color w:val="000000" w:themeColor="text1"/>
        </w:rPr>
        <w:t xml:space="preserve"> foot-specific </w:t>
      </w:r>
      <w:r w:rsidR="00FA693E">
        <w:rPr>
          <w:rFonts w:cstheme="minorHAnsi"/>
          <w:color w:val="000000" w:themeColor="text1"/>
        </w:rPr>
        <w:t>functional limitation</w:t>
      </w:r>
      <w:r w:rsidR="00500D57">
        <w:rPr>
          <w:rFonts w:cstheme="minorHAnsi"/>
          <w:color w:val="000000" w:themeColor="text1"/>
        </w:rPr>
        <w:t xml:space="preserve"> (</w:t>
      </w:r>
      <w:r w:rsidR="00500D57">
        <w:t>Manchester Foot Pain and Disability Index)</w:t>
      </w:r>
      <w:r w:rsidR="00FA693E">
        <w:rPr>
          <w:rFonts w:cstheme="minorHAnsi"/>
          <w:color w:val="000000" w:themeColor="text1"/>
        </w:rPr>
        <w:t>,</w:t>
      </w:r>
      <w:r w:rsidR="00233C13">
        <w:rPr>
          <w:rFonts w:cstheme="minorHAnsi"/>
          <w:color w:val="000000" w:themeColor="text1"/>
        </w:rPr>
        <w:t xml:space="preserve"> and self-reported hallux valgus at baseline</w:t>
      </w:r>
      <w:r w:rsidR="00991A23">
        <w:rPr>
          <w:rFonts w:cstheme="minorHAnsi"/>
          <w:color w:val="000000" w:themeColor="text1"/>
        </w:rPr>
        <w:t xml:space="preserve"> (table 1)</w:t>
      </w:r>
      <w:r w:rsidR="00233C13">
        <w:rPr>
          <w:rFonts w:cstheme="minorHAnsi"/>
          <w:color w:val="000000" w:themeColor="text1"/>
        </w:rPr>
        <w:t>.</w:t>
      </w:r>
      <w:r w:rsidR="00B56F62">
        <w:rPr>
          <w:rFonts w:cstheme="minorHAnsi"/>
          <w:color w:val="000000" w:themeColor="text1"/>
        </w:rPr>
        <w:t xml:space="preserve"> </w:t>
      </w:r>
    </w:p>
    <w:p w14:paraId="0C6EF193" w14:textId="77777777" w:rsidR="00404CD3" w:rsidRDefault="00404CD3" w:rsidP="00404CD3">
      <w:pPr>
        <w:spacing w:after="0" w:line="240" w:lineRule="auto"/>
        <w:rPr>
          <w:rFonts w:cstheme="minorHAnsi"/>
          <w:b/>
        </w:rPr>
      </w:pPr>
    </w:p>
    <w:p w14:paraId="01A6A00A" w14:textId="19CD7850" w:rsidR="00D27FBE" w:rsidRPr="00F847D8" w:rsidRDefault="00AF3FA2" w:rsidP="00404CD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Conclusion:</w:t>
      </w:r>
      <w:r w:rsidR="00D27FBE" w:rsidRPr="00F847D8">
        <w:rPr>
          <w:rFonts w:cstheme="minorHAnsi"/>
          <w:b/>
        </w:rPr>
        <w:t xml:space="preserve"> </w:t>
      </w:r>
    </w:p>
    <w:p w14:paraId="7D9718BA" w14:textId="02357363" w:rsidR="009A176E" w:rsidRPr="000E706C" w:rsidRDefault="000E706C" w:rsidP="008576AE">
      <w:pPr>
        <w:pStyle w:val="CommentText"/>
        <w:spacing w:after="0"/>
        <w:rPr>
          <w:sz w:val="22"/>
          <w:szCs w:val="22"/>
        </w:rPr>
      </w:pPr>
      <w:r w:rsidRPr="000E706C">
        <w:rPr>
          <w:sz w:val="22"/>
          <w:szCs w:val="22"/>
        </w:rPr>
        <w:t xml:space="preserve">Over a 7-year period, one-third of individuals had persistent moderate to severe pain. Targeting interventions to modifiable prognostic factors such as obesity and hallux valgus may have the potential to improve long-term outcomes in people with foot pain. </w:t>
      </w:r>
    </w:p>
    <w:p w14:paraId="38A882E6" w14:textId="39493195" w:rsidR="00D27FBE" w:rsidRDefault="00D27FBE" w:rsidP="008576AE">
      <w:pPr>
        <w:spacing w:after="0" w:line="240" w:lineRule="auto"/>
        <w:rPr>
          <w:rFonts w:cstheme="minorHAnsi"/>
        </w:rPr>
      </w:pPr>
    </w:p>
    <w:p w14:paraId="47FFE414" w14:textId="77777777" w:rsidR="00991A23" w:rsidRPr="00F60C47" w:rsidRDefault="00991A23" w:rsidP="008576AE">
      <w:pPr>
        <w:spacing w:after="0" w:line="240" w:lineRule="auto"/>
        <w:rPr>
          <w:rFonts w:cstheme="minorHAnsi"/>
        </w:rPr>
      </w:pPr>
    </w:p>
    <w:p w14:paraId="7B6FD5D5" w14:textId="44CBF6C1" w:rsidR="0035129D" w:rsidRDefault="0035129D" w:rsidP="008576AE">
      <w:pPr>
        <w:spacing w:after="0" w:line="240" w:lineRule="auto"/>
      </w:pPr>
      <w:r w:rsidRPr="0035129D">
        <w:rPr>
          <w:b/>
        </w:rPr>
        <w:t>DISCLOSURES AND CONFLICTS OF INTEREST</w:t>
      </w:r>
      <w:r>
        <w:t xml:space="preserve"> </w:t>
      </w:r>
    </w:p>
    <w:p w14:paraId="5FC62E24" w14:textId="56A382D2" w:rsidR="009C6A5F" w:rsidRPr="00500D57" w:rsidRDefault="00500D57" w:rsidP="008576AE">
      <w:pPr>
        <w:spacing w:after="0" w:line="240" w:lineRule="auto"/>
      </w:pPr>
      <w:r w:rsidRPr="00500D57">
        <w:lastRenderedPageBreak/>
        <w:t xml:space="preserve">MM, MB-B, TR-M, MJT, GP, HBM &amp; ER have no conflicts of interest to declare. JJE is part of The </w:t>
      </w:r>
      <w:proofErr w:type="spellStart"/>
      <w:r w:rsidRPr="00500D57">
        <w:t>Keele</w:t>
      </w:r>
      <w:proofErr w:type="spellEnd"/>
      <w:r w:rsidRPr="00500D57">
        <w:t xml:space="preserve"> Academic General Practice </w:t>
      </w:r>
      <w:r>
        <w:t xml:space="preserve">which </w:t>
      </w:r>
      <w:r w:rsidRPr="00500D57">
        <w:t>has received funding from Bristol-Myers Squibb to develop and evaluate a quality improvement tool in anticoagulation</w:t>
      </w:r>
      <w:r w:rsidR="00D255E7" w:rsidRPr="00500D57">
        <w:t>.</w:t>
      </w:r>
    </w:p>
    <w:p w14:paraId="048B7828" w14:textId="63AEFF00" w:rsidR="00D255E7" w:rsidRDefault="00D255E7" w:rsidP="009A176E">
      <w:pPr>
        <w:spacing w:after="0" w:line="240" w:lineRule="auto"/>
        <w:rPr>
          <w:b/>
        </w:rPr>
      </w:pPr>
    </w:p>
    <w:p w14:paraId="4B797E7D" w14:textId="77777777" w:rsidR="00991A23" w:rsidRDefault="00991A23" w:rsidP="009A176E">
      <w:pPr>
        <w:spacing w:after="0" w:line="240" w:lineRule="auto"/>
        <w:rPr>
          <w:b/>
        </w:rPr>
      </w:pPr>
    </w:p>
    <w:p w14:paraId="53C92AF1" w14:textId="5E9490FF" w:rsidR="009C6A5F" w:rsidRDefault="009C6A5F" w:rsidP="008576AE">
      <w:pPr>
        <w:spacing w:after="0" w:line="240" w:lineRule="auto"/>
      </w:pPr>
      <w:r w:rsidRPr="009C6A5F">
        <w:rPr>
          <w:b/>
        </w:rPr>
        <w:t>FUNDING STATEMENT</w:t>
      </w:r>
      <w:r w:rsidRPr="009C6A5F">
        <w:t xml:space="preserve"> </w:t>
      </w:r>
    </w:p>
    <w:p w14:paraId="55AD849C" w14:textId="2AB19534" w:rsidR="009A176E" w:rsidRDefault="009A176E" w:rsidP="008576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3850"/>
          <w:sz w:val="22"/>
          <w:szCs w:val="22"/>
        </w:rPr>
      </w:pP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This study </w:t>
      </w:r>
      <w:r w:rsidR="00AD72E8">
        <w:rPr>
          <w:rFonts w:asciiTheme="minorHAnsi" w:hAnsiTheme="minorHAnsi" w:cstheme="minorHAnsi"/>
          <w:color w:val="1D3850"/>
          <w:sz w:val="22"/>
          <w:szCs w:val="22"/>
        </w:rPr>
        <w:t>was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 funded by the National Institute for Health Research (NIHR) School for Primary Care Research (</w:t>
      </w:r>
      <w:r w:rsidR="00AD72E8">
        <w:rPr>
          <w:rFonts w:asciiTheme="minorHAnsi" w:hAnsiTheme="minorHAnsi" w:cstheme="minorHAnsi"/>
          <w:color w:val="1D3850"/>
          <w:sz w:val="22"/>
          <w:szCs w:val="22"/>
        </w:rPr>
        <w:t>Grant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 </w:t>
      </w:r>
      <w:r w:rsidR="00AD72E8">
        <w:rPr>
          <w:rFonts w:asciiTheme="minorHAnsi" w:hAnsiTheme="minorHAnsi" w:cstheme="minorHAnsi"/>
          <w:color w:val="1D3850"/>
          <w:sz w:val="22"/>
          <w:szCs w:val="22"/>
        </w:rPr>
        <w:t>R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>eference</w:t>
      </w:r>
      <w:r w:rsidR="00AD72E8">
        <w:rPr>
          <w:rFonts w:asciiTheme="minorHAnsi" w:hAnsiTheme="minorHAnsi" w:cstheme="minorHAnsi"/>
          <w:color w:val="1D3850"/>
          <w:sz w:val="22"/>
          <w:szCs w:val="22"/>
        </w:rPr>
        <w:t xml:space="preserve"> Number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 396).</w:t>
      </w:r>
      <w:r w:rsidR="00AD72E8">
        <w:rPr>
          <w:rFonts w:asciiTheme="minorHAnsi" w:hAnsiTheme="minorHAnsi" w:cstheme="minorHAnsi"/>
          <w:color w:val="1D3850"/>
          <w:sz w:val="22"/>
          <w:szCs w:val="22"/>
        </w:rPr>
        <w:t xml:space="preserve"> </w:t>
      </w:r>
      <w:r w:rsidR="00451B56">
        <w:rPr>
          <w:rFonts w:asciiTheme="minorHAnsi" w:hAnsiTheme="minorHAnsi" w:cstheme="minorHAnsi"/>
          <w:color w:val="1D3850"/>
          <w:sz w:val="22"/>
          <w:szCs w:val="22"/>
        </w:rPr>
        <w:t>MJT is currently funded by an Integrated Clinical Academic Programme Clinical Lectureship from the NIHR and Health Education England (HEE) (ICA-CL-2016-02-014).</w:t>
      </w:r>
      <w:r w:rsidR="003E4457">
        <w:rPr>
          <w:rFonts w:asciiTheme="minorHAnsi" w:hAnsiTheme="minorHAnsi" w:cstheme="minorHAnsi"/>
          <w:color w:val="1D3850"/>
          <w:sz w:val="22"/>
          <w:szCs w:val="22"/>
        </w:rPr>
        <w:t xml:space="preserve"> </w:t>
      </w:r>
      <w:r w:rsidR="002802E3">
        <w:rPr>
          <w:rFonts w:asciiTheme="minorHAnsi" w:hAnsiTheme="minorHAnsi" w:cstheme="minorHAnsi"/>
          <w:color w:val="1D3850"/>
          <w:sz w:val="22"/>
          <w:szCs w:val="22"/>
        </w:rPr>
        <w:t>JJE is funded by a</w:t>
      </w:r>
      <w:r w:rsidR="00F732A1">
        <w:rPr>
          <w:rFonts w:asciiTheme="minorHAnsi" w:hAnsiTheme="minorHAnsi" w:cstheme="minorHAnsi"/>
          <w:color w:val="1D3850"/>
          <w:sz w:val="22"/>
          <w:szCs w:val="22"/>
        </w:rPr>
        <w:t xml:space="preserve"> NIHR</w:t>
      </w:r>
      <w:r w:rsidR="002802E3">
        <w:rPr>
          <w:rFonts w:asciiTheme="minorHAnsi" w:hAnsiTheme="minorHAnsi" w:cstheme="minorHAnsi"/>
          <w:color w:val="1D3850"/>
          <w:sz w:val="22"/>
          <w:szCs w:val="22"/>
        </w:rPr>
        <w:t xml:space="preserve"> Academic Clinical Lectureship</w:t>
      </w:r>
      <w:r w:rsidR="00307A88">
        <w:rPr>
          <w:rFonts w:asciiTheme="minorHAnsi" w:hAnsiTheme="minorHAnsi" w:cstheme="minorHAnsi"/>
          <w:color w:val="1D3850"/>
          <w:sz w:val="22"/>
          <w:szCs w:val="22"/>
        </w:rPr>
        <w:t xml:space="preserve"> (CL-2016-10-003)</w:t>
      </w:r>
      <w:r w:rsidR="002802E3">
        <w:rPr>
          <w:rFonts w:asciiTheme="minorHAnsi" w:hAnsiTheme="minorHAnsi" w:cstheme="minorHAnsi"/>
          <w:color w:val="1D3850"/>
          <w:sz w:val="22"/>
          <w:szCs w:val="22"/>
        </w:rPr>
        <w:t xml:space="preserve">. </w:t>
      </w:r>
      <w:r w:rsidR="00B264C8">
        <w:rPr>
          <w:rFonts w:asciiTheme="minorHAnsi" w:hAnsiTheme="minorHAnsi" w:cstheme="minorHAnsi"/>
          <w:color w:val="1D3850"/>
          <w:sz w:val="22"/>
          <w:szCs w:val="22"/>
        </w:rPr>
        <w:t xml:space="preserve">HBM is funded by a National Health and Medical Research Council of Australia Senior Research Fellowship (ID: 1135995). </w:t>
      </w:r>
      <w:r w:rsidR="00500D57">
        <w:rPr>
          <w:rFonts w:asciiTheme="minorHAnsi" w:hAnsiTheme="minorHAnsi" w:cstheme="minorHAnsi"/>
          <w:color w:val="1D3850"/>
          <w:sz w:val="22"/>
          <w:szCs w:val="22"/>
        </w:rPr>
        <w:t xml:space="preserve">This report is independent research by the NIHR. 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The views expressed </w:t>
      </w:r>
      <w:r w:rsidR="00451B56">
        <w:rPr>
          <w:rFonts w:asciiTheme="minorHAnsi" w:hAnsiTheme="minorHAnsi" w:cstheme="minorHAnsi"/>
          <w:color w:val="1D3850"/>
          <w:sz w:val="22"/>
          <w:szCs w:val="22"/>
        </w:rPr>
        <w:t xml:space="preserve">in this conference abstract 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>are those of the authors and not necessarily those of the</w:t>
      </w:r>
      <w:r w:rsidR="00451B56">
        <w:rPr>
          <w:rFonts w:asciiTheme="minorHAnsi" w:hAnsiTheme="minorHAnsi" w:cstheme="minorHAnsi"/>
          <w:color w:val="1D3850"/>
          <w:sz w:val="22"/>
          <w:szCs w:val="22"/>
        </w:rPr>
        <w:t xml:space="preserve"> NHS, the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 xml:space="preserve"> NIHR</w:t>
      </w:r>
      <w:r w:rsidR="00451B56">
        <w:rPr>
          <w:rFonts w:asciiTheme="minorHAnsi" w:hAnsiTheme="minorHAnsi" w:cstheme="minorHAnsi"/>
          <w:color w:val="1D3850"/>
          <w:sz w:val="22"/>
          <w:szCs w:val="22"/>
        </w:rPr>
        <w:t>, HEE</w:t>
      </w:r>
      <w:r w:rsidRPr="009A176E">
        <w:rPr>
          <w:rFonts w:asciiTheme="minorHAnsi" w:hAnsiTheme="minorHAnsi" w:cstheme="minorHAnsi"/>
          <w:color w:val="1D3850"/>
          <w:sz w:val="22"/>
          <w:szCs w:val="22"/>
        </w:rPr>
        <w:t> or the Department of Health and Social Care.</w:t>
      </w:r>
    </w:p>
    <w:p w14:paraId="651B63DA" w14:textId="1BC6C02A" w:rsidR="008576AE" w:rsidRDefault="008576AE">
      <w:pPr>
        <w:rPr>
          <w:rFonts w:eastAsia="Times New Roman" w:cstheme="minorHAnsi"/>
          <w:color w:val="1D3850"/>
          <w:lang w:eastAsia="en-GB"/>
        </w:rPr>
      </w:pPr>
    </w:p>
    <w:p w14:paraId="6984770A" w14:textId="07EA42C2" w:rsidR="009A176E" w:rsidRDefault="00DF1654" w:rsidP="00F066A0">
      <w:pPr>
        <w:spacing w:after="0" w:line="240" w:lineRule="auto"/>
        <w:ind w:right="-709"/>
        <w:rPr>
          <w:rFonts w:cstheme="minorHAnsi"/>
          <w:color w:val="1D3850"/>
        </w:rPr>
      </w:pPr>
      <w:r>
        <w:rPr>
          <w:rFonts w:cstheme="minorHAnsi"/>
          <w:color w:val="1D3850"/>
        </w:rPr>
        <w:t>Table 1.</w:t>
      </w:r>
      <w:r w:rsidR="00915273">
        <w:rPr>
          <w:rFonts w:cstheme="minorHAnsi"/>
          <w:color w:val="1D3850"/>
        </w:rPr>
        <w:t xml:space="preserve"> </w:t>
      </w:r>
      <w:r w:rsidR="00A8530E">
        <w:rPr>
          <w:rFonts w:cstheme="minorHAnsi"/>
          <w:color w:val="000000" w:themeColor="text1"/>
        </w:rPr>
        <w:t>Baseline</w:t>
      </w:r>
      <w:r w:rsidR="00A8530E" w:rsidRPr="00F60C47">
        <w:rPr>
          <w:rFonts w:cstheme="minorHAnsi"/>
          <w:color w:val="000000" w:themeColor="text1"/>
        </w:rPr>
        <w:t xml:space="preserve"> </w:t>
      </w:r>
      <w:r w:rsidR="00A8530E">
        <w:rPr>
          <w:rFonts w:cstheme="minorHAnsi"/>
          <w:noProof/>
          <w:color w:val="000000" w:themeColor="text1"/>
        </w:rPr>
        <w:t>prognostic</w:t>
      </w:r>
      <w:r w:rsidR="00A8530E" w:rsidRPr="00F60C47">
        <w:rPr>
          <w:rFonts w:cstheme="minorHAnsi"/>
          <w:color w:val="000000" w:themeColor="text1"/>
        </w:rPr>
        <w:t xml:space="preserve"> factors</w:t>
      </w:r>
      <w:r w:rsidR="00A8530E" w:rsidRPr="00A8530E">
        <w:rPr>
          <w:rFonts w:cstheme="minorHAnsi"/>
          <w:color w:val="000000" w:themeColor="text1"/>
        </w:rPr>
        <w:t xml:space="preserve"> </w:t>
      </w:r>
      <w:r w:rsidR="00A8530E">
        <w:rPr>
          <w:rFonts w:cstheme="minorHAnsi"/>
          <w:color w:val="000000" w:themeColor="text1"/>
        </w:rPr>
        <w:t xml:space="preserve">and the association with a persistent pain </w:t>
      </w:r>
      <w:r w:rsidR="00A8530E" w:rsidRPr="00F60C47">
        <w:rPr>
          <w:rFonts w:cstheme="minorHAnsi"/>
          <w:color w:val="000000" w:themeColor="text1"/>
        </w:rPr>
        <w:t>trajector</w:t>
      </w:r>
      <w:r w:rsidR="00A8530E">
        <w:rPr>
          <w:rFonts w:cstheme="minorHAnsi"/>
          <w:color w:val="000000" w:themeColor="text1"/>
        </w:rPr>
        <w:t>y</w:t>
      </w:r>
    </w:p>
    <w:p w14:paraId="79039B85" w14:textId="77777777" w:rsidR="00915273" w:rsidRDefault="00915273" w:rsidP="008576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3850"/>
          <w:sz w:val="22"/>
          <w:szCs w:val="22"/>
        </w:rPr>
      </w:pPr>
    </w:p>
    <w:tbl>
      <w:tblPr>
        <w:tblStyle w:val="TableGrid"/>
        <w:tblW w:w="5374" w:type="pct"/>
        <w:tblLayout w:type="fixed"/>
        <w:tblLook w:val="04A0" w:firstRow="1" w:lastRow="0" w:firstColumn="1" w:lastColumn="0" w:noHBand="0" w:noVBand="1"/>
      </w:tblPr>
      <w:tblGrid>
        <w:gridCol w:w="3669"/>
        <w:gridCol w:w="1713"/>
        <w:gridCol w:w="1701"/>
        <w:gridCol w:w="1633"/>
        <w:gridCol w:w="1633"/>
      </w:tblGrid>
      <w:tr w:rsidR="008576AE" w:rsidRPr="008576AE" w14:paraId="216794B3" w14:textId="77777777" w:rsidTr="00F066A0">
        <w:tc>
          <w:tcPr>
            <w:tcW w:w="1772" w:type="pct"/>
          </w:tcPr>
          <w:p w14:paraId="16D4F5A8" w14:textId="77777777" w:rsidR="0070029A" w:rsidRDefault="0070029A" w:rsidP="007002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951654" w14:textId="196E3AD4" w:rsidR="008576AE" w:rsidRPr="008576AE" w:rsidRDefault="0070029A" w:rsidP="00991A23">
            <w:pPr>
              <w:rPr>
                <w:rFonts w:cstheme="minorHAnsi"/>
                <w:b/>
                <w:sz w:val="20"/>
                <w:szCs w:val="20"/>
              </w:rPr>
            </w:pPr>
            <w:r w:rsidRPr="008576AE">
              <w:rPr>
                <w:rFonts w:cstheme="minorHAnsi"/>
                <w:b/>
                <w:sz w:val="20"/>
                <w:szCs w:val="20"/>
              </w:rPr>
              <w:t xml:space="preserve">Baseline </w:t>
            </w:r>
            <w:r>
              <w:rPr>
                <w:rFonts w:cstheme="minorHAnsi"/>
                <w:b/>
                <w:sz w:val="20"/>
                <w:szCs w:val="20"/>
              </w:rPr>
              <w:t>factors</w:t>
            </w:r>
          </w:p>
        </w:tc>
        <w:tc>
          <w:tcPr>
            <w:tcW w:w="827" w:type="pct"/>
          </w:tcPr>
          <w:p w14:paraId="6B58E0D8" w14:textId="07710CC8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Mild/moderate improving pain </w:t>
            </w:r>
            <w:r w:rsidRPr="00196943">
              <w:rPr>
                <w:rFonts w:cstheme="minorHAnsi"/>
                <w:b/>
                <w:sz w:val="20"/>
                <w:szCs w:val="20"/>
              </w:rPr>
              <w:t>N=288</w:t>
            </w:r>
          </w:p>
        </w:tc>
        <w:tc>
          <w:tcPr>
            <w:tcW w:w="822" w:type="pct"/>
          </w:tcPr>
          <w:p w14:paraId="390BE8DB" w14:textId="12BF3121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Moderate/severe persistent pain </w:t>
            </w:r>
            <w:r w:rsidRPr="00196943">
              <w:rPr>
                <w:rFonts w:cstheme="minorHAnsi"/>
                <w:b/>
                <w:sz w:val="20"/>
                <w:szCs w:val="20"/>
              </w:rPr>
              <w:t>N=137</w:t>
            </w:r>
          </w:p>
        </w:tc>
        <w:tc>
          <w:tcPr>
            <w:tcW w:w="789" w:type="pct"/>
          </w:tcPr>
          <w:p w14:paraId="18F0E7A3" w14:textId="77777777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sz w:val="20"/>
                <w:szCs w:val="20"/>
              </w:rPr>
              <w:t>Crude OR</w:t>
            </w:r>
          </w:p>
          <w:p w14:paraId="6CF31607" w14:textId="77777777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sz w:val="20"/>
                <w:szCs w:val="20"/>
              </w:rPr>
              <w:t>(95% CI)</w:t>
            </w:r>
          </w:p>
        </w:tc>
        <w:tc>
          <w:tcPr>
            <w:tcW w:w="789" w:type="pct"/>
          </w:tcPr>
          <w:p w14:paraId="0E14FA0B" w14:textId="637858B5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sz w:val="20"/>
                <w:szCs w:val="20"/>
              </w:rPr>
              <w:t>Adjusted for age, sex and BMI</w:t>
            </w:r>
          </w:p>
          <w:p w14:paraId="55C92A46" w14:textId="77777777" w:rsidR="008576AE" w:rsidRPr="00196943" w:rsidRDefault="008576AE" w:rsidP="0085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943">
              <w:rPr>
                <w:rFonts w:cstheme="minorHAnsi"/>
                <w:b/>
                <w:sz w:val="20"/>
                <w:szCs w:val="20"/>
              </w:rPr>
              <w:t>OR (95% CI)</w:t>
            </w:r>
          </w:p>
        </w:tc>
      </w:tr>
      <w:tr w:rsidR="008576AE" w:rsidRPr="008576AE" w14:paraId="42A7FC26" w14:textId="77777777" w:rsidTr="00F066A0">
        <w:tc>
          <w:tcPr>
            <w:tcW w:w="1772" w:type="pct"/>
          </w:tcPr>
          <w:p w14:paraId="35FF7685" w14:textId="77777777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Age, years; mean (SD)</w:t>
            </w:r>
          </w:p>
        </w:tc>
        <w:tc>
          <w:tcPr>
            <w:tcW w:w="827" w:type="pct"/>
          </w:tcPr>
          <w:p w14:paraId="2472AD47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64.28 (7.68)</w:t>
            </w:r>
          </w:p>
        </w:tc>
        <w:tc>
          <w:tcPr>
            <w:tcW w:w="822" w:type="pct"/>
          </w:tcPr>
          <w:p w14:paraId="5E6E31E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64.54 (8.06)</w:t>
            </w:r>
          </w:p>
        </w:tc>
        <w:tc>
          <w:tcPr>
            <w:tcW w:w="789" w:type="pct"/>
          </w:tcPr>
          <w:p w14:paraId="447DD5E5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 (0.98, 1.03)</w:t>
            </w:r>
          </w:p>
        </w:tc>
        <w:tc>
          <w:tcPr>
            <w:tcW w:w="789" w:type="pct"/>
          </w:tcPr>
          <w:p w14:paraId="1177F969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 (0.98, 1.03)</w:t>
            </w:r>
          </w:p>
        </w:tc>
      </w:tr>
      <w:tr w:rsidR="008576AE" w:rsidRPr="008576AE" w14:paraId="78FD1960" w14:textId="77777777" w:rsidTr="00F066A0">
        <w:tc>
          <w:tcPr>
            <w:tcW w:w="1772" w:type="pct"/>
          </w:tcPr>
          <w:p w14:paraId="418110D3" w14:textId="0E552EA7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Age categories; </w:t>
            </w:r>
            <w:r>
              <w:rPr>
                <w:rFonts w:cstheme="minorHAnsi"/>
                <w:sz w:val="20"/>
                <w:szCs w:val="20"/>
              </w:rPr>
              <w:t>N (%)</w:t>
            </w:r>
            <w:r w:rsidRPr="008576A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27" w:type="pct"/>
          </w:tcPr>
          <w:p w14:paraId="0F6F5263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CB84A6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50A176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A083C47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6AE" w:rsidRPr="008576AE" w14:paraId="70CDB91A" w14:textId="77777777" w:rsidTr="00F066A0">
        <w:tc>
          <w:tcPr>
            <w:tcW w:w="1772" w:type="pct"/>
          </w:tcPr>
          <w:p w14:paraId="20C370D0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50-59</w:t>
            </w:r>
          </w:p>
        </w:tc>
        <w:tc>
          <w:tcPr>
            <w:tcW w:w="827" w:type="pct"/>
          </w:tcPr>
          <w:p w14:paraId="04CB95A3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83 (28.82)</w:t>
            </w:r>
          </w:p>
        </w:tc>
        <w:tc>
          <w:tcPr>
            <w:tcW w:w="822" w:type="pct"/>
          </w:tcPr>
          <w:p w14:paraId="113838E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41 (29.93)</w:t>
            </w:r>
          </w:p>
        </w:tc>
        <w:tc>
          <w:tcPr>
            <w:tcW w:w="789" w:type="pct"/>
          </w:tcPr>
          <w:p w14:paraId="34ECA41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89" w:type="pct"/>
          </w:tcPr>
          <w:p w14:paraId="0E9B245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8576AE" w:rsidRPr="008576AE" w14:paraId="430C2D8C" w14:textId="77777777" w:rsidTr="00F066A0">
        <w:tc>
          <w:tcPr>
            <w:tcW w:w="1772" w:type="pct"/>
          </w:tcPr>
          <w:p w14:paraId="1F430DB0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60-69</w:t>
            </w:r>
          </w:p>
        </w:tc>
        <w:tc>
          <w:tcPr>
            <w:tcW w:w="827" w:type="pct"/>
          </w:tcPr>
          <w:p w14:paraId="6A70DA7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134 (46.53)</w:t>
            </w:r>
          </w:p>
        </w:tc>
        <w:tc>
          <w:tcPr>
            <w:tcW w:w="822" w:type="pct"/>
          </w:tcPr>
          <w:p w14:paraId="067B37D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55 (40.15)</w:t>
            </w:r>
          </w:p>
        </w:tc>
        <w:tc>
          <w:tcPr>
            <w:tcW w:w="789" w:type="pct"/>
          </w:tcPr>
          <w:p w14:paraId="401B118C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0.83 (0.51, 1.35)</w:t>
            </w:r>
          </w:p>
        </w:tc>
        <w:tc>
          <w:tcPr>
            <w:tcW w:w="789" w:type="pct"/>
          </w:tcPr>
          <w:p w14:paraId="7908009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0.83 (0.50, 1.36)</w:t>
            </w:r>
          </w:p>
        </w:tc>
      </w:tr>
      <w:tr w:rsidR="008576AE" w:rsidRPr="008576AE" w14:paraId="19110BC4" w14:textId="77777777" w:rsidTr="00F066A0">
        <w:tc>
          <w:tcPr>
            <w:tcW w:w="1772" w:type="pct"/>
          </w:tcPr>
          <w:p w14:paraId="453C3BC9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≥70</w:t>
            </w:r>
          </w:p>
        </w:tc>
        <w:tc>
          <w:tcPr>
            <w:tcW w:w="827" w:type="pct"/>
          </w:tcPr>
          <w:p w14:paraId="32CE6563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71 (24.65)</w:t>
            </w:r>
          </w:p>
        </w:tc>
        <w:tc>
          <w:tcPr>
            <w:tcW w:w="822" w:type="pct"/>
          </w:tcPr>
          <w:p w14:paraId="331458D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41 (29.93)</w:t>
            </w:r>
          </w:p>
        </w:tc>
        <w:tc>
          <w:tcPr>
            <w:tcW w:w="789" w:type="pct"/>
          </w:tcPr>
          <w:p w14:paraId="2EA1DE3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1.17 (0.68, 2.00)</w:t>
            </w:r>
          </w:p>
        </w:tc>
        <w:tc>
          <w:tcPr>
            <w:tcW w:w="789" w:type="pct"/>
          </w:tcPr>
          <w:p w14:paraId="5564DA21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1.19 (0.69, 2.06)</w:t>
            </w:r>
          </w:p>
        </w:tc>
      </w:tr>
      <w:tr w:rsidR="008576AE" w:rsidRPr="008576AE" w14:paraId="0E0D0F80" w14:textId="77777777" w:rsidTr="00F066A0">
        <w:tc>
          <w:tcPr>
            <w:tcW w:w="1772" w:type="pct"/>
          </w:tcPr>
          <w:p w14:paraId="3DFD27A2" w14:textId="2479EEB0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Female gender; </w:t>
            </w:r>
            <w:r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827" w:type="pct"/>
          </w:tcPr>
          <w:p w14:paraId="33E64BFE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153 (53.13)</w:t>
            </w:r>
          </w:p>
        </w:tc>
        <w:tc>
          <w:tcPr>
            <w:tcW w:w="822" w:type="pct"/>
          </w:tcPr>
          <w:p w14:paraId="24FE1675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71 (51.82)</w:t>
            </w:r>
          </w:p>
        </w:tc>
        <w:tc>
          <w:tcPr>
            <w:tcW w:w="789" w:type="pct"/>
          </w:tcPr>
          <w:p w14:paraId="42B04F69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0.95 (0.63, 1.43)</w:t>
            </w:r>
          </w:p>
        </w:tc>
        <w:tc>
          <w:tcPr>
            <w:tcW w:w="789" w:type="pct"/>
          </w:tcPr>
          <w:p w14:paraId="28EFAEAE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0.95 (0.63, 1.43)</w:t>
            </w:r>
          </w:p>
        </w:tc>
      </w:tr>
      <w:tr w:rsidR="008576AE" w:rsidRPr="008576AE" w14:paraId="704F4B0E" w14:textId="77777777" w:rsidTr="00F066A0">
        <w:tc>
          <w:tcPr>
            <w:tcW w:w="1772" w:type="pct"/>
          </w:tcPr>
          <w:p w14:paraId="261848A7" w14:textId="77777777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BMI, kg/m</w:t>
            </w:r>
            <w:r w:rsidRPr="008576AE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576AE">
              <w:rPr>
                <w:rFonts w:cstheme="minorHAnsi"/>
                <w:sz w:val="20"/>
                <w:szCs w:val="20"/>
              </w:rPr>
              <w:t>; mean (SD)</w:t>
            </w:r>
          </w:p>
        </w:tc>
        <w:tc>
          <w:tcPr>
            <w:tcW w:w="827" w:type="pct"/>
          </w:tcPr>
          <w:p w14:paraId="0CA7F1C5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29.72 (5.28)</w:t>
            </w:r>
          </w:p>
        </w:tc>
        <w:tc>
          <w:tcPr>
            <w:tcW w:w="822" w:type="pct"/>
          </w:tcPr>
          <w:p w14:paraId="21F2CC27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31.23 (5.67)</w:t>
            </w:r>
          </w:p>
        </w:tc>
        <w:tc>
          <w:tcPr>
            <w:tcW w:w="789" w:type="pct"/>
          </w:tcPr>
          <w:p w14:paraId="7A8EAB2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1.05 (1.01, 1.09)</w:t>
            </w:r>
          </w:p>
        </w:tc>
        <w:tc>
          <w:tcPr>
            <w:tcW w:w="789" w:type="pct"/>
          </w:tcPr>
          <w:p w14:paraId="36803A74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1.05 (1.01, 1.09)</w:t>
            </w:r>
          </w:p>
        </w:tc>
      </w:tr>
      <w:tr w:rsidR="008576AE" w:rsidRPr="008576AE" w14:paraId="1304F2E7" w14:textId="77777777" w:rsidTr="00F066A0">
        <w:tc>
          <w:tcPr>
            <w:tcW w:w="1772" w:type="pct"/>
          </w:tcPr>
          <w:p w14:paraId="2CFF4CE7" w14:textId="38579B27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BMI categories; </w:t>
            </w:r>
            <w:r>
              <w:rPr>
                <w:rFonts w:cstheme="minorHAnsi"/>
                <w:sz w:val="20"/>
                <w:szCs w:val="20"/>
              </w:rPr>
              <w:t>N (%):</w:t>
            </w:r>
          </w:p>
        </w:tc>
        <w:tc>
          <w:tcPr>
            <w:tcW w:w="827" w:type="pct"/>
          </w:tcPr>
          <w:p w14:paraId="5935F449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14:paraId="05E9817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A18901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0CC271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6AE" w:rsidRPr="008576AE" w14:paraId="7B2E9A8C" w14:textId="77777777" w:rsidTr="00F066A0">
        <w:tc>
          <w:tcPr>
            <w:tcW w:w="1772" w:type="pct"/>
          </w:tcPr>
          <w:p w14:paraId="3FE75552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&lt;20.0</w:t>
            </w:r>
          </w:p>
        </w:tc>
        <w:tc>
          <w:tcPr>
            <w:tcW w:w="827" w:type="pct"/>
          </w:tcPr>
          <w:p w14:paraId="28C0F69E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 (1.40)</w:t>
            </w:r>
          </w:p>
        </w:tc>
        <w:tc>
          <w:tcPr>
            <w:tcW w:w="822" w:type="pct"/>
          </w:tcPr>
          <w:p w14:paraId="0DC1DE59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 (0.74)</w:t>
            </w:r>
          </w:p>
        </w:tc>
        <w:tc>
          <w:tcPr>
            <w:tcW w:w="789" w:type="pct"/>
          </w:tcPr>
          <w:p w14:paraId="617BB2B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0.79 (0.08, 7.62)</w:t>
            </w:r>
          </w:p>
        </w:tc>
        <w:tc>
          <w:tcPr>
            <w:tcW w:w="789" w:type="pct"/>
          </w:tcPr>
          <w:p w14:paraId="33E88B23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0.81 (0.08, 7.93)</w:t>
            </w:r>
          </w:p>
        </w:tc>
      </w:tr>
      <w:tr w:rsidR="008576AE" w:rsidRPr="008576AE" w14:paraId="25C6F8CB" w14:textId="77777777" w:rsidTr="00F066A0">
        <w:tc>
          <w:tcPr>
            <w:tcW w:w="1772" w:type="pct"/>
          </w:tcPr>
          <w:p w14:paraId="45EBEF16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20.0-24.9</w:t>
            </w:r>
          </w:p>
        </w:tc>
        <w:tc>
          <w:tcPr>
            <w:tcW w:w="827" w:type="pct"/>
          </w:tcPr>
          <w:p w14:paraId="073FED25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44 (15.38)</w:t>
            </w:r>
          </w:p>
        </w:tc>
        <w:tc>
          <w:tcPr>
            <w:tcW w:w="822" w:type="pct"/>
          </w:tcPr>
          <w:p w14:paraId="3A79693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14 (10.29)</w:t>
            </w:r>
          </w:p>
        </w:tc>
        <w:tc>
          <w:tcPr>
            <w:tcW w:w="789" w:type="pct"/>
          </w:tcPr>
          <w:p w14:paraId="5EC6A62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89" w:type="pct"/>
          </w:tcPr>
          <w:p w14:paraId="3BC8EA0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8576AE" w:rsidRPr="008576AE" w14:paraId="5FF323B2" w14:textId="77777777" w:rsidTr="00F066A0">
        <w:tc>
          <w:tcPr>
            <w:tcW w:w="1772" w:type="pct"/>
          </w:tcPr>
          <w:p w14:paraId="5D434CF3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25.0-29.9</w:t>
            </w:r>
          </w:p>
        </w:tc>
        <w:tc>
          <w:tcPr>
            <w:tcW w:w="827" w:type="pct"/>
          </w:tcPr>
          <w:p w14:paraId="79EBF1D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118 (41.26)</w:t>
            </w:r>
          </w:p>
        </w:tc>
        <w:tc>
          <w:tcPr>
            <w:tcW w:w="822" w:type="pct"/>
          </w:tcPr>
          <w:p w14:paraId="6BAAF1E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52 (38.24)</w:t>
            </w:r>
          </w:p>
        </w:tc>
        <w:tc>
          <w:tcPr>
            <w:tcW w:w="789" w:type="pct"/>
          </w:tcPr>
          <w:p w14:paraId="180FB29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1.38 (0.70, 2.75)</w:t>
            </w:r>
          </w:p>
        </w:tc>
        <w:tc>
          <w:tcPr>
            <w:tcW w:w="789" w:type="pct"/>
          </w:tcPr>
          <w:p w14:paraId="0503056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1.38 (0.69, 2.74)</w:t>
            </w:r>
          </w:p>
        </w:tc>
      </w:tr>
      <w:tr w:rsidR="008576AE" w:rsidRPr="008576AE" w14:paraId="50F93905" w14:textId="77777777" w:rsidTr="00F066A0">
        <w:tc>
          <w:tcPr>
            <w:tcW w:w="1772" w:type="pct"/>
          </w:tcPr>
          <w:p w14:paraId="0DAD575B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30.0-34.9</w:t>
            </w:r>
          </w:p>
        </w:tc>
        <w:tc>
          <w:tcPr>
            <w:tcW w:w="827" w:type="pct"/>
          </w:tcPr>
          <w:p w14:paraId="4DFD02E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79 (27.62)</w:t>
            </w:r>
          </w:p>
        </w:tc>
        <w:tc>
          <w:tcPr>
            <w:tcW w:w="822" w:type="pct"/>
          </w:tcPr>
          <w:p w14:paraId="7E65C86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38 (27.94)</w:t>
            </w:r>
          </w:p>
        </w:tc>
        <w:tc>
          <w:tcPr>
            <w:tcW w:w="789" w:type="pct"/>
          </w:tcPr>
          <w:p w14:paraId="21C74D14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1.51 (0.74, 3.09)</w:t>
            </w:r>
          </w:p>
        </w:tc>
        <w:tc>
          <w:tcPr>
            <w:tcW w:w="789" w:type="pct"/>
          </w:tcPr>
          <w:p w14:paraId="6069AC0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1.51 (0.74, 3.07)</w:t>
            </w:r>
          </w:p>
        </w:tc>
      </w:tr>
      <w:tr w:rsidR="008576AE" w:rsidRPr="008576AE" w14:paraId="7CFA5FA1" w14:textId="77777777" w:rsidTr="00F066A0">
        <w:tc>
          <w:tcPr>
            <w:tcW w:w="1772" w:type="pct"/>
          </w:tcPr>
          <w:p w14:paraId="040D62AA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≥35.0</w:t>
            </w:r>
          </w:p>
        </w:tc>
        <w:tc>
          <w:tcPr>
            <w:tcW w:w="827" w:type="pct"/>
          </w:tcPr>
          <w:p w14:paraId="108ED22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41 (14.34)</w:t>
            </w:r>
          </w:p>
        </w:tc>
        <w:tc>
          <w:tcPr>
            <w:tcW w:w="822" w:type="pct"/>
          </w:tcPr>
          <w:p w14:paraId="5221C79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31 (22.79)</w:t>
            </w:r>
          </w:p>
        </w:tc>
        <w:tc>
          <w:tcPr>
            <w:tcW w:w="789" w:type="pct"/>
          </w:tcPr>
          <w:p w14:paraId="74F2AB04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2.38 (1.11, 5.09)</w:t>
            </w:r>
          </w:p>
        </w:tc>
        <w:tc>
          <w:tcPr>
            <w:tcW w:w="789" w:type="pct"/>
          </w:tcPr>
          <w:p w14:paraId="0448EEB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2.37 (1.11, 5.07)</w:t>
            </w:r>
          </w:p>
        </w:tc>
      </w:tr>
      <w:tr w:rsidR="008576AE" w:rsidRPr="008576AE" w14:paraId="0B9216E7" w14:textId="77777777" w:rsidTr="00F066A0">
        <w:tc>
          <w:tcPr>
            <w:tcW w:w="1772" w:type="pct"/>
          </w:tcPr>
          <w:p w14:paraId="75932B04" w14:textId="5DFCC68D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Attended higher education</w:t>
            </w:r>
            <w:r>
              <w:rPr>
                <w:rFonts w:cstheme="minorHAnsi"/>
                <w:sz w:val="20"/>
                <w:szCs w:val="20"/>
              </w:rPr>
              <w:t>; N (%)</w:t>
            </w:r>
          </w:p>
        </w:tc>
        <w:tc>
          <w:tcPr>
            <w:tcW w:w="827" w:type="pct"/>
          </w:tcPr>
          <w:p w14:paraId="29E6312A" w14:textId="55520238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85 (30.47)</w:t>
            </w:r>
          </w:p>
        </w:tc>
        <w:tc>
          <w:tcPr>
            <w:tcW w:w="822" w:type="pct"/>
          </w:tcPr>
          <w:p w14:paraId="7EF8E3B5" w14:textId="207DED82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29 (21.64)</w:t>
            </w:r>
          </w:p>
        </w:tc>
        <w:tc>
          <w:tcPr>
            <w:tcW w:w="789" w:type="pct"/>
          </w:tcPr>
          <w:p w14:paraId="2D449396" w14:textId="294C2640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0.63 (0.39, 1.02)</w:t>
            </w:r>
          </w:p>
        </w:tc>
        <w:tc>
          <w:tcPr>
            <w:tcW w:w="789" w:type="pct"/>
          </w:tcPr>
          <w:p w14:paraId="3ADEACA5" w14:textId="5B7C3D2D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0.67 (0.41, 1.10)</w:t>
            </w:r>
          </w:p>
        </w:tc>
      </w:tr>
      <w:tr w:rsidR="008576AE" w:rsidRPr="008576AE" w14:paraId="5B469F29" w14:textId="77777777" w:rsidTr="00F066A0">
        <w:tc>
          <w:tcPr>
            <w:tcW w:w="1772" w:type="pct"/>
          </w:tcPr>
          <w:p w14:paraId="2C33A770" w14:textId="56269409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Occupational class;</w:t>
            </w:r>
            <w:r>
              <w:rPr>
                <w:rFonts w:cstheme="minorHAnsi"/>
                <w:sz w:val="20"/>
                <w:szCs w:val="20"/>
              </w:rPr>
              <w:t xml:space="preserve"> N (%)</w:t>
            </w:r>
            <w:r w:rsidRPr="008576A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27" w:type="pct"/>
          </w:tcPr>
          <w:p w14:paraId="54AB4895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4A0C4E4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5522CA1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1348649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6AE" w:rsidRPr="008576AE" w14:paraId="118FB085" w14:textId="77777777" w:rsidTr="00F066A0">
        <w:tc>
          <w:tcPr>
            <w:tcW w:w="1772" w:type="pct"/>
          </w:tcPr>
          <w:p w14:paraId="3F54C03C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Managerial &amp; professional</w:t>
            </w:r>
          </w:p>
        </w:tc>
        <w:tc>
          <w:tcPr>
            <w:tcW w:w="827" w:type="pct"/>
          </w:tcPr>
          <w:p w14:paraId="315F9D8E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89 (32.25)</w:t>
            </w:r>
          </w:p>
        </w:tc>
        <w:tc>
          <w:tcPr>
            <w:tcW w:w="822" w:type="pct"/>
          </w:tcPr>
          <w:p w14:paraId="3C2C2FAC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22 (17.32)</w:t>
            </w:r>
          </w:p>
        </w:tc>
        <w:tc>
          <w:tcPr>
            <w:tcW w:w="789" w:type="pct"/>
          </w:tcPr>
          <w:p w14:paraId="062DA03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89" w:type="pct"/>
          </w:tcPr>
          <w:p w14:paraId="7EE425EB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8576AE" w:rsidRPr="008576AE" w14:paraId="071D08AD" w14:textId="77777777" w:rsidTr="00F066A0">
        <w:tc>
          <w:tcPr>
            <w:tcW w:w="1772" w:type="pct"/>
          </w:tcPr>
          <w:p w14:paraId="50739371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Intermediate</w:t>
            </w:r>
          </w:p>
        </w:tc>
        <w:tc>
          <w:tcPr>
            <w:tcW w:w="827" w:type="pct"/>
          </w:tcPr>
          <w:p w14:paraId="7CEC2792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50 (18.12)</w:t>
            </w:r>
          </w:p>
        </w:tc>
        <w:tc>
          <w:tcPr>
            <w:tcW w:w="822" w:type="pct"/>
          </w:tcPr>
          <w:p w14:paraId="0AB6FDDC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32 (25.20)</w:t>
            </w:r>
          </w:p>
        </w:tc>
        <w:tc>
          <w:tcPr>
            <w:tcW w:w="789" w:type="pct"/>
          </w:tcPr>
          <w:p w14:paraId="2935911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2.59 (1.36, 4.93)</w:t>
            </w:r>
          </w:p>
        </w:tc>
        <w:tc>
          <w:tcPr>
            <w:tcW w:w="789" w:type="pct"/>
          </w:tcPr>
          <w:p w14:paraId="01752BC6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2.65 (1.38, 5.09)</w:t>
            </w:r>
          </w:p>
        </w:tc>
      </w:tr>
      <w:tr w:rsidR="008576AE" w:rsidRPr="008576AE" w14:paraId="55D83839" w14:textId="77777777" w:rsidTr="00F066A0">
        <w:tc>
          <w:tcPr>
            <w:tcW w:w="1772" w:type="pct"/>
          </w:tcPr>
          <w:p w14:paraId="7FE27BBC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Routine &amp; manual</w:t>
            </w:r>
          </w:p>
        </w:tc>
        <w:tc>
          <w:tcPr>
            <w:tcW w:w="827" w:type="pct"/>
          </w:tcPr>
          <w:p w14:paraId="2EB1CB0E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137 (49.64)</w:t>
            </w:r>
          </w:p>
        </w:tc>
        <w:tc>
          <w:tcPr>
            <w:tcW w:w="822" w:type="pct"/>
          </w:tcPr>
          <w:p w14:paraId="75C79B98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73 (57.48)</w:t>
            </w:r>
          </w:p>
        </w:tc>
        <w:tc>
          <w:tcPr>
            <w:tcW w:w="789" w:type="pct"/>
          </w:tcPr>
          <w:p w14:paraId="05A9095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2.16 (1.24, 3.72)</w:t>
            </w:r>
          </w:p>
        </w:tc>
        <w:tc>
          <w:tcPr>
            <w:tcW w:w="789" w:type="pct"/>
          </w:tcPr>
          <w:p w14:paraId="119680C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2.13 (1.23, 3.70)</w:t>
            </w:r>
          </w:p>
        </w:tc>
      </w:tr>
      <w:tr w:rsidR="008576AE" w:rsidRPr="008576AE" w14:paraId="6DE4C976" w14:textId="77777777" w:rsidTr="00F066A0">
        <w:tc>
          <w:tcPr>
            <w:tcW w:w="1772" w:type="pct"/>
          </w:tcPr>
          <w:p w14:paraId="62F1D74B" w14:textId="63E97F8A" w:rsidR="008576AE" w:rsidRPr="008576AE" w:rsidRDefault="008576AE" w:rsidP="008576A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Foot posture index (</w:t>
            </w:r>
            <w:proofErr w:type="spellStart"/>
            <w:r w:rsidRPr="008576AE">
              <w:rPr>
                <w:rFonts w:cstheme="minorHAnsi"/>
                <w:sz w:val="20"/>
                <w:szCs w:val="20"/>
              </w:rPr>
              <w:t>rasch</w:t>
            </w:r>
            <w:proofErr w:type="spellEnd"/>
            <w:r w:rsidRPr="008576A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8576AE">
              <w:rPr>
                <w:rFonts w:cstheme="minorHAnsi"/>
                <w:sz w:val="20"/>
                <w:szCs w:val="20"/>
              </w:rPr>
              <w:t xml:space="preserve"> mean (SD)</w:t>
            </w:r>
          </w:p>
        </w:tc>
        <w:tc>
          <w:tcPr>
            <w:tcW w:w="827" w:type="pct"/>
          </w:tcPr>
          <w:p w14:paraId="72DD4A5C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14:paraId="2E7A9DC4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310322E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3EE740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6AE" w:rsidRPr="008576AE" w14:paraId="3DC84A12" w14:textId="77777777" w:rsidTr="00F066A0">
        <w:tc>
          <w:tcPr>
            <w:tcW w:w="1772" w:type="pct"/>
          </w:tcPr>
          <w:p w14:paraId="7D11AD2C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Left foot</w:t>
            </w:r>
          </w:p>
        </w:tc>
        <w:tc>
          <w:tcPr>
            <w:tcW w:w="827" w:type="pct"/>
          </w:tcPr>
          <w:p w14:paraId="2A2D742F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2.48 (1.73)</w:t>
            </w:r>
          </w:p>
        </w:tc>
        <w:tc>
          <w:tcPr>
            <w:tcW w:w="822" w:type="pct"/>
          </w:tcPr>
          <w:p w14:paraId="2CCF0B03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2.40 (2.08)</w:t>
            </w:r>
          </w:p>
        </w:tc>
        <w:tc>
          <w:tcPr>
            <w:tcW w:w="789" w:type="pct"/>
          </w:tcPr>
          <w:p w14:paraId="1DE64710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0.98 (0.88, 1.09)</w:t>
            </w:r>
          </w:p>
        </w:tc>
        <w:tc>
          <w:tcPr>
            <w:tcW w:w="789" w:type="pct"/>
          </w:tcPr>
          <w:p w14:paraId="2265FDDA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0.97 (0.87, 1.09)</w:t>
            </w:r>
          </w:p>
        </w:tc>
      </w:tr>
      <w:tr w:rsidR="008576AE" w:rsidRPr="008576AE" w14:paraId="7D71C00D" w14:textId="77777777" w:rsidTr="00F066A0">
        <w:tc>
          <w:tcPr>
            <w:tcW w:w="1772" w:type="pct"/>
          </w:tcPr>
          <w:p w14:paraId="47CE5F05" w14:textId="77777777" w:rsidR="008576AE" w:rsidRPr="008576AE" w:rsidRDefault="008576AE" w:rsidP="008576AE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Right foot</w:t>
            </w:r>
          </w:p>
        </w:tc>
        <w:tc>
          <w:tcPr>
            <w:tcW w:w="827" w:type="pct"/>
          </w:tcPr>
          <w:p w14:paraId="53200B6C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2.56 (1.79)</w:t>
            </w:r>
          </w:p>
        </w:tc>
        <w:tc>
          <w:tcPr>
            <w:tcW w:w="822" w:type="pct"/>
          </w:tcPr>
          <w:p w14:paraId="0F630874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2.48 (1.99)</w:t>
            </w:r>
          </w:p>
        </w:tc>
        <w:tc>
          <w:tcPr>
            <w:tcW w:w="789" w:type="pct"/>
          </w:tcPr>
          <w:p w14:paraId="6547F1E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0.98 (0.88, 1.09)</w:t>
            </w:r>
          </w:p>
        </w:tc>
        <w:tc>
          <w:tcPr>
            <w:tcW w:w="789" w:type="pct"/>
          </w:tcPr>
          <w:p w14:paraId="1D91CCFD" w14:textId="77777777" w:rsidR="008576AE" w:rsidRPr="008576AE" w:rsidRDefault="008576AE" w:rsidP="0085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0.98 (0.87, 1.09)</w:t>
            </w:r>
          </w:p>
        </w:tc>
      </w:tr>
      <w:tr w:rsidR="00F95AB1" w:rsidRPr="008576AE" w14:paraId="43C09963" w14:textId="77777777" w:rsidTr="00F066A0">
        <w:tc>
          <w:tcPr>
            <w:tcW w:w="1772" w:type="pct"/>
          </w:tcPr>
          <w:p w14:paraId="11496F8F" w14:textId="311F8486" w:rsidR="00F95AB1" w:rsidRPr="008576AE" w:rsidRDefault="00F95AB1" w:rsidP="00F95AB1">
            <w:pPr>
              <w:ind w:firstLine="30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Radiographic foot OA phenotype</w:t>
            </w:r>
            <w:r>
              <w:rPr>
                <w:rFonts w:cstheme="minorHAnsi"/>
                <w:sz w:val="20"/>
                <w:szCs w:val="20"/>
              </w:rPr>
              <w:t>; N (%)</w:t>
            </w:r>
            <w:r w:rsidRPr="008576A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27" w:type="pct"/>
          </w:tcPr>
          <w:p w14:paraId="49498AE7" w14:textId="77777777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2562A479" w14:textId="77777777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544C86A7" w14:textId="77777777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" w:type="pct"/>
          </w:tcPr>
          <w:p w14:paraId="16D6A690" w14:textId="77777777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5AB1" w:rsidRPr="008576AE" w14:paraId="75977801" w14:textId="77777777" w:rsidTr="00F066A0">
        <w:tc>
          <w:tcPr>
            <w:tcW w:w="1772" w:type="pct"/>
          </w:tcPr>
          <w:p w14:paraId="7F3BD34A" w14:textId="212BD063" w:rsidR="00F95AB1" w:rsidRPr="008576AE" w:rsidRDefault="00F95AB1" w:rsidP="00F95AB1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No/minimal</w:t>
            </w:r>
          </w:p>
        </w:tc>
        <w:tc>
          <w:tcPr>
            <w:tcW w:w="827" w:type="pct"/>
          </w:tcPr>
          <w:p w14:paraId="3525BC4A" w14:textId="28E63949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181 (65.58)</w:t>
            </w:r>
          </w:p>
        </w:tc>
        <w:tc>
          <w:tcPr>
            <w:tcW w:w="822" w:type="pct"/>
          </w:tcPr>
          <w:p w14:paraId="03B526D9" w14:textId="23307EC3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78 (60.47)</w:t>
            </w:r>
          </w:p>
        </w:tc>
        <w:tc>
          <w:tcPr>
            <w:tcW w:w="789" w:type="pct"/>
          </w:tcPr>
          <w:p w14:paraId="579FFCA4" w14:textId="167BBF22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89" w:type="pct"/>
          </w:tcPr>
          <w:p w14:paraId="2FAC070E" w14:textId="246028FC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F95AB1" w:rsidRPr="008576AE" w14:paraId="7EF75163" w14:textId="77777777" w:rsidTr="00F066A0">
        <w:tc>
          <w:tcPr>
            <w:tcW w:w="1772" w:type="pct"/>
          </w:tcPr>
          <w:p w14:paraId="5C9FE959" w14:textId="181116C7" w:rsidR="00F95AB1" w:rsidRPr="008576AE" w:rsidRDefault="00F95AB1" w:rsidP="00F95AB1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1</w:t>
            </w:r>
            <w:r w:rsidRPr="008576AE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8576AE">
              <w:rPr>
                <w:rFonts w:cstheme="minorHAnsi"/>
                <w:sz w:val="20"/>
                <w:szCs w:val="20"/>
              </w:rPr>
              <w:t xml:space="preserve"> MTPJ</w:t>
            </w:r>
          </w:p>
        </w:tc>
        <w:tc>
          <w:tcPr>
            <w:tcW w:w="827" w:type="pct"/>
          </w:tcPr>
          <w:p w14:paraId="7DC7D697" w14:textId="62A391DA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57 (20.65)</w:t>
            </w:r>
          </w:p>
        </w:tc>
        <w:tc>
          <w:tcPr>
            <w:tcW w:w="822" w:type="pct"/>
          </w:tcPr>
          <w:p w14:paraId="76806832" w14:textId="381F55ED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27 (20.93)</w:t>
            </w:r>
          </w:p>
        </w:tc>
        <w:tc>
          <w:tcPr>
            <w:tcW w:w="789" w:type="pct"/>
          </w:tcPr>
          <w:p w14:paraId="372A446B" w14:textId="253036FF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1.10 (0.65, 1.87)</w:t>
            </w:r>
          </w:p>
        </w:tc>
        <w:tc>
          <w:tcPr>
            <w:tcW w:w="789" w:type="pct"/>
          </w:tcPr>
          <w:p w14:paraId="6B8F9941" w14:textId="45BA9C91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1.11 (0.65, 1.89)</w:t>
            </w:r>
          </w:p>
        </w:tc>
      </w:tr>
      <w:tr w:rsidR="00F95AB1" w:rsidRPr="008576AE" w14:paraId="3E56F1CD" w14:textId="77777777" w:rsidTr="00F066A0">
        <w:tc>
          <w:tcPr>
            <w:tcW w:w="1772" w:type="pct"/>
          </w:tcPr>
          <w:p w14:paraId="67658627" w14:textId="23154EE7" w:rsidR="00F95AB1" w:rsidRPr="008576AE" w:rsidRDefault="00F95AB1" w:rsidP="00F95AB1">
            <w:pPr>
              <w:ind w:firstLine="172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8576AE">
              <w:rPr>
                <w:rFonts w:cstheme="minorHAnsi"/>
                <w:sz w:val="20"/>
                <w:szCs w:val="20"/>
              </w:rPr>
              <w:t>Polyarticular</w:t>
            </w:r>
            <w:proofErr w:type="spellEnd"/>
          </w:p>
        </w:tc>
        <w:tc>
          <w:tcPr>
            <w:tcW w:w="827" w:type="pct"/>
          </w:tcPr>
          <w:p w14:paraId="3CD87EF4" w14:textId="0380C0CC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38 (13.77)</w:t>
            </w:r>
          </w:p>
        </w:tc>
        <w:tc>
          <w:tcPr>
            <w:tcW w:w="822" w:type="pct"/>
          </w:tcPr>
          <w:p w14:paraId="588B28FC" w14:textId="7D711385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24 (18.60)</w:t>
            </w:r>
          </w:p>
        </w:tc>
        <w:tc>
          <w:tcPr>
            <w:tcW w:w="789" w:type="pct"/>
          </w:tcPr>
          <w:p w14:paraId="6DB03D49" w14:textId="7606C51B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1.47 (0.82, 2.61)</w:t>
            </w:r>
          </w:p>
        </w:tc>
        <w:tc>
          <w:tcPr>
            <w:tcW w:w="789" w:type="pct"/>
          </w:tcPr>
          <w:p w14:paraId="1D2C0F62" w14:textId="7CC49D4F" w:rsidR="00F95AB1" w:rsidRPr="008576AE" w:rsidRDefault="00F95AB1" w:rsidP="00F95A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1.33 (0.73, 2.44)</w:t>
            </w:r>
          </w:p>
        </w:tc>
      </w:tr>
      <w:tr w:rsidR="00FA693E" w:rsidRPr="008576AE" w14:paraId="29D35097" w14:textId="77777777" w:rsidTr="00F066A0">
        <w:tc>
          <w:tcPr>
            <w:tcW w:w="1772" w:type="pct"/>
          </w:tcPr>
          <w:p w14:paraId="0FE1B121" w14:textId="50B319E3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SF12 – PCS; mean (SD)</w:t>
            </w:r>
          </w:p>
        </w:tc>
        <w:tc>
          <w:tcPr>
            <w:tcW w:w="827" w:type="pct"/>
          </w:tcPr>
          <w:p w14:paraId="605502F2" w14:textId="01F50BE2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41.90 (11.60)</w:t>
            </w:r>
          </w:p>
        </w:tc>
        <w:tc>
          <w:tcPr>
            <w:tcW w:w="822" w:type="pct"/>
          </w:tcPr>
          <w:p w14:paraId="385EF474" w14:textId="30D59E97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32.41 (10.48)</w:t>
            </w:r>
          </w:p>
        </w:tc>
        <w:tc>
          <w:tcPr>
            <w:tcW w:w="789" w:type="pct"/>
          </w:tcPr>
          <w:p w14:paraId="2DD4C741" w14:textId="0E31D742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0.93 (0.91, 0.95)</w:t>
            </w:r>
          </w:p>
        </w:tc>
        <w:tc>
          <w:tcPr>
            <w:tcW w:w="789" w:type="pct"/>
          </w:tcPr>
          <w:p w14:paraId="57D53807" w14:textId="291BC5A3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0.93 (0.91, 0.95)</w:t>
            </w:r>
          </w:p>
        </w:tc>
      </w:tr>
      <w:tr w:rsidR="00FA693E" w:rsidRPr="008576AE" w14:paraId="23583681" w14:textId="77777777" w:rsidTr="00F066A0">
        <w:tc>
          <w:tcPr>
            <w:tcW w:w="1772" w:type="pct"/>
          </w:tcPr>
          <w:p w14:paraId="49511DFA" w14:textId="2979BCB5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SF12 – MCS; mean (SD)</w:t>
            </w:r>
          </w:p>
        </w:tc>
        <w:tc>
          <w:tcPr>
            <w:tcW w:w="827" w:type="pct"/>
          </w:tcPr>
          <w:p w14:paraId="47F7ECEA" w14:textId="3E4931F6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51.76 (9.62)</w:t>
            </w:r>
          </w:p>
        </w:tc>
        <w:tc>
          <w:tcPr>
            <w:tcW w:w="822" w:type="pct"/>
          </w:tcPr>
          <w:p w14:paraId="0D48B8D5" w14:textId="190E8BC7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45.71 (11.44)</w:t>
            </w:r>
          </w:p>
        </w:tc>
        <w:tc>
          <w:tcPr>
            <w:tcW w:w="789" w:type="pct"/>
          </w:tcPr>
          <w:p w14:paraId="39E78577" w14:textId="5E1509DD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0.95 (0.93, 0.97)</w:t>
            </w:r>
          </w:p>
        </w:tc>
        <w:tc>
          <w:tcPr>
            <w:tcW w:w="789" w:type="pct"/>
          </w:tcPr>
          <w:p w14:paraId="01F80804" w14:textId="68284271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0.95 (0.93, 0.97)</w:t>
            </w:r>
          </w:p>
        </w:tc>
      </w:tr>
      <w:tr w:rsidR="00FA693E" w:rsidRPr="008576AE" w14:paraId="6C90130B" w14:textId="77777777" w:rsidTr="00F066A0">
        <w:tc>
          <w:tcPr>
            <w:tcW w:w="1772" w:type="pct"/>
          </w:tcPr>
          <w:p w14:paraId="134A0E66" w14:textId="1DBCDDBA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Short Physical Performance Battery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8576AE">
              <w:rPr>
                <w:rFonts w:cstheme="minorHAnsi"/>
                <w:sz w:val="20"/>
                <w:szCs w:val="20"/>
              </w:rPr>
              <w:t xml:space="preserve"> mean (SD)</w:t>
            </w:r>
          </w:p>
        </w:tc>
        <w:tc>
          <w:tcPr>
            <w:tcW w:w="827" w:type="pct"/>
          </w:tcPr>
          <w:p w14:paraId="1B170B7D" w14:textId="7192DD18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9.09 (2.35)</w:t>
            </w:r>
          </w:p>
        </w:tc>
        <w:tc>
          <w:tcPr>
            <w:tcW w:w="822" w:type="pct"/>
          </w:tcPr>
          <w:p w14:paraId="5E20893C" w14:textId="2A38C839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7.33 (2.72)</w:t>
            </w:r>
          </w:p>
        </w:tc>
        <w:tc>
          <w:tcPr>
            <w:tcW w:w="789" w:type="pct"/>
          </w:tcPr>
          <w:p w14:paraId="213D9FEF" w14:textId="5F65F8C3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0.77 (0.70, 0.84)</w:t>
            </w:r>
          </w:p>
        </w:tc>
        <w:tc>
          <w:tcPr>
            <w:tcW w:w="789" w:type="pct"/>
          </w:tcPr>
          <w:p w14:paraId="542D6532" w14:textId="66054AAC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0.74 (0.68, 0.82)</w:t>
            </w:r>
          </w:p>
        </w:tc>
      </w:tr>
      <w:tr w:rsidR="00FA693E" w:rsidRPr="008576AE" w14:paraId="1B65ADC3" w14:textId="77777777" w:rsidTr="00F066A0">
        <w:tc>
          <w:tcPr>
            <w:tcW w:w="1772" w:type="pct"/>
          </w:tcPr>
          <w:p w14:paraId="2AC787D9" w14:textId="6B89DD1D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HADS – anxiety; mean (SD)</w:t>
            </w:r>
          </w:p>
        </w:tc>
        <w:tc>
          <w:tcPr>
            <w:tcW w:w="827" w:type="pct"/>
          </w:tcPr>
          <w:p w14:paraId="43B36540" w14:textId="22F4893D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6.08 (3.92)</w:t>
            </w:r>
          </w:p>
        </w:tc>
        <w:tc>
          <w:tcPr>
            <w:tcW w:w="822" w:type="pct"/>
          </w:tcPr>
          <w:p w14:paraId="544024C9" w14:textId="1A41ABA0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8.60 (4.56)</w:t>
            </w:r>
          </w:p>
        </w:tc>
        <w:tc>
          <w:tcPr>
            <w:tcW w:w="789" w:type="pct"/>
          </w:tcPr>
          <w:p w14:paraId="3BD0195F" w14:textId="3C999A7C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1.15 (1.09, 1.21)</w:t>
            </w:r>
          </w:p>
        </w:tc>
        <w:tc>
          <w:tcPr>
            <w:tcW w:w="789" w:type="pct"/>
          </w:tcPr>
          <w:p w14:paraId="39C0255A" w14:textId="179C99FD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1.15 (1.10, 1.22)</w:t>
            </w:r>
          </w:p>
        </w:tc>
      </w:tr>
      <w:tr w:rsidR="00FA693E" w:rsidRPr="008576AE" w14:paraId="5A4C7518" w14:textId="77777777" w:rsidTr="00F066A0">
        <w:tc>
          <w:tcPr>
            <w:tcW w:w="1772" w:type="pct"/>
          </w:tcPr>
          <w:p w14:paraId="26C7D0EE" w14:textId="6DCC4B56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HADS – depression; mean (SD)</w:t>
            </w:r>
          </w:p>
        </w:tc>
        <w:tc>
          <w:tcPr>
            <w:tcW w:w="827" w:type="pct"/>
          </w:tcPr>
          <w:p w14:paraId="5AA7120D" w14:textId="51730692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4.35 (3.20) </w:t>
            </w:r>
          </w:p>
        </w:tc>
        <w:tc>
          <w:tcPr>
            <w:tcW w:w="822" w:type="pct"/>
          </w:tcPr>
          <w:p w14:paraId="566C6386" w14:textId="44CFF145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7.24 (4.25)</w:t>
            </w:r>
          </w:p>
        </w:tc>
        <w:tc>
          <w:tcPr>
            <w:tcW w:w="789" w:type="pct"/>
          </w:tcPr>
          <w:p w14:paraId="1732ED9D" w14:textId="00624799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1.23 (1.16, 1.31)</w:t>
            </w:r>
          </w:p>
        </w:tc>
        <w:tc>
          <w:tcPr>
            <w:tcW w:w="789" w:type="pct"/>
          </w:tcPr>
          <w:p w14:paraId="7D2D9F7D" w14:textId="3FADD64A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1.23 (1.15, 1.30)</w:t>
            </w:r>
          </w:p>
        </w:tc>
      </w:tr>
      <w:tr w:rsidR="00FA693E" w:rsidRPr="008576AE" w14:paraId="14023A0E" w14:textId="77777777" w:rsidTr="00F066A0">
        <w:tc>
          <w:tcPr>
            <w:tcW w:w="1772" w:type="pct"/>
          </w:tcPr>
          <w:p w14:paraId="42350F22" w14:textId="0DC0BB6D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Catastrophizing beliefs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8576AE">
              <w:rPr>
                <w:rFonts w:cstheme="minorHAnsi"/>
                <w:sz w:val="20"/>
                <w:szCs w:val="20"/>
              </w:rPr>
              <w:t xml:space="preserve"> median (IQR)</w:t>
            </w:r>
          </w:p>
        </w:tc>
        <w:tc>
          <w:tcPr>
            <w:tcW w:w="827" w:type="pct"/>
          </w:tcPr>
          <w:p w14:paraId="08925708" w14:textId="35E2F97F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 (0, 2)</w:t>
            </w:r>
          </w:p>
        </w:tc>
        <w:tc>
          <w:tcPr>
            <w:tcW w:w="822" w:type="pct"/>
          </w:tcPr>
          <w:p w14:paraId="712192EA" w14:textId="5F8A601E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3 (0, 5)</w:t>
            </w:r>
          </w:p>
        </w:tc>
        <w:tc>
          <w:tcPr>
            <w:tcW w:w="789" w:type="pct"/>
          </w:tcPr>
          <w:p w14:paraId="300E0003" w14:textId="21439E0C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1.39 (1.26, 1.54)</w:t>
            </w:r>
          </w:p>
        </w:tc>
        <w:tc>
          <w:tcPr>
            <w:tcW w:w="789" w:type="pct"/>
          </w:tcPr>
          <w:p w14:paraId="7870A1F5" w14:textId="4FBDDFD3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1.39 (1.26, 1.54)</w:t>
            </w:r>
          </w:p>
        </w:tc>
      </w:tr>
      <w:tr w:rsidR="00FA693E" w:rsidRPr="008576AE" w14:paraId="7633F9C1" w14:textId="77777777" w:rsidTr="00F066A0">
        <w:tc>
          <w:tcPr>
            <w:tcW w:w="1772" w:type="pct"/>
          </w:tcPr>
          <w:p w14:paraId="5C9DF686" w14:textId="2F010E2F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MFPDI Pain subscale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rasch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  <w:r w:rsidRPr="008576AE">
              <w:rPr>
                <w:rFonts w:cstheme="minorHAnsi"/>
                <w:sz w:val="20"/>
                <w:szCs w:val="20"/>
              </w:rPr>
              <w:t>; mean (SD)</w:t>
            </w:r>
          </w:p>
        </w:tc>
        <w:tc>
          <w:tcPr>
            <w:tcW w:w="827" w:type="pct"/>
          </w:tcPr>
          <w:p w14:paraId="33075AD5" w14:textId="5689E1BC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-0.71 (1.43)</w:t>
            </w:r>
          </w:p>
        </w:tc>
        <w:tc>
          <w:tcPr>
            <w:tcW w:w="822" w:type="pct"/>
          </w:tcPr>
          <w:p w14:paraId="3C34634A" w14:textId="02A5E023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0.82 (1.22)</w:t>
            </w:r>
          </w:p>
        </w:tc>
        <w:tc>
          <w:tcPr>
            <w:tcW w:w="789" w:type="pct"/>
          </w:tcPr>
          <w:p w14:paraId="40D1D36B" w14:textId="30945557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2.33 (1.91, 2.83)</w:t>
            </w:r>
          </w:p>
        </w:tc>
        <w:tc>
          <w:tcPr>
            <w:tcW w:w="789" w:type="pct"/>
          </w:tcPr>
          <w:p w14:paraId="4CA878ED" w14:textId="459AAE0B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2.37 (1.93, 2.91)</w:t>
            </w:r>
          </w:p>
        </w:tc>
      </w:tr>
      <w:tr w:rsidR="00FA693E" w:rsidRPr="008576AE" w14:paraId="374569F9" w14:textId="77777777" w:rsidTr="00F066A0">
        <w:tc>
          <w:tcPr>
            <w:tcW w:w="1772" w:type="pct"/>
          </w:tcPr>
          <w:p w14:paraId="424AC389" w14:textId="58C7F3AD" w:rsidR="00FA693E" w:rsidRPr="008576AE" w:rsidRDefault="00FA693E" w:rsidP="00FA693E">
            <w:pPr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MFPDI Function subscale (</w:t>
            </w:r>
            <w:proofErr w:type="spellStart"/>
            <w:r w:rsidRPr="008576AE">
              <w:rPr>
                <w:rFonts w:cstheme="minorHAnsi"/>
                <w:sz w:val="20"/>
                <w:szCs w:val="20"/>
              </w:rPr>
              <w:t>rasch</w:t>
            </w:r>
            <w:proofErr w:type="spellEnd"/>
            <w:r w:rsidRPr="008576A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8576AE">
              <w:rPr>
                <w:rFonts w:cstheme="minorHAnsi"/>
                <w:sz w:val="20"/>
                <w:szCs w:val="20"/>
              </w:rPr>
              <w:t xml:space="preserve"> mean (SD)</w:t>
            </w:r>
          </w:p>
        </w:tc>
        <w:tc>
          <w:tcPr>
            <w:tcW w:w="827" w:type="pct"/>
          </w:tcPr>
          <w:p w14:paraId="493C2D38" w14:textId="09DC27D7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-1.41 (1.85)</w:t>
            </w:r>
          </w:p>
        </w:tc>
        <w:tc>
          <w:tcPr>
            <w:tcW w:w="822" w:type="pct"/>
          </w:tcPr>
          <w:p w14:paraId="249F9E01" w14:textId="5DF11D79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0.61 (1.84)</w:t>
            </w:r>
          </w:p>
        </w:tc>
        <w:tc>
          <w:tcPr>
            <w:tcW w:w="789" w:type="pct"/>
          </w:tcPr>
          <w:p w14:paraId="1A7D4BFB" w14:textId="060497E8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1.77 (1.55, 2.02)</w:t>
            </w:r>
          </w:p>
        </w:tc>
        <w:tc>
          <w:tcPr>
            <w:tcW w:w="789" w:type="pct"/>
          </w:tcPr>
          <w:p w14:paraId="53D897D3" w14:textId="794456CD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1.81 (1.57, 2.08)</w:t>
            </w:r>
          </w:p>
        </w:tc>
      </w:tr>
      <w:tr w:rsidR="00FA693E" w:rsidRPr="008576AE" w14:paraId="19D1CA23" w14:textId="77777777" w:rsidTr="00F066A0">
        <w:tc>
          <w:tcPr>
            <w:tcW w:w="1772" w:type="pct"/>
          </w:tcPr>
          <w:p w14:paraId="102F440A" w14:textId="7E8B7DD7" w:rsidR="00FA693E" w:rsidRPr="008576AE" w:rsidRDefault="00FA693E" w:rsidP="00FA693E">
            <w:pPr>
              <w:ind w:firstLine="30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 xml:space="preserve">Hallux valgus (either foot); </w:t>
            </w:r>
            <w:r>
              <w:rPr>
                <w:rFonts w:cstheme="minorHAnsi"/>
                <w:sz w:val="20"/>
                <w:szCs w:val="20"/>
              </w:rPr>
              <w:t>N (%)</w:t>
            </w:r>
          </w:p>
        </w:tc>
        <w:tc>
          <w:tcPr>
            <w:tcW w:w="827" w:type="pct"/>
          </w:tcPr>
          <w:p w14:paraId="0051F892" w14:textId="48679C4A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111 (38.54)</w:t>
            </w:r>
          </w:p>
        </w:tc>
        <w:tc>
          <w:tcPr>
            <w:tcW w:w="822" w:type="pct"/>
          </w:tcPr>
          <w:p w14:paraId="63B9B0B5" w14:textId="49E38E09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78 (56.93)</w:t>
            </w:r>
          </w:p>
        </w:tc>
        <w:tc>
          <w:tcPr>
            <w:tcW w:w="789" w:type="pct"/>
          </w:tcPr>
          <w:p w14:paraId="65BD0E62" w14:textId="39CCD03A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2.11 (1.39, 3.19)</w:t>
            </w:r>
          </w:p>
        </w:tc>
        <w:tc>
          <w:tcPr>
            <w:tcW w:w="789" w:type="pct"/>
          </w:tcPr>
          <w:p w14:paraId="733A2CB3" w14:textId="015D1C90" w:rsidR="00FA693E" w:rsidRPr="008576AE" w:rsidRDefault="00FA693E" w:rsidP="00FA6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76AE">
              <w:rPr>
                <w:rFonts w:cstheme="minorHAnsi"/>
                <w:sz w:val="20"/>
                <w:szCs w:val="20"/>
              </w:rPr>
              <w:t>2.36 (1.52, 3.64)</w:t>
            </w:r>
          </w:p>
        </w:tc>
      </w:tr>
    </w:tbl>
    <w:p w14:paraId="71EF7D5B" w14:textId="27EF2929" w:rsidR="00D255E7" w:rsidRDefault="00122677" w:rsidP="00915273">
      <w:pPr>
        <w:spacing w:after="0" w:line="240" w:lineRule="auto"/>
        <w:ind w:right="-567"/>
        <w:rPr>
          <w:i/>
        </w:rPr>
      </w:pPr>
      <w:r>
        <w:rPr>
          <w:sz w:val="18"/>
          <w:szCs w:val="18"/>
        </w:rPr>
        <w:lastRenderedPageBreak/>
        <w:t xml:space="preserve">OR, Odds ratio; CI, Confidence interval; </w:t>
      </w:r>
      <w:r w:rsidR="00915273">
        <w:rPr>
          <w:sz w:val="18"/>
          <w:szCs w:val="18"/>
        </w:rPr>
        <w:t xml:space="preserve">SD, </w:t>
      </w:r>
      <w:r w:rsidR="00991A23">
        <w:rPr>
          <w:sz w:val="18"/>
          <w:szCs w:val="18"/>
        </w:rPr>
        <w:t>s</w:t>
      </w:r>
      <w:r w:rsidR="00915273">
        <w:rPr>
          <w:sz w:val="18"/>
          <w:szCs w:val="18"/>
        </w:rPr>
        <w:t xml:space="preserve">tandard </w:t>
      </w:r>
      <w:r w:rsidR="00991A23">
        <w:rPr>
          <w:sz w:val="18"/>
          <w:szCs w:val="18"/>
        </w:rPr>
        <w:t>d</w:t>
      </w:r>
      <w:r w:rsidR="00915273">
        <w:rPr>
          <w:sz w:val="18"/>
          <w:szCs w:val="18"/>
        </w:rPr>
        <w:t xml:space="preserve">eviation; N, </w:t>
      </w:r>
      <w:r w:rsidR="00991A23">
        <w:rPr>
          <w:sz w:val="18"/>
          <w:szCs w:val="18"/>
        </w:rPr>
        <w:t>n</w:t>
      </w:r>
      <w:r w:rsidR="00915273">
        <w:rPr>
          <w:sz w:val="18"/>
          <w:szCs w:val="18"/>
        </w:rPr>
        <w:t>umber; BMI,</w:t>
      </w:r>
      <w:r w:rsidR="00991A23">
        <w:rPr>
          <w:sz w:val="18"/>
          <w:szCs w:val="18"/>
        </w:rPr>
        <w:t xml:space="preserve"> b</w:t>
      </w:r>
      <w:r w:rsidR="00915273">
        <w:rPr>
          <w:sz w:val="18"/>
          <w:szCs w:val="18"/>
        </w:rPr>
        <w:t xml:space="preserve">ody </w:t>
      </w:r>
      <w:r w:rsidR="00991A23">
        <w:rPr>
          <w:sz w:val="18"/>
          <w:szCs w:val="18"/>
        </w:rPr>
        <w:t>m</w:t>
      </w:r>
      <w:r w:rsidR="00915273">
        <w:rPr>
          <w:sz w:val="18"/>
          <w:szCs w:val="18"/>
        </w:rPr>
        <w:t xml:space="preserve">ass </w:t>
      </w:r>
      <w:r w:rsidR="00991A23">
        <w:rPr>
          <w:sz w:val="18"/>
          <w:szCs w:val="18"/>
        </w:rPr>
        <w:t>i</w:t>
      </w:r>
      <w:r w:rsidR="00915273">
        <w:rPr>
          <w:sz w:val="18"/>
          <w:szCs w:val="18"/>
        </w:rPr>
        <w:t xml:space="preserve">ndex; MFPDI, Manchester Foot Pain and Disability Index; OA, osteoarthritis; MTPJ, </w:t>
      </w:r>
      <w:r w:rsidR="00F95AB1">
        <w:rPr>
          <w:sz w:val="18"/>
          <w:szCs w:val="18"/>
        </w:rPr>
        <w:t>m</w:t>
      </w:r>
      <w:r w:rsidR="00915273">
        <w:rPr>
          <w:sz w:val="18"/>
          <w:szCs w:val="18"/>
        </w:rPr>
        <w:t xml:space="preserve">etatarsophalangeal </w:t>
      </w:r>
      <w:r w:rsidR="00F95AB1">
        <w:rPr>
          <w:sz w:val="18"/>
          <w:szCs w:val="18"/>
        </w:rPr>
        <w:t>joint; SF-12, Short-</w:t>
      </w:r>
      <w:r w:rsidR="00915273">
        <w:rPr>
          <w:sz w:val="18"/>
          <w:szCs w:val="18"/>
        </w:rPr>
        <w:t xml:space="preserve">Form 12; PCS, </w:t>
      </w:r>
      <w:r w:rsidR="00F95AB1">
        <w:rPr>
          <w:sz w:val="18"/>
          <w:szCs w:val="18"/>
        </w:rPr>
        <w:t>p</w:t>
      </w:r>
      <w:r w:rsidR="00915273">
        <w:rPr>
          <w:sz w:val="18"/>
          <w:szCs w:val="18"/>
        </w:rPr>
        <w:t xml:space="preserve">hysical </w:t>
      </w:r>
      <w:r w:rsidR="00F95AB1">
        <w:rPr>
          <w:sz w:val="18"/>
          <w:szCs w:val="18"/>
        </w:rPr>
        <w:t>c</w:t>
      </w:r>
      <w:r w:rsidR="00915273">
        <w:rPr>
          <w:sz w:val="18"/>
          <w:szCs w:val="18"/>
        </w:rPr>
        <w:t xml:space="preserve">omponent </w:t>
      </w:r>
      <w:r w:rsidR="00F95AB1">
        <w:rPr>
          <w:sz w:val="18"/>
          <w:szCs w:val="18"/>
        </w:rPr>
        <w:t>s</w:t>
      </w:r>
      <w:r w:rsidR="00915273">
        <w:rPr>
          <w:sz w:val="18"/>
          <w:szCs w:val="18"/>
        </w:rPr>
        <w:t xml:space="preserve">core; MCS, </w:t>
      </w:r>
      <w:r w:rsidR="00F95AB1">
        <w:rPr>
          <w:sz w:val="18"/>
          <w:szCs w:val="18"/>
        </w:rPr>
        <w:t>m</w:t>
      </w:r>
      <w:r w:rsidR="00915273">
        <w:rPr>
          <w:sz w:val="18"/>
          <w:szCs w:val="18"/>
        </w:rPr>
        <w:t xml:space="preserve">ental </w:t>
      </w:r>
      <w:r w:rsidR="00F95AB1">
        <w:rPr>
          <w:sz w:val="18"/>
          <w:szCs w:val="18"/>
        </w:rPr>
        <w:t>c</w:t>
      </w:r>
      <w:r w:rsidR="00915273">
        <w:rPr>
          <w:sz w:val="18"/>
          <w:szCs w:val="18"/>
        </w:rPr>
        <w:t xml:space="preserve">omponent </w:t>
      </w:r>
      <w:r w:rsidR="00F95AB1">
        <w:rPr>
          <w:sz w:val="18"/>
          <w:szCs w:val="18"/>
        </w:rPr>
        <w:t>s</w:t>
      </w:r>
      <w:r w:rsidR="00915273">
        <w:rPr>
          <w:sz w:val="18"/>
          <w:szCs w:val="18"/>
        </w:rPr>
        <w:t xml:space="preserve">core; HADS, Hospital Anxiety and Depression Scale; IQR, </w:t>
      </w:r>
      <w:r w:rsidR="00F95AB1">
        <w:rPr>
          <w:sz w:val="18"/>
          <w:szCs w:val="18"/>
        </w:rPr>
        <w:t>i</w:t>
      </w:r>
      <w:r w:rsidR="00915273">
        <w:rPr>
          <w:sz w:val="18"/>
          <w:szCs w:val="18"/>
        </w:rPr>
        <w:t>n</w:t>
      </w:r>
      <w:bookmarkStart w:id="0" w:name="_GoBack"/>
      <w:bookmarkEnd w:id="0"/>
      <w:r w:rsidR="00915273">
        <w:rPr>
          <w:sz w:val="18"/>
          <w:szCs w:val="18"/>
        </w:rPr>
        <w:t xml:space="preserve">ter </w:t>
      </w:r>
      <w:r w:rsidR="00F95AB1">
        <w:rPr>
          <w:sz w:val="18"/>
          <w:szCs w:val="18"/>
        </w:rPr>
        <w:t>q</w:t>
      </w:r>
      <w:r w:rsidR="00915273">
        <w:rPr>
          <w:sz w:val="18"/>
          <w:szCs w:val="18"/>
        </w:rPr>
        <w:t xml:space="preserve">uartile </w:t>
      </w:r>
      <w:r w:rsidR="00F95AB1">
        <w:rPr>
          <w:sz w:val="18"/>
          <w:szCs w:val="18"/>
        </w:rPr>
        <w:t>r</w:t>
      </w:r>
      <w:r w:rsidR="00915273">
        <w:rPr>
          <w:sz w:val="18"/>
          <w:szCs w:val="18"/>
        </w:rPr>
        <w:t>ange.</w:t>
      </w:r>
    </w:p>
    <w:sectPr w:rsidR="00D255E7" w:rsidSect="00956E8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41A14" w16cid:durableId="214A21F6"/>
  <w16cid:commentId w16cid:paraId="71BDF279" w16cid:durableId="21505BD1"/>
  <w16cid:commentId w16cid:paraId="0870CD18" w16cid:durableId="21505BD2"/>
  <w16cid:commentId w16cid:paraId="5B5496FF" w16cid:durableId="21505BD3"/>
  <w16cid:commentId w16cid:paraId="0E2B242D" w16cid:durableId="21505BD4"/>
  <w16cid:commentId w16cid:paraId="0A45B30B" w16cid:durableId="21505BD5"/>
  <w16cid:commentId w16cid:paraId="1BFFCF31" w16cid:durableId="21505BD6"/>
  <w16cid:commentId w16cid:paraId="1DE39AB9" w16cid:durableId="214A2201"/>
  <w16cid:commentId w16cid:paraId="37F8D1FB" w16cid:durableId="214A25DA"/>
  <w16cid:commentId w16cid:paraId="32C7FAB5" w16cid:durableId="21505BD9"/>
  <w16cid:commentId w16cid:paraId="460433C6" w16cid:durableId="21505BDA"/>
  <w16cid:commentId w16cid:paraId="412149CD" w16cid:durableId="21505BDB"/>
  <w16cid:commentId w16cid:paraId="1357D20D" w16cid:durableId="214A2202"/>
  <w16cid:commentId w16cid:paraId="552B5562" w16cid:durableId="214A2203"/>
  <w16cid:commentId w16cid:paraId="0B4331EA" w16cid:durableId="21505BDE"/>
  <w16cid:commentId w16cid:paraId="65A7EFA9" w16cid:durableId="21505B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A41"/>
    <w:multiLevelType w:val="hybridMultilevel"/>
    <w:tmpl w:val="417C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0357"/>
    <w:multiLevelType w:val="hybridMultilevel"/>
    <w:tmpl w:val="82B4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5927"/>
    <w:multiLevelType w:val="hybridMultilevel"/>
    <w:tmpl w:val="85C8DDA4"/>
    <w:lvl w:ilvl="0" w:tplc="D238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4B83"/>
    <w:multiLevelType w:val="hybridMultilevel"/>
    <w:tmpl w:val="43F4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25C7"/>
    <w:multiLevelType w:val="hybridMultilevel"/>
    <w:tmpl w:val="FFF62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tLA0NTMwNjU2MDVW0lEKTi0uzszPAymwrAUAayillSwAAAA="/>
  </w:docVars>
  <w:rsids>
    <w:rsidRoot w:val="00D27FBE"/>
    <w:rsid w:val="00051CBE"/>
    <w:rsid w:val="000654BB"/>
    <w:rsid w:val="000E706C"/>
    <w:rsid w:val="00122677"/>
    <w:rsid w:val="00153247"/>
    <w:rsid w:val="00195ADC"/>
    <w:rsid w:val="00196943"/>
    <w:rsid w:val="001E4A25"/>
    <w:rsid w:val="001F6C5B"/>
    <w:rsid w:val="002170E5"/>
    <w:rsid w:val="00217227"/>
    <w:rsid w:val="00220B60"/>
    <w:rsid w:val="002223A9"/>
    <w:rsid w:val="00233C13"/>
    <w:rsid w:val="002802E3"/>
    <w:rsid w:val="002A49DA"/>
    <w:rsid w:val="002D2DFE"/>
    <w:rsid w:val="002E722E"/>
    <w:rsid w:val="00306C22"/>
    <w:rsid w:val="00307A88"/>
    <w:rsid w:val="003349BC"/>
    <w:rsid w:val="0035129D"/>
    <w:rsid w:val="00381DD1"/>
    <w:rsid w:val="00392A80"/>
    <w:rsid w:val="003B1009"/>
    <w:rsid w:val="003E4457"/>
    <w:rsid w:val="003F0F7B"/>
    <w:rsid w:val="00404CD3"/>
    <w:rsid w:val="004138B8"/>
    <w:rsid w:val="00435A55"/>
    <w:rsid w:val="00451B56"/>
    <w:rsid w:val="004559EE"/>
    <w:rsid w:val="0047633D"/>
    <w:rsid w:val="004767A0"/>
    <w:rsid w:val="004D05D8"/>
    <w:rsid w:val="00500D57"/>
    <w:rsid w:val="00514D3A"/>
    <w:rsid w:val="00583110"/>
    <w:rsid w:val="00587304"/>
    <w:rsid w:val="005A4369"/>
    <w:rsid w:val="005A4FCC"/>
    <w:rsid w:val="005D35A1"/>
    <w:rsid w:val="006304B0"/>
    <w:rsid w:val="0063758A"/>
    <w:rsid w:val="00643DF3"/>
    <w:rsid w:val="0070029A"/>
    <w:rsid w:val="00704AE8"/>
    <w:rsid w:val="00774EF2"/>
    <w:rsid w:val="00794FC4"/>
    <w:rsid w:val="007D1E8E"/>
    <w:rsid w:val="007F2A0E"/>
    <w:rsid w:val="00805099"/>
    <w:rsid w:val="008576AE"/>
    <w:rsid w:val="00882B5F"/>
    <w:rsid w:val="00885C05"/>
    <w:rsid w:val="008C1AA5"/>
    <w:rsid w:val="00915273"/>
    <w:rsid w:val="00956E8A"/>
    <w:rsid w:val="00991A23"/>
    <w:rsid w:val="009A176E"/>
    <w:rsid w:val="009A2A0D"/>
    <w:rsid w:val="009C6A5F"/>
    <w:rsid w:val="009D3280"/>
    <w:rsid w:val="009D507C"/>
    <w:rsid w:val="00A2616E"/>
    <w:rsid w:val="00A8530E"/>
    <w:rsid w:val="00AB1CC0"/>
    <w:rsid w:val="00AD72E8"/>
    <w:rsid w:val="00AF3FA2"/>
    <w:rsid w:val="00B00989"/>
    <w:rsid w:val="00B264C8"/>
    <w:rsid w:val="00B500C3"/>
    <w:rsid w:val="00B56F62"/>
    <w:rsid w:val="00B94C21"/>
    <w:rsid w:val="00BA298B"/>
    <w:rsid w:val="00BA7791"/>
    <w:rsid w:val="00BB6B77"/>
    <w:rsid w:val="00C219B6"/>
    <w:rsid w:val="00C876F1"/>
    <w:rsid w:val="00CB3976"/>
    <w:rsid w:val="00CE68B7"/>
    <w:rsid w:val="00D255E7"/>
    <w:rsid w:val="00D27FBE"/>
    <w:rsid w:val="00D41BAD"/>
    <w:rsid w:val="00D62129"/>
    <w:rsid w:val="00D70ACD"/>
    <w:rsid w:val="00D87F22"/>
    <w:rsid w:val="00DA1DD8"/>
    <w:rsid w:val="00DB2798"/>
    <w:rsid w:val="00DF1654"/>
    <w:rsid w:val="00E1522F"/>
    <w:rsid w:val="00EA3D01"/>
    <w:rsid w:val="00EE657B"/>
    <w:rsid w:val="00EF7879"/>
    <w:rsid w:val="00F066A0"/>
    <w:rsid w:val="00F51F98"/>
    <w:rsid w:val="00F60C47"/>
    <w:rsid w:val="00F732A1"/>
    <w:rsid w:val="00F847D8"/>
    <w:rsid w:val="00F95AB1"/>
    <w:rsid w:val="00FA6814"/>
    <w:rsid w:val="00FA68BB"/>
    <w:rsid w:val="00F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6C97"/>
  <w15:chartTrackingRefBased/>
  <w15:docId w15:val="{91B02FC7-AECA-4B26-B8C0-CA6A59D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30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873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A6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A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F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09B7-5BE2-43E2-A3BC-9FCAE71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60E9299F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Marshall</dc:creator>
  <cp:keywords/>
  <dc:description/>
  <cp:lastModifiedBy>Michelle Marshall</cp:lastModifiedBy>
  <cp:revision>3</cp:revision>
  <dcterms:created xsi:type="dcterms:W3CDTF">2019-10-23T12:39:00Z</dcterms:created>
  <dcterms:modified xsi:type="dcterms:W3CDTF">2019-10-23T12:39:00Z</dcterms:modified>
</cp:coreProperties>
</file>