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EC6E7" w14:textId="77777777" w:rsidR="00A86E9F" w:rsidRPr="00590733" w:rsidRDefault="00590733" w:rsidP="00590733">
      <w:pPr>
        <w:spacing w:line="276" w:lineRule="auto"/>
        <w:rPr>
          <w:rFonts w:ascii="Arial" w:hAnsi="Arial" w:cs="Arial"/>
          <w:i/>
          <w:iCs/>
          <w:lang w:val="en-AU"/>
        </w:rPr>
      </w:pPr>
      <w:r w:rsidRPr="00590733">
        <w:rPr>
          <w:rFonts w:ascii="Arial" w:hAnsi="Arial" w:cs="Arial"/>
          <w:i/>
          <w:iCs/>
          <w:lang w:val="en-AU"/>
        </w:rPr>
        <w:t>Reflection</w:t>
      </w:r>
    </w:p>
    <w:p w14:paraId="0E613355" w14:textId="77777777" w:rsidR="00A86E9F" w:rsidRPr="00590733" w:rsidRDefault="00A86E9F" w:rsidP="00590733">
      <w:pPr>
        <w:spacing w:line="276" w:lineRule="auto"/>
        <w:rPr>
          <w:rFonts w:ascii="Arial" w:hAnsi="Arial" w:cs="Arial"/>
          <w:b/>
          <w:bCs/>
          <w:lang w:val="en-AU"/>
        </w:rPr>
      </w:pPr>
    </w:p>
    <w:p w14:paraId="41FB0C2F" w14:textId="77777777" w:rsidR="008317F0" w:rsidRPr="00590733" w:rsidRDefault="00E63FF7" w:rsidP="00590733">
      <w:pPr>
        <w:spacing w:line="276" w:lineRule="auto"/>
        <w:rPr>
          <w:rFonts w:ascii="Arial" w:hAnsi="Arial" w:cs="Arial"/>
          <w:b/>
          <w:bCs/>
          <w:lang w:val="en-AU"/>
        </w:rPr>
      </w:pPr>
      <w:r w:rsidRPr="00590733">
        <w:rPr>
          <w:rFonts w:ascii="Arial" w:hAnsi="Arial" w:cs="Arial"/>
          <w:b/>
          <w:bCs/>
          <w:lang w:val="en-AU"/>
        </w:rPr>
        <w:t xml:space="preserve">Contested </w:t>
      </w:r>
      <w:r w:rsidR="00590733">
        <w:rPr>
          <w:rFonts w:ascii="Arial" w:hAnsi="Arial" w:cs="Arial"/>
          <w:b/>
          <w:bCs/>
          <w:lang w:val="en-AU"/>
        </w:rPr>
        <w:t>f</w:t>
      </w:r>
      <w:r w:rsidRPr="00590733">
        <w:rPr>
          <w:rFonts w:ascii="Arial" w:hAnsi="Arial" w:cs="Arial"/>
          <w:b/>
          <w:bCs/>
          <w:lang w:val="en-AU"/>
        </w:rPr>
        <w:t xml:space="preserve">eelings: </w:t>
      </w:r>
      <w:r w:rsidR="00CB4A71" w:rsidRPr="00590733">
        <w:rPr>
          <w:rFonts w:ascii="Arial" w:hAnsi="Arial" w:cs="Arial"/>
          <w:b/>
          <w:bCs/>
          <w:lang w:val="en-AU"/>
        </w:rPr>
        <w:t xml:space="preserve">Mapping </w:t>
      </w:r>
      <w:r w:rsidR="00590733" w:rsidRPr="00590733">
        <w:rPr>
          <w:rFonts w:ascii="Arial" w:hAnsi="Arial" w:cs="Arial"/>
          <w:b/>
          <w:bCs/>
          <w:lang w:val="en-AU"/>
        </w:rPr>
        <w:t xml:space="preserve">emotional journeys </w:t>
      </w:r>
      <w:r w:rsidRPr="00590733">
        <w:rPr>
          <w:rFonts w:ascii="Arial" w:hAnsi="Arial" w:cs="Arial"/>
          <w:b/>
          <w:bCs/>
          <w:lang w:val="en-AU"/>
        </w:rPr>
        <w:t xml:space="preserve">of LGBTI </w:t>
      </w:r>
      <w:r w:rsidR="00590733" w:rsidRPr="00590733">
        <w:rPr>
          <w:rFonts w:ascii="Arial" w:hAnsi="Arial" w:cs="Arial"/>
          <w:b/>
          <w:bCs/>
          <w:lang w:val="en-AU"/>
        </w:rPr>
        <w:t>rights and reforms</w:t>
      </w:r>
    </w:p>
    <w:p w14:paraId="570F4BC7" w14:textId="4C30ED3C" w:rsidR="006B762C" w:rsidRDefault="00700ED6" w:rsidP="00590733">
      <w:pPr>
        <w:spacing w:line="276" w:lineRule="auto"/>
        <w:rPr>
          <w:rFonts w:ascii="Arial" w:hAnsi="Arial" w:cs="Arial"/>
          <w:b/>
          <w:bCs/>
          <w:lang w:val="en-AU"/>
        </w:rPr>
      </w:pPr>
      <w:r>
        <w:rPr>
          <w:rFonts w:ascii="Arial" w:hAnsi="Arial" w:cs="Arial"/>
          <w:b/>
          <w:bCs/>
          <w:lang w:val="en-AU"/>
        </w:rPr>
        <w:t>Senthorun Raj</w:t>
      </w:r>
    </w:p>
    <w:p w14:paraId="0C09EED7" w14:textId="73A8F714" w:rsidR="00700ED6" w:rsidRPr="00700ED6" w:rsidRDefault="00700ED6" w:rsidP="00590733">
      <w:pPr>
        <w:spacing w:line="276" w:lineRule="auto"/>
        <w:rPr>
          <w:rFonts w:ascii="Arial" w:hAnsi="Arial" w:cs="Arial"/>
          <w:lang w:val="en-AU"/>
        </w:rPr>
      </w:pPr>
      <w:r>
        <w:rPr>
          <w:rFonts w:ascii="Arial" w:hAnsi="Arial" w:cs="Arial"/>
          <w:lang w:val="en-AU"/>
        </w:rPr>
        <w:t xml:space="preserve">School of Law, </w:t>
      </w:r>
      <w:r w:rsidRPr="00700ED6">
        <w:rPr>
          <w:rFonts w:ascii="Arial" w:hAnsi="Arial" w:cs="Arial"/>
          <w:lang w:val="en-AU"/>
        </w:rPr>
        <w:t>Keele University, UK</w:t>
      </w:r>
    </w:p>
    <w:p w14:paraId="024DE67C" w14:textId="18AB0DE5" w:rsidR="00700ED6" w:rsidRDefault="00700ED6" w:rsidP="00590733">
      <w:pPr>
        <w:spacing w:line="276" w:lineRule="auto"/>
        <w:rPr>
          <w:rFonts w:ascii="Arial" w:hAnsi="Arial" w:cs="Arial"/>
          <w:b/>
          <w:bCs/>
          <w:lang w:val="en-AU"/>
        </w:rPr>
      </w:pPr>
    </w:p>
    <w:p w14:paraId="7540DC03" w14:textId="5546F9F7" w:rsidR="007F5BF9" w:rsidRDefault="007F5BF9" w:rsidP="00590733">
      <w:pPr>
        <w:spacing w:line="276" w:lineRule="auto"/>
        <w:rPr>
          <w:rFonts w:ascii="Arial" w:hAnsi="Arial" w:cs="Arial"/>
          <w:b/>
          <w:bCs/>
          <w:lang w:val="en-AU"/>
        </w:rPr>
      </w:pPr>
      <w:r>
        <w:rPr>
          <w:rFonts w:ascii="Arial" w:hAnsi="Arial" w:cs="Arial"/>
          <w:b/>
          <w:bCs/>
          <w:lang w:val="en-AU"/>
        </w:rPr>
        <w:t xml:space="preserve">Abstract: </w:t>
      </w:r>
      <w:r w:rsidR="00BB475D">
        <w:rPr>
          <w:rFonts w:ascii="Arial" w:hAnsi="Arial" w:cs="Arial"/>
          <w:b/>
          <w:bCs/>
          <w:lang w:val="en-AU"/>
        </w:rPr>
        <w:t xml:space="preserve">This reflection explores </w:t>
      </w:r>
      <w:r w:rsidR="00DA6AF5">
        <w:rPr>
          <w:rFonts w:ascii="Arial" w:hAnsi="Arial" w:cs="Arial"/>
          <w:b/>
          <w:bCs/>
          <w:lang w:val="en-AU"/>
        </w:rPr>
        <w:t>how</w:t>
      </w:r>
      <w:r w:rsidR="00BB475D">
        <w:rPr>
          <w:rFonts w:ascii="Arial" w:hAnsi="Arial" w:cs="Arial"/>
          <w:b/>
          <w:bCs/>
          <w:lang w:val="en-AU"/>
        </w:rPr>
        <w:t xml:space="preserve"> emotion</w:t>
      </w:r>
      <w:r w:rsidR="00DA6AF5">
        <w:rPr>
          <w:rFonts w:ascii="Arial" w:hAnsi="Arial" w:cs="Arial"/>
          <w:b/>
          <w:bCs/>
          <w:lang w:val="en-AU"/>
        </w:rPr>
        <w:t xml:space="preserve"> shapes</w:t>
      </w:r>
      <w:r w:rsidR="00BB475D">
        <w:rPr>
          <w:rFonts w:ascii="Arial" w:hAnsi="Arial" w:cs="Arial"/>
          <w:b/>
          <w:bCs/>
          <w:lang w:val="en-AU"/>
        </w:rPr>
        <w:t xml:space="preserve"> LGBTI rights and law reforms. </w:t>
      </w:r>
      <w:r w:rsidR="00DA6AF5">
        <w:rPr>
          <w:rFonts w:ascii="Arial" w:hAnsi="Arial" w:cs="Arial"/>
          <w:b/>
          <w:bCs/>
          <w:lang w:val="en-AU"/>
        </w:rPr>
        <w:t xml:space="preserve">Drawing on case studies from Australia, </w:t>
      </w:r>
      <w:r w:rsidR="00F8423B">
        <w:rPr>
          <w:rFonts w:ascii="Arial" w:hAnsi="Arial" w:cs="Arial"/>
          <w:b/>
          <w:bCs/>
          <w:lang w:val="en-AU"/>
        </w:rPr>
        <w:t xml:space="preserve">the </w:t>
      </w:r>
      <w:r w:rsidR="00DA6AF5">
        <w:rPr>
          <w:rFonts w:ascii="Arial" w:hAnsi="Arial" w:cs="Arial"/>
          <w:b/>
          <w:bCs/>
          <w:lang w:val="en-AU"/>
        </w:rPr>
        <w:t xml:space="preserve">United Kingdom, and </w:t>
      </w:r>
      <w:r w:rsidR="00F8423B">
        <w:rPr>
          <w:rFonts w:ascii="Arial" w:hAnsi="Arial" w:cs="Arial"/>
          <w:b/>
          <w:bCs/>
          <w:lang w:val="en-AU"/>
        </w:rPr>
        <w:t xml:space="preserve">the </w:t>
      </w:r>
      <w:r w:rsidR="00DA6AF5">
        <w:rPr>
          <w:rFonts w:ascii="Arial" w:hAnsi="Arial" w:cs="Arial"/>
          <w:b/>
          <w:bCs/>
          <w:lang w:val="en-AU"/>
        </w:rPr>
        <w:t>United States, the</w:t>
      </w:r>
      <w:r w:rsidR="00BB475D">
        <w:rPr>
          <w:rFonts w:ascii="Arial" w:hAnsi="Arial" w:cs="Arial"/>
          <w:b/>
          <w:bCs/>
          <w:lang w:val="en-AU"/>
        </w:rPr>
        <w:t xml:space="preserve"> author </w:t>
      </w:r>
      <w:r w:rsidR="00F8423B">
        <w:rPr>
          <w:rFonts w:ascii="Arial" w:hAnsi="Arial" w:cs="Arial"/>
          <w:b/>
          <w:bCs/>
          <w:lang w:val="en-AU"/>
        </w:rPr>
        <w:t>maps</w:t>
      </w:r>
      <w:r w:rsidR="00BB475D">
        <w:rPr>
          <w:rFonts w:ascii="Arial" w:hAnsi="Arial" w:cs="Arial"/>
          <w:b/>
          <w:bCs/>
          <w:lang w:val="en-AU"/>
        </w:rPr>
        <w:t xml:space="preserve"> how disgust regulates sexuality, hate manifests in hate crime penalties, anger arises in anti-discrimination </w:t>
      </w:r>
      <w:r w:rsidR="00DA6AF5">
        <w:rPr>
          <w:rFonts w:ascii="Arial" w:hAnsi="Arial" w:cs="Arial"/>
          <w:b/>
          <w:bCs/>
          <w:lang w:val="en-AU"/>
        </w:rPr>
        <w:t>measures</w:t>
      </w:r>
      <w:r w:rsidR="00BB475D">
        <w:rPr>
          <w:rFonts w:ascii="Arial" w:hAnsi="Arial" w:cs="Arial"/>
          <w:b/>
          <w:bCs/>
          <w:lang w:val="en-AU"/>
        </w:rPr>
        <w:t xml:space="preserve">, </w:t>
      </w:r>
      <w:r w:rsidR="00DA6AF5">
        <w:rPr>
          <w:rFonts w:ascii="Arial" w:hAnsi="Arial" w:cs="Arial"/>
          <w:b/>
          <w:bCs/>
          <w:lang w:val="en-AU"/>
        </w:rPr>
        <w:t xml:space="preserve">fear polices refugee law, anxiety shapes trans children’s access to medical transition, pity and compassion inhibit intersex autonomy, and love enables marriage equality. Legal scholars, activists, lawyers, and judges need to take emotion seriously to </w:t>
      </w:r>
      <w:r w:rsidR="00F8423B">
        <w:rPr>
          <w:rFonts w:ascii="Arial" w:hAnsi="Arial" w:cs="Arial"/>
          <w:b/>
          <w:bCs/>
          <w:lang w:val="en-AU"/>
        </w:rPr>
        <w:t xml:space="preserve">better </w:t>
      </w:r>
      <w:r w:rsidR="00DA6AF5">
        <w:rPr>
          <w:rFonts w:ascii="Arial" w:hAnsi="Arial" w:cs="Arial"/>
          <w:b/>
          <w:bCs/>
          <w:lang w:val="en-AU"/>
        </w:rPr>
        <w:t xml:space="preserve">address the pressing challenges facing LGBTI people.  </w:t>
      </w:r>
    </w:p>
    <w:p w14:paraId="1C8A5080" w14:textId="77777777" w:rsidR="00043781" w:rsidRDefault="00043781" w:rsidP="00590733">
      <w:pPr>
        <w:spacing w:line="276" w:lineRule="auto"/>
        <w:rPr>
          <w:rFonts w:ascii="Arial" w:hAnsi="Arial" w:cs="Arial"/>
          <w:b/>
          <w:bCs/>
          <w:lang w:val="en-AU"/>
        </w:rPr>
      </w:pPr>
    </w:p>
    <w:p w14:paraId="031207CB" w14:textId="62FFDB78" w:rsidR="00700ED6" w:rsidRPr="00700ED6" w:rsidRDefault="00700ED6" w:rsidP="00590733">
      <w:pPr>
        <w:spacing w:line="276" w:lineRule="auto"/>
        <w:rPr>
          <w:rFonts w:ascii="Arial" w:hAnsi="Arial" w:cs="Arial"/>
          <w:lang w:val="en-AU"/>
        </w:rPr>
      </w:pPr>
      <w:r>
        <w:rPr>
          <w:rFonts w:ascii="Arial" w:hAnsi="Arial" w:cs="Arial"/>
          <w:b/>
          <w:bCs/>
          <w:lang w:val="en-AU"/>
        </w:rPr>
        <w:t xml:space="preserve">Corresponding author: </w:t>
      </w:r>
      <w:r w:rsidRPr="00700ED6">
        <w:rPr>
          <w:rFonts w:ascii="Arial" w:hAnsi="Arial" w:cs="Arial"/>
          <w:lang w:val="en-AU"/>
        </w:rPr>
        <w:t>Dr Sen</w:t>
      </w:r>
      <w:r w:rsidR="00043781">
        <w:rPr>
          <w:rFonts w:ascii="Arial" w:hAnsi="Arial" w:cs="Arial"/>
          <w:lang w:val="en-AU"/>
        </w:rPr>
        <w:t>thorun</w:t>
      </w:r>
      <w:r w:rsidRPr="00700ED6">
        <w:rPr>
          <w:rFonts w:ascii="Arial" w:hAnsi="Arial" w:cs="Arial"/>
          <w:lang w:val="en-AU"/>
        </w:rPr>
        <w:t xml:space="preserve"> Raj, Keele University, </w:t>
      </w:r>
      <w:r w:rsidR="00043781">
        <w:rPr>
          <w:rFonts w:ascii="Arial" w:hAnsi="Arial" w:cs="Arial"/>
          <w:lang w:val="en-AU"/>
        </w:rPr>
        <w:t xml:space="preserve">Keele, </w:t>
      </w:r>
      <w:r w:rsidRPr="00700ED6">
        <w:rPr>
          <w:rFonts w:ascii="Arial" w:hAnsi="Arial" w:cs="Arial"/>
          <w:lang w:val="en-AU"/>
        </w:rPr>
        <w:t>Staffordshire ST5 5NU, United Kingdom</w:t>
      </w:r>
    </w:p>
    <w:p w14:paraId="27108334" w14:textId="77777777" w:rsidR="00700ED6" w:rsidRDefault="00700ED6" w:rsidP="00590733">
      <w:pPr>
        <w:spacing w:line="276" w:lineRule="auto"/>
        <w:rPr>
          <w:rFonts w:ascii="Arial" w:eastAsia="Times New Roman" w:hAnsi="Arial" w:cs="Arial"/>
          <w:color w:val="000000"/>
          <w:shd w:val="clear" w:color="auto" w:fill="FFFFFF"/>
          <w:lang w:eastAsia="en-GB"/>
        </w:rPr>
      </w:pPr>
    </w:p>
    <w:p w14:paraId="184D0D89" w14:textId="77777777" w:rsidR="00700ED6" w:rsidRDefault="00700ED6" w:rsidP="00590733">
      <w:pPr>
        <w:spacing w:line="276" w:lineRule="auto"/>
        <w:rPr>
          <w:rFonts w:ascii="Arial" w:eastAsia="Times New Roman" w:hAnsi="Arial" w:cs="Arial"/>
          <w:color w:val="000000"/>
          <w:shd w:val="clear" w:color="auto" w:fill="FFFFFF"/>
          <w:lang w:eastAsia="en-GB"/>
        </w:rPr>
      </w:pPr>
    </w:p>
    <w:p w14:paraId="00DAEFEE" w14:textId="32196A13" w:rsidR="00336AA6" w:rsidRPr="00590733" w:rsidRDefault="00CF0919" w:rsidP="00590733">
      <w:pPr>
        <w:spacing w:line="276" w:lineRule="auto"/>
        <w:rPr>
          <w:rFonts w:ascii="Arial" w:eastAsia="Times New Roman" w:hAnsi="Arial" w:cs="Arial"/>
          <w:color w:val="000000"/>
          <w:shd w:val="clear" w:color="auto" w:fill="FFFFFF"/>
          <w:lang w:eastAsia="en-GB"/>
        </w:rPr>
      </w:pPr>
      <w:r w:rsidRPr="00590733">
        <w:rPr>
          <w:rFonts w:ascii="Arial" w:eastAsia="Times New Roman" w:hAnsi="Arial" w:cs="Arial"/>
          <w:color w:val="000000"/>
          <w:shd w:val="clear" w:color="auto" w:fill="FFFFFF"/>
          <w:lang w:eastAsia="en-GB"/>
        </w:rPr>
        <w:t>Wh</w:t>
      </w:r>
      <w:r w:rsidR="0014379A" w:rsidRPr="00590733">
        <w:rPr>
          <w:rFonts w:ascii="Arial" w:eastAsia="Times New Roman" w:hAnsi="Arial" w:cs="Arial"/>
          <w:color w:val="000000"/>
          <w:shd w:val="clear" w:color="auto" w:fill="FFFFFF"/>
          <w:lang w:eastAsia="en-GB"/>
        </w:rPr>
        <w:t xml:space="preserve">y does </w:t>
      </w:r>
      <w:r w:rsidRPr="00590733">
        <w:rPr>
          <w:rFonts w:ascii="Arial" w:eastAsia="Times New Roman" w:hAnsi="Arial" w:cs="Arial"/>
          <w:color w:val="000000"/>
          <w:shd w:val="clear" w:color="auto" w:fill="FFFFFF"/>
          <w:lang w:eastAsia="en-GB"/>
        </w:rPr>
        <w:t xml:space="preserve">disgust </w:t>
      </w:r>
      <w:r w:rsidR="0014379A" w:rsidRPr="00590733">
        <w:rPr>
          <w:rFonts w:ascii="Arial" w:eastAsia="Times New Roman" w:hAnsi="Arial" w:cs="Arial"/>
          <w:color w:val="000000"/>
          <w:shd w:val="clear" w:color="auto" w:fill="FFFFFF"/>
          <w:lang w:eastAsia="en-GB"/>
        </w:rPr>
        <w:t xml:space="preserve">compel us to </w:t>
      </w:r>
      <w:r w:rsidR="00A86E9F" w:rsidRPr="00590733">
        <w:rPr>
          <w:rFonts w:ascii="Arial" w:eastAsia="Times New Roman" w:hAnsi="Arial" w:cs="Arial"/>
          <w:color w:val="000000"/>
          <w:shd w:val="clear" w:color="auto" w:fill="FFFFFF"/>
          <w:lang w:eastAsia="en-GB"/>
        </w:rPr>
        <w:t xml:space="preserve">police </w:t>
      </w:r>
      <w:r w:rsidR="0014379A" w:rsidRPr="00590733">
        <w:rPr>
          <w:rFonts w:ascii="Arial" w:eastAsia="Times New Roman" w:hAnsi="Arial" w:cs="Arial"/>
          <w:color w:val="000000"/>
          <w:shd w:val="clear" w:color="auto" w:fill="FFFFFF"/>
          <w:lang w:eastAsia="en-GB"/>
        </w:rPr>
        <w:t xml:space="preserve">certain </w:t>
      </w:r>
      <w:r w:rsidRPr="00590733">
        <w:rPr>
          <w:rFonts w:ascii="Arial" w:eastAsia="Times New Roman" w:hAnsi="Arial" w:cs="Arial"/>
          <w:color w:val="000000"/>
          <w:shd w:val="clear" w:color="auto" w:fill="FFFFFF"/>
          <w:lang w:eastAsia="en-GB"/>
        </w:rPr>
        <w:t>sexual practices? How do we address violence motivated by hate? What can anger achieve in law reform designed to address discrimination</w:t>
      </w:r>
      <w:r w:rsidR="0014379A" w:rsidRPr="00590733">
        <w:rPr>
          <w:rFonts w:ascii="Arial" w:eastAsia="Times New Roman" w:hAnsi="Arial" w:cs="Arial"/>
          <w:color w:val="000000"/>
          <w:shd w:val="clear" w:color="auto" w:fill="FFFFFF"/>
          <w:lang w:eastAsia="en-GB"/>
        </w:rPr>
        <w:t xml:space="preserve"> and inequality</w:t>
      </w:r>
      <w:r w:rsidRPr="00590733">
        <w:rPr>
          <w:rFonts w:ascii="Arial" w:eastAsia="Times New Roman" w:hAnsi="Arial" w:cs="Arial"/>
          <w:color w:val="000000"/>
          <w:shd w:val="clear" w:color="auto" w:fill="FFFFFF"/>
          <w:lang w:eastAsia="en-GB"/>
        </w:rPr>
        <w:t xml:space="preserve">? How do fears and anxieties shape </w:t>
      </w:r>
      <w:r w:rsidR="0031395E">
        <w:rPr>
          <w:rFonts w:ascii="Arial" w:eastAsia="Times New Roman" w:hAnsi="Arial" w:cs="Arial"/>
          <w:color w:val="000000"/>
          <w:shd w:val="clear" w:color="auto" w:fill="FFFFFF"/>
          <w:lang w:eastAsia="en-GB"/>
        </w:rPr>
        <w:t>the way</w:t>
      </w:r>
      <w:r w:rsidRPr="00590733">
        <w:rPr>
          <w:rFonts w:ascii="Arial" w:eastAsia="Times New Roman" w:hAnsi="Arial" w:cs="Arial"/>
          <w:color w:val="000000"/>
          <w:shd w:val="clear" w:color="auto" w:fill="FFFFFF"/>
          <w:lang w:eastAsia="en-GB"/>
        </w:rPr>
        <w:t xml:space="preserve"> law </w:t>
      </w:r>
      <w:r w:rsidR="00BB475D">
        <w:rPr>
          <w:rFonts w:ascii="Arial" w:eastAsia="Times New Roman" w:hAnsi="Arial" w:cs="Arial"/>
          <w:color w:val="000000"/>
          <w:shd w:val="clear" w:color="auto" w:fill="FFFFFF"/>
          <w:lang w:eastAsia="en-GB"/>
        </w:rPr>
        <w:t>controls</w:t>
      </w:r>
      <w:r w:rsidR="00BB475D" w:rsidRPr="00590733">
        <w:rPr>
          <w:rFonts w:ascii="Arial" w:eastAsia="Times New Roman" w:hAnsi="Arial" w:cs="Arial"/>
          <w:color w:val="000000"/>
          <w:shd w:val="clear" w:color="auto" w:fill="FFFFFF"/>
          <w:lang w:eastAsia="en-GB"/>
        </w:rPr>
        <w:t xml:space="preserve"> </w:t>
      </w:r>
      <w:r w:rsidRPr="00590733">
        <w:rPr>
          <w:rFonts w:ascii="Arial" w:eastAsia="Times New Roman" w:hAnsi="Arial" w:cs="Arial"/>
          <w:color w:val="000000"/>
          <w:shd w:val="clear" w:color="auto" w:fill="FFFFFF"/>
          <w:lang w:eastAsia="en-GB"/>
        </w:rPr>
        <w:t xml:space="preserve">borders and bodies? </w:t>
      </w:r>
      <w:r w:rsidR="006B762C" w:rsidRPr="00590733">
        <w:rPr>
          <w:rFonts w:ascii="Arial" w:eastAsia="Times New Roman" w:hAnsi="Arial" w:cs="Arial"/>
          <w:color w:val="000000"/>
          <w:shd w:val="clear" w:color="auto" w:fill="FFFFFF"/>
          <w:lang w:eastAsia="en-GB"/>
        </w:rPr>
        <w:t xml:space="preserve">Why do courts turn to love when dealing with relationship recognition? </w:t>
      </w:r>
      <w:r w:rsidRPr="00590733">
        <w:rPr>
          <w:rFonts w:ascii="Arial" w:eastAsia="Times New Roman" w:hAnsi="Arial" w:cs="Arial"/>
          <w:color w:val="000000"/>
          <w:shd w:val="clear" w:color="auto" w:fill="FFFFFF"/>
          <w:lang w:eastAsia="en-GB"/>
        </w:rPr>
        <w:t xml:space="preserve">These are a few questions I’ve been thinking about </w:t>
      </w:r>
      <w:r w:rsidR="0014379A" w:rsidRPr="00590733">
        <w:rPr>
          <w:rFonts w:ascii="Arial" w:eastAsia="Times New Roman" w:hAnsi="Arial" w:cs="Arial"/>
          <w:color w:val="000000"/>
          <w:shd w:val="clear" w:color="auto" w:fill="FFFFFF"/>
          <w:lang w:eastAsia="en-GB"/>
        </w:rPr>
        <w:t>lately</w:t>
      </w:r>
      <w:r w:rsidRPr="00590733">
        <w:rPr>
          <w:rFonts w:ascii="Arial" w:eastAsia="Times New Roman" w:hAnsi="Arial" w:cs="Arial"/>
          <w:color w:val="000000"/>
          <w:shd w:val="clear" w:color="auto" w:fill="FFFFFF"/>
          <w:lang w:eastAsia="en-GB"/>
        </w:rPr>
        <w:t xml:space="preserve"> as part of my advocacy on lesbian, gay, bisexual, transgender and intersex (LGBTI)</w:t>
      </w:r>
      <w:r w:rsidR="00BB475D">
        <w:rPr>
          <w:rStyle w:val="FootnoteReference"/>
          <w:rFonts w:ascii="Arial" w:eastAsia="Times New Roman" w:hAnsi="Arial" w:cs="Arial"/>
          <w:color w:val="000000"/>
          <w:shd w:val="clear" w:color="auto" w:fill="FFFFFF"/>
          <w:lang w:eastAsia="en-GB"/>
        </w:rPr>
        <w:footnoteReference w:id="1"/>
      </w:r>
      <w:r w:rsidRPr="00590733">
        <w:rPr>
          <w:rFonts w:ascii="Arial" w:eastAsia="Times New Roman" w:hAnsi="Arial" w:cs="Arial"/>
          <w:color w:val="000000"/>
          <w:shd w:val="clear" w:color="auto" w:fill="FFFFFF"/>
          <w:lang w:eastAsia="en-GB"/>
        </w:rPr>
        <w:t xml:space="preserve"> human rights.</w:t>
      </w:r>
    </w:p>
    <w:p w14:paraId="6A3340BF" w14:textId="5DA82016" w:rsidR="00336AA6" w:rsidRPr="00590733" w:rsidRDefault="00467B57" w:rsidP="00590733">
      <w:pPr>
        <w:spacing w:line="276" w:lineRule="auto"/>
        <w:ind w:firstLine="720"/>
        <w:rPr>
          <w:rFonts w:ascii="Arial" w:hAnsi="Arial" w:cs="Arial"/>
          <w:lang w:val="en-AU"/>
        </w:rPr>
      </w:pPr>
      <w:r w:rsidRPr="00590733">
        <w:rPr>
          <w:rFonts w:ascii="Arial" w:eastAsia="Times New Roman" w:hAnsi="Arial" w:cs="Arial"/>
          <w:color w:val="000000"/>
          <w:shd w:val="clear" w:color="auto" w:fill="FFFFFF"/>
          <w:lang w:eastAsia="en-GB"/>
        </w:rPr>
        <w:t xml:space="preserve">Campaigns </w:t>
      </w:r>
      <w:r w:rsidR="006B762C" w:rsidRPr="00590733">
        <w:rPr>
          <w:rFonts w:ascii="Arial" w:eastAsia="Times New Roman" w:hAnsi="Arial" w:cs="Arial"/>
          <w:color w:val="000000"/>
          <w:shd w:val="clear" w:color="auto" w:fill="FFFFFF"/>
          <w:lang w:eastAsia="en-GB"/>
        </w:rPr>
        <w:t xml:space="preserve">for LGBTI </w:t>
      </w:r>
      <w:r w:rsidRPr="00590733">
        <w:rPr>
          <w:rFonts w:ascii="Arial" w:eastAsia="Times New Roman" w:hAnsi="Arial" w:cs="Arial"/>
          <w:color w:val="000000"/>
          <w:shd w:val="clear" w:color="auto" w:fill="FFFFFF"/>
          <w:lang w:eastAsia="en-GB"/>
        </w:rPr>
        <w:t xml:space="preserve">legal </w:t>
      </w:r>
      <w:r w:rsidR="006B762C" w:rsidRPr="00590733">
        <w:rPr>
          <w:rFonts w:ascii="Arial" w:eastAsia="Times New Roman" w:hAnsi="Arial" w:cs="Arial"/>
          <w:color w:val="000000"/>
          <w:shd w:val="clear" w:color="auto" w:fill="FFFFFF"/>
          <w:lang w:eastAsia="en-GB"/>
        </w:rPr>
        <w:t>equality generate strong feelings, particularly among</w:t>
      </w:r>
      <w:r w:rsidR="00590733">
        <w:rPr>
          <w:rFonts w:ascii="Arial" w:eastAsia="Times New Roman" w:hAnsi="Arial" w:cs="Arial"/>
          <w:color w:val="000000"/>
          <w:shd w:val="clear" w:color="auto" w:fill="FFFFFF"/>
          <w:lang w:eastAsia="en-GB"/>
        </w:rPr>
        <w:t xml:space="preserve"> the</w:t>
      </w:r>
      <w:r w:rsidR="006B762C" w:rsidRPr="00590733">
        <w:rPr>
          <w:rFonts w:ascii="Arial" w:eastAsia="Times New Roman" w:hAnsi="Arial" w:cs="Arial"/>
          <w:color w:val="000000"/>
          <w:shd w:val="clear" w:color="auto" w:fill="FFFFFF"/>
          <w:lang w:eastAsia="en-GB"/>
        </w:rPr>
        <w:t xml:space="preserve"> scholars, activists, lawyer</w:t>
      </w:r>
      <w:r w:rsidR="00590733">
        <w:rPr>
          <w:rFonts w:ascii="Arial" w:eastAsia="Times New Roman" w:hAnsi="Arial" w:cs="Arial"/>
          <w:color w:val="000000"/>
          <w:shd w:val="clear" w:color="auto" w:fill="FFFFFF"/>
          <w:lang w:eastAsia="en-GB"/>
        </w:rPr>
        <w:t>s</w:t>
      </w:r>
      <w:r w:rsidR="006B762C" w:rsidRPr="00590733">
        <w:rPr>
          <w:rFonts w:ascii="Arial" w:eastAsia="Times New Roman" w:hAnsi="Arial" w:cs="Arial"/>
          <w:color w:val="000000"/>
          <w:shd w:val="clear" w:color="auto" w:fill="FFFFFF"/>
          <w:lang w:eastAsia="en-GB"/>
        </w:rPr>
        <w:t xml:space="preserve"> and judges who </w:t>
      </w:r>
      <w:r w:rsidRPr="00590733">
        <w:rPr>
          <w:rFonts w:ascii="Arial" w:eastAsia="Times New Roman" w:hAnsi="Arial" w:cs="Arial"/>
          <w:color w:val="000000"/>
          <w:shd w:val="clear" w:color="auto" w:fill="FFFFFF"/>
          <w:lang w:eastAsia="en-GB"/>
        </w:rPr>
        <w:t xml:space="preserve">are invested in their </w:t>
      </w:r>
      <w:r w:rsidR="00CF0919" w:rsidRPr="00590733">
        <w:rPr>
          <w:rFonts w:ascii="Arial" w:eastAsia="Times New Roman" w:hAnsi="Arial" w:cs="Arial"/>
          <w:color w:val="000000"/>
          <w:shd w:val="clear" w:color="auto" w:fill="FFFFFF"/>
          <w:lang w:eastAsia="en-GB"/>
        </w:rPr>
        <w:t>outcomes</w:t>
      </w:r>
      <w:r w:rsidR="006B762C" w:rsidRPr="00590733">
        <w:rPr>
          <w:rFonts w:ascii="Arial" w:eastAsia="Times New Roman" w:hAnsi="Arial" w:cs="Arial"/>
          <w:color w:val="000000"/>
          <w:shd w:val="clear" w:color="auto" w:fill="FFFFFF"/>
          <w:lang w:eastAsia="en-GB"/>
        </w:rPr>
        <w:t>. </w:t>
      </w:r>
      <w:r w:rsidR="006B762C" w:rsidRPr="00590733">
        <w:rPr>
          <w:rFonts w:ascii="Arial" w:eastAsia="Times New Roman" w:hAnsi="Arial" w:cs="Arial"/>
          <w:lang w:eastAsia="en-GB"/>
        </w:rPr>
        <w:t>Yet</w:t>
      </w:r>
      <w:r w:rsidR="00E63FF7" w:rsidRPr="00590733">
        <w:rPr>
          <w:rFonts w:ascii="Arial" w:hAnsi="Arial" w:cs="Arial"/>
          <w:lang w:val="en-AU"/>
        </w:rPr>
        <w:t>,</w:t>
      </w:r>
      <w:r w:rsidR="006B762C" w:rsidRPr="00590733">
        <w:rPr>
          <w:rFonts w:ascii="Arial" w:hAnsi="Arial" w:cs="Arial"/>
          <w:lang w:val="en-AU"/>
        </w:rPr>
        <w:t xml:space="preserve"> while many of us have acknowledged the emotions (</w:t>
      </w:r>
      <w:r w:rsidR="0031395E">
        <w:rPr>
          <w:rFonts w:ascii="Arial" w:hAnsi="Arial" w:cs="Arial"/>
          <w:lang w:val="en-AU"/>
        </w:rPr>
        <w:t xml:space="preserve">including </w:t>
      </w:r>
      <w:r w:rsidR="006B762C" w:rsidRPr="00590733">
        <w:rPr>
          <w:rFonts w:ascii="Arial" w:hAnsi="Arial" w:cs="Arial"/>
          <w:lang w:val="en-AU"/>
        </w:rPr>
        <w:t>joy, hope, fear, despair, frustration) that law makes us feel personally, few of us</w:t>
      </w:r>
      <w:r w:rsidR="00E63FF7" w:rsidRPr="00590733">
        <w:rPr>
          <w:rFonts w:ascii="Arial" w:hAnsi="Arial" w:cs="Arial"/>
          <w:lang w:val="en-AU"/>
        </w:rPr>
        <w:t xml:space="preserve"> </w:t>
      </w:r>
      <w:r w:rsidR="006B762C" w:rsidRPr="00590733">
        <w:rPr>
          <w:rFonts w:ascii="Arial" w:hAnsi="Arial" w:cs="Arial"/>
          <w:lang w:val="en-AU"/>
        </w:rPr>
        <w:t>have thought seriously about the</w:t>
      </w:r>
      <w:r w:rsidR="00E63FF7" w:rsidRPr="00590733">
        <w:rPr>
          <w:rFonts w:ascii="Arial" w:hAnsi="Arial" w:cs="Arial"/>
          <w:lang w:val="en-AU"/>
        </w:rPr>
        <w:t xml:space="preserve"> emotional grammar of law</w:t>
      </w:r>
      <w:r w:rsidRPr="00590733">
        <w:rPr>
          <w:rFonts w:ascii="Arial" w:hAnsi="Arial" w:cs="Arial"/>
          <w:lang w:val="en-AU"/>
        </w:rPr>
        <w:t xml:space="preserve"> and how that grammar makes </w:t>
      </w:r>
      <w:r w:rsidR="00CF0919" w:rsidRPr="00590733">
        <w:rPr>
          <w:rFonts w:ascii="Arial" w:hAnsi="Arial" w:cs="Arial"/>
          <w:lang w:val="en-AU"/>
        </w:rPr>
        <w:t>LGBTI rights</w:t>
      </w:r>
      <w:r w:rsidRPr="00590733">
        <w:rPr>
          <w:rFonts w:ascii="Arial" w:hAnsi="Arial" w:cs="Arial"/>
          <w:lang w:val="en-AU"/>
        </w:rPr>
        <w:t xml:space="preserve"> possible</w:t>
      </w:r>
      <w:r w:rsidR="0014379A" w:rsidRPr="00590733">
        <w:rPr>
          <w:rFonts w:ascii="Arial" w:hAnsi="Arial" w:cs="Arial"/>
          <w:lang w:val="en-AU"/>
        </w:rPr>
        <w:t xml:space="preserve"> in the first place</w:t>
      </w:r>
      <w:r w:rsidR="00E63FF7" w:rsidRPr="00590733">
        <w:rPr>
          <w:rFonts w:ascii="Arial" w:hAnsi="Arial" w:cs="Arial"/>
          <w:lang w:val="en-AU"/>
        </w:rPr>
        <w:t xml:space="preserve">. </w:t>
      </w:r>
      <w:r w:rsidR="006B762C" w:rsidRPr="00590733">
        <w:rPr>
          <w:rFonts w:ascii="Arial" w:hAnsi="Arial" w:cs="Arial"/>
          <w:lang w:val="en-AU"/>
        </w:rPr>
        <w:t xml:space="preserve">Emotion isn’t </w:t>
      </w:r>
      <w:r w:rsidR="00504C9D">
        <w:rPr>
          <w:rFonts w:ascii="Arial" w:hAnsi="Arial" w:cs="Arial"/>
          <w:lang w:val="en-AU"/>
        </w:rPr>
        <w:t>‘</w:t>
      </w:r>
      <w:r w:rsidR="006B762C" w:rsidRPr="00590733">
        <w:rPr>
          <w:rFonts w:ascii="Arial" w:hAnsi="Arial" w:cs="Arial"/>
          <w:lang w:val="en-AU"/>
        </w:rPr>
        <w:t>queer</w:t>
      </w:r>
      <w:r w:rsidR="00504C9D">
        <w:rPr>
          <w:rFonts w:ascii="Arial" w:hAnsi="Arial" w:cs="Arial"/>
          <w:lang w:val="en-AU"/>
        </w:rPr>
        <w:t>’</w:t>
      </w:r>
      <w:r w:rsidR="006B762C" w:rsidRPr="00590733">
        <w:rPr>
          <w:rFonts w:ascii="Arial" w:hAnsi="Arial" w:cs="Arial"/>
          <w:lang w:val="en-AU"/>
        </w:rPr>
        <w:t xml:space="preserve"> to law – it is an essential part of a legal landscape that makes theorising, legislating, l</w:t>
      </w:r>
      <w:r w:rsidR="00CF0919" w:rsidRPr="00590733">
        <w:rPr>
          <w:rFonts w:ascii="Arial" w:hAnsi="Arial" w:cs="Arial"/>
          <w:lang w:val="en-AU"/>
        </w:rPr>
        <w:t>itigating</w:t>
      </w:r>
      <w:r w:rsidR="006B762C" w:rsidRPr="00590733">
        <w:rPr>
          <w:rFonts w:ascii="Arial" w:hAnsi="Arial" w:cs="Arial"/>
          <w:lang w:val="en-AU"/>
        </w:rPr>
        <w:t xml:space="preserve">, adjudicating and </w:t>
      </w:r>
      <w:r w:rsidRPr="00590733">
        <w:rPr>
          <w:rFonts w:ascii="Arial" w:hAnsi="Arial" w:cs="Arial"/>
          <w:lang w:val="en-AU"/>
        </w:rPr>
        <w:t>affirming</w:t>
      </w:r>
      <w:r w:rsidR="006B762C" w:rsidRPr="00590733">
        <w:rPr>
          <w:rFonts w:ascii="Arial" w:hAnsi="Arial" w:cs="Arial"/>
          <w:lang w:val="en-AU"/>
        </w:rPr>
        <w:t xml:space="preserve"> </w:t>
      </w:r>
      <w:r w:rsidR="009E0A4C" w:rsidRPr="00590733">
        <w:rPr>
          <w:rFonts w:ascii="Arial" w:hAnsi="Arial" w:cs="Arial"/>
          <w:lang w:val="en-AU"/>
        </w:rPr>
        <w:t>rights</w:t>
      </w:r>
      <w:r w:rsidR="0014379A" w:rsidRPr="00590733">
        <w:rPr>
          <w:rFonts w:ascii="Arial" w:hAnsi="Arial" w:cs="Arial"/>
          <w:lang w:val="en-AU"/>
        </w:rPr>
        <w:t xml:space="preserve"> possible</w:t>
      </w:r>
      <w:r w:rsidR="006B762C" w:rsidRPr="00590733">
        <w:rPr>
          <w:rFonts w:ascii="Arial" w:hAnsi="Arial" w:cs="Arial"/>
          <w:lang w:val="en-AU"/>
        </w:rPr>
        <w:t xml:space="preserve">. </w:t>
      </w:r>
    </w:p>
    <w:p w14:paraId="1A407BB5" w14:textId="6E901676" w:rsidR="006B762C" w:rsidRPr="00590733" w:rsidRDefault="00E63FF7" w:rsidP="00BC3391">
      <w:pPr>
        <w:spacing w:line="276" w:lineRule="auto"/>
        <w:ind w:firstLine="720"/>
        <w:rPr>
          <w:rFonts w:ascii="Arial" w:hAnsi="Arial" w:cs="Arial"/>
          <w:lang w:val="en-AU"/>
        </w:rPr>
      </w:pPr>
      <w:r w:rsidRPr="00590733">
        <w:rPr>
          <w:rFonts w:ascii="Arial" w:hAnsi="Arial" w:cs="Arial"/>
          <w:lang w:val="en-AU"/>
        </w:rPr>
        <w:t xml:space="preserve">This </w:t>
      </w:r>
      <w:r w:rsidR="006B762C" w:rsidRPr="00590733">
        <w:rPr>
          <w:rFonts w:ascii="Arial" w:hAnsi="Arial" w:cs="Arial"/>
          <w:lang w:val="en-AU"/>
        </w:rPr>
        <w:t>reflection</w:t>
      </w:r>
      <w:r w:rsidRPr="00590733">
        <w:rPr>
          <w:rFonts w:ascii="Arial" w:hAnsi="Arial" w:cs="Arial"/>
          <w:lang w:val="en-AU"/>
        </w:rPr>
        <w:t xml:space="preserve"> </w:t>
      </w:r>
      <w:r w:rsidR="006B762C" w:rsidRPr="00590733">
        <w:rPr>
          <w:rFonts w:ascii="Arial" w:hAnsi="Arial" w:cs="Arial"/>
          <w:lang w:val="en-AU"/>
        </w:rPr>
        <w:t>tries to illuminate some of that</w:t>
      </w:r>
      <w:r w:rsidR="002D2831" w:rsidRPr="00590733">
        <w:rPr>
          <w:rFonts w:ascii="Arial" w:hAnsi="Arial" w:cs="Arial"/>
          <w:lang w:val="en-AU"/>
        </w:rPr>
        <w:t xml:space="preserve"> disparate</w:t>
      </w:r>
      <w:r w:rsidR="006B762C" w:rsidRPr="00590733">
        <w:rPr>
          <w:rFonts w:ascii="Arial" w:hAnsi="Arial" w:cs="Arial"/>
          <w:lang w:val="en-AU"/>
        </w:rPr>
        <w:t xml:space="preserve"> landscape by</w:t>
      </w:r>
      <w:r w:rsidRPr="00590733">
        <w:rPr>
          <w:rFonts w:ascii="Arial" w:hAnsi="Arial" w:cs="Arial"/>
          <w:lang w:val="en-AU"/>
        </w:rPr>
        <w:t xml:space="preserve"> </w:t>
      </w:r>
      <w:r w:rsidR="00336AA6" w:rsidRPr="00590733">
        <w:rPr>
          <w:rFonts w:ascii="Arial" w:hAnsi="Arial" w:cs="Arial"/>
          <w:lang w:val="en-AU"/>
        </w:rPr>
        <w:t>mapping</w:t>
      </w:r>
      <w:r w:rsidR="006B762C" w:rsidRPr="00590733">
        <w:rPr>
          <w:rFonts w:ascii="Arial" w:hAnsi="Arial" w:cs="Arial"/>
          <w:lang w:val="en-AU"/>
        </w:rPr>
        <w:t xml:space="preserve"> </w:t>
      </w:r>
      <w:r w:rsidRPr="00590733">
        <w:rPr>
          <w:rFonts w:ascii="Arial" w:hAnsi="Arial" w:cs="Arial"/>
          <w:lang w:val="en-AU"/>
        </w:rPr>
        <w:t xml:space="preserve">how emotion shapes the </w:t>
      </w:r>
      <w:r w:rsidR="006B762C" w:rsidRPr="00590733">
        <w:rPr>
          <w:rFonts w:ascii="Arial" w:hAnsi="Arial" w:cs="Arial"/>
          <w:lang w:val="en-AU"/>
        </w:rPr>
        <w:t>ways</w:t>
      </w:r>
      <w:r w:rsidR="00590733">
        <w:rPr>
          <w:rFonts w:ascii="Arial" w:hAnsi="Arial" w:cs="Arial"/>
          <w:lang w:val="en-AU"/>
        </w:rPr>
        <w:t xml:space="preserve"> that</w:t>
      </w:r>
      <w:r w:rsidRPr="00590733">
        <w:rPr>
          <w:rFonts w:ascii="Arial" w:hAnsi="Arial" w:cs="Arial"/>
          <w:lang w:val="en-AU"/>
        </w:rPr>
        <w:t xml:space="preserve"> LGBTI rights</w:t>
      </w:r>
      <w:r w:rsidR="006B762C" w:rsidRPr="00590733">
        <w:rPr>
          <w:rFonts w:ascii="Arial" w:hAnsi="Arial" w:cs="Arial"/>
          <w:lang w:val="en-AU"/>
        </w:rPr>
        <w:t xml:space="preserve"> and reforms</w:t>
      </w:r>
      <w:r w:rsidRPr="00590733">
        <w:rPr>
          <w:rFonts w:ascii="Arial" w:hAnsi="Arial" w:cs="Arial"/>
          <w:lang w:val="en-AU"/>
        </w:rPr>
        <w:t xml:space="preserve"> are p</w:t>
      </w:r>
      <w:r w:rsidR="008D24DB" w:rsidRPr="00590733">
        <w:rPr>
          <w:rFonts w:ascii="Arial" w:hAnsi="Arial" w:cs="Arial"/>
          <w:lang w:val="en-AU"/>
        </w:rPr>
        <w:t>rogressed</w:t>
      </w:r>
      <w:r w:rsidRPr="00590733">
        <w:rPr>
          <w:rFonts w:ascii="Arial" w:hAnsi="Arial" w:cs="Arial"/>
          <w:lang w:val="en-AU"/>
        </w:rPr>
        <w:t>, challenged and affirmed</w:t>
      </w:r>
      <w:r w:rsidR="001F2B3D" w:rsidRPr="00590733">
        <w:rPr>
          <w:rFonts w:ascii="Arial" w:hAnsi="Arial" w:cs="Arial"/>
          <w:lang w:val="en-AU"/>
        </w:rPr>
        <w:t xml:space="preserve"> in </w:t>
      </w:r>
      <w:r w:rsidR="0014379A" w:rsidRPr="00590733">
        <w:rPr>
          <w:rFonts w:ascii="Arial" w:hAnsi="Arial" w:cs="Arial"/>
          <w:lang w:val="en-AU"/>
        </w:rPr>
        <w:t>a few</w:t>
      </w:r>
      <w:r w:rsidR="001F2B3D" w:rsidRPr="00590733">
        <w:rPr>
          <w:rFonts w:ascii="Arial" w:hAnsi="Arial" w:cs="Arial"/>
          <w:lang w:val="en-AU"/>
        </w:rPr>
        <w:t xml:space="preserve"> common law jurisdictions</w:t>
      </w:r>
      <w:r w:rsidR="00580D14" w:rsidRPr="00590733">
        <w:rPr>
          <w:rFonts w:ascii="Arial" w:hAnsi="Arial" w:cs="Arial"/>
          <w:lang w:val="en-AU"/>
        </w:rPr>
        <w:t xml:space="preserve"> and </w:t>
      </w:r>
      <w:r w:rsidR="002D2831" w:rsidRPr="00590733">
        <w:rPr>
          <w:rFonts w:ascii="Arial" w:hAnsi="Arial" w:cs="Arial"/>
          <w:lang w:val="en-AU"/>
        </w:rPr>
        <w:t xml:space="preserve">subdisciplines </w:t>
      </w:r>
      <w:r w:rsidR="00580D14" w:rsidRPr="00590733">
        <w:rPr>
          <w:rFonts w:ascii="Arial" w:hAnsi="Arial" w:cs="Arial"/>
          <w:lang w:val="en-AU"/>
        </w:rPr>
        <w:t>of law</w:t>
      </w:r>
      <w:r w:rsidRPr="00590733">
        <w:rPr>
          <w:rFonts w:ascii="Arial" w:hAnsi="Arial" w:cs="Arial"/>
          <w:lang w:val="en-AU"/>
        </w:rPr>
        <w:t>.</w:t>
      </w:r>
      <w:r w:rsidR="001F2B3D" w:rsidRPr="00590733">
        <w:rPr>
          <w:rStyle w:val="FootnoteReference"/>
          <w:rFonts w:ascii="Arial" w:hAnsi="Arial" w:cs="Arial"/>
          <w:lang w:val="en-AU"/>
        </w:rPr>
        <w:footnoteReference w:id="2"/>
      </w:r>
      <w:r w:rsidRPr="00590733">
        <w:rPr>
          <w:rFonts w:ascii="Arial" w:hAnsi="Arial" w:cs="Arial"/>
          <w:lang w:val="en-AU"/>
        </w:rPr>
        <w:t xml:space="preserve"> </w:t>
      </w:r>
    </w:p>
    <w:p w14:paraId="36D69749" w14:textId="77777777" w:rsidR="006B762C" w:rsidRDefault="006B762C" w:rsidP="00590733">
      <w:pPr>
        <w:spacing w:line="276" w:lineRule="auto"/>
        <w:rPr>
          <w:rFonts w:ascii="Arial" w:hAnsi="Arial" w:cs="Arial"/>
          <w:b/>
          <w:bCs/>
          <w:lang w:val="en-AU"/>
        </w:rPr>
      </w:pPr>
      <w:r w:rsidRPr="00504C9D">
        <w:rPr>
          <w:rFonts w:ascii="Arial" w:hAnsi="Arial" w:cs="Arial"/>
          <w:b/>
          <w:bCs/>
          <w:lang w:val="en-AU"/>
        </w:rPr>
        <w:lastRenderedPageBreak/>
        <w:t>Emotion, seriously?</w:t>
      </w:r>
      <w:r w:rsidR="00A86E9F" w:rsidRPr="00504C9D">
        <w:rPr>
          <w:rFonts w:ascii="Arial" w:hAnsi="Arial" w:cs="Arial"/>
          <w:b/>
          <w:bCs/>
          <w:lang w:val="en-AU"/>
        </w:rPr>
        <w:t>!</w:t>
      </w:r>
    </w:p>
    <w:p w14:paraId="1EB5977A" w14:textId="77777777" w:rsidR="006B762C" w:rsidRPr="00590733" w:rsidRDefault="006B762C" w:rsidP="00590733">
      <w:pPr>
        <w:spacing w:line="276" w:lineRule="auto"/>
        <w:rPr>
          <w:rFonts w:ascii="Arial" w:hAnsi="Arial" w:cs="Arial"/>
          <w:lang w:val="en-AU"/>
        </w:rPr>
      </w:pPr>
      <w:r w:rsidRPr="00590733">
        <w:rPr>
          <w:rFonts w:ascii="Arial" w:hAnsi="Arial" w:cs="Arial"/>
          <w:lang w:val="en-AU"/>
        </w:rPr>
        <w:t>Most lawyers and judges balk at the mention of emotion. Of course, they recognise emotions exist. But</w:t>
      </w:r>
      <w:r w:rsidR="00A86E9F" w:rsidRPr="00590733">
        <w:rPr>
          <w:rFonts w:ascii="Arial" w:hAnsi="Arial" w:cs="Arial"/>
          <w:lang w:val="en-AU"/>
        </w:rPr>
        <w:t xml:space="preserve"> </w:t>
      </w:r>
      <w:r w:rsidRPr="00590733">
        <w:rPr>
          <w:rFonts w:ascii="Arial" w:hAnsi="Arial" w:cs="Arial"/>
          <w:lang w:val="en-AU"/>
        </w:rPr>
        <w:t>law, in a professional</w:t>
      </w:r>
      <w:r w:rsidR="00A86E9F" w:rsidRPr="00590733">
        <w:rPr>
          <w:rFonts w:ascii="Arial" w:hAnsi="Arial" w:cs="Arial"/>
          <w:lang w:val="en-AU"/>
        </w:rPr>
        <w:t xml:space="preserve">’s </w:t>
      </w:r>
      <w:r w:rsidRPr="00590733">
        <w:rPr>
          <w:rFonts w:ascii="Arial" w:hAnsi="Arial" w:cs="Arial"/>
          <w:lang w:val="en-AU"/>
        </w:rPr>
        <w:t xml:space="preserve">imagination, is about reason and objectivity. It is a set of rules that can be applied dispassionately in courts to resolve disputes that may be highly emotional. But emotion isn’t confined to the frustrations of parties to a contractual dispute, the trauma of victims in a criminal law proceeding, or </w:t>
      </w:r>
      <w:r w:rsidR="0014379A" w:rsidRPr="00590733">
        <w:rPr>
          <w:rFonts w:ascii="Arial" w:hAnsi="Arial" w:cs="Arial"/>
          <w:lang w:val="en-AU"/>
        </w:rPr>
        <w:t xml:space="preserve">the </w:t>
      </w:r>
      <w:r w:rsidRPr="00590733">
        <w:rPr>
          <w:rFonts w:ascii="Arial" w:hAnsi="Arial" w:cs="Arial"/>
          <w:lang w:val="en-AU"/>
        </w:rPr>
        <w:t>vindication felt by individuals who succeed in their anti-discrimination claim. How and why law exists in the way</w:t>
      </w:r>
      <w:r w:rsidR="0014379A" w:rsidRPr="00590733">
        <w:rPr>
          <w:rFonts w:ascii="Arial" w:hAnsi="Arial" w:cs="Arial"/>
          <w:lang w:val="en-AU"/>
        </w:rPr>
        <w:t xml:space="preserve"> it does</w:t>
      </w:r>
      <w:r w:rsidRPr="00590733">
        <w:rPr>
          <w:rFonts w:ascii="Arial" w:hAnsi="Arial" w:cs="Arial"/>
          <w:lang w:val="en-AU"/>
        </w:rPr>
        <w:t xml:space="preserve"> requires us – as legal scholars, lawyers and judges – to look more closely </w:t>
      </w:r>
      <w:r w:rsidR="0014379A" w:rsidRPr="00590733">
        <w:rPr>
          <w:rFonts w:ascii="Arial" w:hAnsi="Arial" w:cs="Arial"/>
          <w:lang w:val="en-AU"/>
        </w:rPr>
        <w:t>at</w:t>
      </w:r>
      <w:r w:rsidRPr="00590733">
        <w:rPr>
          <w:rFonts w:ascii="Arial" w:hAnsi="Arial" w:cs="Arial"/>
          <w:lang w:val="en-AU"/>
        </w:rPr>
        <w:t xml:space="preserve"> the emotional infrastructure of legal institutions (courts, parliaments, statutory authorities, executive bureaucracies, </w:t>
      </w:r>
      <w:r w:rsidR="00504C9D">
        <w:rPr>
          <w:rFonts w:ascii="Arial" w:hAnsi="Arial" w:cs="Arial"/>
          <w:lang w:val="en-AU"/>
        </w:rPr>
        <w:t>and so on</w:t>
      </w:r>
      <w:r w:rsidRPr="00590733">
        <w:rPr>
          <w:rFonts w:ascii="Arial" w:hAnsi="Arial" w:cs="Arial"/>
          <w:lang w:val="en-AU"/>
        </w:rPr>
        <w:t>).</w:t>
      </w:r>
      <w:r w:rsidR="001F2B3D" w:rsidRPr="00590733">
        <w:rPr>
          <w:rStyle w:val="FootnoteReference"/>
          <w:rFonts w:ascii="Arial" w:hAnsi="Arial" w:cs="Arial"/>
          <w:lang w:val="en-AU"/>
        </w:rPr>
        <w:footnoteReference w:id="3"/>
      </w:r>
      <w:r w:rsidRPr="00590733">
        <w:rPr>
          <w:rFonts w:ascii="Arial" w:hAnsi="Arial" w:cs="Arial"/>
          <w:lang w:val="en-AU"/>
        </w:rPr>
        <w:t xml:space="preserve"> Law isn’t just constituted by dispassionate doctrines and prescriptive precedents – it materialises through formalised feelings</w:t>
      </w:r>
      <w:r w:rsidR="007D0BA6" w:rsidRPr="00590733">
        <w:rPr>
          <w:rFonts w:ascii="Arial" w:hAnsi="Arial" w:cs="Arial"/>
          <w:lang w:val="en-AU"/>
        </w:rPr>
        <w:t xml:space="preserve">. </w:t>
      </w:r>
    </w:p>
    <w:p w14:paraId="3780E7BB" w14:textId="77777777" w:rsidR="006B762C" w:rsidRPr="00590733" w:rsidRDefault="006B762C" w:rsidP="00590733">
      <w:pPr>
        <w:spacing w:line="276" w:lineRule="auto"/>
        <w:rPr>
          <w:rFonts w:ascii="Arial" w:hAnsi="Arial" w:cs="Arial"/>
          <w:lang w:val="en-AU"/>
        </w:rPr>
      </w:pPr>
    </w:p>
    <w:p w14:paraId="6746C48D" w14:textId="77777777" w:rsidR="00467B57" w:rsidRPr="00504C9D" w:rsidRDefault="00467B57" w:rsidP="00590733">
      <w:pPr>
        <w:spacing w:line="276" w:lineRule="auto"/>
        <w:rPr>
          <w:rFonts w:ascii="Arial" w:hAnsi="Arial" w:cs="Arial"/>
          <w:b/>
          <w:bCs/>
          <w:lang w:val="en-AU"/>
        </w:rPr>
      </w:pPr>
      <w:r w:rsidRPr="00504C9D">
        <w:rPr>
          <w:rFonts w:ascii="Arial" w:hAnsi="Arial" w:cs="Arial"/>
          <w:b/>
          <w:bCs/>
          <w:lang w:val="en-AU"/>
        </w:rPr>
        <w:t xml:space="preserve">Once upon a disgust… </w:t>
      </w:r>
    </w:p>
    <w:p w14:paraId="20EF4A56" w14:textId="77777777" w:rsidR="001F2B3D" w:rsidRPr="00590733" w:rsidRDefault="00CB4A71" w:rsidP="00590733">
      <w:pPr>
        <w:spacing w:line="276" w:lineRule="auto"/>
        <w:rPr>
          <w:rFonts w:ascii="Arial" w:hAnsi="Arial" w:cs="Arial"/>
          <w:lang w:val="en-AU"/>
        </w:rPr>
      </w:pPr>
      <w:r w:rsidRPr="00590733">
        <w:rPr>
          <w:rFonts w:ascii="Arial" w:hAnsi="Arial" w:cs="Arial"/>
          <w:lang w:val="en-AU"/>
        </w:rPr>
        <w:t>M</w:t>
      </w:r>
      <w:r w:rsidR="0039235F" w:rsidRPr="00590733">
        <w:rPr>
          <w:rFonts w:ascii="Arial" w:hAnsi="Arial" w:cs="Arial"/>
          <w:lang w:val="en-AU"/>
        </w:rPr>
        <w:t>any</w:t>
      </w:r>
      <w:r w:rsidRPr="00590733">
        <w:rPr>
          <w:rFonts w:ascii="Arial" w:hAnsi="Arial" w:cs="Arial"/>
          <w:lang w:val="en-AU"/>
        </w:rPr>
        <w:t xml:space="preserve"> </w:t>
      </w:r>
      <w:r w:rsidR="0014379A" w:rsidRPr="00590733">
        <w:rPr>
          <w:rFonts w:ascii="Arial" w:hAnsi="Arial" w:cs="Arial"/>
          <w:lang w:val="en-AU"/>
        </w:rPr>
        <w:t xml:space="preserve">activist </w:t>
      </w:r>
      <w:r w:rsidRPr="00590733">
        <w:rPr>
          <w:rFonts w:ascii="Arial" w:hAnsi="Arial" w:cs="Arial"/>
          <w:lang w:val="en-AU"/>
        </w:rPr>
        <w:t xml:space="preserve">stories about </w:t>
      </w:r>
      <w:r w:rsidR="00504C9D">
        <w:rPr>
          <w:rFonts w:ascii="Arial" w:hAnsi="Arial" w:cs="Arial"/>
          <w:lang w:val="en-AU"/>
        </w:rPr>
        <w:t>‘</w:t>
      </w:r>
      <w:r w:rsidRPr="00590733">
        <w:rPr>
          <w:rFonts w:ascii="Arial" w:hAnsi="Arial" w:cs="Arial"/>
          <w:lang w:val="en-AU"/>
        </w:rPr>
        <w:t>LGBTI progress</w:t>
      </w:r>
      <w:r w:rsidR="00504C9D">
        <w:rPr>
          <w:rFonts w:ascii="Arial" w:hAnsi="Arial" w:cs="Arial"/>
          <w:lang w:val="en-AU"/>
        </w:rPr>
        <w:t>’</w:t>
      </w:r>
      <w:r w:rsidRPr="00590733">
        <w:rPr>
          <w:rFonts w:ascii="Arial" w:hAnsi="Arial" w:cs="Arial"/>
          <w:lang w:val="en-AU"/>
        </w:rPr>
        <w:t xml:space="preserve"> begin </w:t>
      </w:r>
      <w:r w:rsidR="0014379A" w:rsidRPr="00590733">
        <w:rPr>
          <w:rFonts w:ascii="Arial" w:hAnsi="Arial" w:cs="Arial"/>
          <w:lang w:val="en-AU"/>
        </w:rPr>
        <w:t xml:space="preserve">by setting the scene in relation to </w:t>
      </w:r>
      <w:r w:rsidRPr="00590733">
        <w:rPr>
          <w:rFonts w:ascii="Arial" w:hAnsi="Arial" w:cs="Arial"/>
          <w:lang w:val="en-AU"/>
        </w:rPr>
        <w:t>the decriminalisation of homosexuality. While the last half century has witnessed a number of countries begin their stories of progress, l</w:t>
      </w:r>
      <w:r w:rsidR="00467B57" w:rsidRPr="00590733">
        <w:rPr>
          <w:rFonts w:ascii="Arial" w:hAnsi="Arial" w:cs="Arial"/>
          <w:lang w:val="en-AU"/>
        </w:rPr>
        <w:t xml:space="preserve">aws criminalising </w:t>
      </w:r>
      <w:r w:rsidRPr="00590733">
        <w:rPr>
          <w:rFonts w:ascii="Arial" w:hAnsi="Arial" w:cs="Arial"/>
          <w:lang w:val="en-AU"/>
        </w:rPr>
        <w:t>gay sex</w:t>
      </w:r>
      <w:r w:rsidR="00467B57" w:rsidRPr="00590733">
        <w:rPr>
          <w:rFonts w:ascii="Arial" w:hAnsi="Arial" w:cs="Arial"/>
          <w:lang w:val="en-AU"/>
        </w:rPr>
        <w:t xml:space="preserve"> still</w:t>
      </w:r>
      <w:r w:rsidRPr="00590733">
        <w:rPr>
          <w:rFonts w:ascii="Arial" w:hAnsi="Arial" w:cs="Arial"/>
          <w:lang w:val="en-AU"/>
        </w:rPr>
        <w:t xml:space="preserve"> </w:t>
      </w:r>
      <w:r w:rsidR="00467B57" w:rsidRPr="00590733">
        <w:rPr>
          <w:rFonts w:ascii="Arial" w:hAnsi="Arial" w:cs="Arial"/>
          <w:lang w:val="en-AU"/>
        </w:rPr>
        <w:t xml:space="preserve">persist in 68 countries. These laws – many introduced through </w:t>
      </w:r>
      <w:r w:rsidR="00B10B2E" w:rsidRPr="00590733">
        <w:rPr>
          <w:rFonts w:ascii="Arial" w:hAnsi="Arial" w:cs="Arial"/>
          <w:lang w:val="en-AU"/>
        </w:rPr>
        <w:t>the British Empire’s</w:t>
      </w:r>
      <w:r w:rsidR="00467B57" w:rsidRPr="00590733">
        <w:rPr>
          <w:rFonts w:ascii="Arial" w:hAnsi="Arial" w:cs="Arial"/>
          <w:lang w:val="en-AU"/>
        </w:rPr>
        <w:t xml:space="preserve"> </w:t>
      </w:r>
      <w:r w:rsidR="00504C9D">
        <w:rPr>
          <w:rFonts w:ascii="Arial" w:hAnsi="Arial" w:cs="Arial"/>
          <w:lang w:val="en-AU"/>
        </w:rPr>
        <w:t>‘</w:t>
      </w:r>
      <w:r w:rsidR="00467B57" w:rsidRPr="00590733">
        <w:rPr>
          <w:rFonts w:ascii="Arial" w:hAnsi="Arial" w:cs="Arial"/>
          <w:lang w:val="en-AU"/>
        </w:rPr>
        <w:t>civilising missions</w:t>
      </w:r>
      <w:r w:rsidR="00504C9D">
        <w:rPr>
          <w:rFonts w:ascii="Arial" w:hAnsi="Arial" w:cs="Arial"/>
          <w:lang w:val="en-AU"/>
        </w:rPr>
        <w:t>’</w:t>
      </w:r>
      <w:r w:rsidR="00467B57" w:rsidRPr="00590733">
        <w:rPr>
          <w:rFonts w:ascii="Arial" w:hAnsi="Arial" w:cs="Arial"/>
          <w:lang w:val="en-AU"/>
        </w:rPr>
        <w:t xml:space="preserve"> – prohibit </w:t>
      </w:r>
      <w:r w:rsidR="00504C9D">
        <w:rPr>
          <w:rFonts w:ascii="Arial" w:hAnsi="Arial" w:cs="Arial"/>
          <w:lang w:val="en-AU"/>
        </w:rPr>
        <w:t>‘</w:t>
      </w:r>
      <w:r w:rsidR="00467B57" w:rsidRPr="00590733">
        <w:rPr>
          <w:rFonts w:ascii="Arial" w:hAnsi="Arial" w:cs="Arial"/>
          <w:lang w:val="en-AU"/>
        </w:rPr>
        <w:t>carnal intercourse against the order of nature</w:t>
      </w:r>
      <w:r w:rsidR="00504C9D">
        <w:rPr>
          <w:rFonts w:ascii="Arial" w:hAnsi="Arial" w:cs="Arial"/>
          <w:lang w:val="en-AU"/>
        </w:rPr>
        <w:t>’</w:t>
      </w:r>
      <w:r w:rsidR="00467B57" w:rsidRPr="00590733">
        <w:rPr>
          <w:rFonts w:ascii="Arial" w:hAnsi="Arial" w:cs="Arial"/>
          <w:lang w:val="en-AU"/>
        </w:rPr>
        <w:t xml:space="preserve"> and </w:t>
      </w:r>
      <w:r w:rsidR="00504C9D">
        <w:rPr>
          <w:rFonts w:ascii="Arial" w:hAnsi="Arial" w:cs="Arial"/>
          <w:lang w:val="en-AU"/>
        </w:rPr>
        <w:t>‘</w:t>
      </w:r>
      <w:r w:rsidR="00467B57" w:rsidRPr="00590733">
        <w:rPr>
          <w:rFonts w:ascii="Arial" w:hAnsi="Arial" w:cs="Arial"/>
          <w:lang w:val="en-AU"/>
        </w:rPr>
        <w:t>gross indecency</w:t>
      </w:r>
      <w:r w:rsidR="00504C9D">
        <w:rPr>
          <w:rFonts w:ascii="Arial" w:hAnsi="Arial" w:cs="Arial"/>
          <w:lang w:val="en-AU"/>
        </w:rPr>
        <w:t>’</w:t>
      </w:r>
      <w:r w:rsidR="00467B57" w:rsidRPr="00590733">
        <w:rPr>
          <w:rFonts w:ascii="Arial" w:hAnsi="Arial" w:cs="Arial"/>
          <w:lang w:val="en-AU"/>
        </w:rPr>
        <w:t>.</w:t>
      </w:r>
      <w:r w:rsidR="001F2B3D" w:rsidRPr="00590733">
        <w:rPr>
          <w:rFonts w:ascii="Arial" w:hAnsi="Arial" w:cs="Arial"/>
          <w:lang w:val="en-AU"/>
        </w:rPr>
        <w:t xml:space="preserve"> </w:t>
      </w:r>
      <w:r w:rsidR="00467B57" w:rsidRPr="00590733">
        <w:rPr>
          <w:rFonts w:ascii="Arial" w:hAnsi="Arial" w:cs="Arial"/>
          <w:lang w:val="en-AU"/>
        </w:rPr>
        <w:t>Th</w:t>
      </w:r>
      <w:r w:rsidRPr="00590733">
        <w:rPr>
          <w:rFonts w:ascii="Arial" w:hAnsi="Arial" w:cs="Arial"/>
          <w:lang w:val="en-AU"/>
        </w:rPr>
        <w:t>ese crudely drafted statutory provisions generate disgust: they crystallise social</w:t>
      </w:r>
      <w:r w:rsidR="00467B57" w:rsidRPr="00590733">
        <w:rPr>
          <w:rFonts w:ascii="Arial" w:hAnsi="Arial" w:cs="Arial"/>
          <w:lang w:val="en-AU"/>
        </w:rPr>
        <w:t xml:space="preserve"> revulsion towards non-heterosexual forms of intimacy and turn gay and lesbian people, among others, into abjected outlaws. </w:t>
      </w:r>
    </w:p>
    <w:p w14:paraId="17039B6A" w14:textId="576F4A80" w:rsidR="001F2B3D" w:rsidRPr="00590733" w:rsidRDefault="00467B57" w:rsidP="00590733">
      <w:pPr>
        <w:spacing w:line="276" w:lineRule="auto"/>
        <w:ind w:firstLine="720"/>
        <w:rPr>
          <w:rFonts w:ascii="Arial" w:hAnsi="Arial" w:cs="Arial"/>
          <w:lang w:val="en-AU"/>
        </w:rPr>
      </w:pPr>
      <w:r w:rsidRPr="00590733">
        <w:rPr>
          <w:rFonts w:ascii="Arial" w:hAnsi="Arial" w:cs="Arial"/>
          <w:lang w:val="en-AU"/>
        </w:rPr>
        <w:t xml:space="preserve">Even in jurisdictions where privacy has been invoked to </w:t>
      </w:r>
      <w:r w:rsidR="00CB4A71" w:rsidRPr="00590733">
        <w:rPr>
          <w:rFonts w:ascii="Arial" w:hAnsi="Arial" w:cs="Arial"/>
          <w:lang w:val="en-AU"/>
        </w:rPr>
        <w:t>repeal or read down such provisions,</w:t>
      </w:r>
      <w:r w:rsidRPr="00590733">
        <w:rPr>
          <w:rFonts w:ascii="Arial" w:hAnsi="Arial" w:cs="Arial"/>
          <w:lang w:val="en-AU"/>
        </w:rPr>
        <w:t xml:space="preserve"> people who engage in sexual practices that disturb social conventions still find themselves under the scrutiny of criminal law. Think about Anthony Brown who, along with a few of his lovers, was convicted of assault occasioning actual bodily harm in England during the early 1990s because he enjoyed sadomasochist sex with multiple </w:t>
      </w:r>
      <w:r w:rsidR="00CB4A71" w:rsidRPr="00590733">
        <w:rPr>
          <w:rFonts w:ascii="Arial" w:hAnsi="Arial" w:cs="Arial"/>
          <w:lang w:val="en-AU"/>
        </w:rPr>
        <w:t>kinks</w:t>
      </w:r>
      <w:r w:rsidRPr="00590733">
        <w:rPr>
          <w:rFonts w:ascii="Arial" w:hAnsi="Arial" w:cs="Arial"/>
          <w:lang w:val="en-AU"/>
        </w:rPr>
        <w:t>. The House of Lords did not mince their words</w:t>
      </w:r>
      <w:r w:rsidR="00B10B2E" w:rsidRPr="00590733">
        <w:rPr>
          <w:rFonts w:ascii="Arial" w:hAnsi="Arial" w:cs="Arial"/>
          <w:lang w:val="en-AU"/>
        </w:rPr>
        <w:t xml:space="preserve"> in holding Brown and his lovers culpable</w:t>
      </w:r>
      <w:r w:rsidR="0014379A" w:rsidRPr="00590733">
        <w:rPr>
          <w:rFonts w:ascii="Arial" w:hAnsi="Arial" w:cs="Arial"/>
          <w:lang w:val="en-AU"/>
        </w:rPr>
        <w:t xml:space="preserve"> for assault occasioning actual bodily</w:t>
      </w:r>
      <w:r w:rsidR="005A6FCD">
        <w:rPr>
          <w:rFonts w:ascii="Arial" w:hAnsi="Arial" w:cs="Arial"/>
          <w:lang w:val="en-AU"/>
        </w:rPr>
        <w:t xml:space="preserve"> harm</w:t>
      </w:r>
      <w:r w:rsidRPr="00590733">
        <w:rPr>
          <w:rFonts w:ascii="Arial" w:hAnsi="Arial" w:cs="Arial"/>
          <w:lang w:val="en-AU"/>
        </w:rPr>
        <w:t xml:space="preserve">: non-genital forms of pleasure derived from piercing and cutting were </w:t>
      </w:r>
      <w:r w:rsidR="00504C9D">
        <w:rPr>
          <w:rFonts w:ascii="Arial" w:hAnsi="Arial" w:cs="Arial"/>
          <w:lang w:val="en-AU"/>
        </w:rPr>
        <w:t>‘</w:t>
      </w:r>
      <w:r w:rsidRPr="00590733">
        <w:rPr>
          <w:rFonts w:ascii="Arial" w:hAnsi="Arial" w:cs="Arial"/>
          <w:lang w:val="en-AU"/>
        </w:rPr>
        <w:t>an evil thing</w:t>
      </w:r>
      <w:r w:rsidR="00504C9D">
        <w:rPr>
          <w:rFonts w:ascii="Arial" w:hAnsi="Arial" w:cs="Arial"/>
          <w:lang w:val="en-AU"/>
        </w:rPr>
        <w:t>’</w:t>
      </w:r>
      <w:r w:rsidRPr="00590733">
        <w:rPr>
          <w:rFonts w:ascii="Arial" w:hAnsi="Arial" w:cs="Arial"/>
          <w:lang w:val="en-AU"/>
        </w:rPr>
        <w:t>.</w:t>
      </w:r>
      <w:r w:rsidR="001F2B3D" w:rsidRPr="00590733">
        <w:rPr>
          <w:rStyle w:val="FootnoteReference"/>
          <w:rFonts w:ascii="Arial" w:hAnsi="Arial" w:cs="Arial"/>
          <w:lang w:val="en-AU"/>
        </w:rPr>
        <w:footnoteReference w:id="4"/>
      </w:r>
      <w:r w:rsidRPr="00590733">
        <w:rPr>
          <w:rFonts w:ascii="Arial" w:hAnsi="Arial" w:cs="Arial"/>
          <w:lang w:val="en-AU"/>
        </w:rPr>
        <w:t xml:space="preserve"> Yet, a few years later, the English Court of Appeal refused to apply th</w:t>
      </w:r>
      <w:r w:rsidR="00B10B2E" w:rsidRPr="00590733">
        <w:rPr>
          <w:rFonts w:ascii="Arial" w:hAnsi="Arial" w:cs="Arial"/>
          <w:lang w:val="en-AU"/>
        </w:rPr>
        <w:t>e</w:t>
      </w:r>
      <w:r w:rsidRPr="00590733">
        <w:rPr>
          <w:rFonts w:ascii="Arial" w:hAnsi="Arial" w:cs="Arial"/>
          <w:lang w:val="en-AU"/>
        </w:rPr>
        <w:t xml:space="preserve"> precedent </w:t>
      </w:r>
      <w:r w:rsidR="00B10B2E" w:rsidRPr="00590733">
        <w:rPr>
          <w:rFonts w:ascii="Arial" w:hAnsi="Arial" w:cs="Arial"/>
          <w:lang w:val="en-AU"/>
        </w:rPr>
        <w:t xml:space="preserve">set in </w:t>
      </w:r>
      <w:r w:rsidR="00B10B2E" w:rsidRPr="00590733">
        <w:rPr>
          <w:rFonts w:ascii="Arial" w:hAnsi="Arial" w:cs="Arial"/>
          <w:i/>
          <w:iCs/>
          <w:lang w:val="en-AU"/>
        </w:rPr>
        <w:t xml:space="preserve">Brown </w:t>
      </w:r>
      <w:r w:rsidRPr="00590733">
        <w:rPr>
          <w:rFonts w:ascii="Arial" w:hAnsi="Arial" w:cs="Arial"/>
          <w:lang w:val="en-AU"/>
        </w:rPr>
        <w:t>when dealing with a husband who tattooed his initials into his wife’s arse using a knife.</w:t>
      </w:r>
      <w:r w:rsidR="001F2B3D" w:rsidRPr="00590733">
        <w:rPr>
          <w:rStyle w:val="FootnoteReference"/>
          <w:rFonts w:ascii="Arial" w:hAnsi="Arial" w:cs="Arial"/>
          <w:lang w:val="en-AU"/>
        </w:rPr>
        <w:footnoteReference w:id="5"/>
      </w:r>
      <w:r w:rsidRPr="00590733">
        <w:rPr>
          <w:rFonts w:ascii="Arial" w:hAnsi="Arial" w:cs="Arial"/>
          <w:lang w:val="en-AU"/>
        </w:rPr>
        <w:t xml:space="preserve"> Apparently, that was merely an act of </w:t>
      </w:r>
      <w:r w:rsidR="00504C9D">
        <w:rPr>
          <w:rFonts w:ascii="Arial" w:hAnsi="Arial" w:cs="Arial"/>
          <w:lang w:val="en-AU"/>
        </w:rPr>
        <w:t>‘</w:t>
      </w:r>
      <w:r w:rsidRPr="00590733">
        <w:rPr>
          <w:rFonts w:ascii="Arial" w:hAnsi="Arial" w:cs="Arial"/>
          <w:lang w:val="en-AU"/>
        </w:rPr>
        <w:t>adornment</w:t>
      </w:r>
      <w:r w:rsidR="00504C9D">
        <w:rPr>
          <w:rFonts w:ascii="Arial" w:hAnsi="Arial" w:cs="Arial"/>
          <w:lang w:val="en-AU"/>
        </w:rPr>
        <w:t>’</w:t>
      </w:r>
      <w:r w:rsidR="00B10B2E" w:rsidRPr="00590733">
        <w:rPr>
          <w:rFonts w:ascii="Arial" w:hAnsi="Arial" w:cs="Arial"/>
          <w:lang w:val="en-AU"/>
        </w:rPr>
        <w:t xml:space="preserve"> rather than intentional infliction of harm.</w:t>
      </w:r>
      <w:r w:rsidRPr="00590733">
        <w:rPr>
          <w:rFonts w:ascii="Arial" w:hAnsi="Arial" w:cs="Arial"/>
          <w:lang w:val="en-AU"/>
        </w:rPr>
        <w:t xml:space="preserve"> </w:t>
      </w:r>
    </w:p>
    <w:p w14:paraId="006DE0A4" w14:textId="77777777" w:rsidR="001F2B3D" w:rsidRPr="00590733" w:rsidRDefault="0014379A" w:rsidP="00590733">
      <w:pPr>
        <w:spacing w:line="276" w:lineRule="auto"/>
        <w:ind w:firstLine="720"/>
        <w:rPr>
          <w:rFonts w:ascii="Arial" w:hAnsi="Arial" w:cs="Arial"/>
          <w:lang w:val="en-AU"/>
        </w:rPr>
      </w:pPr>
      <w:r w:rsidRPr="00590733">
        <w:rPr>
          <w:rFonts w:ascii="Arial" w:hAnsi="Arial" w:cs="Arial"/>
          <w:lang w:val="en-AU"/>
        </w:rPr>
        <w:t xml:space="preserve">Disgust reveals a lot about the scope of decriminalisation. </w:t>
      </w:r>
      <w:r w:rsidR="00467B57" w:rsidRPr="00590733">
        <w:rPr>
          <w:rFonts w:ascii="Arial" w:hAnsi="Arial" w:cs="Arial"/>
          <w:lang w:val="en-AU"/>
        </w:rPr>
        <w:t>Privacy only works as a shield against criminal liability when the acts performed aren’t too disgusting</w:t>
      </w:r>
      <w:r w:rsidR="00B10B2E" w:rsidRPr="00590733">
        <w:rPr>
          <w:rFonts w:ascii="Arial" w:hAnsi="Arial" w:cs="Arial"/>
          <w:lang w:val="en-AU"/>
        </w:rPr>
        <w:t xml:space="preserve"> and can be </w:t>
      </w:r>
      <w:r w:rsidR="001F2B3D" w:rsidRPr="00590733">
        <w:rPr>
          <w:rFonts w:ascii="Arial" w:hAnsi="Arial" w:cs="Arial"/>
          <w:lang w:val="en-AU"/>
        </w:rPr>
        <w:t xml:space="preserve">safely </w:t>
      </w:r>
      <w:r w:rsidR="00B10B2E" w:rsidRPr="00590733">
        <w:rPr>
          <w:rFonts w:ascii="Arial" w:hAnsi="Arial" w:cs="Arial"/>
          <w:lang w:val="en-AU"/>
        </w:rPr>
        <w:t>quarantined</w:t>
      </w:r>
      <w:r w:rsidR="001F2B3D" w:rsidRPr="00590733">
        <w:rPr>
          <w:rFonts w:ascii="Arial" w:hAnsi="Arial" w:cs="Arial"/>
          <w:lang w:val="en-AU"/>
        </w:rPr>
        <w:t>, away from</w:t>
      </w:r>
      <w:r w:rsidR="00B10B2E" w:rsidRPr="00590733">
        <w:rPr>
          <w:rFonts w:ascii="Arial" w:hAnsi="Arial" w:cs="Arial"/>
          <w:lang w:val="en-AU"/>
        </w:rPr>
        <w:t xml:space="preserve"> public </w:t>
      </w:r>
      <w:r w:rsidR="001F2B3D" w:rsidRPr="00590733">
        <w:rPr>
          <w:rFonts w:ascii="Arial" w:hAnsi="Arial" w:cs="Arial"/>
          <w:lang w:val="en-AU"/>
        </w:rPr>
        <w:t>consumption.</w:t>
      </w:r>
      <w:r w:rsidR="001F2B3D" w:rsidRPr="00590733">
        <w:rPr>
          <w:rStyle w:val="FootnoteReference"/>
          <w:rFonts w:ascii="Arial" w:hAnsi="Arial" w:cs="Arial"/>
          <w:lang w:val="en-AU"/>
        </w:rPr>
        <w:footnoteReference w:id="6"/>
      </w:r>
      <w:r w:rsidR="00467B57" w:rsidRPr="00590733">
        <w:rPr>
          <w:rFonts w:ascii="Arial" w:hAnsi="Arial" w:cs="Arial"/>
          <w:lang w:val="en-AU"/>
        </w:rPr>
        <w:t xml:space="preserve"> </w:t>
      </w:r>
      <w:r w:rsidR="001F2B3D" w:rsidRPr="00590733">
        <w:rPr>
          <w:rFonts w:ascii="Arial" w:hAnsi="Arial" w:cs="Arial"/>
          <w:lang w:val="en-AU"/>
        </w:rPr>
        <w:t xml:space="preserve">Lawyers or judges </w:t>
      </w:r>
      <w:r w:rsidR="001F2B3D" w:rsidRPr="00590733">
        <w:rPr>
          <w:rFonts w:ascii="Arial" w:hAnsi="Arial" w:cs="Arial"/>
          <w:lang w:val="en-AU"/>
        </w:rPr>
        <w:lastRenderedPageBreak/>
        <w:t xml:space="preserve">wanting to challenge this (homo)sexual policing can’t just rely on objective reasoning – they have to take on the disgust that animates its existence. </w:t>
      </w:r>
    </w:p>
    <w:p w14:paraId="124FB0B9" w14:textId="77777777" w:rsidR="00CF0919" w:rsidRPr="00590733" w:rsidRDefault="00CF0919" w:rsidP="00590733">
      <w:pPr>
        <w:spacing w:line="276" w:lineRule="auto"/>
        <w:ind w:firstLine="720"/>
        <w:rPr>
          <w:rFonts w:ascii="Arial" w:hAnsi="Arial" w:cs="Arial"/>
          <w:lang w:val="en-AU"/>
        </w:rPr>
      </w:pPr>
    </w:p>
    <w:p w14:paraId="163B6514" w14:textId="77777777" w:rsidR="00467B57" w:rsidRPr="00504C9D" w:rsidRDefault="00467B57" w:rsidP="00590733">
      <w:pPr>
        <w:spacing w:line="276" w:lineRule="auto"/>
        <w:rPr>
          <w:rFonts w:ascii="Arial" w:hAnsi="Arial" w:cs="Arial"/>
          <w:b/>
          <w:bCs/>
          <w:lang w:val="en-AU"/>
        </w:rPr>
      </w:pPr>
      <w:r w:rsidRPr="00504C9D">
        <w:rPr>
          <w:rFonts w:ascii="Arial" w:hAnsi="Arial" w:cs="Arial"/>
          <w:b/>
          <w:bCs/>
          <w:lang w:val="en-AU"/>
        </w:rPr>
        <w:t xml:space="preserve">Haters gonna hate! </w:t>
      </w:r>
    </w:p>
    <w:p w14:paraId="7FA17442" w14:textId="56279B57" w:rsidR="00CF0919" w:rsidRPr="00590733" w:rsidRDefault="0014379A" w:rsidP="00590733">
      <w:pPr>
        <w:spacing w:line="276" w:lineRule="auto"/>
        <w:rPr>
          <w:rFonts w:ascii="Arial" w:hAnsi="Arial" w:cs="Arial"/>
        </w:rPr>
      </w:pPr>
      <w:r w:rsidRPr="00590733">
        <w:rPr>
          <w:rFonts w:ascii="Arial" w:hAnsi="Arial" w:cs="Arial"/>
        </w:rPr>
        <w:t xml:space="preserve">Policing, however, has </w:t>
      </w:r>
      <w:r w:rsidR="008D24DB" w:rsidRPr="00590733">
        <w:rPr>
          <w:rFonts w:ascii="Arial" w:hAnsi="Arial" w:cs="Arial"/>
        </w:rPr>
        <w:t xml:space="preserve">also </w:t>
      </w:r>
      <w:r w:rsidRPr="00590733">
        <w:rPr>
          <w:rFonts w:ascii="Arial" w:hAnsi="Arial" w:cs="Arial"/>
        </w:rPr>
        <w:t>become an emotional symbol of LGBT</w:t>
      </w:r>
      <w:r w:rsidR="00BB475D">
        <w:rPr>
          <w:rFonts w:ascii="Arial" w:hAnsi="Arial" w:cs="Arial"/>
        </w:rPr>
        <w:t>I</w:t>
      </w:r>
      <w:r w:rsidRPr="00590733">
        <w:rPr>
          <w:rFonts w:ascii="Arial" w:hAnsi="Arial" w:cs="Arial"/>
        </w:rPr>
        <w:t xml:space="preserve"> inclusion.</w:t>
      </w:r>
      <w:r w:rsidR="001B4A48" w:rsidRPr="00590733">
        <w:rPr>
          <w:rFonts w:ascii="Arial" w:hAnsi="Arial" w:cs="Arial"/>
        </w:rPr>
        <w:t xml:space="preserve"> </w:t>
      </w:r>
      <w:r w:rsidR="008D24DB" w:rsidRPr="00590733">
        <w:rPr>
          <w:rFonts w:ascii="Arial" w:hAnsi="Arial" w:cs="Arial"/>
        </w:rPr>
        <w:t>One example of this is h</w:t>
      </w:r>
      <w:r w:rsidR="001B4A48" w:rsidRPr="00590733">
        <w:rPr>
          <w:rFonts w:ascii="Arial" w:hAnsi="Arial" w:cs="Arial"/>
        </w:rPr>
        <w:t xml:space="preserve">ate crime </w:t>
      </w:r>
      <w:r w:rsidR="008D24DB" w:rsidRPr="00590733">
        <w:rPr>
          <w:rFonts w:ascii="Arial" w:hAnsi="Arial" w:cs="Arial"/>
        </w:rPr>
        <w:t>legislation, which</w:t>
      </w:r>
      <w:r w:rsidR="001B4A48" w:rsidRPr="00590733">
        <w:rPr>
          <w:rFonts w:ascii="Arial" w:hAnsi="Arial" w:cs="Arial"/>
        </w:rPr>
        <w:t xml:space="preserve"> carr</w:t>
      </w:r>
      <w:r w:rsidR="008D24DB" w:rsidRPr="00590733">
        <w:rPr>
          <w:rFonts w:ascii="Arial" w:hAnsi="Arial" w:cs="Arial"/>
        </w:rPr>
        <w:t>y</w:t>
      </w:r>
      <w:r w:rsidR="001B4A48" w:rsidRPr="00590733">
        <w:rPr>
          <w:rFonts w:ascii="Arial" w:hAnsi="Arial" w:cs="Arial"/>
        </w:rPr>
        <w:t xml:space="preserve"> the promise of </w:t>
      </w:r>
      <w:r w:rsidR="008D24DB" w:rsidRPr="00590733">
        <w:rPr>
          <w:rFonts w:ascii="Arial" w:hAnsi="Arial" w:cs="Arial"/>
        </w:rPr>
        <w:t>remedying bigoted violence</w:t>
      </w:r>
      <w:r w:rsidR="001B4A48" w:rsidRPr="00590733">
        <w:rPr>
          <w:rFonts w:ascii="Arial" w:hAnsi="Arial" w:cs="Arial"/>
        </w:rPr>
        <w:t xml:space="preserve">. </w:t>
      </w:r>
      <w:r w:rsidR="008D24DB" w:rsidRPr="00590733">
        <w:rPr>
          <w:rFonts w:ascii="Arial" w:hAnsi="Arial" w:cs="Arial"/>
        </w:rPr>
        <w:t>T</w:t>
      </w:r>
      <w:r w:rsidR="001B4A48" w:rsidRPr="00590733">
        <w:rPr>
          <w:rFonts w:ascii="Arial" w:hAnsi="Arial" w:cs="Arial"/>
        </w:rPr>
        <w:t>he</w:t>
      </w:r>
      <w:r w:rsidR="008D24DB" w:rsidRPr="00590733">
        <w:rPr>
          <w:rFonts w:ascii="Arial" w:hAnsi="Arial" w:cs="Arial"/>
        </w:rPr>
        <w:t>se laws</w:t>
      </w:r>
      <w:r w:rsidR="001B4A48" w:rsidRPr="00590733">
        <w:rPr>
          <w:rFonts w:ascii="Arial" w:hAnsi="Arial" w:cs="Arial"/>
        </w:rPr>
        <w:t xml:space="preserve"> highlight a unique emotional shift: queer</w:t>
      </w:r>
      <w:r w:rsidR="008D24DB" w:rsidRPr="00590733">
        <w:rPr>
          <w:rFonts w:ascii="Arial" w:hAnsi="Arial" w:cs="Arial"/>
        </w:rPr>
        <w:t>s</w:t>
      </w:r>
      <w:r w:rsidR="001B4A48" w:rsidRPr="00590733">
        <w:rPr>
          <w:rFonts w:ascii="Arial" w:hAnsi="Arial" w:cs="Arial"/>
        </w:rPr>
        <w:t xml:space="preserve"> move from being </w:t>
      </w:r>
      <w:r w:rsidR="008D24DB" w:rsidRPr="00590733">
        <w:rPr>
          <w:rFonts w:ascii="Arial" w:hAnsi="Arial" w:cs="Arial"/>
        </w:rPr>
        <w:t xml:space="preserve">despised </w:t>
      </w:r>
      <w:r w:rsidR="001B4A48" w:rsidRPr="00590733">
        <w:rPr>
          <w:rFonts w:ascii="Arial" w:hAnsi="Arial" w:cs="Arial"/>
        </w:rPr>
        <w:t>for their intimacies</w:t>
      </w:r>
      <w:r w:rsidR="008D24DB" w:rsidRPr="00590733">
        <w:rPr>
          <w:rFonts w:ascii="Arial" w:hAnsi="Arial" w:cs="Arial"/>
        </w:rPr>
        <w:t xml:space="preserve"> (gay sex)</w:t>
      </w:r>
      <w:r w:rsidR="001B4A48" w:rsidRPr="00590733">
        <w:rPr>
          <w:rFonts w:ascii="Arial" w:hAnsi="Arial" w:cs="Arial"/>
        </w:rPr>
        <w:t xml:space="preserve"> to being </w:t>
      </w:r>
      <w:r w:rsidR="008D24DB" w:rsidRPr="00590733">
        <w:rPr>
          <w:rFonts w:ascii="Arial" w:hAnsi="Arial" w:cs="Arial"/>
        </w:rPr>
        <w:t>viewed</w:t>
      </w:r>
      <w:r w:rsidR="001B4A48" w:rsidRPr="00590733">
        <w:rPr>
          <w:rFonts w:ascii="Arial" w:hAnsi="Arial" w:cs="Arial"/>
        </w:rPr>
        <w:t xml:space="preserve"> as</w:t>
      </w:r>
      <w:r w:rsidR="008D24DB" w:rsidRPr="00590733">
        <w:rPr>
          <w:rFonts w:ascii="Arial" w:hAnsi="Arial" w:cs="Arial"/>
        </w:rPr>
        <w:t xml:space="preserve"> vulnerable and</w:t>
      </w:r>
      <w:r w:rsidR="001B4A48" w:rsidRPr="00590733">
        <w:rPr>
          <w:rFonts w:ascii="Arial" w:hAnsi="Arial" w:cs="Arial"/>
        </w:rPr>
        <w:t xml:space="preserve"> in need of </w:t>
      </w:r>
      <w:r w:rsidRPr="00590733">
        <w:rPr>
          <w:rFonts w:ascii="Arial" w:hAnsi="Arial" w:cs="Arial"/>
        </w:rPr>
        <w:t>p</w:t>
      </w:r>
      <w:r w:rsidR="008D24DB" w:rsidRPr="00590733">
        <w:rPr>
          <w:rFonts w:ascii="Arial" w:hAnsi="Arial" w:cs="Arial"/>
        </w:rPr>
        <w:t>rotecting</w:t>
      </w:r>
      <w:r w:rsidRPr="00590733">
        <w:rPr>
          <w:rFonts w:ascii="Arial" w:hAnsi="Arial" w:cs="Arial"/>
        </w:rPr>
        <w:t xml:space="preserve"> </w:t>
      </w:r>
      <w:r w:rsidR="001B4A48" w:rsidRPr="00590733">
        <w:rPr>
          <w:rFonts w:ascii="Arial" w:hAnsi="Arial" w:cs="Arial"/>
        </w:rPr>
        <w:t>f</w:t>
      </w:r>
      <w:r w:rsidRPr="00590733">
        <w:rPr>
          <w:rFonts w:ascii="Arial" w:hAnsi="Arial" w:cs="Arial"/>
        </w:rPr>
        <w:t>rom</w:t>
      </w:r>
      <w:r w:rsidR="001B4A48" w:rsidRPr="00590733">
        <w:rPr>
          <w:rFonts w:ascii="Arial" w:hAnsi="Arial" w:cs="Arial"/>
        </w:rPr>
        <w:t xml:space="preserve"> </w:t>
      </w:r>
      <w:r w:rsidR="008D24DB" w:rsidRPr="00590733">
        <w:rPr>
          <w:rFonts w:ascii="Arial" w:hAnsi="Arial" w:cs="Arial"/>
        </w:rPr>
        <w:t>others who would despise them</w:t>
      </w:r>
      <w:r w:rsidR="001B4A48" w:rsidRPr="00590733">
        <w:rPr>
          <w:rFonts w:ascii="Arial" w:hAnsi="Arial" w:cs="Arial"/>
        </w:rPr>
        <w:t xml:space="preserve">. Homophobes – not </w:t>
      </w:r>
      <w:r w:rsidR="009E0A4C" w:rsidRPr="00590733">
        <w:rPr>
          <w:rFonts w:ascii="Arial" w:hAnsi="Arial" w:cs="Arial"/>
        </w:rPr>
        <w:t>homosexuals</w:t>
      </w:r>
      <w:r w:rsidR="001B4A48" w:rsidRPr="00590733">
        <w:rPr>
          <w:rFonts w:ascii="Arial" w:hAnsi="Arial" w:cs="Arial"/>
        </w:rPr>
        <w:t xml:space="preserve"> – become subjects of legal hostility and </w:t>
      </w:r>
      <w:r w:rsidR="00CE45F6" w:rsidRPr="00590733">
        <w:rPr>
          <w:rFonts w:ascii="Arial" w:hAnsi="Arial" w:cs="Arial"/>
        </w:rPr>
        <w:t>social loathing</w:t>
      </w:r>
      <w:r w:rsidR="001B4A48" w:rsidRPr="00590733">
        <w:rPr>
          <w:rFonts w:ascii="Arial" w:hAnsi="Arial" w:cs="Arial"/>
        </w:rPr>
        <w:t xml:space="preserve">. </w:t>
      </w:r>
    </w:p>
    <w:p w14:paraId="6FF6152D" w14:textId="77E8A367" w:rsidR="00CF0919" w:rsidRPr="00590733" w:rsidRDefault="008D24DB" w:rsidP="00590733">
      <w:pPr>
        <w:spacing w:line="276" w:lineRule="auto"/>
        <w:ind w:firstLine="720"/>
        <w:rPr>
          <w:rFonts w:ascii="Arial" w:hAnsi="Arial" w:cs="Arial"/>
        </w:rPr>
      </w:pPr>
      <w:r w:rsidRPr="00590733">
        <w:rPr>
          <w:rFonts w:ascii="Arial" w:hAnsi="Arial" w:cs="Arial"/>
        </w:rPr>
        <w:t xml:space="preserve">Just </w:t>
      </w:r>
      <w:r w:rsidR="0069507A" w:rsidRPr="00590733">
        <w:rPr>
          <w:rFonts w:ascii="Arial" w:hAnsi="Arial" w:cs="Arial"/>
        </w:rPr>
        <w:t xml:space="preserve">take a look at the US. </w:t>
      </w:r>
      <w:r w:rsidR="00CF0919" w:rsidRPr="00590733">
        <w:rPr>
          <w:rFonts w:ascii="Arial" w:hAnsi="Arial" w:cs="Arial"/>
        </w:rPr>
        <w:t xml:space="preserve">In the </w:t>
      </w:r>
      <w:r w:rsidR="00CF0919" w:rsidRPr="00590733">
        <w:rPr>
          <w:rFonts w:ascii="Arial" w:hAnsi="Arial" w:cs="Arial"/>
          <w:i/>
        </w:rPr>
        <w:t xml:space="preserve">Hate Crimes Prevention Act </w:t>
      </w:r>
      <w:r w:rsidR="00507DEE">
        <w:rPr>
          <w:rFonts w:ascii="Arial" w:hAnsi="Arial" w:cs="Arial"/>
          <w:i/>
        </w:rPr>
        <w:t xml:space="preserve">of </w:t>
      </w:r>
      <w:r w:rsidR="00CF0919" w:rsidRPr="00590733">
        <w:rPr>
          <w:rFonts w:ascii="Arial" w:hAnsi="Arial" w:cs="Arial"/>
          <w:i/>
        </w:rPr>
        <w:t xml:space="preserve">2009 </w:t>
      </w:r>
      <w:r w:rsidR="00CF0919" w:rsidRPr="00590733">
        <w:rPr>
          <w:rFonts w:ascii="Arial" w:hAnsi="Arial" w:cs="Arial"/>
        </w:rPr>
        <w:t xml:space="preserve">(US), the non-incorporated </w:t>
      </w:r>
      <w:r w:rsidR="00F93817">
        <w:rPr>
          <w:rFonts w:ascii="Arial" w:hAnsi="Arial" w:cs="Arial"/>
        </w:rPr>
        <w:t>‘</w:t>
      </w:r>
      <w:r w:rsidR="00CF0919" w:rsidRPr="00590733">
        <w:rPr>
          <w:rFonts w:ascii="Arial" w:hAnsi="Arial" w:cs="Arial"/>
        </w:rPr>
        <w:t>findings</w:t>
      </w:r>
      <w:r w:rsidR="00F93817">
        <w:rPr>
          <w:rFonts w:ascii="Arial" w:hAnsi="Arial" w:cs="Arial"/>
        </w:rPr>
        <w:t>’</w:t>
      </w:r>
      <w:r w:rsidR="00CF0919" w:rsidRPr="00590733">
        <w:rPr>
          <w:rFonts w:ascii="Arial" w:hAnsi="Arial" w:cs="Arial"/>
        </w:rPr>
        <w:t xml:space="preserve"> note that hate crime </w:t>
      </w:r>
      <w:r w:rsidR="00F93817">
        <w:rPr>
          <w:rFonts w:ascii="Arial" w:hAnsi="Arial" w:cs="Arial"/>
        </w:rPr>
        <w:t>‘</w:t>
      </w:r>
      <w:r w:rsidR="00CF0919" w:rsidRPr="00590733">
        <w:rPr>
          <w:rFonts w:ascii="Arial" w:hAnsi="Arial" w:cs="Arial"/>
        </w:rPr>
        <w:t>disrupts the tranquility and safety of communities</w:t>
      </w:r>
      <w:r w:rsidR="00F93817">
        <w:rPr>
          <w:rFonts w:ascii="Arial" w:hAnsi="Arial" w:cs="Arial"/>
        </w:rPr>
        <w:t>’</w:t>
      </w:r>
      <w:r w:rsidR="00CF0919" w:rsidRPr="00590733">
        <w:rPr>
          <w:rFonts w:ascii="Arial" w:hAnsi="Arial" w:cs="Arial"/>
        </w:rPr>
        <w:t>.</w:t>
      </w:r>
      <w:r w:rsidR="00CF0919" w:rsidRPr="00590733">
        <w:rPr>
          <w:rStyle w:val="FootnoteReference"/>
          <w:rFonts w:ascii="Arial" w:hAnsi="Arial" w:cs="Arial"/>
        </w:rPr>
        <w:footnoteReference w:id="7"/>
      </w:r>
      <w:r w:rsidR="00CF0919" w:rsidRPr="00590733">
        <w:rPr>
          <w:rFonts w:ascii="Arial" w:hAnsi="Arial" w:cs="Arial"/>
        </w:rPr>
        <w:t xml:space="preserve"> The findings also go on to say that such violence </w:t>
      </w:r>
      <w:r w:rsidR="00F93817">
        <w:rPr>
          <w:rFonts w:ascii="Arial" w:hAnsi="Arial" w:cs="Arial"/>
        </w:rPr>
        <w:t>‘</w:t>
      </w:r>
      <w:r w:rsidR="00CF0919" w:rsidRPr="00590733">
        <w:rPr>
          <w:rFonts w:ascii="Arial" w:hAnsi="Arial" w:cs="Arial"/>
        </w:rPr>
        <w:t>devastates not just the actual victim and the family and friends of the victim, but frequently savages the community sharing the traits that caused the victim to be selected</w:t>
      </w:r>
      <w:r w:rsidR="00F93817">
        <w:rPr>
          <w:rFonts w:ascii="Arial" w:hAnsi="Arial" w:cs="Arial"/>
        </w:rPr>
        <w:t>’</w:t>
      </w:r>
      <w:r w:rsidR="00CF0919" w:rsidRPr="00590733">
        <w:rPr>
          <w:rFonts w:ascii="Arial" w:hAnsi="Arial" w:cs="Arial"/>
        </w:rPr>
        <w:t>.</w:t>
      </w:r>
      <w:r w:rsidR="00CF0919" w:rsidRPr="00590733">
        <w:rPr>
          <w:rStyle w:val="FootnoteReference"/>
          <w:rFonts w:ascii="Arial" w:hAnsi="Arial" w:cs="Arial"/>
        </w:rPr>
        <w:footnoteReference w:id="8"/>
      </w:r>
      <w:r w:rsidR="00CF0919" w:rsidRPr="00590733">
        <w:rPr>
          <w:rFonts w:ascii="Arial" w:hAnsi="Arial" w:cs="Arial"/>
        </w:rPr>
        <w:t xml:space="preserve"> The legislation purports to recognise the intimate associations between the victims, families</w:t>
      </w:r>
      <w:r w:rsidR="00F93817">
        <w:rPr>
          <w:rFonts w:ascii="Arial" w:hAnsi="Arial" w:cs="Arial"/>
        </w:rPr>
        <w:t>,</w:t>
      </w:r>
      <w:r w:rsidR="00CF0919" w:rsidRPr="00590733">
        <w:rPr>
          <w:rFonts w:ascii="Arial" w:hAnsi="Arial" w:cs="Arial"/>
        </w:rPr>
        <w:t xml:space="preserve"> and the broader community to which such victims belong. In doing so, it imagines the national community as tolerant and inclusive and casts those who would be liable under the Act as violent interlopers in the community. Homophobes, instead of homosexuals, are now made queer to the community. In the </w:t>
      </w:r>
      <w:r w:rsidR="00CF0919" w:rsidRPr="00590733">
        <w:rPr>
          <w:rFonts w:ascii="Arial" w:hAnsi="Arial" w:cs="Arial"/>
          <w:i/>
        </w:rPr>
        <w:t>Hate Crimes Prevention Act</w:t>
      </w:r>
      <w:r w:rsidR="00CF0919" w:rsidRPr="00590733">
        <w:rPr>
          <w:rFonts w:ascii="Arial" w:hAnsi="Arial" w:cs="Arial"/>
        </w:rPr>
        <w:t xml:space="preserve">, the analogising of hate crime with </w:t>
      </w:r>
      <w:r w:rsidR="00F93817">
        <w:rPr>
          <w:rFonts w:ascii="Arial" w:hAnsi="Arial" w:cs="Arial"/>
        </w:rPr>
        <w:t>‘</w:t>
      </w:r>
      <w:r w:rsidR="00CF0919" w:rsidRPr="00590733">
        <w:rPr>
          <w:rFonts w:ascii="Arial" w:hAnsi="Arial" w:cs="Arial"/>
        </w:rPr>
        <w:t>savagery</w:t>
      </w:r>
      <w:r w:rsidR="00F93817">
        <w:rPr>
          <w:rFonts w:ascii="Arial" w:hAnsi="Arial" w:cs="Arial"/>
        </w:rPr>
        <w:t>’</w:t>
      </w:r>
      <w:r w:rsidR="00CF0919" w:rsidRPr="00590733">
        <w:rPr>
          <w:rFonts w:ascii="Arial" w:hAnsi="Arial" w:cs="Arial"/>
        </w:rPr>
        <w:t xml:space="preserve"> stigmatises offenders as barbaric or uncivilised while sentimentalising the community as a homogenous site of </w:t>
      </w:r>
      <w:r w:rsidR="00F93817">
        <w:rPr>
          <w:rFonts w:ascii="Arial" w:hAnsi="Arial" w:cs="Arial"/>
        </w:rPr>
        <w:t>‘</w:t>
      </w:r>
      <w:proofErr w:type="spellStart"/>
      <w:r w:rsidR="00CF0919" w:rsidRPr="00590733">
        <w:rPr>
          <w:rFonts w:ascii="Arial" w:hAnsi="Arial" w:cs="Arial"/>
        </w:rPr>
        <w:t>tranquility</w:t>
      </w:r>
      <w:proofErr w:type="spellEnd"/>
      <w:r w:rsidR="00F93817">
        <w:rPr>
          <w:rFonts w:ascii="Arial" w:hAnsi="Arial" w:cs="Arial"/>
        </w:rPr>
        <w:t>’</w:t>
      </w:r>
      <w:r w:rsidR="00CF0919" w:rsidRPr="00590733">
        <w:rPr>
          <w:rFonts w:ascii="Arial" w:hAnsi="Arial" w:cs="Arial"/>
        </w:rPr>
        <w:t>. In sentimentalising the community as always already safe and welcoming, those who express homophobia are deemed to lack self-control.</w:t>
      </w:r>
      <w:r w:rsidR="00CF0919" w:rsidRPr="00590733">
        <w:rPr>
          <w:rStyle w:val="FootnoteReference"/>
          <w:rFonts w:ascii="Arial" w:hAnsi="Arial" w:cs="Arial"/>
        </w:rPr>
        <w:footnoteReference w:id="9"/>
      </w:r>
    </w:p>
    <w:p w14:paraId="4E97580E" w14:textId="5032940B" w:rsidR="00CF0919" w:rsidRPr="00590733" w:rsidRDefault="00CF0919" w:rsidP="00590733">
      <w:pPr>
        <w:spacing w:line="276" w:lineRule="auto"/>
        <w:ind w:firstLine="720"/>
        <w:rPr>
          <w:rFonts w:ascii="Arial" w:hAnsi="Arial" w:cs="Arial"/>
        </w:rPr>
      </w:pPr>
      <w:r w:rsidRPr="0031395E">
        <w:rPr>
          <w:rFonts w:ascii="Arial" w:hAnsi="Arial" w:cs="Arial"/>
        </w:rPr>
        <w:t xml:space="preserve">But, hate crimes aren’t just about violence that results in serious injury or death. </w:t>
      </w:r>
      <w:r w:rsidR="008D24DB" w:rsidRPr="0031395E">
        <w:rPr>
          <w:rFonts w:ascii="Arial" w:hAnsi="Arial" w:cs="Arial"/>
        </w:rPr>
        <w:t xml:space="preserve">They’re much more banal than that. Homophobia </w:t>
      </w:r>
      <w:r w:rsidRPr="0031395E">
        <w:rPr>
          <w:rFonts w:ascii="Arial" w:hAnsi="Arial" w:cs="Arial"/>
        </w:rPr>
        <w:t xml:space="preserve">manifests in verbal insult hurled towards a same-sex couple who hold hands on the street. </w:t>
      </w:r>
      <w:r w:rsidR="008D24DB" w:rsidRPr="0031395E">
        <w:rPr>
          <w:rFonts w:ascii="Arial" w:hAnsi="Arial" w:cs="Arial"/>
        </w:rPr>
        <w:t>Transphobia</w:t>
      </w:r>
      <w:r w:rsidRPr="0031395E">
        <w:rPr>
          <w:rFonts w:ascii="Arial" w:hAnsi="Arial" w:cs="Arial"/>
        </w:rPr>
        <w:t xml:space="preserve"> emerges in </w:t>
      </w:r>
      <w:r w:rsidR="008D24DB" w:rsidRPr="0031395E">
        <w:rPr>
          <w:rFonts w:ascii="Arial" w:hAnsi="Arial" w:cs="Arial"/>
        </w:rPr>
        <w:t xml:space="preserve">routine </w:t>
      </w:r>
      <w:r w:rsidRPr="0031395E">
        <w:rPr>
          <w:rFonts w:ascii="Arial" w:hAnsi="Arial" w:cs="Arial"/>
        </w:rPr>
        <w:t xml:space="preserve">harassment directed towards a person who does not conform to </w:t>
      </w:r>
      <w:r w:rsidR="008D24DB" w:rsidRPr="0031395E">
        <w:rPr>
          <w:rFonts w:ascii="Arial" w:hAnsi="Arial" w:cs="Arial"/>
        </w:rPr>
        <w:t>an</w:t>
      </w:r>
      <w:r w:rsidRPr="0031395E">
        <w:rPr>
          <w:rFonts w:ascii="Arial" w:hAnsi="Arial" w:cs="Arial"/>
        </w:rPr>
        <w:t xml:space="preserve"> expected gender</w:t>
      </w:r>
      <w:r w:rsidRPr="00590733">
        <w:rPr>
          <w:rFonts w:ascii="Arial" w:hAnsi="Arial" w:cs="Arial"/>
        </w:rPr>
        <w:t xml:space="preserve"> role.</w:t>
      </w:r>
      <w:r w:rsidRPr="00590733">
        <w:rPr>
          <w:rStyle w:val="FootnoteReference"/>
          <w:rFonts w:ascii="Arial" w:hAnsi="Arial" w:cs="Arial"/>
        </w:rPr>
        <w:footnoteReference w:id="10"/>
      </w:r>
      <w:r w:rsidRPr="00590733">
        <w:rPr>
          <w:rFonts w:ascii="Arial" w:hAnsi="Arial" w:cs="Arial"/>
        </w:rPr>
        <w:t xml:space="preserve"> By directing our (righteous) hate towards those who engage in exceptional forms of (homo/transphobic) hate, we obscure how homo/transphobia is a structural and social reality that pervades our lives. </w:t>
      </w:r>
    </w:p>
    <w:p w14:paraId="1F1A02E8" w14:textId="4463EAC9" w:rsidR="00A86E9F" w:rsidRPr="00590733" w:rsidRDefault="00CF0919" w:rsidP="00590733">
      <w:pPr>
        <w:spacing w:line="276" w:lineRule="auto"/>
        <w:ind w:firstLine="720"/>
        <w:rPr>
          <w:rFonts w:ascii="Arial" w:hAnsi="Arial" w:cs="Arial"/>
        </w:rPr>
      </w:pPr>
      <w:r w:rsidRPr="00590733">
        <w:rPr>
          <w:rFonts w:ascii="Arial" w:hAnsi="Arial" w:cs="Arial"/>
        </w:rPr>
        <w:t>Embracing a vengeful desire for punishment through penalties like prison also sustain</w:t>
      </w:r>
      <w:r w:rsidR="0031395E">
        <w:rPr>
          <w:rFonts w:ascii="Arial" w:hAnsi="Arial" w:cs="Arial"/>
        </w:rPr>
        <w:t>s</w:t>
      </w:r>
      <w:r w:rsidRPr="00590733">
        <w:rPr>
          <w:rFonts w:ascii="Arial" w:hAnsi="Arial" w:cs="Arial"/>
        </w:rPr>
        <w:t xml:space="preserve"> a </w:t>
      </w:r>
      <w:r w:rsidR="0035592E" w:rsidRPr="00590733">
        <w:rPr>
          <w:rFonts w:ascii="Arial" w:hAnsi="Arial" w:cs="Arial"/>
        </w:rPr>
        <w:t>penal logic</w:t>
      </w:r>
      <w:r w:rsidRPr="00590733">
        <w:rPr>
          <w:rFonts w:ascii="Arial" w:hAnsi="Arial" w:cs="Arial"/>
        </w:rPr>
        <w:t xml:space="preserve"> that already disproportionately harms marginalised groups of people (such as the incarceration of Black and Indigenous people, many of whom are also queer and trans). Ironically, hate crime provisions provide an instrument to channel our collective hostilities towards spectacular forms of homo/transphobic violence and inequality but, in redirecting our hate towards incarcerating those we might describe as </w:t>
      </w:r>
      <w:r w:rsidR="00054E05">
        <w:rPr>
          <w:rFonts w:ascii="Arial" w:hAnsi="Arial" w:cs="Arial"/>
        </w:rPr>
        <w:t>‘</w:t>
      </w:r>
      <w:r w:rsidRPr="00590733">
        <w:rPr>
          <w:rFonts w:ascii="Arial" w:hAnsi="Arial" w:cs="Arial"/>
        </w:rPr>
        <w:t xml:space="preserve">heinous </w:t>
      </w:r>
      <w:r w:rsidR="00C94DD2" w:rsidRPr="00590733">
        <w:rPr>
          <w:rFonts w:ascii="Arial" w:hAnsi="Arial" w:cs="Arial"/>
        </w:rPr>
        <w:t>humans</w:t>
      </w:r>
      <w:r w:rsidR="00054E05">
        <w:rPr>
          <w:rFonts w:ascii="Arial" w:hAnsi="Arial" w:cs="Arial"/>
        </w:rPr>
        <w:t>’</w:t>
      </w:r>
      <w:r w:rsidR="0031395E">
        <w:rPr>
          <w:rFonts w:ascii="Arial" w:hAnsi="Arial" w:cs="Arial"/>
        </w:rPr>
        <w:t>,</w:t>
      </w:r>
      <w:r w:rsidRPr="00590733">
        <w:rPr>
          <w:rFonts w:ascii="Arial" w:hAnsi="Arial" w:cs="Arial"/>
        </w:rPr>
        <w:t xml:space="preserve"> we reproduce other forms of violence and </w:t>
      </w:r>
      <w:r w:rsidRPr="00590733">
        <w:rPr>
          <w:rFonts w:ascii="Arial" w:hAnsi="Arial" w:cs="Arial"/>
        </w:rPr>
        <w:lastRenderedPageBreak/>
        <w:t>inequality made possible by the carceral system.</w:t>
      </w:r>
      <w:r w:rsidRPr="00590733">
        <w:rPr>
          <w:rStyle w:val="FootnoteReference"/>
          <w:rFonts w:ascii="Arial" w:hAnsi="Arial" w:cs="Arial"/>
        </w:rPr>
        <w:footnoteReference w:id="11"/>
      </w:r>
      <w:r w:rsidRPr="00590733">
        <w:rPr>
          <w:rFonts w:ascii="Arial" w:hAnsi="Arial" w:cs="Arial"/>
        </w:rPr>
        <w:t xml:space="preserve"> </w:t>
      </w:r>
      <w:r w:rsidR="0035592E" w:rsidRPr="00590733">
        <w:rPr>
          <w:rFonts w:ascii="Arial" w:hAnsi="Arial" w:cs="Arial"/>
        </w:rPr>
        <w:t>This cautions us to</w:t>
      </w:r>
      <w:r w:rsidRPr="00590733">
        <w:rPr>
          <w:rFonts w:ascii="Arial" w:hAnsi="Arial" w:cs="Arial"/>
        </w:rPr>
        <w:t xml:space="preserve"> resist the (understandable) public appeals to hate through law if we are to address the structural causes of homo/transphobic violence and </w:t>
      </w:r>
      <w:r w:rsidR="0035592E" w:rsidRPr="00590733">
        <w:rPr>
          <w:rFonts w:ascii="Arial" w:hAnsi="Arial" w:cs="Arial"/>
        </w:rPr>
        <w:t>secure</w:t>
      </w:r>
      <w:r w:rsidRPr="00590733">
        <w:rPr>
          <w:rFonts w:ascii="Arial" w:hAnsi="Arial" w:cs="Arial"/>
        </w:rPr>
        <w:t xml:space="preserve"> accountability that addresses, not entrenches, inequality. </w:t>
      </w:r>
    </w:p>
    <w:p w14:paraId="43EE2E63" w14:textId="77777777" w:rsidR="00A86E9F" w:rsidRPr="00054E05" w:rsidRDefault="00A86E9F" w:rsidP="00590733">
      <w:pPr>
        <w:spacing w:line="276" w:lineRule="auto"/>
        <w:ind w:firstLine="720"/>
        <w:rPr>
          <w:rFonts w:ascii="Arial" w:hAnsi="Arial" w:cs="Arial"/>
        </w:rPr>
      </w:pPr>
    </w:p>
    <w:p w14:paraId="237656F8" w14:textId="7BACE4B7" w:rsidR="00467B57" w:rsidRPr="00054E05" w:rsidRDefault="006E6E9A" w:rsidP="00590733">
      <w:pPr>
        <w:spacing w:line="276" w:lineRule="auto"/>
        <w:rPr>
          <w:rFonts w:ascii="Arial" w:hAnsi="Arial" w:cs="Arial"/>
          <w:b/>
          <w:bCs/>
          <w:lang w:val="en-AU"/>
        </w:rPr>
      </w:pPr>
      <w:r w:rsidRPr="00054E05">
        <w:rPr>
          <w:rFonts w:ascii="Arial" w:hAnsi="Arial" w:cs="Arial"/>
          <w:b/>
          <w:bCs/>
          <w:lang w:val="en-AU"/>
        </w:rPr>
        <w:t>You can get</w:t>
      </w:r>
      <w:r w:rsidR="00467B57" w:rsidRPr="00054E05">
        <w:rPr>
          <w:rFonts w:ascii="Arial" w:hAnsi="Arial" w:cs="Arial"/>
          <w:b/>
          <w:bCs/>
          <w:lang w:val="en-AU"/>
        </w:rPr>
        <w:t xml:space="preserve"> angry</w:t>
      </w:r>
    </w:p>
    <w:p w14:paraId="0DF33B1E" w14:textId="28BAA4C1" w:rsidR="00CE45F6" w:rsidRPr="00590733" w:rsidRDefault="0039235F" w:rsidP="00590733">
      <w:pPr>
        <w:spacing w:line="276" w:lineRule="auto"/>
        <w:rPr>
          <w:rFonts w:ascii="Arial" w:hAnsi="Arial" w:cs="Arial"/>
          <w:lang w:val="en-AU"/>
        </w:rPr>
      </w:pPr>
      <w:r w:rsidRPr="00590733">
        <w:rPr>
          <w:rFonts w:ascii="Arial" w:hAnsi="Arial" w:cs="Arial"/>
          <w:lang w:val="en-AU"/>
        </w:rPr>
        <w:t>Thinking about</w:t>
      </w:r>
      <w:r w:rsidR="009E0A4C" w:rsidRPr="00590733">
        <w:rPr>
          <w:rFonts w:ascii="Arial" w:hAnsi="Arial" w:cs="Arial"/>
          <w:lang w:val="en-AU"/>
        </w:rPr>
        <w:t xml:space="preserve"> broader forms of accountability </w:t>
      </w:r>
      <w:r w:rsidR="0035592E" w:rsidRPr="00590733">
        <w:rPr>
          <w:rFonts w:ascii="Arial" w:hAnsi="Arial" w:cs="Arial"/>
          <w:lang w:val="en-AU"/>
        </w:rPr>
        <w:t>lead</w:t>
      </w:r>
      <w:r w:rsidRPr="00590733">
        <w:rPr>
          <w:rFonts w:ascii="Arial" w:hAnsi="Arial" w:cs="Arial"/>
          <w:lang w:val="en-AU"/>
        </w:rPr>
        <w:t>s</w:t>
      </w:r>
      <w:r w:rsidR="009E0A4C" w:rsidRPr="00590733">
        <w:rPr>
          <w:rFonts w:ascii="Arial" w:hAnsi="Arial" w:cs="Arial"/>
          <w:lang w:val="en-AU"/>
        </w:rPr>
        <w:t xml:space="preserve"> </w:t>
      </w:r>
      <w:r w:rsidRPr="00590733">
        <w:rPr>
          <w:rFonts w:ascii="Arial" w:hAnsi="Arial" w:cs="Arial"/>
          <w:lang w:val="en-AU"/>
        </w:rPr>
        <w:t>me</w:t>
      </w:r>
      <w:r w:rsidR="009E0A4C" w:rsidRPr="00590733">
        <w:rPr>
          <w:rFonts w:ascii="Arial" w:hAnsi="Arial" w:cs="Arial"/>
          <w:lang w:val="en-AU"/>
        </w:rPr>
        <w:t xml:space="preserve"> to </w:t>
      </w:r>
      <w:r w:rsidRPr="00590733">
        <w:rPr>
          <w:rFonts w:ascii="Arial" w:hAnsi="Arial" w:cs="Arial"/>
          <w:lang w:val="en-AU"/>
        </w:rPr>
        <w:t>reflect on</w:t>
      </w:r>
      <w:r w:rsidR="009E0A4C" w:rsidRPr="00590733">
        <w:rPr>
          <w:rFonts w:ascii="Arial" w:hAnsi="Arial" w:cs="Arial"/>
          <w:lang w:val="en-AU"/>
        </w:rPr>
        <w:t xml:space="preserve"> anti-discrimination law. Unlike criminal law that punishes individuals, anti-discrimination law reaches more broadly into institutions to ensure policies, processes and procedures are conducive to promoting inclusion.</w:t>
      </w:r>
      <w:r w:rsidR="0035592E" w:rsidRPr="00590733">
        <w:rPr>
          <w:rFonts w:ascii="Arial" w:hAnsi="Arial" w:cs="Arial"/>
          <w:lang w:val="en-AU"/>
        </w:rPr>
        <w:t xml:space="preserve"> </w:t>
      </w:r>
      <w:r w:rsidR="009E0A4C" w:rsidRPr="00590733">
        <w:rPr>
          <w:rFonts w:ascii="Arial" w:hAnsi="Arial" w:cs="Arial"/>
          <w:lang w:val="en-AU"/>
        </w:rPr>
        <w:t>Anger</w:t>
      </w:r>
      <w:r w:rsidR="0035592E" w:rsidRPr="00590733">
        <w:rPr>
          <w:rFonts w:ascii="Arial" w:hAnsi="Arial" w:cs="Arial"/>
          <w:lang w:val="en-AU"/>
        </w:rPr>
        <w:t xml:space="preserve"> </w:t>
      </w:r>
      <w:r w:rsidR="009E0A4C" w:rsidRPr="00590733">
        <w:rPr>
          <w:rFonts w:ascii="Arial" w:hAnsi="Arial" w:cs="Arial"/>
          <w:lang w:val="en-AU"/>
        </w:rPr>
        <w:t xml:space="preserve">has been important to make visible the everyday experiences of discrimination </w:t>
      </w:r>
      <w:r w:rsidR="0031395E">
        <w:rPr>
          <w:rFonts w:ascii="Arial" w:hAnsi="Arial" w:cs="Arial"/>
          <w:lang w:val="en-AU"/>
        </w:rPr>
        <w:t xml:space="preserve">faced by </w:t>
      </w:r>
      <w:r w:rsidR="009E0A4C" w:rsidRPr="00590733">
        <w:rPr>
          <w:rFonts w:ascii="Arial" w:hAnsi="Arial" w:cs="Arial"/>
          <w:lang w:val="en-AU"/>
        </w:rPr>
        <w:t>LGBTI people</w:t>
      </w:r>
      <w:r w:rsidR="0031395E">
        <w:rPr>
          <w:rFonts w:ascii="Arial" w:hAnsi="Arial" w:cs="Arial"/>
          <w:lang w:val="en-AU"/>
        </w:rPr>
        <w:t>.</w:t>
      </w:r>
      <w:r w:rsidR="009E0A4C" w:rsidRPr="00590733">
        <w:rPr>
          <w:rFonts w:ascii="Arial" w:hAnsi="Arial" w:cs="Arial"/>
          <w:lang w:val="en-AU"/>
        </w:rPr>
        <w:t xml:space="preserve"> </w:t>
      </w:r>
      <w:r w:rsidR="00CE45F6" w:rsidRPr="00590733">
        <w:rPr>
          <w:rFonts w:ascii="Arial" w:hAnsi="Arial" w:cs="Arial"/>
          <w:lang w:val="en-AU"/>
        </w:rPr>
        <w:t xml:space="preserve">It is an energising emotion that pushes us beyond the injury we’ve faced and </w:t>
      </w:r>
      <w:r w:rsidR="0035592E" w:rsidRPr="00590733">
        <w:rPr>
          <w:rFonts w:ascii="Arial" w:hAnsi="Arial" w:cs="Arial"/>
          <w:lang w:val="en-AU"/>
        </w:rPr>
        <w:t xml:space="preserve">to </w:t>
      </w:r>
      <w:r w:rsidR="00CE45F6" w:rsidRPr="00590733">
        <w:rPr>
          <w:rFonts w:ascii="Arial" w:hAnsi="Arial" w:cs="Arial"/>
          <w:lang w:val="en-AU"/>
        </w:rPr>
        <w:t xml:space="preserve">strike back against what we perceived was the cause of it. Think about the indignation we feel at hearing that a young </w:t>
      </w:r>
      <w:r w:rsidR="00BB475D">
        <w:rPr>
          <w:rFonts w:ascii="Arial" w:hAnsi="Arial" w:cs="Arial"/>
          <w:lang w:val="en-AU"/>
        </w:rPr>
        <w:t xml:space="preserve">trans </w:t>
      </w:r>
      <w:r w:rsidR="00CE45F6" w:rsidRPr="00590733">
        <w:rPr>
          <w:rFonts w:ascii="Arial" w:hAnsi="Arial" w:cs="Arial"/>
          <w:lang w:val="en-AU"/>
        </w:rPr>
        <w:t xml:space="preserve">person has been expelled from a religious school for seeking </w:t>
      </w:r>
      <w:r w:rsidR="004E4BFE" w:rsidRPr="00590733">
        <w:rPr>
          <w:rFonts w:ascii="Arial" w:hAnsi="Arial" w:cs="Arial"/>
          <w:lang w:val="en-AU"/>
        </w:rPr>
        <w:t>medical</w:t>
      </w:r>
      <w:r w:rsidR="00CE45F6" w:rsidRPr="00590733">
        <w:rPr>
          <w:rFonts w:ascii="Arial" w:hAnsi="Arial" w:cs="Arial"/>
          <w:lang w:val="en-AU"/>
        </w:rPr>
        <w:t xml:space="preserve"> transition or the outrage we would experience if we were unable to live with our partner in an aged care facility. In law, this anger has facilitated the creation of equality law to deal with </w:t>
      </w:r>
      <w:r w:rsidR="004E4BFE" w:rsidRPr="00590733">
        <w:rPr>
          <w:rFonts w:ascii="Arial" w:hAnsi="Arial" w:cs="Arial"/>
          <w:lang w:val="en-AU"/>
        </w:rPr>
        <w:t xml:space="preserve">public and commercial </w:t>
      </w:r>
      <w:r w:rsidR="00CE45F6" w:rsidRPr="00590733">
        <w:rPr>
          <w:rFonts w:ascii="Arial" w:hAnsi="Arial" w:cs="Arial"/>
          <w:lang w:val="en-AU"/>
        </w:rPr>
        <w:t xml:space="preserve">exclusions. </w:t>
      </w:r>
    </w:p>
    <w:p w14:paraId="472FAB44" w14:textId="1605EE50" w:rsidR="0035592E" w:rsidRPr="00590733" w:rsidRDefault="00CE45F6" w:rsidP="00590733">
      <w:pPr>
        <w:spacing w:line="276" w:lineRule="auto"/>
        <w:ind w:firstLine="720"/>
        <w:rPr>
          <w:rFonts w:ascii="Arial" w:hAnsi="Arial" w:cs="Arial"/>
          <w:lang w:val="en-AU"/>
        </w:rPr>
      </w:pPr>
      <w:r w:rsidRPr="00590733">
        <w:rPr>
          <w:rFonts w:ascii="Arial" w:hAnsi="Arial" w:cs="Arial"/>
          <w:lang w:val="en-AU"/>
        </w:rPr>
        <w:t xml:space="preserve">Yet, the reach of </w:t>
      </w:r>
      <w:r w:rsidR="0035592E" w:rsidRPr="00590733">
        <w:rPr>
          <w:rFonts w:ascii="Arial" w:hAnsi="Arial" w:cs="Arial"/>
          <w:lang w:val="en-AU"/>
        </w:rPr>
        <w:t xml:space="preserve">LGBTI people’s </w:t>
      </w:r>
      <w:r w:rsidRPr="00590733">
        <w:rPr>
          <w:rFonts w:ascii="Arial" w:hAnsi="Arial" w:cs="Arial"/>
          <w:lang w:val="en-AU"/>
        </w:rPr>
        <w:t xml:space="preserve">anger is circumscribed by a competing set of indignant claims. Some religious groups argue that their </w:t>
      </w:r>
      <w:r w:rsidR="00022D0A">
        <w:rPr>
          <w:rFonts w:ascii="Arial" w:hAnsi="Arial" w:cs="Arial"/>
          <w:lang w:val="en-AU"/>
        </w:rPr>
        <w:t>‘</w:t>
      </w:r>
      <w:r w:rsidRPr="00590733">
        <w:rPr>
          <w:rFonts w:ascii="Arial" w:hAnsi="Arial" w:cs="Arial"/>
          <w:lang w:val="en-AU"/>
        </w:rPr>
        <w:t>religious freedom</w:t>
      </w:r>
      <w:r w:rsidR="00022D0A">
        <w:rPr>
          <w:rFonts w:ascii="Arial" w:hAnsi="Arial" w:cs="Arial"/>
          <w:lang w:val="en-AU"/>
        </w:rPr>
        <w:t>’</w:t>
      </w:r>
      <w:r w:rsidRPr="00590733">
        <w:rPr>
          <w:rFonts w:ascii="Arial" w:hAnsi="Arial" w:cs="Arial"/>
          <w:lang w:val="en-AU"/>
        </w:rPr>
        <w:t xml:space="preserve"> is threatened by equality laws that force them to compromise their beliefs. This is acutely apparent in the vociferous debates around the </w:t>
      </w:r>
      <w:r w:rsidR="00EB56FD">
        <w:rPr>
          <w:rFonts w:ascii="Arial" w:hAnsi="Arial" w:cs="Arial"/>
          <w:lang w:val="en-AU"/>
        </w:rPr>
        <w:t>R</w:t>
      </w:r>
      <w:r w:rsidR="00E57686" w:rsidRPr="00590733">
        <w:rPr>
          <w:rFonts w:ascii="Arial" w:hAnsi="Arial" w:cs="Arial"/>
          <w:lang w:val="en-AU"/>
        </w:rPr>
        <w:t xml:space="preserve">eligious </w:t>
      </w:r>
      <w:r w:rsidR="00EB56FD">
        <w:rPr>
          <w:rFonts w:ascii="Arial" w:hAnsi="Arial" w:cs="Arial"/>
          <w:lang w:val="en-AU"/>
        </w:rPr>
        <w:t>D</w:t>
      </w:r>
      <w:r w:rsidR="00E57686" w:rsidRPr="00590733">
        <w:rPr>
          <w:rFonts w:ascii="Arial" w:hAnsi="Arial" w:cs="Arial"/>
          <w:lang w:val="en-AU"/>
        </w:rPr>
        <w:t xml:space="preserve">iscrimination </w:t>
      </w:r>
      <w:r w:rsidRPr="00590733">
        <w:rPr>
          <w:rFonts w:ascii="Arial" w:hAnsi="Arial" w:cs="Arial"/>
          <w:lang w:val="en-AU"/>
        </w:rPr>
        <w:t>Bill in Australia. Broadly drafted,</w:t>
      </w:r>
      <w:r w:rsidR="004E4BFE" w:rsidRPr="00590733">
        <w:rPr>
          <w:rFonts w:ascii="Arial" w:hAnsi="Arial" w:cs="Arial"/>
          <w:lang w:val="en-AU"/>
        </w:rPr>
        <w:t xml:space="preserve"> as a concession to some conservative religious groups angered by the passage of marriage equality legislation,</w:t>
      </w:r>
      <w:r w:rsidRPr="00590733">
        <w:rPr>
          <w:rFonts w:ascii="Arial" w:hAnsi="Arial" w:cs="Arial"/>
          <w:lang w:val="en-AU"/>
        </w:rPr>
        <w:t xml:space="preserve"> this Bill would allow for the exclusion of LGBT people (among other groups) in various areas of public life.</w:t>
      </w:r>
      <w:r w:rsidRPr="00590733">
        <w:rPr>
          <w:rStyle w:val="FootnoteReference"/>
          <w:rFonts w:ascii="Arial" w:hAnsi="Arial" w:cs="Arial"/>
          <w:lang w:val="en-AU"/>
        </w:rPr>
        <w:footnoteReference w:id="12"/>
      </w:r>
      <w:r w:rsidR="004E4BFE" w:rsidRPr="00590733">
        <w:rPr>
          <w:rFonts w:ascii="Arial" w:hAnsi="Arial" w:cs="Arial"/>
          <w:lang w:val="en-AU"/>
        </w:rPr>
        <w:t xml:space="preserve"> </w:t>
      </w:r>
    </w:p>
    <w:p w14:paraId="0ACA207B" w14:textId="46C2581D" w:rsidR="00CE45F6" w:rsidRPr="00590733" w:rsidRDefault="004E4BFE" w:rsidP="00590733">
      <w:pPr>
        <w:spacing w:line="276" w:lineRule="auto"/>
        <w:ind w:firstLine="720"/>
        <w:rPr>
          <w:rFonts w:ascii="Arial" w:hAnsi="Arial" w:cs="Arial"/>
          <w:lang w:val="en-AU"/>
        </w:rPr>
      </w:pPr>
      <w:r w:rsidRPr="00590733">
        <w:rPr>
          <w:rFonts w:ascii="Arial" w:hAnsi="Arial" w:cs="Arial"/>
          <w:lang w:val="en-AU"/>
        </w:rPr>
        <w:t xml:space="preserve">What strikes me </w:t>
      </w:r>
      <w:r w:rsidR="0035592E" w:rsidRPr="00590733">
        <w:rPr>
          <w:rFonts w:ascii="Arial" w:hAnsi="Arial" w:cs="Arial"/>
          <w:lang w:val="en-AU"/>
        </w:rPr>
        <w:t>emotionally a</w:t>
      </w:r>
      <w:r w:rsidRPr="00590733">
        <w:rPr>
          <w:rFonts w:ascii="Arial" w:hAnsi="Arial" w:cs="Arial"/>
          <w:lang w:val="en-AU"/>
        </w:rPr>
        <w:t xml:space="preserve">bout this debate is how anger circulates between groups: from LGBT people enraged by a law </w:t>
      </w:r>
      <w:r w:rsidR="00022D0A">
        <w:rPr>
          <w:rFonts w:ascii="Arial" w:hAnsi="Arial" w:cs="Arial"/>
          <w:lang w:val="en-AU"/>
        </w:rPr>
        <w:t xml:space="preserve">that </w:t>
      </w:r>
      <w:r w:rsidRPr="00590733">
        <w:rPr>
          <w:rFonts w:ascii="Arial" w:hAnsi="Arial" w:cs="Arial"/>
          <w:lang w:val="en-AU"/>
        </w:rPr>
        <w:t xml:space="preserve">will further intimidate them (at work or in hospital) to religious groups that are indignant about having to conform to a </w:t>
      </w:r>
      <w:r w:rsidR="00022D0A">
        <w:rPr>
          <w:rFonts w:ascii="Arial" w:hAnsi="Arial" w:cs="Arial"/>
          <w:lang w:val="en-AU"/>
        </w:rPr>
        <w:t>‘</w:t>
      </w:r>
      <w:r w:rsidRPr="00590733">
        <w:rPr>
          <w:rFonts w:ascii="Arial" w:hAnsi="Arial" w:cs="Arial"/>
          <w:lang w:val="en-AU"/>
        </w:rPr>
        <w:t>pro-gay agenda</w:t>
      </w:r>
      <w:r w:rsidR="00022D0A">
        <w:rPr>
          <w:rFonts w:ascii="Arial" w:hAnsi="Arial" w:cs="Arial"/>
          <w:lang w:val="en-AU"/>
        </w:rPr>
        <w:t>’</w:t>
      </w:r>
      <w:r w:rsidRPr="00590733">
        <w:rPr>
          <w:rFonts w:ascii="Arial" w:hAnsi="Arial" w:cs="Arial"/>
          <w:lang w:val="en-AU"/>
        </w:rPr>
        <w:t xml:space="preserve"> (in their schools).</w:t>
      </w:r>
      <w:r w:rsidRPr="00590733">
        <w:rPr>
          <w:rStyle w:val="FootnoteReference"/>
          <w:rFonts w:ascii="Arial" w:hAnsi="Arial" w:cs="Arial"/>
          <w:lang w:val="en-AU"/>
        </w:rPr>
        <w:footnoteReference w:id="13"/>
      </w:r>
      <w:r w:rsidRPr="00590733">
        <w:rPr>
          <w:rFonts w:ascii="Arial" w:hAnsi="Arial" w:cs="Arial"/>
          <w:lang w:val="en-AU"/>
        </w:rPr>
        <w:t xml:space="preserve"> </w:t>
      </w:r>
      <w:r w:rsidR="00022D0A">
        <w:rPr>
          <w:rFonts w:ascii="Arial" w:hAnsi="Arial" w:cs="Arial"/>
          <w:lang w:val="en-AU"/>
        </w:rPr>
        <w:t>And y</w:t>
      </w:r>
      <w:r w:rsidRPr="00590733">
        <w:rPr>
          <w:rFonts w:ascii="Arial" w:hAnsi="Arial" w:cs="Arial"/>
          <w:lang w:val="en-AU"/>
        </w:rPr>
        <w:t xml:space="preserve">et, while it is important to make room to reckon with anger, we have to be mindful of how it presents conflicts in binary terms. The </w:t>
      </w:r>
      <w:r w:rsidR="00022D0A">
        <w:rPr>
          <w:rFonts w:ascii="Arial" w:hAnsi="Arial" w:cs="Arial"/>
          <w:lang w:val="en-AU"/>
        </w:rPr>
        <w:t>‘</w:t>
      </w:r>
      <w:r w:rsidRPr="00590733">
        <w:rPr>
          <w:rFonts w:ascii="Arial" w:hAnsi="Arial" w:cs="Arial"/>
          <w:lang w:val="en-AU"/>
        </w:rPr>
        <w:t>sexuality vs religion</w:t>
      </w:r>
      <w:r w:rsidR="00022D0A">
        <w:rPr>
          <w:rFonts w:ascii="Arial" w:hAnsi="Arial" w:cs="Arial"/>
          <w:lang w:val="en-AU"/>
        </w:rPr>
        <w:t>’</w:t>
      </w:r>
      <w:r w:rsidRPr="00590733">
        <w:rPr>
          <w:rFonts w:ascii="Arial" w:hAnsi="Arial" w:cs="Arial"/>
          <w:lang w:val="en-AU"/>
        </w:rPr>
        <w:t xml:space="preserve"> debate, as it is so often caricatured, ignores how many queer people are also religious. Accommodating them requires law to move past a reliance on </w:t>
      </w:r>
      <w:r w:rsidR="0035592E" w:rsidRPr="00590733">
        <w:rPr>
          <w:rFonts w:ascii="Arial" w:hAnsi="Arial" w:cs="Arial"/>
          <w:lang w:val="en-AU"/>
        </w:rPr>
        <w:t>only privileged forms of</w:t>
      </w:r>
      <w:r w:rsidRPr="00590733">
        <w:rPr>
          <w:rFonts w:ascii="Arial" w:hAnsi="Arial" w:cs="Arial"/>
          <w:lang w:val="en-AU"/>
        </w:rPr>
        <w:t xml:space="preserve"> anger to either include groups or carve out exceptions. Instead, law needs to make room</w:t>
      </w:r>
      <w:r w:rsidR="0035592E" w:rsidRPr="00590733">
        <w:rPr>
          <w:rFonts w:ascii="Arial" w:hAnsi="Arial" w:cs="Arial"/>
          <w:lang w:val="en-AU"/>
        </w:rPr>
        <w:t xml:space="preserve"> for</w:t>
      </w:r>
      <w:r w:rsidRPr="00590733">
        <w:rPr>
          <w:rFonts w:ascii="Arial" w:hAnsi="Arial" w:cs="Arial"/>
          <w:lang w:val="en-AU"/>
        </w:rPr>
        <w:t xml:space="preserve"> the anger of </w:t>
      </w:r>
      <w:r w:rsidR="0035592E" w:rsidRPr="00590733">
        <w:rPr>
          <w:rFonts w:ascii="Arial" w:hAnsi="Arial" w:cs="Arial"/>
          <w:lang w:val="en-AU"/>
        </w:rPr>
        <w:t>marginalised groups</w:t>
      </w:r>
      <w:r w:rsidRPr="00590733">
        <w:rPr>
          <w:rFonts w:ascii="Arial" w:hAnsi="Arial" w:cs="Arial"/>
          <w:lang w:val="en-AU"/>
        </w:rPr>
        <w:t xml:space="preserve"> (queers of faith) who challenge conditional forms of public accommodation and social inclusion. </w:t>
      </w:r>
    </w:p>
    <w:p w14:paraId="074CBAD2" w14:textId="77777777" w:rsidR="00467B57" w:rsidRPr="00590733" w:rsidRDefault="009E0A4C" w:rsidP="00590733">
      <w:pPr>
        <w:spacing w:line="276" w:lineRule="auto"/>
        <w:rPr>
          <w:rFonts w:ascii="Arial" w:hAnsi="Arial" w:cs="Arial"/>
          <w:lang w:val="en-AU"/>
        </w:rPr>
      </w:pPr>
      <w:r w:rsidRPr="00590733">
        <w:rPr>
          <w:rFonts w:ascii="Arial" w:hAnsi="Arial" w:cs="Arial"/>
          <w:lang w:val="en-AU"/>
        </w:rPr>
        <w:tab/>
        <w:t xml:space="preserve"> </w:t>
      </w:r>
    </w:p>
    <w:p w14:paraId="25A7BD3E" w14:textId="77777777" w:rsidR="001F2B3D" w:rsidRPr="00054E05" w:rsidRDefault="001F2B3D" w:rsidP="00590733">
      <w:pPr>
        <w:spacing w:line="276" w:lineRule="auto"/>
        <w:rPr>
          <w:rFonts w:ascii="Arial" w:hAnsi="Arial" w:cs="Arial"/>
          <w:b/>
          <w:bCs/>
          <w:lang w:val="en-AU"/>
        </w:rPr>
      </w:pPr>
      <w:r w:rsidRPr="00054E05">
        <w:rPr>
          <w:rFonts w:ascii="Arial" w:hAnsi="Arial" w:cs="Arial"/>
          <w:b/>
          <w:bCs/>
          <w:lang w:val="en-AU"/>
        </w:rPr>
        <w:t>Wh</w:t>
      </w:r>
      <w:r w:rsidR="00A86E9F" w:rsidRPr="00054E05">
        <w:rPr>
          <w:rFonts w:ascii="Arial" w:hAnsi="Arial" w:cs="Arial"/>
          <w:b/>
          <w:bCs/>
          <w:lang w:val="en-AU"/>
        </w:rPr>
        <w:t>at</w:t>
      </w:r>
      <w:r w:rsidRPr="00054E05">
        <w:rPr>
          <w:rFonts w:ascii="Arial" w:hAnsi="Arial" w:cs="Arial"/>
          <w:b/>
          <w:bCs/>
          <w:lang w:val="en-AU"/>
        </w:rPr>
        <w:t xml:space="preserve"> are you afraid of</w:t>
      </w:r>
      <w:r w:rsidR="00467B57" w:rsidRPr="00054E05">
        <w:rPr>
          <w:rFonts w:ascii="Arial" w:hAnsi="Arial" w:cs="Arial"/>
          <w:b/>
          <w:bCs/>
          <w:lang w:val="en-AU"/>
        </w:rPr>
        <w:t xml:space="preserve">? </w:t>
      </w:r>
    </w:p>
    <w:p w14:paraId="2F13BAC8" w14:textId="6B0425A1" w:rsidR="007D5439" w:rsidRPr="00590733" w:rsidRDefault="007D5439" w:rsidP="00590733">
      <w:pPr>
        <w:autoSpaceDE w:val="0"/>
        <w:autoSpaceDN w:val="0"/>
        <w:adjustRightInd w:val="0"/>
        <w:spacing w:line="276" w:lineRule="auto"/>
        <w:rPr>
          <w:rFonts w:ascii="Arial" w:hAnsi="Arial" w:cs="Arial"/>
        </w:rPr>
      </w:pPr>
      <w:r w:rsidRPr="00590733">
        <w:rPr>
          <w:rFonts w:ascii="Arial" w:hAnsi="Arial" w:cs="Arial"/>
        </w:rPr>
        <w:lastRenderedPageBreak/>
        <w:t xml:space="preserve">Exclusion and discrimination can be violent, </w:t>
      </w:r>
      <w:r w:rsidR="0035592E" w:rsidRPr="00590733">
        <w:rPr>
          <w:rFonts w:ascii="Arial" w:hAnsi="Arial" w:cs="Arial"/>
        </w:rPr>
        <w:t>too,</w:t>
      </w:r>
      <w:r w:rsidRPr="00590733">
        <w:rPr>
          <w:rFonts w:ascii="Arial" w:hAnsi="Arial" w:cs="Arial"/>
        </w:rPr>
        <w:t xml:space="preserve"> when </w:t>
      </w:r>
      <w:r w:rsidR="0035592E" w:rsidRPr="00590733">
        <w:rPr>
          <w:rFonts w:ascii="Arial" w:hAnsi="Arial" w:cs="Arial"/>
        </w:rPr>
        <w:t>they</w:t>
      </w:r>
      <w:r w:rsidRPr="00590733">
        <w:rPr>
          <w:rFonts w:ascii="Arial" w:hAnsi="Arial" w:cs="Arial"/>
        </w:rPr>
        <w:t xml:space="preserve"> happen as a result of state (in)action. </w:t>
      </w:r>
      <w:r w:rsidR="00F80C3A" w:rsidRPr="00590733">
        <w:rPr>
          <w:rFonts w:ascii="Arial" w:hAnsi="Arial" w:cs="Arial"/>
        </w:rPr>
        <w:t>Fear</w:t>
      </w:r>
      <w:r w:rsidRPr="00590733">
        <w:rPr>
          <w:rFonts w:ascii="Arial" w:hAnsi="Arial" w:cs="Arial"/>
        </w:rPr>
        <w:t xml:space="preserve"> materialises here </w:t>
      </w:r>
      <w:r w:rsidR="001F2B3D" w:rsidRPr="00590733">
        <w:rPr>
          <w:rFonts w:ascii="Arial" w:hAnsi="Arial" w:cs="Arial"/>
        </w:rPr>
        <w:t xml:space="preserve">for </w:t>
      </w:r>
      <w:r w:rsidR="00CB4A71" w:rsidRPr="00590733">
        <w:rPr>
          <w:rFonts w:ascii="Arial" w:hAnsi="Arial" w:cs="Arial"/>
        </w:rPr>
        <w:t>p</w:t>
      </w:r>
      <w:r w:rsidR="001F2B3D" w:rsidRPr="00590733">
        <w:rPr>
          <w:rFonts w:ascii="Arial" w:hAnsi="Arial" w:cs="Arial"/>
        </w:rPr>
        <w:t xml:space="preserve">eople who </w:t>
      </w:r>
      <w:r w:rsidRPr="00590733">
        <w:rPr>
          <w:rFonts w:ascii="Arial" w:hAnsi="Arial" w:cs="Arial"/>
        </w:rPr>
        <w:t xml:space="preserve">experience homo/transphobic </w:t>
      </w:r>
      <w:r w:rsidR="00CB4A71" w:rsidRPr="00590733">
        <w:rPr>
          <w:rFonts w:ascii="Arial" w:hAnsi="Arial" w:cs="Arial"/>
        </w:rPr>
        <w:t xml:space="preserve">persecution and </w:t>
      </w:r>
      <w:r w:rsidR="001F2B3D" w:rsidRPr="00590733">
        <w:rPr>
          <w:rFonts w:ascii="Arial" w:hAnsi="Arial" w:cs="Arial"/>
        </w:rPr>
        <w:t xml:space="preserve">seek </w:t>
      </w:r>
      <w:r w:rsidRPr="00590733">
        <w:rPr>
          <w:rFonts w:ascii="Arial" w:hAnsi="Arial" w:cs="Arial"/>
        </w:rPr>
        <w:t>to leave it behind</w:t>
      </w:r>
      <w:r w:rsidR="00F80C3A" w:rsidRPr="00590733">
        <w:rPr>
          <w:rFonts w:ascii="Arial" w:hAnsi="Arial" w:cs="Arial"/>
        </w:rPr>
        <w:t xml:space="preserve">. </w:t>
      </w:r>
      <w:r w:rsidR="00CB4A71" w:rsidRPr="00590733">
        <w:rPr>
          <w:rFonts w:ascii="Arial" w:hAnsi="Arial" w:cs="Arial"/>
        </w:rPr>
        <w:t>It may seem obvious</w:t>
      </w:r>
      <w:r w:rsidR="00E57686">
        <w:rPr>
          <w:rFonts w:ascii="Arial" w:hAnsi="Arial" w:cs="Arial"/>
        </w:rPr>
        <w:t>,</w:t>
      </w:r>
      <w:r w:rsidR="00CB4A71" w:rsidRPr="00590733">
        <w:rPr>
          <w:rFonts w:ascii="Arial" w:hAnsi="Arial" w:cs="Arial"/>
        </w:rPr>
        <w:t xml:space="preserve"> but fear is how we anticipate and recognise things (</w:t>
      </w:r>
      <w:r w:rsidR="00022D0A">
        <w:rPr>
          <w:rFonts w:ascii="Arial" w:hAnsi="Arial" w:cs="Arial"/>
        </w:rPr>
        <w:t xml:space="preserve">for example, </w:t>
      </w:r>
      <w:r w:rsidR="00CB4A71" w:rsidRPr="00590733">
        <w:rPr>
          <w:rFonts w:ascii="Arial" w:hAnsi="Arial" w:cs="Arial"/>
        </w:rPr>
        <w:t>people, objects, situations) that threaten us. For LGBT</w:t>
      </w:r>
      <w:r w:rsidRPr="00590733">
        <w:rPr>
          <w:rFonts w:ascii="Arial" w:hAnsi="Arial" w:cs="Arial"/>
        </w:rPr>
        <w:t>I</w:t>
      </w:r>
      <w:r w:rsidR="00CB4A71" w:rsidRPr="00590733">
        <w:rPr>
          <w:rFonts w:ascii="Arial" w:hAnsi="Arial" w:cs="Arial"/>
        </w:rPr>
        <w:t xml:space="preserve"> people </w:t>
      </w:r>
      <w:r w:rsidRPr="00590733">
        <w:rPr>
          <w:rFonts w:ascii="Arial" w:hAnsi="Arial" w:cs="Arial"/>
        </w:rPr>
        <w:t>seeking asylum</w:t>
      </w:r>
      <w:r w:rsidR="00CB4A71" w:rsidRPr="00590733">
        <w:rPr>
          <w:rFonts w:ascii="Arial" w:hAnsi="Arial" w:cs="Arial"/>
        </w:rPr>
        <w:t>, fear matters legally because a grant of asylum is only possible where someone</w:t>
      </w:r>
      <w:r w:rsidR="001F2B3D" w:rsidRPr="00590733">
        <w:rPr>
          <w:rFonts w:ascii="Arial" w:hAnsi="Arial" w:cs="Arial"/>
        </w:rPr>
        <w:t xml:space="preserve"> demonstrat</w:t>
      </w:r>
      <w:r w:rsidR="00CB4A71" w:rsidRPr="00590733">
        <w:rPr>
          <w:rFonts w:ascii="Arial" w:hAnsi="Arial" w:cs="Arial"/>
        </w:rPr>
        <w:t>es a</w:t>
      </w:r>
      <w:r w:rsidR="001F2B3D" w:rsidRPr="00590733">
        <w:rPr>
          <w:rFonts w:ascii="Arial" w:hAnsi="Arial" w:cs="Arial"/>
        </w:rPr>
        <w:t xml:space="preserve"> </w:t>
      </w:r>
      <w:r w:rsidR="00022D0A">
        <w:rPr>
          <w:rFonts w:ascii="Arial" w:hAnsi="Arial" w:cs="Arial"/>
        </w:rPr>
        <w:t>‘</w:t>
      </w:r>
      <w:r w:rsidR="001F2B3D" w:rsidRPr="00590733">
        <w:rPr>
          <w:rFonts w:ascii="Arial" w:hAnsi="Arial" w:cs="Arial"/>
        </w:rPr>
        <w:t>well-founded fear</w:t>
      </w:r>
      <w:r w:rsidR="00E2591E">
        <w:rPr>
          <w:rFonts w:ascii="Arial" w:hAnsi="Arial" w:cs="Arial"/>
        </w:rPr>
        <w:t>’</w:t>
      </w:r>
      <w:r w:rsidR="001F2B3D" w:rsidRPr="00590733">
        <w:rPr>
          <w:rFonts w:ascii="Arial" w:hAnsi="Arial" w:cs="Arial"/>
        </w:rPr>
        <w:t xml:space="preserve"> of persecutio</w:t>
      </w:r>
      <w:r w:rsidR="00E2591E">
        <w:rPr>
          <w:rFonts w:ascii="Arial" w:hAnsi="Arial" w:cs="Arial"/>
        </w:rPr>
        <w:t>n</w:t>
      </w:r>
      <w:r w:rsidR="001F2B3D" w:rsidRPr="00590733">
        <w:rPr>
          <w:rFonts w:ascii="Arial" w:hAnsi="Arial" w:cs="Arial"/>
        </w:rPr>
        <w:t xml:space="preserve"> because they belong to a particular social group.</w:t>
      </w:r>
      <w:r w:rsidR="001F2B3D" w:rsidRPr="00590733">
        <w:rPr>
          <w:rStyle w:val="FootnoteReference"/>
          <w:rFonts w:ascii="Arial" w:hAnsi="Arial" w:cs="Arial"/>
        </w:rPr>
        <w:footnoteReference w:id="14"/>
      </w:r>
      <w:r w:rsidR="001F2B3D" w:rsidRPr="00590733">
        <w:rPr>
          <w:rFonts w:ascii="Arial" w:hAnsi="Arial" w:cs="Arial"/>
        </w:rPr>
        <w:t xml:space="preserve"> </w:t>
      </w:r>
    </w:p>
    <w:p w14:paraId="22F15A88" w14:textId="51349604" w:rsidR="001F2B3D" w:rsidRPr="00590733" w:rsidRDefault="007D5439" w:rsidP="00590733">
      <w:pPr>
        <w:autoSpaceDE w:val="0"/>
        <w:autoSpaceDN w:val="0"/>
        <w:adjustRightInd w:val="0"/>
        <w:spacing w:line="276" w:lineRule="auto"/>
        <w:ind w:firstLine="720"/>
        <w:rPr>
          <w:rFonts w:ascii="Arial" w:hAnsi="Arial" w:cs="Arial"/>
        </w:rPr>
      </w:pPr>
      <w:r w:rsidRPr="00590733">
        <w:rPr>
          <w:rFonts w:ascii="Arial" w:hAnsi="Arial" w:cs="Arial"/>
        </w:rPr>
        <w:t>But queer</w:t>
      </w:r>
      <w:r w:rsidR="001F2B3D" w:rsidRPr="00590733">
        <w:rPr>
          <w:rFonts w:ascii="Arial" w:hAnsi="Arial" w:cs="Arial"/>
        </w:rPr>
        <w:t xml:space="preserve"> people</w:t>
      </w:r>
      <w:r w:rsidR="00CB4A71" w:rsidRPr="00590733">
        <w:rPr>
          <w:rFonts w:ascii="Arial" w:hAnsi="Arial" w:cs="Arial"/>
        </w:rPr>
        <w:t xml:space="preserve"> </w:t>
      </w:r>
      <w:r w:rsidR="001F2B3D" w:rsidRPr="00590733">
        <w:rPr>
          <w:rFonts w:ascii="Arial" w:hAnsi="Arial" w:cs="Arial"/>
        </w:rPr>
        <w:t>lodging asylum clai</w:t>
      </w:r>
      <w:r w:rsidR="00CB4A71" w:rsidRPr="00590733">
        <w:rPr>
          <w:rFonts w:ascii="Arial" w:hAnsi="Arial" w:cs="Arial"/>
        </w:rPr>
        <w:t xml:space="preserve">ms </w:t>
      </w:r>
      <w:r w:rsidR="0035592E" w:rsidRPr="00590733">
        <w:rPr>
          <w:rFonts w:ascii="Arial" w:hAnsi="Arial" w:cs="Arial"/>
        </w:rPr>
        <w:t xml:space="preserve">also struggle. They </w:t>
      </w:r>
      <w:r w:rsidR="00CB4A71" w:rsidRPr="00590733">
        <w:rPr>
          <w:rFonts w:ascii="Arial" w:hAnsi="Arial" w:cs="Arial"/>
        </w:rPr>
        <w:t xml:space="preserve">have to deal with </w:t>
      </w:r>
      <w:r w:rsidR="0035592E" w:rsidRPr="00590733">
        <w:rPr>
          <w:rFonts w:ascii="Arial" w:hAnsi="Arial" w:cs="Arial"/>
        </w:rPr>
        <w:t>another</w:t>
      </w:r>
      <w:r w:rsidR="00CB4A71" w:rsidRPr="00590733">
        <w:rPr>
          <w:rFonts w:ascii="Arial" w:hAnsi="Arial" w:cs="Arial"/>
        </w:rPr>
        <w:t xml:space="preserve"> set of fears: a state bureaucracy that </w:t>
      </w:r>
      <w:r w:rsidRPr="00590733">
        <w:rPr>
          <w:rFonts w:ascii="Arial" w:hAnsi="Arial" w:cs="Arial"/>
        </w:rPr>
        <w:t>dismisses</w:t>
      </w:r>
      <w:r w:rsidR="001F2B3D" w:rsidRPr="00590733">
        <w:rPr>
          <w:rFonts w:ascii="Arial" w:hAnsi="Arial" w:cs="Arial"/>
        </w:rPr>
        <w:t xml:space="preserve"> their experiences </w:t>
      </w:r>
      <w:r w:rsidRPr="00590733">
        <w:rPr>
          <w:rFonts w:ascii="Arial" w:hAnsi="Arial" w:cs="Arial"/>
        </w:rPr>
        <w:t>because they</w:t>
      </w:r>
      <w:r w:rsidR="001F2B3D" w:rsidRPr="00590733">
        <w:rPr>
          <w:rFonts w:ascii="Arial" w:hAnsi="Arial" w:cs="Arial"/>
        </w:rPr>
        <w:t xml:space="preserve"> do not </w:t>
      </w:r>
      <w:r w:rsidRPr="00590733">
        <w:rPr>
          <w:rFonts w:ascii="Arial" w:hAnsi="Arial" w:cs="Arial"/>
        </w:rPr>
        <w:t>match up</w:t>
      </w:r>
      <w:r w:rsidR="001F2B3D" w:rsidRPr="00590733">
        <w:rPr>
          <w:rFonts w:ascii="Arial" w:hAnsi="Arial" w:cs="Arial"/>
        </w:rPr>
        <w:t xml:space="preserve"> </w:t>
      </w:r>
      <w:r w:rsidRPr="00590733">
        <w:rPr>
          <w:rFonts w:ascii="Arial" w:hAnsi="Arial" w:cs="Arial"/>
        </w:rPr>
        <w:t>with</w:t>
      </w:r>
      <w:r w:rsidR="001F2B3D" w:rsidRPr="00590733">
        <w:rPr>
          <w:rFonts w:ascii="Arial" w:hAnsi="Arial" w:cs="Arial"/>
        </w:rPr>
        <w:t xml:space="preserve"> stereotypes</w:t>
      </w:r>
      <w:r w:rsidR="00CB4A71" w:rsidRPr="00590733">
        <w:rPr>
          <w:rFonts w:ascii="Arial" w:hAnsi="Arial" w:cs="Arial"/>
        </w:rPr>
        <w:t xml:space="preserve"> </w:t>
      </w:r>
      <w:r w:rsidRPr="00590733">
        <w:rPr>
          <w:rFonts w:ascii="Arial" w:hAnsi="Arial" w:cs="Arial"/>
        </w:rPr>
        <w:t xml:space="preserve">about what it means to be </w:t>
      </w:r>
      <w:r w:rsidR="00054E05">
        <w:rPr>
          <w:rFonts w:ascii="Arial" w:hAnsi="Arial" w:cs="Arial"/>
        </w:rPr>
        <w:t>‘</w:t>
      </w:r>
      <w:r w:rsidRPr="00590733">
        <w:rPr>
          <w:rFonts w:ascii="Arial" w:hAnsi="Arial" w:cs="Arial"/>
        </w:rPr>
        <w:t>authentically gay</w:t>
      </w:r>
      <w:r w:rsidR="00054E05">
        <w:rPr>
          <w:rFonts w:ascii="Arial" w:hAnsi="Arial" w:cs="Arial"/>
        </w:rPr>
        <w:t>’</w:t>
      </w:r>
      <w:r w:rsidRPr="00590733">
        <w:rPr>
          <w:rFonts w:ascii="Arial" w:hAnsi="Arial" w:cs="Arial"/>
        </w:rPr>
        <w:t xml:space="preserve"> </w:t>
      </w:r>
      <w:r w:rsidR="00CB4A71" w:rsidRPr="00590733">
        <w:rPr>
          <w:rFonts w:ascii="Arial" w:hAnsi="Arial" w:cs="Arial"/>
        </w:rPr>
        <w:t>(</w:t>
      </w:r>
      <w:r w:rsidR="00022D0A">
        <w:rPr>
          <w:rFonts w:ascii="Arial" w:hAnsi="Arial" w:cs="Arial"/>
        </w:rPr>
        <w:t xml:space="preserve">such as </w:t>
      </w:r>
      <w:r w:rsidR="00CB4A71" w:rsidRPr="00590733">
        <w:rPr>
          <w:rFonts w:ascii="Arial" w:hAnsi="Arial" w:cs="Arial"/>
        </w:rPr>
        <w:t xml:space="preserve">marching in Pride, having many sexual partners, </w:t>
      </w:r>
      <w:r w:rsidR="00022D0A">
        <w:rPr>
          <w:rFonts w:ascii="Arial" w:hAnsi="Arial" w:cs="Arial"/>
        </w:rPr>
        <w:t xml:space="preserve">or </w:t>
      </w:r>
      <w:r w:rsidR="00CB4A71" w:rsidRPr="00590733">
        <w:rPr>
          <w:rFonts w:ascii="Arial" w:hAnsi="Arial" w:cs="Arial"/>
        </w:rPr>
        <w:t>listening to Madonna)</w:t>
      </w:r>
      <w:r w:rsidRPr="00590733">
        <w:rPr>
          <w:rFonts w:ascii="Arial" w:hAnsi="Arial" w:cs="Arial"/>
        </w:rPr>
        <w:t xml:space="preserve">. These groups of people are treated with </w:t>
      </w:r>
      <w:r w:rsidR="00CB4A71" w:rsidRPr="00590733">
        <w:rPr>
          <w:rFonts w:ascii="Arial" w:hAnsi="Arial" w:cs="Arial"/>
        </w:rPr>
        <w:t>hostility and suspicion because the</w:t>
      </w:r>
      <w:r w:rsidRPr="00590733">
        <w:rPr>
          <w:rFonts w:ascii="Arial" w:hAnsi="Arial" w:cs="Arial"/>
        </w:rPr>
        <w:t xml:space="preserve"> state </w:t>
      </w:r>
      <w:r w:rsidR="00CB4A71" w:rsidRPr="00590733">
        <w:rPr>
          <w:rFonts w:ascii="Arial" w:hAnsi="Arial" w:cs="Arial"/>
        </w:rPr>
        <w:t>fear</w:t>
      </w:r>
      <w:r w:rsidRPr="00590733">
        <w:rPr>
          <w:rFonts w:ascii="Arial" w:hAnsi="Arial" w:cs="Arial"/>
        </w:rPr>
        <w:t>s</w:t>
      </w:r>
      <w:r w:rsidR="00CB4A71" w:rsidRPr="00590733">
        <w:rPr>
          <w:rFonts w:ascii="Arial" w:hAnsi="Arial" w:cs="Arial"/>
        </w:rPr>
        <w:t xml:space="preserve"> the border is under threat or abuse by disingenuous people</w:t>
      </w:r>
      <w:r w:rsidR="001F2B3D" w:rsidRPr="00590733">
        <w:rPr>
          <w:rFonts w:ascii="Arial" w:hAnsi="Arial" w:cs="Arial"/>
        </w:rPr>
        <w:t>.</w:t>
      </w:r>
      <w:r w:rsidR="001F2B3D" w:rsidRPr="00590733">
        <w:rPr>
          <w:rStyle w:val="FootnoteReference"/>
          <w:rFonts w:ascii="Arial" w:hAnsi="Arial" w:cs="Arial"/>
        </w:rPr>
        <w:footnoteReference w:id="15"/>
      </w:r>
      <w:r w:rsidR="001F2B3D" w:rsidRPr="00590733">
        <w:rPr>
          <w:rFonts w:ascii="Arial" w:hAnsi="Arial" w:cs="Arial"/>
        </w:rPr>
        <w:t xml:space="preserve"> For example, in 2012, the UK government embarked on a process of creating a </w:t>
      </w:r>
      <w:r w:rsidR="00054E05">
        <w:rPr>
          <w:rFonts w:ascii="Arial" w:hAnsi="Arial" w:cs="Arial"/>
        </w:rPr>
        <w:t>‘</w:t>
      </w:r>
      <w:r w:rsidR="001F2B3D" w:rsidRPr="00590733">
        <w:rPr>
          <w:rFonts w:ascii="Arial" w:hAnsi="Arial" w:cs="Arial"/>
        </w:rPr>
        <w:t>hostile environment</w:t>
      </w:r>
      <w:r w:rsidR="00054E05">
        <w:rPr>
          <w:rFonts w:ascii="Arial" w:hAnsi="Arial" w:cs="Arial"/>
        </w:rPr>
        <w:t>’</w:t>
      </w:r>
      <w:r w:rsidR="001F2B3D" w:rsidRPr="00590733">
        <w:rPr>
          <w:rFonts w:ascii="Arial" w:hAnsi="Arial" w:cs="Arial"/>
        </w:rPr>
        <w:t xml:space="preserve"> for people who remained in the country without a regularised migration status. This was made possible through a series of policy, legislative and regulatory measures that </w:t>
      </w:r>
      <w:r w:rsidR="00D75056">
        <w:rPr>
          <w:rFonts w:ascii="Arial" w:hAnsi="Arial" w:cs="Arial"/>
        </w:rPr>
        <w:t>‘</w:t>
      </w:r>
      <w:r w:rsidR="001F2B3D" w:rsidRPr="00590733">
        <w:rPr>
          <w:rFonts w:ascii="Arial" w:hAnsi="Arial" w:cs="Arial"/>
        </w:rPr>
        <w:t>showed contempt</w:t>
      </w:r>
      <w:r w:rsidR="00D75056">
        <w:rPr>
          <w:rFonts w:ascii="Arial" w:hAnsi="Arial" w:cs="Arial"/>
        </w:rPr>
        <w:t>’</w:t>
      </w:r>
      <w:r w:rsidR="001F2B3D" w:rsidRPr="00590733">
        <w:rPr>
          <w:rFonts w:ascii="Arial" w:hAnsi="Arial" w:cs="Arial"/>
        </w:rPr>
        <w:t xml:space="preserve"> towards migrants.</w:t>
      </w:r>
      <w:r w:rsidR="001F2B3D" w:rsidRPr="00590733">
        <w:rPr>
          <w:rStyle w:val="FootnoteReference"/>
          <w:rFonts w:ascii="Arial" w:hAnsi="Arial" w:cs="Arial"/>
        </w:rPr>
        <w:footnoteReference w:id="16"/>
      </w:r>
      <w:r w:rsidR="001F2B3D" w:rsidRPr="00590733">
        <w:rPr>
          <w:rFonts w:ascii="Arial" w:hAnsi="Arial" w:cs="Arial"/>
        </w:rPr>
        <w:t xml:space="preserve"> </w:t>
      </w:r>
      <w:r w:rsidR="0035592E" w:rsidRPr="00590733">
        <w:rPr>
          <w:rFonts w:ascii="Arial" w:hAnsi="Arial" w:cs="Arial"/>
        </w:rPr>
        <w:t>At the same time</w:t>
      </w:r>
      <w:r w:rsidR="001F2B3D" w:rsidRPr="00590733">
        <w:rPr>
          <w:rFonts w:ascii="Arial" w:hAnsi="Arial" w:cs="Arial"/>
        </w:rPr>
        <w:t xml:space="preserve">, LGBT people seeking asylum in the UK were faced with an anxious culture of disbelief when they </w:t>
      </w:r>
      <w:r w:rsidR="0035592E" w:rsidRPr="00590733">
        <w:rPr>
          <w:rFonts w:ascii="Arial" w:hAnsi="Arial" w:cs="Arial"/>
        </w:rPr>
        <w:t>sought refuge</w:t>
      </w:r>
      <w:r w:rsidR="001F2B3D" w:rsidRPr="00590733">
        <w:rPr>
          <w:rFonts w:ascii="Arial" w:hAnsi="Arial" w:cs="Arial"/>
        </w:rPr>
        <w:t xml:space="preserve">. Here are the words of </w:t>
      </w:r>
      <w:r w:rsidR="0035592E" w:rsidRPr="00590733">
        <w:rPr>
          <w:rFonts w:ascii="Arial" w:hAnsi="Arial" w:cs="Arial"/>
        </w:rPr>
        <w:t>a</w:t>
      </w:r>
      <w:r w:rsidR="001F2B3D" w:rsidRPr="00590733">
        <w:rPr>
          <w:rFonts w:ascii="Arial" w:hAnsi="Arial" w:cs="Arial"/>
        </w:rPr>
        <w:t xml:space="preserve"> Home Office decision maker in May 2016</w:t>
      </w:r>
      <w:r w:rsidR="00580D14" w:rsidRPr="00590733">
        <w:rPr>
          <w:rFonts w:ascii="Arial" w:hAnsi="Arial" w:cs="Arial"/>
        </w:rPr>
        <w:t>:</w:t>
      </w:r>
    </w:p>
    <w:p w14:paraId="6799D92B" w14:textId="77777777" w:rsidR="00D75056" w:rsidRDefault="00D75056" w:rsidP="00590733">
      <w:pPr>
        <w:autoSpaceDE w:val="0"/>
        <w:autoSpaceDN w:val="0"/>
        <w:adjustRightInd w:val="0"/>
        <w:spacing w:line="276" w:lineRule="auto"/>
        <w:ind w:left="720"/>
        <w:rPr>
          <w:rFonts w:ascii="Arial" w:hAnsi="Arial" w:cs="Arial"/>
          <w:bCs/>
          <w:i/>
          <w:iCs/>
          <w:color w:val="000000" w:themeColor="text1"/>
        </w:rPr>
      </w:pPr>
    </w:p>
    <w:p w14:paraId="202ADF03" w14:textId="142D46AD" w:rsidR="001F2B3D" w:rsidRPr="00D75056" w:rsidRDefault="001F2B3D" w:rsidP="00590733">
      <w:pPr>
        <w:autoSpaceDE w:val="0"/>
        <w:autoSpaceDN w:val="0"/>
        <w:adjustRightInd w:val="0"/>
        <w:spacing w:line="276" w:lineRule="auto"/>
        <w:ind w:left="720"/>
        <w:rPr>
          <w:rFonts w:ascii="Arial" w:hAnsi="Arial" w:cs="Arial"/>
          <w:bCs/>
          <w:color w:val="000000" w:themeColor="text1"/>
        </w:rPr>
      </w:pPr>
      <w:r w:rsidRPr="00D75056">
        <w:rPr>
          <w:rFonts w:ascii="Arial" w:hAnsi="Arial" w:cs="Arial"/>
          <w:bCs/>
          <w:color w:val="000000" w:themeColor="text1"/>
        </w:rPr>
        <w:t>It is reasonable to expect</w:t>
      </w:r>
      <w:r w:rsidR="00D75056" w:rsidRPr="00D75056">
        <w:rPr>
          <w:rFonts w:ascii="Arial" w:hAnsi="Arial" w:cs="Arial"/>
          <w:bCs/>
          <w:color w:val="000000" w:themeColor="text1"/>
        </w:rPr>
        <w:t xml:space="preserve"> </w:t>
      </w:r>
      <w:r w:rsidRPr="00D75056">
        <w:rPr>
          <w:rFonts w:ascii="Arial" w:hAnsi="Arial" w:cs="Arial"/>
          <w:bCs/>
          <w:color w:val="000000" w:themeColor="text1"/>
        </w:rPr>
        <w:t>… you would have had a lot of pressure and mental ordeals to overcome in realising your sexual identity.</w:t>
      </w:r>
      <w:r w:rsidRPr="00D75056">
        <w:rPr>
          <w:rStyle w:val="FootnoteReference"/>
          <w:rFonts w:ascii="Arial" w:hAnsi="Arial" w:cs="Arial"/>
          <w:bCs/>
          <w:color w:val="000000" w:themeColor="text1"/>
        </w:rPr>
        <w:footnoteReference w:id="17"/>
      </w:r>
      <w:r w:rsidRPr="00D75056">
        <w:rPr>
          <w:rFonts w:ascii="Arial" w:hAnsi="Arial" w:cs="Arial"/>
          <w:bCs/>
          <w:color w:val="000000" w:themeColor="text1"/>
        </w:rPr>
        <w:t xml:space="preserve"> </w:t>
      </w:r>
    </w:p>
    <w:p w14:paraId="27BA3422" w14:textId="77777777" w:rsidR="001F2B3D" w:rsidRPr="00590733" w:rsidRDefault="001F2B3D" w:rsidP="00590733">
      <w:pPr>
        <w:spacing w:line="276" w:lineRule="auto"/>
        <w:rPr>
          <w:rFonts w:ascii="Arial" w:hAnsi="Arial" w:cs="Arial"/>
          <w:b/>
          <w:bCs/>
          <w:lang w:val="en-AU"/>
        </w:rPr>
      </w:pPr>
    </w:p>
    <w:p w14:paraId="2D6EBF1D" w14:textId="1359AD9E" w:rsidR="00CB4A71" w:rsidRPr="00590733" w:rsidRDefault="001F2B3D" w:rsidP="00590733">
      <w:pPr>
        <w:spacing w:line="276" w:lineRule="auto"/>
        <w:rPr>
          <w:rFonts w:ascii="Arial" w:hAnsi="Arial" w:cs="Arial"/>
          <w:bCs/>
          <w:color w:val="000000" w:themeColor="text1"/>
          <w:lang w:val="en-AU"/>
        </w:rPr>
      </w:pPr>
      <w:r w:rsidRPr="00590733">
        <w:rPr>
          <w:rFonts w:ascii="Arial" w:hAnsi="Arial" w:cs="Arial"/>
          <w:bCs/>
          <w:color w:val="000000" w:themeColor="text1"/>
          <w:lang w:val="en-AU"/>
        </w:rPr>
        <w:t>In rejecting the claim, the decision</w:t>
      </w:r>
      <w:r w:rsidR="00054E05">
        <w:rPr>
          <w:rFonts w:ascii="Arial" w:hAnsi="Arial" w:cs="Arial"/>
          <w:bCs/>
          <w:color w:val="000000" w:themeColor="text1"/>
          <w:lang w:val="en-AU"/>
        </w:rPr>
        <w:t xml:space="preserve"> </w:t>
      </w:r>
      <w:r w:rsidRPr="00590733">
        <w:rPr>
          <w:rFonts w:ascii="Arial" w:hAnsi="Arial" w:cs="Arial"/>
          <w:bCs/>
          <w:color w:val="000000" w:themeColor="text1"/>
          <w:lang w:val="en-AU"/>
        </w:rPr>
        <w:t>maker observed that you can’t really be gay if you haven’t gone through an emotionally</w:t>
      </w:r>
      <w:r w:rsidR="00054E05">
        <w:rPr>
          <w:rFonts w:ascii="Arial" w:hAnsi="Arial" w:cs="Arial"/>
          <w:bCs/>
          <w:color w:val="000000" w:themeColor="text1"/>
          <w:lang w:val="en-AU"/>
        </w:rPr>
        <w:t xml:space="preserve"> </w:t>
      </w:r>
      <w:r w:rsidRPr="00590733">
        <w:rPr>
          <w:rFonts w:ascii="Arial" w:hAnsi="Arial" w:cs="Arial"/>
          <w:bCs/>
          <w:color w:val="000000" w:themeColor="text1"/>
          <w:lang w:val="en-AU"/>
        </w:rPr>
        <w:t xml:space="preserve">charged journey of self-discovery. </w:t>
      </w:r>
      <w:r w:rsidRPr="00590733">
        <w:rPr>
          <w:rFonts w:ascii="Arial" w:hAnsi="Arial" w:cs="Arial"/>
        </w:rPr>
        <w:t xml:space="preserve">Status determination processes make </w:t>
      </w:r>
      <w:r w:rsidRPr="00043781">
        <w:rPr>
          <w:rFonts w:ascii="Arial" w:hAnsi="Arial" w:cs="Arial"/>
        </w:rPr>
        <w:t>LGBT</w:t>
      </w:r>
      <w:r w:rsidRPr="00590733">
        <w:rPr>
          <w:rFonts w:ascii="Arial" w:hAnsi="Arial" w:cs="Arial"/>
        </w:rPr>
        <w:t xml:space="preserve"> refugees vulnerable to removal if they cannot account for their experiences through </w:t>
      </w:r>
      <w:r w:rsidR="00D75056">
        <w:rPr>
          <w:rFonts w:ascii="Arial" w:hAnsi="Arial" w:cs="Arial"/>
        </w:rPr>
        <w:t>‘</w:t>
      </w:r>
      <w:r w:rsidRPr="00590733">
        <w:rPr>
          <w:rFonts w:ascii="Arial" w:hAnsi="Arial" w:cs="Arial"/>
        </w:rPr>
        <w:t>coming out</w:t>
      </w:r>
      <w:r w:rsidR="00D75056">
        <w:rPr>
          <w:rFonts w:ascii="Arial" w:hAnsi="Arial" w:cs="Arial"/>
        </w:rPr>
        <w:t>’</w:t>
      </w:r>
      <w:r w:rsidRPr="00590733">
        <w:rPr>
          <w:rFonts w:ascii="Arial" w:hAnsi="Arial" w:cs="Arial"/>
        </w:rPr>
        <w:t xml:space="preserve"> stories laced with trauma and </w:t>
      </w:r>
      <w:r w:rsidR="007D5439" w:rsidRPr="00590733">
        <w:rPr>
          <w:rFonts w:ascii="Arial" w:hAnsi="Arial" w:cs="Arial"/>
        </w:rPr>
        <w:t>realisation</w:t>
      </w:r>
      <w:r w:rsidRPr="00590733">
        <w:rPr>
          <w:rFonts w:ascii="Arial" w:hAnsi="Arial" w:cs="Arial"/>
        </w:rPr>
        <w:t xml:space="preserve">. Bureaucratic scrutiny of </w:t>
      </w:r>
      <w:r w:rsidRPr="00043781">
        <w:rPr>
          <w:rFonts w:ascii="Arial" w:hAnsi="Arial" w:cs="Arial"/>
        </w:rPr>
        <w:t>LGBT</w:t>
      </w:r>
      <w:r w:rsidRPr="00590733">
        <w:rPr>
          <w:rFonts w:ascii="Arial" w:hAnsi="Arial" w:cs="Arial"/>
        </w:rPr>
        <w:t xml:space="preserve"> asylum claims also point</w:t>
      </w:r>
      <w:r w:rsidR="00D75056">
        <w:rPr>
          <w:rFonts w:ascii="Arial" w:hAnsi="Arial" w:cs="Arial"/>
        </w:rPr>
        <w:t>s</w:t>
      </w:r>
      <w:r w:rsidRPr="00590733">
        <w:rPr>
          <w:rFonts w:ascii="Arial" w:hAnsi="Arial" w:cs="Arial"/>
        </w:rPr>
        <w:t xml:space="preserve"> to the vulnerability of an adjudication system plagued with fears about </w:t>
      </w:r>
      <w:r w:rsidR="00D75056">
        <w:rPr>
          <w:rFonts w:ascii="Arial" w:hAnsi="Arial" w:cs="Arial"/>
        </w:rPr>
        <w:t>‘</w:t>
      </w:r>
      <w:r w:rsidRPr="00590733">
        <w:rPr>
          <w:rFonts w:ascii="Arial" w:hAnsi="Arial" w:cs="Arial"/>
        </w:rPr>
        <w:t>bogus</w:t>
      </w:r>
      <w:r w:rsidR="00D75056">
        <w:rPr>
          <w:rFonts w:ascii="Arial" w:hAnsi="Arial" w:cs="Arial"/>
        </w:rPr>
        <w:t>’</w:t>
      </w:r>
      <w:r w:rsidRPr="00590733">
        <w:rPr>
          <w:rFonts w:ascii="Arial" w:hAnsi="Arial" w:cs="Arial"/>
        </w:rPr>
        <w:t xml:space="preserve"> claims that threaten the integrity of the state.</w:t>
      </w:r>
      <w:r w:rsidRPr="00590733">
        <w:rPr>
          <w:rStyle w:val="FootnoteReference"/>
          <w:rFonts w:ascii="Arial" w:hAnsi="Arial" w:cs="Arial"/>
        </w:rPr>
        <w:footnoteReference w:id="18"/>
      </w:r>
      <w:r w:rsidRPr="00590733">
        <w:rPr>
          <w:rFonts w:ascii="Arial" w:hAnsi="Arial" w:cs="Arial"/>
        </w:rPr>
        <w:t xml:space="preserve"> </w:t>
      </w:r>
      <w:r w:rsidRPr="00590733">
        <w:rPr>
          <w:rFonts w:ascii="Arial" w:hAnsi="Arial" w:cs="Arial"/>
          <w:bCs/>
          <w:color w:val="000000" w:themeColor="text1"/>
          <w:lang w:val="en-AU"/>
        </w:rPr>
        <w:t xml:space="preserve">This scrutiny takes the form of having to prove that you </w:t>
      </w:r>
      <w:r w:rsidR="00D75056">
        <w:rPr>
          <w:rFonts w:ascii="Arial" w:hAnsi="Arial" w:cs="Arial"/>
          <w:bCs/>
          <w:color w:val="000000" w:themeColor="text1"/>
          <w:lang w:val="en-AU"/>
        </w:rPr>
        <w:t xml:space="preserve">really </w:t>
      </w:r>
      <w:r w:rsidRPr="00590733">
        <w:rPr>
          <w:rFonts w:ascii="Arial" w:hAnsi="Arial" w:cs="Arial"/>
          <w:bCs/>
          <w:color w:val="000000" w:themeColor="text1"/>
          <w:lang w:val="en-AU"/>
        </w:rPr>
        <w:t xml:space="preserve">are gay and really scared. Fail to do that – to make an immigration bureaucrat believe you can fit into the box marked </w:t>
      </w:r>
      <w:r w:rsidR="00D75056">
        <w:rPr>
          <w:rFonts w:ascii="Arial" w:hAnsi="Arial" w:cs="Arial"/>
          <w:bCs/>
          <w:color w:val="000000" w:themeColor="text1"/>
          <w:lang w:val="en-AU"/>
        </w:rPr>
        <w:t>‘</w:t>
      </w:r>
      <w:r w:rsidRPr="00590733">
        <w:rPr>
          <w:rFonts w:ascii="Arial" w:hAnsi="Arial" w:cs="Arial"/>
          <w:bCs/>
          <w:color w:val="000000" w:themeColor="text1"/>
          <w:lang w:val="en-AU"/>
        </w:rPr>
        <w:t>Flaming Queen</w:t>
      </w:r>
      <w:r w:rsidR="00D75056">
        <w:rPr>
          <w:rFonts w:ascii="Arial" w:hAnsi="Arial" w:cs="Arial"/>
          <w:bCs/>
          <w:color w:val="000000" w:themeColor="text1"/>
          <w:lang w:val="en-AU"/>
        </w:rPr>
        <w:t>’</w:t>
      </w:r>
      <w:r w:rsidRPr="00590733">
        <w:rPr>
          <w:rFonts w:ascii="Arial" w:hAnsi="Arial" w:cs="Arial"/>
          <w:bCs/>
          <w:color w:val="000000" w:themeColor="text1"/>
          <w:lang w:val="en-AU"/>
        </w:rPr>
        <w:t xml:space="preserve"> or </w:t>
      </w:r>
      <w:r w:rsidR="00D75056">
        <w:rPr>
          <w:rFonts w:ascii="Arial" w:hAnsi="Arial" w:cs="Arial"/>
          <w:bCs/>
          <w:color w:val="000000" w:themeColor="text1"/>
          <w:lang w:val="en-AU"/>
        </w:rPr>
        <w:t>‘</w:t>
      </w:r>
      <w:r w:rsidRPr="00590733">
        <w:rPr>
          <w:rFonts w:ascii="Arial" w:hAnsi="Arial" w:cs="Arial"/>
          <w:bCs/>
          <w:color w:val="000000" w:themeColor="text1"/>
          <w:lang w:val="en-AU"/>
        </w:rPr>
        <w:t>Stone Butch</w:t>
      </w:r>
      <w:r w:rsidR="00D75056">
        <w:rPr>
          <w:rFonts w:ascii="Arial" w:hAnsi="Arial" w:cs="Arial"/>
          <w:bCs/>
          <w:color w:val="000000" w:themeColor="text1"/>
          <w:lang w:val="en-AU"/>
        </w:rPr>
        <w:t>’</w:t>
      </w:r>
      <w:r w:rsidRPr="00590733">
        <w:rPr>
          <w:rFonts w:ascii="Arial" w:hAnsi="Arial" w:cs="Arial"/>
          <w:bCs/>
          <w:color w:val="000000" w:themeColor="text1"/>
          <w:lang w:val="en-AU"/>
        </w:rPr>
        <w:t xml:space="preserve"> – and you risk being returned to persecution. </w:t>
      </w:r>
    </w:p>
    <w:p w14:paraId="0CA68F4F" w14:textId="7433D663" w:rsidR="001F2B3D" w:rsidRPr="00590733" w:rsidRDefault="0035592E" w:rsidP="00590733">
      <w:pPr>
        <w:spacing w:line="276" w:lineRule="auto"/>
        <w:ind w:firstLine="720"/>
        <w:rPr>
          <w:rFonts w:ascii="Arial" w:hAnsi="Arial" w:cs="Arial"/>
          <w:bCs/>
          <w:color w:val="000000" w:themeColor="text1"/>
          <w:lang w:val="en-AU"/>
        </w:rPr>
      </w:pPr>
      <w:r w:rsidRPr="00590733">
        <w:rPr>
          <w:rFonts w:ascii="Arial" w:hAnsi="Arial" w:cs="Arial"/>
          <w:bCs/>
          <w:color w:val="000000" w:themeColor="text1"/>
          <w:lang w:val="en-AU"/>
        </w:rPr>
        <w:t>It’</w:t>
      </w:r>
      <w:r w:rsidR="001F2B3D" w:rsidRPr="00590733">
        <w:rPr>
          <w:rFonts w:ascii="Arial" w:hAnsi="Arial" w:cs="Arial"/>
          <w:bCs/>
          <w:color w:val="000000" w:themeColor="text1"/>
          <w:lang w:val="en-AU"/>
        </w:rPr>
        <w:t xml:space="preserve">s not just the person seeking asylum who has fears. </w:t>
      </w:r>
      <w:r w:rsidR="001F2B3D" w:rsidRPr="00590733">
        <w:rPr>
          <w:rFonts w:ascii="Arial" w:hAnsi="Arial" w:cs="Arial"/>
        </w:rPr>
        <w:t xml:space="preserve">Political fears shape the legal </w:t>
      </w:r>
      <w:r w:rsidR="007D5439" w:rsidRPr="00590733">
        <w:rPr>
          <w:rFonts w:ascii="Arial" w:hAnsi="Arial" w:cs="Arial"/>
        </w:rPr>
        <w:t>infrastructures</w:t>
      </w:r>
      <w:r w:rsidR="001F2B3D" w:rsidRPr="00590733">
        <w:rPr>
          <w:rFonts w:ascii="Arial" w:hAnsi="Arial" w:cs="Arial"/>
        </w:rPr>
        <w:t xml:space="preserve"> that govern adjudication of </w:t>
      </w:r>
      <w:r w:rsidRPr="00590733">
        <w:rPr>
          <w:rFonts w:ascii="Arial" w:hAnsi="Arial" w:cs="Arial"/>
        </w:rPr>
        <w:t>asylum</w:t>
      </w:r>
      <w:r w:rsidR="001F2B3D" w:rsidRPr="00590733">
        <w:rPr>
          <w:rFonts w:ascii="Arial" w:hAnsi="Arial" w:cs="Arial"/>
        </w:rPr>
        <w:t xml:space="preserve"> claims. Screening interviews, strict statutory or jurisprudential criteria on authenticating who is </w:t>
      </w:r>
      <w:r w:rsidR="00D75056">
        <w:rPr>
          <w:rFonts w:ascii="Arial" w:hAnsi="Arial" w:cs="Arial"/>
        </w:rPr>
        <w:t>‘</w:t>
      </w:r>
      <w:r w:rsidR="001F2B3D" w:rsidRPr="00590733">
        <w:rPr>
          <w:rFonts w:ascii="Arial" w:hAnsi="Arial" w:cs="Arial"/>
        </w:rPr>
        <w:t>really</w:t>
      </w:r>
      <w:r w:rsidR="00D75056">
        <w:rPr>
          <w:rFonts w:ascii="Arial" w:hAnsi="Arial" w:cs="Arial"/>
        </w:rPr>
        <w:t>’</w:t>
      </w:r>
      <w:r w:rsidR="001F2B3D" w:rsidRPr="00590733">
        <w:rPr>
          <w:rFonts w:ascii="Arial" w:hAnsi="Arial" w:cs="Arial"/>
        </w:rPr>
        <w:t xml:space="preserve"> gay and in need of protection, detention practices, and limited judicial review expose </w:t>
      </w:r>
      <w:r w:rsidR="001F2B3D" w:rsidRPr="00590733">
        <w:rPr>
          <w:rFonts w:ascii="Arial" w:hAnsi="Arial" w:cs="Arial"/>
        </w:rPr>
        <w:lastRenderedPageBreak/>
        <w:t xml:space="preserve">underlying legal fears that </w:t>
      </w:r>
      <w:r w:rsidR="00D75056">
        <w:rPr>
          <w:rFonts w:ascii="Arial" w:hAnsi="Arial" w:cs="Arial"/>
        </w:rPr>
        <w:t>‘</w:t>
      </w:r>
      <w:r w:rsidR="001F2B3D" w:rsidRPr="00590733">
        <w:rPr>
          <w:rFonts w:ascii="Arial" w:hAnsi="Arial" w:cs="Arial"/>
        </w:rPr>
        <w:t>opening the floodgates</w:t>
      </w:r>
      <w:r w:rsidR="00D75056">
        <w:rPr>
          <w:rFonts w:ascii="Arial" w:hAnsi="Arial" w:cs="Arial"/>
        </w:rPr>
        <w:t>’</w:t>
      </w:r>
      <w:r w:rsidR="001F2B3D" w:rsidRPr="00590733">
        <w:rPr>
          <w:rFonts w:ascii="Arial" w:hAnsi="Arial" w:cs="Arial"/>
        </w:rPr>
        <w:t xml:space="preserve"> will compromise the integrity of the refugee system.</w:t>
      </w:r>
      <w:r w:rsidR="00CB4A71" w:rsidRPr="00590733">
        <w:rPr>
          <w:rFonts w:ascii="Arial" w:hAnsi="Arial" w:cs="Arial"/>
        </w:rPr>
        <w:t xml:space="preserve"> Following fears in the asylum system expose</w:t>
      </w:r>
      <w:r w:rsidR="00580D14" w:rsidRPr="00590733">
        <w:rPr>
          <w:rFonts w:ascii="Arial" w:hAnsi="Arial" w:cs="Arial"/>
        </w:rPr>
        <w:t>s</w:t>
      </w:r>
      <w:r w:rsidR="00CB4A71" w:rsidRPr="00590733">
        <w:rPr>
          <w:rFonts w:ascii="Arial" w:hAnsi="Arial" w:cs="Arial"/>
        </w:rPr>
        <w:t xml:space="preserve"> why so many </w:t>
      </w:r>
      <w:r w:rsidR="00CB4A71" w:rsidRPr="00EB56FD">
        <w:rPr>
          <w:rFonts w:ascii="Arial" w:hAnsi="Arial" w:cs="Arial"/>
        </w:rPr>
        <w:t>LGBT</w:t>
      </w:r>
      <w:r w:rsidR="00CB4A71" w:rsidRPr="00590733">
        <w:rPr>
          <w:rFonts w:ascii="Arial" w:hAnsi="Arial" w:cs="Arial"/>
        </w:rPr>
        <w:t xml:space="preserve"> people are denied protection.</w:t>
      </w:r>
      <w:r w:rsidR="00580D14" w:rsidRPr="00590733">
        <w:rPr>
          <w:rFonts w:ascii="Arial" w:hAnsi="Arial" w:cs="Arial"/>
        </w:rPr>
        <w:t xml:space="preserve"> And fighting those fears</w:t>
      </w:r>
      <w:r w:rsidRPr="00590733">
        <w:rPr>
          <w:rFonts w:ascii="Arial" w:hAnsi="Arial" w:cs="Arial"/>
        </w:rPr>
        <w:t xml:space="preserve"> is</w:t>
      </w:r>
      <w:r w:rsidR="00580D14" w:rsidRPr="00590733">
        <w:rPr>
          <w:rFonts w:ascii="Arial" w:hAnsi="Arial" w:cs="Arial"/>
        </w:rPr>
        <w:t xml:space="preserve"> important if we are to support those who seek refuge. </w:t>
      </w:r>
    </w:p>
    <w:p w14:paraId="6CD48005" w14:textId="77777777" w:rsidR="00467B57" w:rsidRPr="00590733" w:rsidRDefault="00467B57" w:rsidP="00590733">
      <w:pPr>
        <w:spacing w:line="276" w:lineRule="auto"/>
        <w:rPr>
          <w:rFonts w:ascii="Arial" w:hAnsi="Arial" w:cs="Arial"/>
          <w:b/>
          <w:bCs/>
          <w:lang w:val="en-AU"/>
        </w:rPr>
      </w:pPr>
    </w:p>
    <w:p w14:paraId="2F40341B" w14:textId="783BFE21" w:rsidR="001F2B3D" w:rsidRPr="00054E05" w:rsidRDefault="00CB4A71" w:rsidP="00590733">
      <w:pPr>
        <w:spacing w:line="276" w:lineRule="auto"/>
        <w:rPr>
          <w:rFonts w:ascii="Arial" w:hAnsi="Arial" w:cs="Arial"/>
          <w:b/>
          <w:bCs/>
          <w:lang w:val="en-AU"/>
        </w:rPr>
      </w:pPr>
      <w:r w:rsidRPr="00054E05">
        <w:rPr>
          <w:rFonts w:ascii="Arial" w:hAnsi="Arial" w:cs="Arial"/>
          <w:b/>
          <w:bCs/>
          <w:lang w:val="en-AU"/>
        </w:rPr>
        <w:t>D</w:t>
      </w:r>
      <w:r w:rsidR="001F2B3D" w:rsidRPr="00054E05">
        <w:rPr>
          <w:rFonts w:ascii="Arial" w:hAnsi="Arial" w:cs="Arial"/>
          <w:b/>
          <w:bCs/>
          <w:lang w:val="en-AU"/>
        </w:rPr>
        <w:t>eal with your anxieties</w:t>
      </w:r>
    </w:p>
    <w:p w14:paraId="4D1BC60D" w14:textId="2BFE93EF" w:rsidR="001F2B3D" w:rsidRPr="00590733" w:rsidRDefault="00CB4A71" w:rsidP="00590733">
      <w:pPr>
        <w:spacing w:line="276" w:lineRule="auto"/>
        <w:rPr>
          <w:rFonts w:ascii="Arial" w:eastAsia="Calisto MT" w:hAnsi="Arial" w:cs="Arial"/>
        </w:rPr>
      </w:pPr>
      <w:r w:rsidRPr="00590733">
        <w:rPr>
          <w:rFonts w:ascii="Arial" w:hAnsi="Arial" w:cs="Arial"/>
        </w:rPr>
        <w:t>Anxiet</w:t>
      </w:r>
      <w:r w:rsidR="0035592E" w:rsidRPr="00590733">
        <w:rPr>
          <w:rFonts w:ascii="Arial" w:hAnsi="Arial" w:cs="Arial"/>
        </w:rPr>
        <w:t xml:space="preserve">ies </w:t>
      </w:r>
      <w:r w:rsidR="006E6E9A" w:rsidRPr="00590733">
        <w:rPr>
          <w:rFonts w:ascii="Arial" w:hAnsi="Arial" w:cs="Arial"/>
        </w:rPr>
        <w:t>related to</w:t>
      </w:r>
      <w:r w:rsidR="0035592E" w:rsidRPr="00590733">
        <w:rPr>
          <w:rFonts w:ascii="Arial" w:hAnsi="Arial" w:cs="Arial"/>
        </w:rPr>
        <w:t xml:space="preserve"> policing borders</w:t>
      </w:r>
      <w:r w:rsidR="006E6E9A" w:rsidRPr="00590733">
        <w:rPr>
          <w:rFonts w:ascii="Arial" w:hAnsi="Arial" w:cs="Arial"/>
        </w:rPr>
        <w:t xml:space="preserve"> and identities</w:t>
      </w:r>
      <w:r w:rsidRPr="00590733">
        <w:rPr>
          <w:rFonts w:ascii="Arial" w:hAnsi="Arial" w:cs="Arial"/>
        </w:rPr>
        <w:t xml:space="preserve"> also emerge in other areas of law, such as those relating to </w:t>
      </w:r>
      <w:r w:rsidR="0035592E" w:rsidRPr="00590733">
        <w:rPr>
          <w:rFonts w:ascii="Arial" w:hAnsi="Arial" w:cs="Arial"/>
        </w:rPr>
        <w:t xml:space="preserve">medicalising </w:t>
      </w:r>
      <w:r w:rsidRPr="00590733">
        <w:rPr>
          <w:rFonts w:ascii="Arial" w:hAnsi="Arial" w:cs="Arial"/>
        </w:rPr>
        <w:t xml:space="preserve">sex and gender. </w:t>
      </w:r>
      <w:r w:rsidR="007C6CA1" w:rsidRPr="00590733">
        <w:rPr>
          <w:rFonts w:ascii="Arial" w:hAnsi="Arial" w:cs="Arial"/>
        </w:rPr>
        <w:t xml:space="preserve">We can observe this in how </w:t>
      </w:r>
      <w:r w:rsidR="001F2B3D" w:rsidRPr="00590733">
        <w:rPr>
          <w:rFonts w:ascii="Arial" w:hAnsi="Arial" w:cs="Arial"/>
        </w:rPr>
        <w:t>young trans people</w:t>
      </w:r>
      <w:r w:rsidR="007C6CA1" w:rsidRPr="00590733">
        <w:rPr>
          <w:rFonts w:ascii="Arial" w:hAnsi="Arial" w:cs="Arial"/>
        </w:rPr>
        <w:t>’s desires</w:t>
      </w:r>
      <w:r w:rsidR="001F2B3D" w:rsidRPr="00590733">
        <w:rPr>
          <w:rFonts w:ascii="Arial" w:hAnsi="Arial" w:cs="Arial"/>
        </w:rPr>
        <w:t xml:space="preserve"> </w:t>
      </w:r>
      <w:r w:rsidR="007C6CA1" w:rsidRPr="00590733">
        <w:rPr>
          <w:rFonts w:ascii="Arial" w:hAnsi="Arial" w:cs="Arial"/>
        </w:rPr>
        <w:t>to medically transition generate a mix of legal c</w:t>
      </w:r>
      <w:r w:rsidR="007D0BA6" w:rsidRPr="00590733">
        <w:rPr>
          <w:rFonts w:ascii="Arial" w:hAnsi="Arial" w:cs="Arial"/>
        </w:rPr>
        <w:t>aring</w:t>
      </w:r>
      <w:r w:rsidR="007C6CA1" w:rsidRPr="00590733">
        <w:rPr>
          <w:rFonts w:ascii="Arial" w:hAnsi="Arial" w:cs="Arial"/>
        </w:rPr>
        <w:t xml:space="preserve"> and anxiousness</w:t>
      </w:r>
      <w:r w:rsidR="001F2B3D" w:rsidRPr="00590733">
        <w:rPr>
          <w:rFonts w:ascii="Arial" w:hAnsi="Arial" w:cs="Arial"/>
        </w:rPr>
        <w:t xml:space="preserve">. In Australia, </w:t>
      </w:r>
      <w:r w:rsidR="007C6CA1" w:rsidRPr="00590733">
        <w:rPr>
          <w:rFonts w:ascii="Arial" w:hAnsi="Arial" w:cs="Arial"/>
        </w:rPr>
        <w:t xml:space="preserve">for example, </w:t>
      </w:r>
      <w:r w:rsidR="001F2B3D" w:rsidRPr="00590733">
        <w:rPr>
          <w:rFonts w:ascii="Arial" w:hAnsi="Arial" w:cs="Arial"/>
        </w:rPr>
        <w:t xml:space="preserve">minors have had to appeal to the welfare jurisdiction of the Family Court of Australia to undergo medical or surgical changes to alleviate their </w:t>
      </w:r>
      <w:r w:rsidR="00D75056">
        <w:rPr>
          <w:rFonts w:ascii="Arial" w:hAnsi="Arial" w:cs="Arial"/>
        </w:rPr>
        <w:t>‘</w:t>
      </w:r>
      <w:r w:rsidR="001F2B3D" w:rsidRPr="00590733">
        <w:rPr>
          <w:rFonts w:ascii="Arial" w:hAnsi="Arial" w:cs="Arial"/>
        </w:rPr>
        <w:t>gender dysphoria</w:t>
      </w:r>
      <w:r w:rsidR="00D75056">
        <w:rPr>
          <w:rFonts w:ascii="Arial" w:hAnsi="Arial" w:cs="Arial"/>
        </w:rPr>
        <w:t>’</w:t>
      </w:r>
      <w:r w:rsidR="001F2B3D" w:rsidRPr="00590733">
        <w:rPr>
          <w:rFonts w:ascii="Arial" w:hAnsi="Arial" w:cs="Arial"/>
        </w:rPr>
        <w:t xml:space="preserve">. In approving virtually every application and, most recently, dispensing with the requirement for minors to seek court approval, the Family Court has </w:t>
      </w:r>
      <w:r w:rsidR="007C6CA1" w:rsidRPr="00590733">
        <w:rPr>
          <w:rFonts w:ascii="Arial" w:hAnsi="Arial" w:cs="Arial"/>
        </w:rPr>
        <w:t>oscillated between compassion and anxiety</w:t>
      </w:r>
      <w:r w:rsidR="001F2B3D" w:rsidRPr="00590733">
        <w:rPr>
          <w:rFonts w:ascii="Arial" w:hAnsi="Arial" w:cs="Arial"/>
        </w:rPr>
        <w:t xml:space="preserve"> when addressing anxieties faced by trans </w:t>
      </w:r>
      <w:r w:rsidR="007C6CA1" w:rsidRPr="00590733">
        <w:rPr>
          <w:rFonts w:ascii="Arial" w:hAnsi="Arial" w:cs="Arial"/>
        </w:rPr>
        <w:t>children</w:t>
      </w:r>
      <w:r w:rsidR="001F2B3D" w:rsidRPr="00590733">
        <w:rPr>
          <w:rFonts w:ascii="Arial" w:hAnsi="Arial" w:cs="Arial"/>
        </w:rPr>
        <w:t xml:space="preserve"> and formulat</w:t>
      </w:r>
      <w:r w:rsidR="0039235F" w:rsidRPr="00590733">
        <w:rPr>
          <w:rFonts w:ascii="Arial" w:hAnsi="Arial" w:cs="Arial"/>
        </w:rPr>
        <w:t>ing</w:t>
      </w:r>
      <w:r w:rsidR="001F2B3D" w:rsidRPr="00590733">
        <w:rPr>
          <w:rFonts w:ascii="Arial" w:hAnsi="Arial" w:cs="Arial"/>
        </w:rPr>
        <w:t xml:space="preserve"> therapeutic </w:t>
      </w:r>
      <w:r w:rsidR="0039235F" w:rsidRPr="00590733">
        <w:rPr>
          <w:rFonts w:ascii="Arial" w:hAnsi="Arial" w:cs="Arial"/>
        </w:rPr>
        <w:t>interventions</w:t>
      </w:r>
      <w:r w:rsidR="001F2B3D" w:rsidRPr="00590733">
        <w:rPr>
          <w:rFonts w:ascii="Arial" w:hAnsi="Arial" w:cs="Arial"/>
        </w:rPr>
        <w:t xml:space="preserve"> to relieve th</w:t>
      </w:r>
      <w:r w:rsidR="0039235F" w:rsidRPr="00590733">
        <w:rPr>
          <w:rFonts w:ascii="Arial" w:hAnsi="Arial" w:cs="Arial"/>
        </w:rPr>
        <w:t>ose</w:t>
      </w:r>
      <w:r w:rsidR="001F2B3D" w:rsidRPr="00590733">
        <w:rPr>
          <w:rFonts w:ascii="Arial" w:hAnsi="Arial" w:cs="Arial"/>
        </w:rPr>
        <w:t xml:space="preserve"> anxieties. </w:t>
      </w:r>
    </w:p>
    <w:p w14:paraId="3D89BD2F" w14:textId="77777777" w:rsidR="001F2B3D" w:rsidRPr="00590733" w:rsidRDefault="007D5439" w:rsidP="00590733">
      <w:pPr>
        <w:spacing w:line="276" w:lineRule="auto"/>
        <w:ind w:firstLine="720"/>
        <w:rPr>
          <w:rFonts w:ascii="Arial" w:eastAsia="Calisto MT" w:hAnsi="Arial" w:cs="Arial"/>
        </w:rPr>
      </w:pPr>
      <w:r w:rsidRPr="00590733">
        <w:rPr>
          <w:rFonts w:ascii="Arial" w:eastAsia="Calisto MT" w:hAnsi="Arial" w:cs="Arial"/>
          <w:iCs/>
        </w:rPr>
        <w:t xml:space="preserve">This </w:t>
      </w:r>
      <w:r w:rsidR="007D0BA6" w:rsidRPr="00590733">
        <w:rPr>
          <w:rFonts w:ascii="Arial" w:eastAsia="Calisto MT" w:hAnsi="Arial" w:cs="Arial"/>
          <w:iCs/>
        </w:rPr>
        <w:t xml:space="preserve">began </w:t>
      </w:r>
      <w:r w:rsidRPr="00590733">
        <w:rPr>
          <w:rFonts w:ascii="Arial" w:eastAsia="Calisto MT" w:hAnsi="Arial" w:cs="Arial"/>
          <w:iCs/>
        </w:rPr>
        <w:t xml:space="preserve">in </w:t>
      </w:r>
      <w:r w:rsidR="001F2B3D" w:rsidRPr="00590733">
        <w:rPr>
          <w:rFonts w:ascii="Arial" w:eastAsia="Calisto MT" w:hAnsi="Arial" w:cs="Arial"/>
          <w:i/>
        </w:rPr>
        <w:t xml:space="preserve">Re Alex </w:t>
      </w:r>
      <w:r w:rsidRPr="00590733">
        <w:rPr>
          <w:rFonts w:ascii="Arial" w:eastAsia="Calisto MT" w:hAnsi="Arial" w:cs="Arial"/>
        </w:rPr>
        <w:t xml:space="preserve">when </w:t>
      </w:r>
      <w:r w:rsidR="001F2B3D" w:rsidRPr="00590733">
        <w:rPr>
          <w:rFonts w:ascii="Arial" w:eastAsia="Calisto MT" w:hAnsi="Arial" w:cs="Arial"/>
        </w:rPr>
        <w:t xml:space="preserve">a prepubescent trans boy, Alex, was granted puberty blockers and cross-sex hormones to assist with his transition. The decision in </w:t>
      </w:r>
      <w:r w:rsidR="001F2B3D" w:rsidRPr="00590733">
        <w:rPr>
          <w:rFonts w:ascii="Arial" w:eastAsia="Calisto MT" w:hAnsi="Arial" w:cs="Arial"/>
          <w:i/>
        </w:rPr>
        <w:t xml:space="preserve">Re Alex </w:t>
      </w:r>
      <w:r w:rsidR="001F2B3D" w:rsidRPr="00590733">
        <w:rPr>
          <w:rFonts w:ascii="Arial" w:eastAsia="Calisto MT" w:hAnsi="Arial" w:cs="Arial"/>
        </w:rPr>
        <w:t>manifested an anxiety over a failure to provide treatment to young trans people by noting that a failure to affirm Alex’s coherent gender identity would severely compromise his health. Nicholson J embraced submissions relating to Alex’s gender identity and proposals for his treatment but remained anxious over giving young trans people the capacity to make important decisions over their bodies without court supervision.</w:t>
      </w:r>
      <w:r w:rsidR="00F80C3A" w:rsidRPr="00590733">
        <w:rPr>
          <w:rStyle w:val="FootnoteReference"/>
          <w:rFonts w:ascii="Arial" w:eastAsia="Calisto MT" w:hAnsi="Arial" w:cs="Arial"/>
        </w:rPr>
        <w:footnoteReference w:id="19"/>
      </w:r>
    </w:p>
    <w:p w14:paraId="682B9375" w14:textId="0E466C8F" w:rsidR="001F2B3D" w:rsidRPr="00590733" w:rsidRDefault="007D5439" w:rsidP="00590733">
      <w:pPr>
        <w:spacing w:line="276" w:lineRule="auto"/>
        <w:ind w:firstLine="720"/>
        <w:rPr>
          <w:rFonts w:ascii="Arial" w:hAnsi="Arial" w:cs="Arial"/>
        </w:rPr>
      </w:pPr>
      <w:r w:rsidRPr="00590733">
        <w:rPr>
          <w:rFonts w:ascii="Arial" w:eastAsia="Calisto MT" w:hAnsi="Arial" w:cs="Arial"/>
          <w:iCs/>
        </w:rPr>
        <w:t xml:space="preserve">Almost a decade later, </w:t>
      </w:r>
      <w:r w:rsidR="001F2B3D" w:rsidRPr="00590733">
        <w:rPr>
          <w:rFonts w:ascii="Arial" w:eastAsia="Calisto MT" w:hAnsi="Arial" w:cs="Arial"/>
          <w:i/>
        </w:rPr>
        <w:t>Re Jamie</w:t>
      </w:r>
      <w:r w:rsidR="001F2B3D" w:rsidRPr="00590733">
        <w:rPr>
          <w:rFonts w:ascii="Arial" w:eastAsia="Calisto MT" w:hAnsi="Arial" w:cs="Arial"/>
        </w:rPr>
        <w:t xml:space="preserve"> involved approving a </w:t>
      </w:r>
      <w:r w:rsidR="001F2B3D" w:rsidRPr="00590733">
        <w:rPr>
          <w:rFonts w:ascii="Arial" w:hAnsi="Arial" w:cs="Arial"/>
        </w:rPr>
        <w:t xml:space="preserve">young girl’s application for treatment to suspend the onset of </w:t>
      </w:r>
      <w:r w:rsidR="00D75056">
        <w:rPr>
          <w:rFonts w:ascii="Arial" w:hAnsi="Arial" w:cs="Arial"/>
        </w:rPr>
        <w:t>‘</w:t>
      </w:r>
      <w:r w:rsidR="001F2B3D" w:rsidRPr="00590733">
        <w:rPr>
          <w:rFonts w:ascii="Arial" w:hAnsi="Arial" w:cs="Arial"/>
        </w:rPr>
        <w:t>male puberty</w:t>
      </w:r>
      <w:r w:rsidR="00D75056">
        <w:rPr>
          <w:rFonts w:ascii="Arial" w:hAnsi="Arial" w:cs="Arial"/>
        </w:rPr>
        <w:t>’</w:t>
      </w:r>
      <w:r w:rsidR="001F2B3D" w:rsidRPr="00590733">
        <w:rPr>
          <w:rFonts w:ascii="Arial" w:hAnsi="Arial" w:cs="Arial"/>
        </w:rPr>
        <w:t xml:space="preserve">. </w:t>
      </w:r>
      <w:r w:rsidR="001F2B3D" w:rsidRPr="00590733">
        <w:rPr>
          <w:rFonts w:ascii="Arial" w:eastAsia="Calisto MT" w:hAnsi="Arial" w:cs="Arial"/>
        </w:rPr>
        <w:t xml:space="preserve">By focusing on gender dysphoria and the exigencies of treatment, the Family Court in </w:t>
      </w:r>
      <w:r w:rsidR="001F2B3D" w:rsidRPr="00590733">
        <w:rPr>
          <w:rFonts w:ascii="Arial" w:eastAsia="Calisto MT" w:hAnsi="Arial" w:cs="Arial"/>
          <w:i/>
        </w:rPr>
        <w:t>Re Jamie</w:t>
      </w:r>
      <w:r w:rsidR="001F2B3D" w:rsidRPr="00590733">
        <w:rPr>
          <w:rFonts w:ascii="Arial" w:eastAsia="Calisto MT" w:hAnsi="Arial" w:cs="Arial"/>
        </w:rPr>
        <w:t xml:space="preserve"> expressed anxieties over a failure to affirm the gender identity of young trans people and the irreversible consequences of treatment. Dessau J’s reasoning made visible the vulnerability of trans minors to self-harm, suicidal ideation and emotional distress</w:t>
      </w:r>
      <w:r w:rsidR="00EB56FD">
        <w:rPr>
          <w:rFonts w:ascii="Arial" w:eastAsia="Calisto MT" w:hAnsi="Arial" w:cs="Arial"/>
        </w:rPr>
        <w:t>,</w:t>
      </w:r>
      <w:r w:rsidR="001F2B3D" w:rsidRPr="00590733">
        <w:rPr>
          <w:rFonts w:ascii="Arial" w:eastAsia="Calisto MT" w:hAnsi="Arial" w:cs="Arial"/>
        </w:rPr>
        <w:t xml:space="preserve"> and these acknowledgments of harms prompted the justice to agree to </w:t>
      </w:r>
      <w:r w:rsidR="0035592E" w:rsidRPr="00590733">
        <w:rPr>
          <w:rFonts w:ascii="Arial" w:eastAsia="Calisto MT" w:hAnsi="Arial" w:cs="Arial"/>
        </w:rPr>
        <w:t>puberty blockers</w:t>
      </w:r>
      <w:r w:rsidR="001F2B3D" w:rsidRPr="00590733">
        <w:rPr>
          <w:rFonts w:ascii="Arial" w:eastAsia="Calisto MT" w:hAnsi="Arial" w:cs="Arial"/>
        </w:rPr>
        <w:t>.</w:t>
      </w:r>
      <w:r w:rsidR="00F80C3A" w:rsidRPr="00590733">
        <w:rPr>
          <w:rStyle w:val="FootnoteReference"/>
          <w:rFonts w:ascii="Arial" w:eastAsia="Calisto MT" w:hAnsi="Arial" w:cs="Arial"/>
        </w:rPr>
        <w:footnoteReference w:id="20"/>
      </w:r>
      <w:r w:rsidR="001F2B3D" w:rsidRPr="00590733">
        <w:rPr>
          <w:rFonts w:ascii="Arial" w:eastAsia="Calisto MT" w:hAnsi="Arial" w:cs="Arial"/>
        </w:rPr>
        <w:t xml:space="preserve"> Yet Dessau J also expressed anxiety over predicting Jamie’s future gender identification and held that Jamie would need to seek further court authorisation for </w:t>
      </w:r>
      <w:r w:rsidR="0035592E" w:rsidRPr="00590733">
        <w:rPr>
          <w:rFonts w:ascii="Arial" w:eastAsia="Calisto MT" w:hAnsi="Arial" w:cs="Arial"/>
        </w:rPr>
        <w:t>cross-sex hormones</w:t>
      </w:r>
      <w:r w:rsidR="001F2B3D" w:rsidRPr="00590733">
        <w:rPr>
          <w:rFonts w:ascii="Arial" w:eastAsia="Calisto MT" w:hAnsi="Arial" w:cs="Arial"/>
        </w:rPr>
        <w:t xml:space="preserve">, noting Jamie’s best interests as an adolescent could not be pre-determined as she was </w:t>
      </w:r>
      <w:r w:rsidR="00D75056">
        <w:rPr>
          <w:rFonts w:ascii="Arial" w:eastAsia="Calisto MT" w:hAnsi="Arial" w:cs="Arial"/>
        </w:rPr>
        <w:t>10 years old</w:t>
      </w:r>
      <w:r w:rsidR="0035592E" w:rsidRPr="00590733">
        <w:rPr>
          <w:rFonts w:ascii="Arial" w:eastAsia="Calisto MT" w:hAnsi="Arial" w:cs="Arial"/>
        </w:rPr>
        <w:t xml:space="preserve"> at the time</w:t>
      </w:r>
      <w:r w:rsidR="001F2B3D" w:rsidRPr="00590733">
        <w:rPr>
          <w:rFonts w:ascii="Arial" w:eastAsia="Calisto MT" w:hAnsi="Arial" w:cs="Arial"/>
        </w:rPr>
        <w:t>.</w:t>
      </w:r>
      <w:r w:rsidR="00F80C3A" w:rsidRPr="00590733">
        <w:rPr>
          <w:rStyle w:val="FootnoteReference"/>
          <w:rFonts w:ascii="Arial" w:eastAsia="Calisto MT" w:hAnsi="Arial" w:cs="Arial"/>
        </w:rPr>
        <w:footnoteReference w:id="21"/>
      </w:r>
      <w:r w:rsidR="001F2B3D" w:rsidRPr="00590733">
        <w:rPr>
          <w:rFonts w:ascii="Arial" w:eastAsia="Calisto MT" w:hAnsi="Arial" w:cs="Arial"/>
        </w:rPr>
        <w:t xml:space="preserve"> Such reasoning alleviated broader judicial anxieties over irreversible bodily modifications and shifting gender identifications while recognising that medical treatment was central to Jamie’s wellbeing in this case.</w:t>
      </w:r>
    </w:p>
    <w:p w14:paraId="6AC4D21B" w14:textId="6D8CCFB5" w:rsidR="001F2B3D" w:rsidRPr="00590733" w:rsidRDefault="007D0BA6" w:rsidP="00590733">
      <w:pPr>
        <w:spacing w:line="276" w:lineRule="auto"/>
        <w:ind w:firstLine="720"/>
        <w:rPr>
          <w:rFonts w:ascii="Arial" w:hAnsi="Arial" w:cs="Arial"/>
        </w:rPr>
      </w:pPr>
      <w:r w:rsidRPr="00590733">
        <w:rPr>
          <w:rFonts w:ascii="Arial" w:eastAsia="Calisto MT" w:hAnsi="Arial" w:cs="Arial"/>
          <w:iCs/>
        </w:rPr>
        <w:t xml:space="preserve">Finally, </w:t>
      </w:r>
      <w:r w:rsidR="001F2B3D" w:rsidRPr="00590733">
        <w:rPr>
          <w:rFonts w:ascii="Arial" w:eastAsia="Calisto MT" w:hAnsi="Arial" w:cs="Arial"/>
          <w:i/>
        </w:rPr>
        <w:t>Re Kelvin</w:t>
      </w:r>
      <w:r w:rsidR="001F2B3D" w:rsidRPr="00590733">
        <w:rPr>
          <w:rFonts w:ascii="Arial" w:eastAsia="Calisto MT" w:hAnsi="Arial" w:cs="Arial"/>
        </w:rPr>
        <w:t xml:space="preserve"> affirmed the petition of a teenage boy who requested access </w:t>
      </w:r>
      <w:r w:rsidR="00D75056">
        <w:rPr>
          <w:rFonts w:ascii="Arial" w:eastAsia="Calisto MT" w:hAnsi="Arial" w:cs="Arial"/>
        </w:rPr>
        <w:t xml:space="preserve">to </w:t>
      </w:r>
      <w:r w:rsidR="001F2B3D" w:rsidRPr="00590733">
        <w:rPr>
          <w:rFonts w:ascii="Arial" w:eastAsia="Calisto MT" w:hAnsi="Arial" w:cs="Arial"/>
        </w:rPr>
        <w:t xml:space="preserve">testosterone therapy to </w:t>
      </w:r>
      <w:r w:rsidR="00D75056">
        <w:rPr>
          <w:rFonts w:ascii="Arial" w:eastAsia="Calisto MT" w:hAnsi="Arial" w:cs="Arial"/>
        </w:rPr>
        <w:t>‘</w:t>
      </w:r>
      <w:r w:rsidR="001F2B3D" w:rsidRPr="00590733">
        <w:rPr>
          <w:rFonts w:ascii="Arial" w:eastAsia="Calisto MT" w:hAnsi="Arial" w:cs="Arial"/>
        </w:rPr>
        <w:t>masculinise</w:t>
      </w:r>
      <w:r w:rsidR="00D75056">
        <w:rPr>
          <w:rFonts w:ascii="Arial" w:eastAsia="Calisto MT" w:hAnsi="Arial" w:cs="Arial"/>
        </w:rPr>
        <w:t>’</w:t>
      </w:r>
      <w:r w:rsidR="001F2B3D" w:rsidRPr="00590733">
        <w:rPr>
          <w:rFonts w:ascii="Arial" w:eastAsia="Calisto MT" w:hAnsi="Arial" w:cs="Arial"/>
        </w:rPr>
        <w:t xml:space="preserve"> his body and held court authorisation </w:t>
      </w:r>
      <w:r w:rsidR="001F2B3D" w:rsidRPr="00590733">
        <w:rPr>
          <w:rFonts w:ascii="Arial" w:eastAsia="Calisto MT" w:hAnsi="Arial" w:cs="Arial"/>
        </w:rPr>
        <w:lastRenderedPageBreak/>
        <w:t xml:space="preserve">was no longer necessary for such interventions. In arriving at this historic decision, the Court had to alleviate the anxieties enacted in </w:t>
      </w:r>
      <w:r w:rsidR="001F2B3D" w:rsidRPr="00590733">
        <w:rPr>
          <w:rFonts w:ascii="Arial" w:eastAsia="Calisto MT" w:hAnsi="Arial" w:cs="Arial"/>
          <w:i/>
        </w:rPr>
        <w:t xml:space="preserve">Re Jamie </w:t>
      </w:r>
      <w:r w:rsidR="001F2B3D" w:rsidRPr="00590733">
        <w:rPr>
          <w:rFonts w:ascii="Arial" w:eastAsia="Calisto MT" w:hAnsi="Arial" w:cs="Arial"/>
        </w:rPr>
        <w:t>about the risks associated with treatment and if a child (who lacked capacity to consent) changed their mind after an irreversible procedure</w:t>
      </w:r>
      <w:r w:rsidR="001F2B3D" w:rsidRPr="00590733">
        <w:rPr>
          <w:rFonts w:ascii="Arial" w:eastAsia="Calisto MT" w:hAnsi="Arial" w:cs="Arial"/>
          <w:i/>
        </w:rPr>
        <w:t xml:space="preserve">. </w:t>
      </w:r>
      <w:r w:rsidR="001F2B3D" w:rsidRPr="00590733">
        <w:rPr>
          <w:rFonts w:ascii="Arial" w:eastAsia="Calisto MT" w:hAnsi="Arial" w:cs="Arial"/>
        </w:rPr>
        <w:t xml:space="preserve">The majority began their judgment by noting in careful detail the clinical criteria that underpinned a diagnosis of gender dysphoria and emphasising that it was a state of </w:t>
      </w:r>
      <w:r w:rsidR="005D3CF3">
        <w:rPr>
          <w:rFonts w:ascii="Arial" w:eastAsia="Calisto MT" w:hAnsi="Arial" w:cs="Arial"/>
        </w:rPr>
        <w:t>‘</w:t>
      </w:r>
      <w:r w:rsidR="001F2B3D" w:rsidRPr="00590733">
        <w:rPr>
          <w:rFonts w:ascii="Arial" w:eastAsia="Calisto MT" w:hAnsi="Arial" w:cs="Arial"/>
        </w:rPr>
        <w:t>distress</w:t>
      </w:r>
      <w:r w:rsidR="005D3CF3">
        <w:rPr>
          <w:rFonts w:ascii="Arial" w:eastAsia="Calisto MT" w:hAnsi="Arial" w:cs="Arial"/>
        </w:rPr>
        <w:t>’</w:t>
      </w:r>
      <w:r w:rsidR="001F2B3D" w:rsidRPr="00590733">
        <w:rPr>
          <w:rFonts w:ascii="Arial" w:eastAsia="Calisto MT" w:hAnsi="Arial" w:cs="Arial"/>
        </w:rPr>
        <w:t xml:space="preserve">, one which could </w:t>
      </w:r>
      <w:r w:rsidR="005D3CF3">
        <w:rPr>
          <w:rFonts w:ascii="Arial" w:eastAsia="Calisto MT" w:hAnsi="Arial" w:cs="Arial"/>
        </w:rPr>
        <w:t>‘</w:t>
      </w:r>
      <w:r w:rsidR="001F2B3D" w:rsidRPr="00590733">
        <w:rPr>
          <w:rFonts w:ascii="Arial" w:eastAsia="Calisto MT" w:hAnsi="Arial" w:cs="Arial"/>
        </w:rPr>
        <w:t>lead to anxiety, depression, self-harm and attempted suicide</w:t>
      </w:r>
      <w:r w:rsidR="005D3CF3">
        <w:rPr>
          <w:rFonts w:ascii="Arial" w:eastAsia="Calisto MT" w:hAnsi="Arial" w:cs="Arial"/>
        </w:rPr>
        <w:t>’</w:t>
      </w:r>
      <w:r w:rsidR="001F2B3D" w:rsidRPr="00590733">
        <w:rPr>
          <w:rFonts w:ascii="Arial" w:eastAsia="Calisto MT" w:hAnsi="Arial" w:cs="Arial"/>
        </w:rPr>
        <w:t>.</w:t>
      </w:r>
      <w:r w:rsidR="00F80C3A" w:rsidRPr="00590733">
        <w:rPr>
          <w:rStyle w:val="FootnoteReference"/>
          <w:rFonts w:ascii="Arial" w:eastAsia="Calisto MT" w:hAnsi="Arial" w:cs="Arial"/>
        </w:rPr>
        <w:footnoteReference w:id="22"/>
      </w:r>
      <w:r w:rsidR="001F2B3D" w:rsidRPr="00590733">
        <w:rPr>
          <w:rFonts w:ascii="Arial" w:eastAsia="Calisto MT" w:hAnsi="Arial" w:cs="Arial"/>
        </w:rPr>
        <w:t xml:space="preserve"> Such individual vulnerabilities were alleviated by medical and legal care: distress over one’s gender could be addressed with medical affirmation</w:t>
      </w:r>
      <w:r w:rsidR="00655209" w:rsidRPr="00590733">
        <w:rPr>
          <w:rFonts w:ascii="Arial" w:eastAsia="Calisto MT" w:hAnsi="Arial" w:cs="Arial"/>
        </w:rPr>
        <w:t xml:space="preserve"> </w:t>
      </w:r>
      <w:r w:rsidR="001F2B3D" w:rsidRPr="00590733">
        <w:rPr>
          <w:rFonts w:ascii="Arial" w:eastAsia="Calisto MT" w:hAnsi="Arial" w:cs="Arial"/>
        </w:rPr>
        <w:t xml:space="preserve">and legal recognition of that gender identity. These general statements about their therapeutic value were then connected to Kelvin’s particular situation. Thackray, Strickland, and Murphy JJ writing as the majority noted how the medical interventions he had been able to access so far had improved his mental health and that </w:t>
      </w:r>
      <w:r w:rsidR="00655209" w:rsidRPr="00590733">
        <w:rPr>
          <w:rFonts w:ascii="Arial" w:eastAsia="Calisto MT" w:hAnsi="Arial" w:cs="Arial"/>
        </w:rPr>
        <w:t>hormone</w:t>
      </w:r>
      <w:r w:rsidR="001F2B3D" w:rsidRPr="00590733">
        <w:rPr>
          <w:rFonts w:ascii="Arial" w:eastAsia="Calisto MT" w:hAnsi="Arial" w:cs="Arial"/>
        </w:rPr>
        <w:t xml:space="preserve"> treatment would offer another means to </w:t>
      </w:r>
      <w:r w:rsidR="005D3CF3">
        <w:rPr>
          <w:rFonts w:ascii="Arial" w:eastAsia="Calisto MT" w:hAnsi="Arial" w:cs="Arial"/>
        </w:rPr>
        <w:t>‘</w:t>
      </w:r>
      <w:r w:rsidR="001F2B3D" w:rsidRPr="00590733">
        <w:rPr>
          <w:rFonts w:ascii="Arial" w:eastAsia="Calisto MT" w:hAnsi="Arial" w:cs="Arial"/>
        </w:rPr>
        <w:t>relieve his suffering</w:t>
      </w:r>
      <w:r w:rsidR="005D3CF3">
        <w:rPr>
          <w:rFonts w:ascii="Arial" w:eastAsia="Calisto MT" w:hAnsi="Arial" w:cs="Arial"/>
        </w:rPr>
        <w:t>’</w:t>
      </w:r>
      <w:r w:rsidR="001F2B3D" w:rsidRPr="00590733">
        <w:rPr>
          <w:rFonts w:ascii="Arial" w:eastAsia="Calisto MT" w:hAnsi="Arial" w:cs="Arial"/>
        </w:rPr>
        <w:t>.</w:t>
      </w:r>
      <w:r w:rsidR="00F80C3A" w:rsidRPr="00590733">
        <w:rPr>
          <w:rStyle w:val="FootnoteReference"/>
          <w:rFonts w:ascii="Arial" w:eastAsia="Calisto MT" w:hAnsi="Arial" w:cs="Arial"/>
        </w:rPr>
        <w:footnoteReference w:id="23"/>
      </w:r>
      <w:r w:rsidR="001F2B3D" w:rsidRPr="00590733">
        <w:rPr>
          <w:rFonts w:ascii="Arial" w:eastAsia="Calisto MT" w:hAnsi="Arial" w:cs="Arial"/>
        </w:rPr>
        <w:t xml:space="preserve"> In making these statements, the Court departed significantly from Nicholson J’s initial concern in </w:t>
      </w:r>
      <w:r w:rsidR="001F2B3D" w:rsidRPr="00590733">
        <w:rPr>
          <w:rFonts w:ascii="Arial" w:eastAsia="Calisto MT" w:hAnsi="Arial" w:cs="Arial"/>
          <w:i/>
        </w:rPr>
        <w:t>Re Alex</w:t>
      </w:r>
      <w:r w:rsidR="001F2B3D" w:rsidRPr="00590733">
        <w:rPr>
          <w:rFonts w:ascii="Arial" w:eastAsia="Calisto MT" w:hAnsi="Arial" w:cs="Arial"/>
        </w:rPr>
        <w:t xml:space="preserve"> about characterising trans subjectivity in terms of </w:t>
      </w:r>
      <w:r w:rsidR="005D3CF3">
        <w:rPr>
          <w:rFonts w:ascii="Arial" w:eastAsia="Calisto MT" w:hAnsi="Arial" w:cs="Arial"/>
        </w:rPr>
        <w:t>‘</w:t>
      </w:r>
      <w:r w:rsidR="00F80C3A" w:rsidRPr="00590733">
        <w:rPr>
          <w:rFonts w:ascii="Arial" w:eastAsia="Calisto MT" w:hAnsi="Arial" w:cs="Arial"/>
        </w:rPr>
        <w:t>d</w:t>
      </w:r>
      <w:r w:rsidR="001F2B3D" w:rsidRPr="00590733">
        <w:rPr>
          <w:rFonts w:ascii="Arial" w:eastAsia="Calisto MT" w:hAnsi="Arial" w:cs="Arial"/>
        </w:rPr>
        <w:t>isorder</w:t>
      </w:r>
      <w:r w:rsidR="005D3CF3">
        <w:rPr>
          <w:rFonts w:ascii="Arial" w:eastAsia="Calisto MT" w:hAnsi="Arial" w:cs="Arial"/>
        </w:rPr>
        <w:t>’</w:t>
      </w:r>
      <w:r w:rsidR="001F2B3D" w:rsidRPr="00590733">
        <w:rPr>
          <w:rFonts w:ascii="Arial" w:eastAsia="Calisto MT" w:hAnsi="Arial" w:cs="Arial"/>
        </w:rPr>
        <w:t xml:space="preserve"> or </w:t>
      </w:r>
      <w:r w:rsidR="005D3CF3">
        <w:rPr>
          <w:rFonts w:ascii="Arial" w:eastAsia="Calisto MT" w:hAnsi="Arial" w:cs="Arial"/>
        </w:rPr>
        <w:t>‘</w:t>
      </w:r>
      <w:r w:rsidR="001F2B3D" w:rsidRPr="00590733">
        <w:rPr>
          <w:rFonts w:ascii="Arial" w:eastAsia="Calisto MT" w:hAnsi="Arial" w:cs="Arial"/>
        </w:rPr>
        <w:t>malfunction</w:t>
      </w:r>
      <w:r w:rsidR="005D3CF3">
        <w:rPr>
          <w:rFonts w:ascii="Arial" w:eastAsia="Calisto MT" w:hAnsi="Arial" w:cs="Arial"/>
        </w:rPr>
        <w:t>’</w:t>
      </w:r>
      <w:r w:rsidR="001F2B3D" w:rsidRPr="00590733">
        <w:rPr>
          <w:rFonts w:ascii="Arial" w:eastAsia="Calisto MT" w:hAnsi="Arial" w:cs="Arial"/>
        </w:rPr>
        <w:t xml:space="preserve">. The Court made space to affirm Kelvin’s gender identity but only to the extent that his gender identity was governed by prevailing medical and psychological norms. </w:t>
      </w:r>
    </w:p>
    <w:p w14:paraId="1BBD5783" w14:textId="4C12D025" w:rsidR="00CB4A71" w:rsidRPr="00590733" w:rsidRDefault="001F2B3D" w:rsidP="00590733">
      <w:pPr>
        <w:spacing w:line="276" w:lineRule="auto"/>
        <w:ind w:firstLine="720"/>
        <w:rPr>
          <w:rFonts w:ascii="Arial" w:eastAsia="Calisto MT" w:hAnsi="Arial" w:cs="Arial"/>
        </w:rPr>
      </w:pPr>
      <w:r w:rsidRPr="00590733">
        <w:rPr>
          <w:rFonts w:ascii="Arial" w:eastAsia="Calisto MT" w:hAnsi="Arial" w:cs="Arial"/>
        </w:rPr>
        <w:t>The decisions relating to the medical treatment of trans children</w:t>
      </w:r>
      <w:r w:rsidR="00964EA1" w:rsidRPr="00590733">
        <w:rPr>
          <w:rFonts w:ascii="Arial" w:eastAsia="Calisto MT" w:hAnsi="Arial" w:cs="Arial"/>
        </w:rPr>
        <w:t xml:space="preserve"> </w:t>
      </w:r>
      <w:r w:rsidRPr="00590733">
        <w:rPr>
          <w:rFonts w:ascii="Arial" w:eastAsia="Calisto MT" w:hAnsi="Arial" w:cs="Arial"/>
        </w:rPr>
        <w:t xml:space="preserve">make palpable the disparate ways </w:t>
      </w:r>
      <w:r w:rsidR="005D3CF3">
        <w:rPr>
          <w:rFonts w:ascii="Arial" w:eastAsia="Calisto MT" w:hAnsi="Arial" w:cs="Arial"/>
        </w:rPr>
        <w:t xml:space="preserve">that </w:t>
      </w:r>
      <w:r w:rsidRPr="00590733">
        <w:rPr>
          <w:rFonts w:ascii="Arial" w:eastAsia="Calisto MT" w:hAnsi="Arial" w:cs="Arial"/>
        </w:rPr>
        <w:t xml:space="preserve">anxiety and care ultimately shape the recognition of gender identity of young </w:t>
      </w:r>
      <w:r w:rsidR="00655209" w:rsidRPr="00590733">
        <w:rPr>
          <w:rFonts w:ascii="Arial" w:eastAsia="Calisto MT" w:hAnsi="Arial" w:cs="Arial"/>
        </w:rPr>
        <w:t xml:space="preserve">trans </w:t>
      </w:r>
      <w:r w:rsidRPr="00590733">
        <w:rPr>
          <w:rFonts w:ascii="Arial" w:eastAsia="Calisto MT" w:hAnsi="Arial" w:cs="Arial"/>
        </w:rPr>
        <w:t xml:space="preserve">people along with their capacity to consent to medical treatment. On one hand, the court is concerned about the health and wellbeing of trans minors and seeks, where possible, to give effect to the voices of </w:t>
      </w:r>
      <w:r w:rsidR="00655209" w:rsidRPr="00590733">
        <w:rPr>
          <w:rFonts w:ascii="Arial" w:eastAsia="Calisto MT" w:hAnsi="Arial" w:cs="Arial"/>
        </w:rPr>
        <w:t xml:space="preserve">young </w:t>
      </w:r>
      <w:r w:rsidRPr="00590733">
        <w:rPr>
          <w:rFonts w:ascii="Arial" w:eastAsia="Calisto MT" w:hAnsi="Arial" w:cs="Arial"/>
        </w:rPr>
        <w:t xml:space="preserve">trans people through caring judgments that affirm the therapeutic necessity of medical transition to </w:t>
      </w:r>
      <w:r w:rsidR="005D3CF3">
        <w:rPr>
          <w:rFonts w:ascii="Arial" w:eastAsia="Calisto MT" w:hAnsi="Arial" w:cs="Arial"/>
        </w:rPr>
        <w:t>‘</w:t>
      </w:r>
      <w:r w:rsidRPr="00590733">
        <w:rPr>
          <w:rFonts w:ascii="Arial" w:eastAsia="Calisto MT" w:hAnsi="Arial" w:cs="Arial"/>
        </w:rPr>
        <w:t>cure</w:t>
      </w:r>
      <w:r w:rsidR="005D3CF3">
        <w:rPr>
          <w:rFonts w:ascii="Arial" w:eastAsia="Calisto MT" w:hAnsi="Arial" w:cs="Arial"/>
        </w:rPr>
        <w:t>’</w:t>
      </w:r>
      <w:r w:rsidRPr="00590733">
        <w:rPr>
          <w:rFonts w:ascii="Arial" w:eastAsia="Calisto MT" w:hAnsi="Arial" w:cs="Arial"/>
        </w:rPr>
        <w:t xml:space="preserve"> gender dysphoria. On the other hand, young </w:t>
      </w:r>
      <w:r w:rsidR="00655209" w:rsidRPr="00590733">
        <w:rPr>
          <w:rFonts w:ascii="Arial" w:eastAsia="Calisto MT" w:hAnsi="Arial" w:cs="Arial"/>
        </w:rPr>
        <w:t xml:space="preserve">trans </w:t>
      </w:r>
      <w:r w:rsidRPr="00590733">
        <w:rPr>
          <w:rFonts w:ascii="Arial" w:eastAsia="Calisto MT" w:hAnsi="Arial" w:cs="Arial"/>
        </w:rPr>
        <w:t>people must alleviate the court’s anxiety, that they may change their minds in the future, by subscribing to a psychological truth about their gender and demonstrate this truth by performing particular gender stereotypes associated with that gender (which include their toy, clothing and bodily preferences)</w:t>
      </w:r>
      <w:r w:rsidR="00655209" w:rsidRPr="00590733">
        <w:rPr>
          <w:rFonts w:ascii="Arial" w:eastAsia="Calisto MT" w:hAnsi="Arial" w:cs="Arial"/>
        </w:rPr>
        <w:t xml:space="preserve">. </w:t>
      </w:r>
      <w:r w:rsidR="00CB4A71" w:rsidRPr="00590733">
        <w:rPr>
          <w:rFonts w:ascii="Arial" w:eastAsia="Calisto MT" w:hAnsi="Arial" w:cs="Arial"/>
        </w:rPr>
        <w:t>We need courts to deal with their</w:t>
      </w:r>
      <w:r w:rsidR="00BB475D">
        <w:rPr>
          <w:rFonts w:ascii="Arial" w:eastAsia="Calisto MT" w:hAnsi="Arial" w:cs="Arial"/>
        </w:rPr>
        <w:t xml:space="preserve"> own </w:t>
      </w:r>
      <w:r w:rsidR="00CB4A71" w:rsidRPr="00590733">
        <w:rPr>
          <w:rFonts w:ascii="Arial" w:eastAsia="Calisto MT" w:hAnsi="Arial" w:cs="Arial"/>
        </w:rPr>
        <w:t xml:space="preserve">anxieties if </w:t>
      </w:r>
      <w:r w:rsidR="00655209" w:rsidRPr="00590733">
        <w:rPr>
          <w:rFonts w:ascii="Arial" w:eastAsia="Calisto MT" w:hAnsi="Arial" w:cs="Arial"/>
        </w:rPr>
        <w:t>they</w:t>
      </w:r>
      <w:r w:rsidR="00CB4A71" w:rsidRPr="00590733">
        <w:rPr>
          <w:rFonts w:ascii="Arial" w:eastAsia="Calisto MT" w:hAnsi="Arial" w:cs="Arial"/>
        </w:rPr>
        <w:t xml:space="preserve"> are to make room to affirm trans and non-binary children who refuse to fit binary categories of gender. </w:t>
      </w:r>
    </w:p>
    <w:p w14:paraId="49D30040" w14:textId="77777777" w:rsidR="001B4A48" w:rsidRPr="00590733" w:rsidRDefault="001B4A48" w:rsidP="00590733">
      <w:pPr>
        <w:spacing w:line="276" w:lineRule="auto"/>
        <w:ind w:firstLine="720"/>
        <w:rPr>
          <w:rFonts w:ascii="Arial" w:hAnsi="Arial" w:cs="Arial"/>
        </w:rPr>
      </w:pPr>
    </w:p>
    <w:p w14:paraId="3EBD71EA" w14:textId="630F21B4" w:rsidR="00CB4A71" w:rsidRPr="00B04368" w:rsidRDefault="006E6E9A" w:rsidP="00590733">
      <w:pPr>
        <w:spacing w:line="276" w:lineRule="auto"/>
        <w:rPr>
          <w:rFonts w:ascii="Arial" w:hAnsi="Arial" w:cs="Arial"/>
          <w:b/>
          <w:bCs/>
          <w:lang w:val="en-AU"/>
        </w:rPr>
      </w:pPr>
      <w:r w:rsidRPr="00B04368">
        <w:rPr>
          <w:rFonts w:ascii="Arial" w:hAnsi="Arial" w:cs="Arial"/>
          <w:b/>
          <w:bCs/>
          <w:lang w:val="en-AU"/>
        </w:rPr>
        <w:t>Hold back on the</w:t>
      </w:r>
      <w:r w:rsidR="00467B57" w:rsidRPr="00B04368">
        <w:rPr>
          <w:rFonts w:ascii="Arial" w:hAnsi="Arial" w:cs="Arial"/>
          <w:b/>
          <w:bCs/>
          <w:lang w:val="en-AU"/>
        </w:rPr>
        <w:t xml:space="preserve"> pity</w:t>
      </w:r>
      <w:r w:rsidR="00CB4A71" w:rsidRPr="00B04368">
        <w:rPr>
          <w:rFonts w:ascii="Arial" w:hAnsi="Arial" w:cs="Arial"/>
          <w:b/>
          <w:bCs/>
          <w:lang w:val="en-AU"/>
        </w:rPr>
        <w:t xml:space="preserve"> </w:t>
      </w:r>
      <w:r w:rsidRPr="00B04368">
        <w:rPr>
          <w:rFonts w:ascii="Arial" w:hAnsi="Arial" w:cs="Arial"/>
          <w:b/>
          <w:bCs/>
          <w:lang w:val="en-AU"/>
        </w:rPr>
        <w:t>and</w:t>
      </w:r>
      <w:r w:rsidR="00CB4A71" w:rsidRPr="00B04368">
        <w:rPr>
          <w:rFonts w:ascii="Arial" w:hAnsi="Arial" w:cs="Arial"/>
          <w:b/>
          <w:bCs/>
          <w:lang w:val="en-AU"/>
        </w:rPr>
        <w:t xml:space="preserve"> compassion</w:t>
      </w:r>
    </w:p>
    <w:p w14:paraId="04C7EF9C" w14:textId="1A4CFF59" w:rsidR="00CB4A71" w:rsidRPr="00590733" w:rsidRDefault="00CB4A71" w:rsidP="00590733">
      <w:pPr>
        <w:spacing w:line="276" w:lineRule="auto"/>
        <w:rPr>
          <w:rFonts w:ascii="Arial" w:hAnsi="Arial" w:cs="Arial"/>
          <w:lang w:val="en-AU"/>
        </w:rPr>
      </w:pPr>
      <w:r w:rsidRPr="00590733">
        <w:rPr>
          <w:rFonts w:ascii="Arial" w:eastAsia="Calisto MT" w:hAnsi="Arial" w:cs="Arial"/>
        </w:rPr>
        <w:t>Intersex people also endure a problematic mix of anxiety, pity</w:t>
      </w:r>
      <w:r w:rsidR="00F8423B">
        <w:rPr>
          <w:rFonts w:ascii="Arial" w:eastAsia="Calisto MT" w:hAnsi="Arial" w:cs="Arial"/>
        </w:rPr>
        <w:t>,</w:t>
      </w:r>
      <w:r w:rsidRPr="00590733">
        <w:rPr>
          <w:rFonts w:ascii="Arial" w:eastAsia="Calisto MT" w:hAnsi="Arial" w:cs="Arial"/>
        </w:rPr>
        <w:t xml:space="preserve"> and compassion. Pathologised as a </w:t>
      </w:r>
      <w:r w:rsidR="005D3CF3">
        <w:rPr>
          <w:rFonts w:ascii="Arial" w:eastAsia="Calisto MT" w:hAnsi="Arial" w:cs="Arial"/>
        </w:rPr>
        <w:t>‘</w:t>
      </w:r>
      <w:r w:rsidRPr="00590733">
        <w:rPr>
          <w:rFonts w:ascii="Arial" w:eastAsia="Calisto MT" w:hAnsi="Arial" w:cs="Arial"/>
        </w:rPr>
        <w:t>disorder of sexual development</w:t>
      </w:r>
      <w:r w:rsidR="005D3CF3">
        <w:rPr>
          <w:rFonts w:ascii="Arial" w:eastAsia="Calisto MT" w:hAnsi="Arial" w:cs="Arial"/>
        </w:rPr>
        <w:t>’,</w:t>
      </w:r>
      <w:r w:rsidRPr="00590733">
        <w:rPr>
          <w:rFonts w:ascii="Arial" w:eastAsia="Calisto MT" w:hAnsi="Arial" w:cs="Arial"/>
        </w:rPr>
        <w:t xml:space="preserve"> the medicalisation of intersex bodies reveals how social anxieties over indeterminacy render infants susceptible to coercive</w:t>
      </w:r>
      <w:r w:rsidR="00655209" w:rsidRPr="00590733">
        <w:rPr>
          <w:rFonts w:ascii="Arial" w:eastAsia="Calisto MT" w:hAnsi="Arial" w:cs="Arial"/>
        </w:rPr>
        <w:t>,</w:t>
      </w:r>
      <w:r w:rsidRPr="00590733">
        <w:rPr>
          <w:rFonts w:ascii="Arial" w:eastAsia="Calisto MT" w:hAnsi="Arial" w:cs="Arial"/>
        </w:rPr>
        <w:t xml:space="preserve"> non-therapeutic surgical interventions. In other words, surgical interventions are legally </w:t>
      </w:r>
      <w:r w:rsidRPr="008173C7">
        <w:rPr>
          <w:rFonts w:ascii="Arial" w:eastAsia="Calisto MT" w:hAnsi="Arial" w:cs="Arial"/>
        </w:rPr>
        <w:t xml:space="preserve">permissible without consent or oversight because they are compassionately desirable to </w:t>
      </w:r>
      <w:r w:rsidR="005D3CF3" w:rsidRPr="008173C7">
        <w:rPr>
          <w:rFonts w:ascii="Arial" w:eastAsia="Calisto MT" w:hAnsi="Arial" w:cs="Arial"/>
        </w:rPr>
        <w:t>‘</w:t>
      </w:r>
      <w:r w:rsidRPr="008173C7">
        <w:rPr>
          <w:rFonts w:ascii="Arial" w:eastAsia="Calisto MT" w:hAnsi="Arial" w:cs="Arial"/>
        </w:rPr>
        <w:t>repair</w:t>
      </w:r>
      <w:r w:rsidR="005D3CF3" w:rsidRPr="008173C7">
        <w:rPr>
          <w:rFonts w:ascii="Arial" w:eastAsia="Calisto MT" w:hAnsi="Arial" w:cs="Arial"/>
        </w:rPr>
        <w:t>’</w:t>
      </w:r>
      <w:r w:rsidRPr="00590733">
        <w:rPr>
          <w:rFonts w:ascii="Arial" w:eastAsia="Calisto MT" w:hAnsi="Arial" w:cs="Arial"/>
        </w:rPr>
        <w:t xml:space="preserve"> bodies with obscure, mixed or absent sex to make them appear </w:t>
      </w:r>
      <w:r w:rsidR="00A86E9F" w:rsidRPr="00590733">
        <w:rPr>
          <w:rFonts w:ascii="Arial" w:eastAsia="Calisto MT" w:hAnsi="Arial" w:cs="Arial"/>
        </w:rPr>
        <w:t>functionally</w:t>
      </w:r>
      <w:r w:rsidRPr="00590733">
        <w:rPr>
          <w:rFonts w:ascii="Arial" w:eastAsia="Calisto MT" w:hAnsi="Arial" w:cs="Arial"/>
        </w:rPr>
        <w:t xml:space="preserve"> </w:t>
      </w:r>
      <w:r w:rsidR="008173C7">
        <w:rPr>
          <w:rFonts w:ascii="Arial" w:eastAsia="Calisto MT" w:hAnsi="Arial" w:cs="Arial"/>
        </w:rPr>
        <w:t>‘</w:t>
      </w:r>
      <w:r w:rsidRPr="00590733">
        <w:rPr>
          <w:rFonts w:ascii="Arial" w:eastAsia="Calisto MT" w:hAnsi="Arial" w:cs="Arial"/>
        </w:rPr>
        <w:t>normal</w:t>
      </w:r>
      <w:r w:rsidR="008173C7">
        <w:rPr>
          <w:rFonts w:ascii="Arial" w:eastAsia="Calisto MT" w:hAnsi="Arial" w:cs="Arial"/>
        </w:rPr>
        <w:t>’</w:t>
      </w:r>
      <w:r w:rsidRPr="00590733">
        <w:rPr>
          <w:rFonts w:ascii="Arial" w:eastAsia="Calisto MT" w:hAnsi="Arial" w:cs="Arial"/>
        </w:rPr>
        <w:t>.</w:t>
      </w:r>
      <w:r w:rsidRPr="00590733">
        <w:rPr>
          <w:rStyle w:val="FootnoteReference"/>
          <w:rFonts w:ascii="Arial" w:eastAsia="Calisto MT" w:hAnsi="Arial" w:cs="Arial"/>
        </w:rPr>
        <w:footnoteReference w:id="24"/>
      </w:r>
      <w:r w:rsidRPr="00590733">
        <w:rPr>
          <w:rFonts w:ascii="Arial" w:eastAsia="Calisto MT" w:hAnsi="Arial" w:cs="Arial"/>
        </w:rPr>
        <w:t xml:space="preserve"> Physical health, however, is rarely the </w:t>
      </w:r>
      <w:r w:rsidRPr="00590733">
        <w:rPr>
          <w:rFonts w:ascii="Arial" w:eastAsia="Calisto MT" w:hAnsi="Arial" w:cs="Arial"/>
        </w:rPr>
        <w:lastRenderedPageBreak/>
        <w:t xml:space="preserve">primary concern when deciding on treatment methods. Most surgical decisions are based on whether a penis will appear </w:t>
      </w:r>
      <w:r w:rsidR="008173C7">
        <w:rPr>
          <w:rFonts w:ascii="Arial" w:eastAsia="Calisto MT" w:hAnsi="Arial" w:cs="Arial"/>
        </w:rPr>
        <w:t>‘</w:t>
      </w:r>
      <w:r w:rsidRPr="00590733">
        <w:rPr>
          <w:rFonts w:ascii="Arial" w:eastAsia="Calisto MT" w:hAnsi="Arial" w:cs="Arial"/>
        </w:rPr>
        <w:t>normal</w:t>
      </w:r>
      <w:r w:rsidR="008173C7">
        <w:rPr>
          <w:rFonts w:ascii="Arial" w:eastAsia="Calisto MT" w:hAnsi="Arial" w:cs="Arial"/>
        </w:rPr>
        <w:t>’</w:t>
      </w:r>
      <w:r w:rsidRPr="00590733">
        <w:rPr>
          <w:rFonts w:ascii="Arial" w:eastAsia="Calisto MT" w:hAnsi="Arial" w:cs="Arial"/>
        </w:rPr>
        <w:t xml:space="preserve"> to others or whether a vagina will be </w:t>
      </w:r>
      <w:r w:rsidR="008173C7">
        <w:rPr>
          <w:rFonts w:ascii="Arial" w:eastAsia="Calisto MT" w:hAnsi="Arial" w:cs="Arial"/>
        </w:rPr>
        <w:t>‘</w:t>
      </w:r>
      <w:r w:rsidRPr="00590733">
        <w:rPr>
          <w:rFonts w:ascii="Arial" w:eastAsia="Calisto MT" w:hAnsi="Arial" w:cs="Arial"/>
        </w:rPr>
        <w:t>penetrable</w:t>
      </w:r>
      <w:r w:rsidR="008173C7">
        <w:rPr>
          <w:rFonts w:ascii="Arial" w:eastAsia="Calisto MT" w:hAnsi="Arial" w:cs="Arial"/>
        </w:rPr>
        <w:t>’</w:t>
      </w:r>
      <w:r w:rsidRPr="00590733">
        <w:rPr>
          <w:rFonts w:ascii="Arial" w:eastAsia="Calisto MT" w:hAnsi="Arial" w:cs="Arial"/>
        </w:rPr>
        <w:t xml:space="preserve"> and therefore capable of functioning in heterosexual intercourse. While there is no unanimity to medical criteria to determine sex or consistency in approach among surgeons seeking to intervene, what is clear is that clinical decision-making becomes an anxious exercise in fashioning social, rather than physical, wellbeing.</w:t>
      </w:r>
      <w:r w:rsidRPr="00590733">
        <w:rPr>
          <w:rStyle w:val="FootnoteReference"/>
          <w:rFonts w:ascii="Arial" w:eastAsia="Calisto MT" w:hAnsi="Arial" w:cs="Arial"/>
        </w:rPr>
        <w:footnoteReference w:id="25"/>
      </w:r>
      <w:r w:rsidRPr="00590733">
        <w:rPr>
          <w:rFonts w:ascii="Arial" w:eastAsia="Calisto MT" w:hAnsi="Arial" w:cs="Arial"/>
        </w:rPr>
        <w:t xml:space="preserve"> </w:t>
      </w:r>
    </w:p>
    <w:p w14:paraId="053FDFBC" w14:textId="279D9865" w:rsidR="00655209" w:rsidRPr="00590733" w:rsidRDefault="00CB4A71" w:rsidP="00590733">
      <w:pPr>
        <w:spacing w:line="276" w:lineRule="auto"/>
        <w:ind w:firstLine="720"/>
        <w:rPr>
          <w:rFonts w:ascii="Arial" w:eastAsia="Calisto MT" w:hAnsi="Arial" w:cs="Arial"/>
        </w:rPr>
      </w:pPr>
      <w:r w:rsidRPr="00590733">
        <w:rPr>
          <w:rFonts w:ascii="Arial" w:eastAsia="Calisto MT" w:hAnsi="Arial" w:cs="Arial"/>
        </w:rPr>
        <w:t xml:space="preserve">Medical anxieties function </w:t>
      </w:r>
      <w:r w:rsidR="00655209" w:rsidRPr="00590733">
        <w:rPr>
          <w:rFonts w:ascii="Arial" w:eastAsia="Calisto MT" w:hAnsi="Arial" w:cs="Arial"/>
        </w:rPr>
        <w:t>in the absence of</w:t>
      </w:r>
      <w:r w:rsidRPr="00590733">
        <w:rPr>
          <w:rFonts w:ascii="Arial" w:eastAsia="Calisto MT" w:hAnsi="Arial" w:cs="Arial"/>
        </w:rPr>
        <w:t xml:space="preserve"> legal</w:t>
      </w:r>
      <w:r w:rsidR="00655209" w:rsidRPr="00590733">
        <w:rPr>
          <w:rFonts w:ascii="Arial" w:eastAsia="Calisto MT" w:hAnsi="Arial" w:cs="Arial"/>
        </w:rPr>
        <w:t xml:space="preserve"> regulation as</w:t>
      </w:r>
      <w:r w:rsidRPr="00590733">
        <w:rPr>
          <w:rFonts w:ascii="Arial" w:eastAsia="Calisto MT" w:hAnsi="Arial" w:cs="Arial"/>
        </w:rPr>
        <w:t xml:space="preserve"> </w:t>
      </w:r>
      <w:r w:rsidR="008173C7">
        <w:rPr>
          <w:rFonts w:ascii="Arial" w:eastAsia="Calisto MT" w:hAnsi="Arial" w:cs="Arial"/>
        </w:rPr>
        <w:t>‘</w:t>
      </w:r>
      <w:r w:rsidRPr="00590733">
        <w:rPr>
          <w:rFonts w:ascii="Arial" w:eastAsia="Calisto MT" w:hAnsi="Arial" w:cs="Arial"/>
        </w:rPr>
        <w:t>authority</w:t>
      </w:r>
      <w:r w:rsidR="008173C7">
        <w:rPr>
          <w:rFonts w:ascii="Arial" w:eastAsia="Calisto MT" w:hAnsi="Arial" w:cs="Arial"/>
        </w:rPr>
        <w:t>’</w:t>
      </w:r>
      <w:r w:rsidRPr="00590733">
        <w:rPr>
          <w:rFonts w:ascii="Arial" w:eastAsia="Calisto MT" w:hAnsi="Arial" w:cs="Arial"/>
        </w:rPr>
        <w:t xml:space="preserve"> to conceal the ways clinicians </w:t>
      </w:r>
      <w:r w:rsidR="00655209" w:rsidRPr="00590733">
        <w:rPr>
          <w:rFonts w:ascii="Arial" w:eastAsia="Calisto MT" w:hAnsi="Arial" w:cs="Arial"/>
        </w:rPr>
        <w:t>push an ideological agenda about gender</w:t>
      </w:r>
      <w:r w:rsidRPr="00590733">
        <w:rPr>
          <w:rFonts w:ascii="Arial" w:eastAsia="Calisto MT" w:hAnsi="Arial" w:cs="Arial"/>
        </w:rPr>
        <w:t xml:space="preserve"> under the guise of patient care. The wishes of intersex people in relation to their health or wellbeing become secondary to a broader medical narrative that refuses to imagine </w:t>
      </w:r>
      <w:r w:rsidR="00655209" w:rsidRPr="00590733">
        <w:rPr>
          <w:rFonts w:ascii="Arial" w:eastAsia="Calisto MT" w:hAnsi="Arial" w:cs="Arial"/>
        </w:rPr>
        <w:t>bodily</w:t>
      </w:r>
      <w:r w:rsidRPr="00590733">
        <w:rPr>
          <w:rFonts w:ascii="Arial" w:eastAsia="Calisto MT" w:hAnsi="Arial" w:cs="Arial"/>
        </w:rPr>
        <w:t xml:space="preserve"> diversity </w:t>
      </w:r>
      <w:r w:rsidR="008173C7">
        <w:rPr>
          <w:rFonts w:ascii="Arial" w:eastAsia="Calisto MT" w:hAnsi="Arial" w:cs="Arial"/>
        </w:rPr>
        <w:t>which</w:t>
      </w:r>
      <w:r w:rsidRPr="00590733">
        <w:rPr>
          <w:rFonts w:ascii="Arial" w:eastAsia="Calisto MT" w:hAnsi="Arial" w:cs="Arial"/>
        </w:rPr>
        <w:t xml:space="preserve"> threatens the coherence of social systems that determine sex through the reproductive pair</w:t>
      </w:r>
      <w:r w:rsidR="00655209" w:rsidRPr="00590733">
        <w:rPr>
          <w:rFonts w:ascii="Arial" w:eastAsia="Calisto MT" w:hAnsi="Arial" w:cs="Arial"/>
        </w:rPr>
        <w:t>ing</w:t>
      </w:r>
      <w:r w:rsidRPr="00590733">
        <w:rPr>
          <w:rFonts w:ascii="Arial" w:eastAsia="Calisto MT" w:hAnsi="Arial" w:cs="Arial"/>
        </w:rPr>
        <w:t xml:space="preserve"> of male/female. </w:t>
      </w:r>
    </w:p>
    <w:p w14:paraId="7E76DB47" w14:textId="7D619DC9" w:rsidR="00467B57" w:rsidRPr="00590733" w:rsidRDefault="00CB4A71" w:rsidP="00590733">
      <w:pPr>
        <w:spacing w:line="276" w:lineRule="auto"/>
        <w:ind w:firstLine="720"/>
        <w:rPr>
          <w:rFonts w:ascii="Arial" w:hAnsi="Arial" w:cs="Arial"/>
          <w:lang w:val="en-AU"/>
        </w:rPr>
      </w:pPr>
      <w:r w:rsidRPr="00590733">
        <w:rPr>
          <w:rFonts w:ascii="Arial" w:eastAsia="Calisto MT" w:hAnsi="Arial" w:cs="Arial"/>
        </w:rPr>
        <w:t xml:space="preserve">Law makes this permissible through its silence and refusal to legislate. For us to challenge this, we need to ensure law is able to stop privileging </w:t>
      </w:r>
      <w:r w:rsidR="00655209" w:rsidRPr="00590733">
        <w:rPr>
          <w:rFonts w:ascii="Arial" w:eastAsia="Calisto MT" w:hAnsi="Arial" w:cs="Arial"/>
        </w:rPr>
        <w:t>gender</w:t>
      </w:r>
      <w:r w:rsidRPr="00590733">
        <w:rPr>
          <w:rFonts w:ascii="Arial" w:eastAsia="Calisto MT" w:hAnsi="Arial" w:cs="Arial"/>
        </w:rPr>
        <w:t xml:space="preserve"> anxieties of medical practitioners (and to some extent the parents of intersex children) and their </w:t>
      </w:r>
      <w:r w:rsidR="008173C7">
        <w:rPr>
          <w:rFonts w:ascii="Arial" w:eastAsia="Calisto MT" w:hAnsi="Arial" w:cs="Arial"/>
        </w:rPr>
        <w:t>‘</w:t>
      </w:r>
      <w:r w:rsidRPr="00590733">
        <w:rPr>
          <w:rFonts w:ascii="Arial" w:eastAsia="Calisto MT" w:hAnsi="Arial" w:cs="Arial"/>
        </w:rPr>
        <w:t>compassionate</w:t>
      </w:r>
      <w:r w:rsidR="008173C7">
        <w:rPr>
          <w:rFonts w:ascii="Arial" w:eastAsia="Calisto MT" w:hAnsi="Arial" w:cs="Arial"/>
        </w:rPr>
        <w:t>’</w:t>
      </w:r>
      <w:r w:rsidRPr="00590733">
        <w:rPr>
          <w:rFonts w:ascii="Arial" w:eastAsia="Calisto MT" w:hAnsi="Arial" w:cs="Arial"/>
        </w:rPr>
        <w:t xml:space="preserve"> interventions above the needs and desires of intersex people who seek to protect their bodily integrity and ability to make informed decisions. </w:t>
      </w:r>
    </w:p>
    <w:p w14:paraId="30C72489" w14:textId="77777777" w:rsidR="00467B57" w:rsidRPr="00590733" w:rsidRDefault="00467B57" w:rsidP="00590733">
      <w:pPr>
        <w:spacing w:line="276" w:lineRule="auto"/>
        <w:rPr>
          <w:rFonts w:ascii="Arial" w:hAnsi="Arial" w:cs="Arial"/>
          <w:lang w:val="en-AU"/>
        </w:rPr>
      </w:pPr>
    </w:p>
    <w:p w14:paraId="62D16B6B" w14:textId="77777777" w:rsidR="00467B57" w:rsidRPr="00B04368" w:rsidRDefault="00467B57" w:rsidP="00590733">
      <w:pPr>
        <w:spacing w:line="276" w:lineRule="auto"/>
        <w:rPr>
          <w:rFonts w:ascii="Arial" w:hAnsi="Arial" w:cs="Arial"/>
          <w:b/>
          <w:bCs/>
          <w:lang w:val="en-AU"/>
        </w:rPr>
      </w:pPr>
      <w:r w:rsidRPr="00B04368">
        <w:rPr>
          <w:rFonts w:ascii="Arial" w:hAnsi="Arial" w:cs="Arial"/>
          <w:b/>
          <w:bCs/>
          <w:lang w:val="en-AU"/>
        </w:rPr>
        <w:t>#LoveWins</w:t>
      </w:r>
    </w:p>
    <w:p w14:paraId="1712C4EF" w14:textId="77777777" w:rsidR="00580D14" w:rsidRPr="00590733" w:rsidRDefault="00336AA6" w:rsidP="00590733">
      <w:pPr>
        <w:spacing w:line="276" w:lineRule="auto"/>
        <w:rPr>
          <w:rFonts w:ascii="Arial" w:hAnsi="Arial" w:cs="Arial"/>
          <w:lang w:val="en-AU"/>
        </w:rPr>
      </w:pPr>
      <w:r w:rsidRPr="00590733">
        <w:rPr>
          <w:rFonts w:ascii="Arial" w:hAnsi="Arial" w:cs="Arial"/>
          <w:lang w:val="en-AU"/>
        </w:rPr>
        <w:t xml:space="preserve">Our story of progress often concludes with the realisation of love, prized through the achievement of marriage equality. </w:t>
      </w:r>
      <w:r w:rsidR="00580D14" w:rsidRPr="00590733">
        <w:rPr>
          <w:rFonts w:ascii="Arial" w:hAnsi="Arial" w:cs="Arial"/>
          <w:lang w:val="en-AU"/>
        </w:rPr>
        <w:t>In the case that led to constitutionalising marriage equality in the US, Justice Anthony Kennedy wrote:</w:t>
      </w:r>
    </w:p>
    <w:p w14:paraId="4619CF3A" w14:textId="77777777" w:rsidR="00580D14" w:rsidRPr="00590733" w:rsidRDefault="00580D14" w:rsidP="00590733">
      <w:pPr>
        <w:spacing w:line="276" w:lineRule="auto"/>
        <w:rPr>
          <w:rFonts w:ascii="Arial" w:hAnsi="Arial" w:cs="Arial"/>
          <w:lang w:val="en-AU"/>
        </w:rPr>
      </w:pPr>
    </w:p>
    <w:p w14:paraId="672FCC12" w14:textId="77777777" w:rsidR="00580D14" w:rsidRPr="008173C7" w:rsidRDefault="00580D14" w:rsidP="00590733">
      <w:pPr>
        <w:spacing w:line="276" w:lineRule="auto"/>
        <w:ind w:left="720"/>
        <w:rPr>
          <w:rFonts w:ascii="Arial" w:eastAsia="Times New Roman" w:hAnsi="Arial" w:cs="Arial"/>
          <w:lang w:val="en-AU"/>
        </w:rPr>
      </w:pPr>
      <w:r w:rsidRPr="008173C7">
        <w:rPr>
          <w:rFonts w:ascii="Arial" w:eastAsia="Times New Roman" w:hAnsi="Arial" w:cs="Arial"/>
          <w:shd w:val="clear" w:color="auto" w:fill="FFFFFF"/>
          <w:lang w:val="en-AU"/>
        </w:rPr>
        <w:t>No union is more profound than marriage, for it embodies the highest ideals of love, fidelity, devotion, sacrifice, and family. In forming a marital union, two people become something greater than once they were. As some of the petitioners in these cases demonstrate, marriage embodies a love that may endure even past death. It would misunderstand these men and women to say they disrespect the idea of marriage. Their plea is that they do respect it, respect it so deeply that they seek to find its fulfillment for themselves. Their hope is not to be condemned to live in loneliness, excluded from one of civilization’s oldest institutions. They ask for equal dignity in the eyes of the law. The Constitution grants them that right.</w:t>
      </w:r>
      <w:r w:rsidRPr="008173C7">
        <w:rPr>
          <w:rStyle w:val="FootnoteReference"/>
          <w:rFonts w:ascii="Arial" w:eastAsia="Times New Roman" w:hAnsi="Arial" w:cs="Arial"/>
          <w:shd w:val="clear" w:color="auto" w:fill="FFFFFF"/>
          <w:lang w:val="en-AU"/>
        </w:rPr>
        <w:footnoteReference w:id="26"/>
      </w:r>
      <w:r w:rsidRPr="008173C7">
        <w:rPr>
          <w:rFonts w:ascii="Arial" w:eastAsia="Times New Roman" w:hAnsi="Arial" w:cs="Arial"/>
          <w:shd w:val="clear" w:color="auto" w:fill="FFFFFF"/>
          <w:lang w:val="en-AU"/>
        </w:rPr>
        <w:t> </w:t>
      </w:r>
    </w:p>
    <w:p w14:paraId="2FB4ACE0" w14:textId="77777777" w:rsidR="00336AA6" w:rsidRPr="00590733" w:rsidRDefault="00336AA6" w:rsidP="00590733">
      <w:pPr>
        <w:spacing w:line="276" w:lineRule="auto"/>
        <w:rPr>
          <w:rFonts w:ascii="Arial" w:hAnsi="Arial" w:cs="Arial"/>
          <w:lang w:val="en-AU"/>
        </w:rPr>
      </w:pPr>
    </w:p>
    <w:p w14:paraId="4158DB27" w14:textId="36B6108B" w:rsidR="00580D14" w:rsidRPr="00590733" w:rsidRDefault="00580D14" w:rsidP="00590733">
      <w:pPr>
        <w:spacing w:line="276" w:lineRule="auto"/>
        <w:rPr>
          <w:rFonts w:ascii="Arial" w:hAnsi="Arial" w:cs="Arial"/>
          <w:lang w:val="en-AU"/>
        </w:rPr>
      </w:pPr>
      <w:r w:rsidRPr="00590733">
        <w:rPr>
          <w:rFonts w:ascii="Arial" w:hAnsi="Arial" w:cs="Arial"/>
          <w:lang w:val="en-AU"/>
        </w:rPr>
        <w:t>In his judgment, now canonised on social media, marriage was idealised as the means for same-sex couples to realise the full promise of their intimacy. Marriage w</w:t>
      </w:r>
      <w:r w:rsidR="002D2831" w:rsidRPr="00590733">
        <w:rPr>
          <w:rFonts w:ascii="Arial" w:hAnsi="Arial" w:cs="Arial"/>
          <w:lang w:val="en-AU"/>
        </w:rPr>
        <w:t>ould</w:t>
      </w:r>
      <w:r w:rsidRPr="00590733">
        <w:rPr>
          <w:rFonts w:ascii="Arial" w:hAnsi="Arial" w:cs="Arial"/>
          <w:lang w:val="en-AU"/>
        </w:rPr>
        <w:t xml:space="preserve"> rescue individuals from alienation, singledom and loneliness. We can see here how love of liberty, hope for equality, respect for dignity </w:t>
      </w:r>
      <w:r w:rsidR="002D2831" w:rsidRPr="00590733">
        <w:rPr>
          <w:rFonts w:ascii="Arial" w:hAnsi="Arial" w:cs="Arial"/>
          <w:lang w:val="en-AU"/>
        </w:rPr>
        <w:t>emerge as</w:t>
      </w:r>
      <w:r w:rsidRPr="00590733">
        <w:rPr>
          <w:rFonts w:ascii="Arial" w:hAnsi="Arial" w:cs="Arial"/>
          <w:lang w:val="en-AU"/>
        </w:rPr>
        <w:t xml:space="preserve"> emotional and constitutional principles. The poetic nature of the judgment has an undeniable appeal. It sentimentalises the pursuit of marriage equality as one capable of </w:t>
      </w:r>
      <w:r w:rsidRPr="00590733">
        <w:rPr>
          <w:rFonts w:ascii="Arial" w:hAnsi="Arial" w:cs="Arial"/>
          <w:lang w:val="en-AU"/>
        </w:rPr>
        <w:lastRenderedPageBreak/>
        <w:t>delivering personal and social transformation. I, like many others, washed my profile photo on Facebook in rainbows when the decision was handed down. Yet, the ways in which these loving and hopeful claims are judicialised warrants critical attention. The constitutional love of liberty here only confers recognition on monogamous couples – it does not reach to queers who live in polyamorous relationships or remain single.</w:t>
      </w:r>
      <w:r w:rsidR="00A86E9F" w:rsidRPr="00590733">
        <w:rPr>
          <w:rStyle w:val="FootnoteReference"/>
          <w:rFonts w:ascii="Arial" w:hAnsi="Arial" w:cs="Arial"/>
          <w:lang w:val="en-AU"/>
        </w:rPr>
        <w:footnoteReference w:id="27"/>
      </w:r>
      <w:r w:rsidRPr="00590733">
        <w:rPr>
          <w:rFonts w:ascii="Arial" w:hAnsi="Arial" w:cs="Arial"/>
          <w:lang w:val="en-AU"/>
        </w:rPr>
        <w:t xml:space="preserve"> The presentation of marriage equality as hope for a better future ignores how queer and trans folks (of colour in particular) experience destitution, violence and poverty</w:t>
      </w:r>
      <w:r w:rsidR="008173C7">
        <w:rPr>
          <w:rFonts w:ascii="Arial" w:hAnsi="Arial" w:cs="Arial"/>
          <w:lang w:val="en-AU"/>
        </w:rPr>
        <w:t>,</w:t>
      </w:r>
      <w:r w:rsidRPr="00590733">
        <w:rPr>
          <w:rFonts w:ascii="Arial" w:hAnsi="Arial" w:cs="Arial"/>
          <w:lang w:val="en-AU"/>
        </w:rPr>
        <w:t xml:space="preserve"> irrespective of their marital status.</w:t>
      </w:r>
      <w:r w:rsidRPr="00590733">
        <w:rPr>
          <w:rStyle w:val="FootnoteReference"/>
          <w:rFonts w:ascii="Arial" w:hAnsi="Arial" w:cs="Arial"/>
          <w:lang w:val="en-AU"/>
        </w:rPr>
        <w:footnoteReference w:id="28"/>
      </w:r>
      <w:r w:rsidRPr="00590733">
        <w:rPr>
          <w:rFonts w:ascii="Arial" w:hAnsi="Arial" w:cs="Arial"/>
          <w:lang w:val="en-AU"/>
        </w:rPr>
        <w:t xml:space="preserve"> </w:t>
      </w:r>
    </w:p>
    <w:p w14:paraId="08DC2F7A" w14:textId="5148C3A8" w:rsidR="00580D14" w:rsidRPr="00590733" w:rsidRDefault="00580D14" w:rsidP="00590733">
      <w:pPr>
        <w:spacing w:line="276" w:lineRule="auto"/>
        <w:rPr>
          <w:rFonts w:ascii="Arial" w:hAnsi="Arial" w:cs="Arial"/>
        </w:rPr>
      </w:pPr>
      <w:r w:rsidRPr="00590733">
        <w:rPr>
          <w:rFonts w:ascii="Arial" w:hAnsi="Arial" w:cs="Arial"/>
          <w:lang w:val="en-AU"/>
        </w:rPr>
        <w:tab/>
        <w:t xml:space="preserve">Love in law, however, need not be so limited. In the judgment that led to the decriminalisation of gay sex in India, the Supreme Court of India sent a valentine to the LGBT community by promising them a future built on nourishment, reciprocity, inclusion and dignity. </w:t>
      </w:r>
      <w:r w:rsidRPr="00590733">
        <w:rPr>
          <w:rFonts w:ascii="Arial" w:hAnsi="Arial" w:cs="Arial"/>
        </w:rPr>
        <w:t xml:space="preserve">Chief Justice Dipak Misra observed that the penal law which prohibited same-sex conduct eroded the </w:t>
      </w:r>
      <w:r w:rsidR="008173C7">
        <w:rPr>
          <w:rFonts w:ascii="Arial" w:hAnsi="Arial" w:cs="Arial"/>
        </w:rPr>
        <w:t>‘</w:t>
      </w:r>
      <w:r w:rsidRPr="00590733">
        <w:rPr>
          <w:rFonts w:ascii="Arial" w:hAnsi="Arial" w:cs="Arial"/>
        </w:rPr>
        <w:t>right to choose without fear</w:t>
      </w:r>
      <w:r w:rsidR="008173C7">
        <w:rPr>
          <w:rFonts w:ascii="Arial" w:hAnsi="Arial" w:cs="Arial"/>
        </w:rPr>
        <w:t>’</w:t>
      </w:r>
      <w:r w:rsidRPr="00590733">
        <w:rPr>
          <w:rFonts w:ascii="Arial" w:hAnsi="Arial" w:cs="Arial"/>
        </w:rPr>
        <w:t xml:space="preserve"> a partner and realise </w:t>
      </w:r>
      <w:r w:rsidR="008173C7">
        <w:rPr>
          <w:rFonts w:ascii="Arial" w:hAnsi="Arial" w:cs="Arial"/>
        </w:rPr>
        <w:t>‘</w:t>
      </w:r>
      <w:r w:rsidRPr="00590733">
        <w:rPr>
          <w:rFonts w:ascii="Arial" w:hAnsi="Arial" w:cs="Arial"/>
        </w:rPr>
        <w:t>a basic right to companionship</w:t>
      </w:r>
      <w:r w:rsidR="008173C7">
        <w:rPr>
          <w:rFonts w:ascii="Arial" w:hAnsi="Arial" w:cs="Arial"/>
        </w:rPr>
        <w:t>’</w:t>
      </w:r>
      <w:r w:rsidRPr="00590733">
        <w:rPr>
          <w:rFonts w:ascii="Arial" w:hAnsi="Arial" w:cs="Arial"/>
        </w:rPr>
        <w:t>.</w:t>
      </w:r>
      <w:r w:rsidRPr="00590733">
        <w:rPr>
          <w:rStyle w:val="FootnoteReference"/>
          <w:rFonts w:ascii="Arial" w:hAnsi="Arial" w:cs="Arial"/>
        </w:rPr>
        <w:footnoteReference w:id="29"/>
      </w:r>
      <w:r w:rsidRPr="00590733">
        <w:rPr>
          <w:rFonts w:ascii="Arial" w:hAnsi="Arial" w:cs="Arial"/>
        </w:rPr>
        <w:t xml:space="preserve"> He added, </w:t>
      </w:r>
      <w:r w:rsidR="008173C7">
        <w:rPr>
          <w:rFonts w:ascii="Arial" w:hAnsi="Arial" w:cs="Arial"/>
        </w:rPr>
        <w:t>‘</w:t>
      </w:r>
      <w:r w:rsidRPr="00590733">
        <w:rPr>
          <w:rFonts w:ascii="Arial" w:hAnsi="Arial" w:cs="Arial"/>
        </w:rPr>
        <w:t>the rights of the LGBT community inhere in the right to life, dwell in privacy and dignity and they constitute the essence of liberty and freedom.</w:t>
      </w:r>
      <w:r w:rsidR="008173C7">
        <w:rPr>
          <w:rFonts w:ascii="Arial" w:hAnsi="Arial" w:cs="Arial"/>
        </w:rPr>
        <w:t>’</w:t>
      </w:r>
      <w:r w:rsidRPr="00590733">
        <w:rPr>
          <w:rStyle w:val="FootnoteReference"/>
          <w:rFonts w:ascii="Arial" w:hAnsi="Arial" w:cs="Arial"/>
        </w:rPr>
        <w:footnoteReference w:id="30"/>
      </w:r>
      <w:r w:rsidRPr="00590733">
        <w:rPr>
          <w:rFonts w:ascii="Arial" w:hAnsi="Arial" w:cs="Arial"/>
        </w:rPr>
        <w:t xml:space="preserve"> The constitution was a way to nourish individuals – </w:t>
      </w:r>
      <w:r w:rsidR="00700ED6">
        <w:rPr>
          <w:rFonts w:ascii="Arial" w:hAnsi="Arial" w:cs="Arial"/>
        </w:rPr>
        <w:t>‘</w:t>
      </w:r>
      <w:r w:rsidRPr="00590733">
        <w:rPr>
          <w:rFonts w:ascii="Arial" w:hAnsi="Arial" w:cs="Arial"/>
        </w:rPr>
        <w:t>the painting of humanity</w:t>
      </w:r>
      <w:r w:rsidR="00700ED6">
        <w:rPr>
          <w:rFonts w:ascii="Arial" w:hAnsi="Arial" w:cs="Arial"/>
        </w:rPr>
        <w:t>’</w:t>
      </w:r>
      <w:r w:rsidRPr="00590733">
        <w:rPr>
          <w:rFonts w:ascii="Arial" w:hAnsi="Arial" w:cs="Arial"/>
        </w:rPr>
        <w:t xml:space="preserve"> – a document that could cultivate the affective and intimate capacities of the people it governed. Unlike other cases which deal</w:t>
      </w:r>
      <w:r w:rsidR="0039235F" w:rsidRPr="00590733">
        <w:rPr>
          <w:rFonts w:ascii="Arial" w:hAnsi="Arial" w:cs="Arial"/>
        </w:rPr>
        <w:t>t</w:t>
      </w:r>
      <w:r w:rsidRPr="00590733">
        <w:rPr>
          <w:rFonts w:ascii="Arial" w:hAnsi="Arial" w:cs="Arial"/>
        </w:rPr>
        <w:t xml:space="preserve"> with sexuality in privatising terms, th</w:t>
      </w:r>
      <w:r w:rsidR="0039235F" w:rsidRPr="00590733">
        <w:rPr>
          <w:rFonts w:ascii="Arial" w:hAnsi="Arial" w:cs="Arial"/>
        </w:rPr>
        <w:t>is</w:t>
      </w:r>
      <w:r w:rsidRPr="00590733">
        <w:rPr>
          <w:rFonts w:ascii="Arial" w:hAnsi="Arial" w:cs="Arial"/>
        </w:rPr>
        <w:t xml:space="preserve"> judgment elevate</w:t>
      </w:r>
      <w:r w:rsidR="002D2831" w:rsidRPr="00590733">
        <w:rPr>
          <w:rFonts w:ascii="Arial" w:hAnsi="Arial" w:cs="Arial"/>
        </w:rPr>
        <w:t>d</w:t>
      </w:r>
      <w:r w:rsidRPr="00590733">
        <w:rPr>
          <w:rFonts w:ascii="Arial" w:hAnsi="Arial" w:cs="Arial"/>
        </w:rPr>
        <w:t xml:space="preserve"> LGBT people through references </w:t>
      </w:r>
      <w:r w:rsidR="002D2831" w:rsidRPr="00590733">
        <w:rPr>
          <w:rFonts w:ascii="Arial" w:hAnsi="Arial" w:cs="Arial"/>
        </w:rPr>
        <w:t>about</w:t>
      </w:r>
      <w:r w:rsidRPr="00590733">
        <w:rPr>
          <w:rFonts w:ascii="Arial" w:hAnsi="Arial" w:cs="Arial"/>
        </w:rPr>
        <w:t xml:space="preserve"> the importance of preserving their identities and intimacies in public life</w:t>
      </w:r>
      <w:r w:rsidR="002D2831" w:rsidRPr="00590733">
        <w:rPr>
          <w:rFonts w:ascii="Arial" w:hAnsi="Arial" w:cs="Arial"/>
        </w:rPr>
        <w:t xml:space="preserve">, as </w:t>
      </w:r>
      <w:r w:rsidRPr="00590733">
        <w:rPr>
          <w:rFonts w:ascii="Arial" w:hAnsi="Arial" w:cs="Arial"/>
        </w:rPr>
        <w:t>relate</w:t>
      </w:r>
      <w:r w:rsidR="002D2831" w:rsidRPr="00590733">
        <w:rPr>
          <w:rFonts w:ascii="Arial" w:hAnsi="Arial" w:cs="Arial"/>
        </w:rPr>
        <w:t>d</w:t>
      </w:r>
      <w:r w:rsidRPr="00590733">
        <w:rPr>
          <w:rFonts w:ascii="Arial" w:hAnsi="Arial" w:cs="Arial"/>
        </w:rPr>
        <w:t xml:space="preserve"> to employment, housing, social association, </w:t>
      </w:r>
      <w:r w:rsidR="00700ED6">
        <w:rPr>
          <w:rFonts w:ascii="Arial" w:hAnsi="Arial" w:cs="Arial"/>
        </w:rPr>
        <w:t>and so on</w:t>
      </w:r>
      <w:r w:rsidRPr="00590733">
        <w:rPr>
          <w:rFonts w:ascii="Arial" w:hAnsi="Arial" w:cs="Arial"/>
        </w:rPr>
        <w:t xml:space="preserve">. </w:t>
      </w:r>
      <w:r w:rsidR="002D2831" w:rsidRPr="00590733">
        <w:rPr>
          <w:rFonts w:ascii="Arial" w:hAnsi="Arial" w:cs="Arial"/>
        </w:rPr>
        <w:t xml:space="preserve">Love in law need not be narrow. </w:t>
      </w:r>
      <w:r w:rsidRPr="00590733">
        <w:rPr>
          <w:rFonts w:ascii="Arial" w:hAnsi="Arial" w:cs="Arial"/>
        </w:rPr>
        <w:t xml:space="preserve">We </w:t>
      </w:r>
      <w:r w:rsidR="002D2831" w:rsidRPr="00590733">
        <w:rPr>
          <w:rFonts w:ascii="Arial" w:hAnsi="Arial" w:cs="Arial"/>
        </w:rPr>
        <w:t>can</w:t>
      </w:r>
      <w:r w:rsidRPr="00590733">
        <w:rPr>
          <w:rFonts w:ascii="Arial" w:hAnsi="Arial" w:cs="Arial"/>
        </w:rPr>
        <w:t xml:space="preserve"> embrace critical and capacious expressions of love that make space for LGBTI people. </w:t>
      </w:r>
    </w:p>
    <w:p w14:paraId="021619AA" w14:textId="77777777" w:rsidR="00CF0919" w:rsidRPr="00590733" w:rsidRDefault="00CF0919" w:rsidP="00590733">
      <w:pPr>
        <w:spacing w:line="276" w:lineRule="auto"/>
        <w:rPr>
          <w:rFonts w:ascii="Arial" w:hAnsi="Arial" w:cs="Arial"/>
          <w:lang w:val="en-AU"/>
        </w:rPr>
      </w:pPr>
    </w:p>
    <w:p w14:paraId="24E34708" w14:textId="77777777" w:rsidR="006B762C" w:rsidRPr="00B04368" w:rsidRDefault="002D2831" w:rsidP="00590733">
      <w:pPr>
        <w:spacing w:line="276" w:lineRule="auto"/>
        <w:rPr>
          <w:rFonts w:ascii="Arial" w:hAnsi="Arial" w:cs="Arial"/>
          <w:b/>
          <w:bCs/>
          <w:lang w:val="en-AU"/>
        </w:rPr>
      </w:pPr>
      <w:r w:rsidRPr="00B04368">
        <w:rPr>
          <w:rFonts w:ascii="Arial" w:hAnsi="Arial" w:cs="Arial"/>
          <w:b/>
          <w:bCs/>
          <w:lang w:val="en-AU"/>
        </w:rPr>
        <w:t xml:space="preserve">Let me get this gay… </w:t>
      </w:r>
    </w:p>
    <w:p w14:paraId="3E28C132" w14:textId="7D471118" w:rsidR="006B762C" w:rsidRPr="00590733" w:rsidRDefault="00B04368" w:rsidP="00590733">
      <w:pPr>
        <w:spacing w:line="276" w:lineRule="auto"/>
        <w:rPr>
          <w:rFonts w:ascii="Arial" w:hAnsi="Arial" w:cs="Arial"/>
          <w:lang w:val="en-AU"/>
        </w:rPr>
      </w:pPr>
      <w:r>
        <w:rPr>
          <w:rFonts w:ascii="Arial" w:hAnsi="Arial" w:cs="Arial"/>
          <w:lang w:val="en-AU"/>
        </w:rPr>
        <w:t>‘</w:t>
      </w:r>
      <w:r w:rsidR="006B762C" w:rsidRPr="00590733">
        <w:rPr>
          <w:rFonts w:ascii="Arial" w:hAnsi="Arial" w:cs="Arial"/>
          <w:lang w:val="en-AU"/>
        </w:rPr>
        <w:t>We need to pour contempt on emotion.</w:t>
      </w:r>
      <w:r>
        <w:rPr>
          <w:rFonts w:ascii="Arial" w:hAnsi="Arial" w:cs="Arial"/>
          <w:lang w:val="en-AU"/>
        </w:rPr>
        <w:t>’</w:t>
      </w:r>
      <w:r w:rsidR="006B762C" w:rsidRPr="00590733">
        <w:rPr>
          <w:rFonts w:ascii="Arial" w:hAnsi="Arial" w:cs="Arial"/>
          <w:lang w:val="en-AU"/>
        </w:rPr>
        <w:t xml:space="preserve"> </w:t>
      </w:r>
      <w:r w:rsidR="00336AA6" w:rsidRPr="00590733">
        <w:rPr>
          <w:rFonts w:ascii="Arial" w:hAnsi="Arial" w:cs="Arial"/>
          <w:lang w:val="en-AU"/>
        </w:rPr>
        <w:t xml:space="preserve">This was the feedback I received from </w:t>
      </w:r>
      <w:r w:rsidR="006B762C" w:rsidRPr="00590733">
        <w:rPr>
          <w:rFonts w:ascii="Arial" w:hAnsi="Arial" w:cs="Arial"/>
          <w:lang w:val="en-AU"/>
        </w:rPr>
        <w:t>a former</w:t>
      </w:r>
      <w:r w:rsidR="00336AA6" w:rsidRPr="00590733">
        <w:rPr>
          <w:rFonts w:ascii="Arial" w:hAnsi="Arial" w:cs="Arial"/>
          <w:lang w:val="en-AU"/>
        </w:rPr>
        <w:t xml:space="preserve"> </w:t>
      </w:r>
      <w:r w:rsidR="006B762C" w:rsidRPr="00590733">
        <w:rPr>
          <w:rFonts w:ascii="Arial" w:hAnsi="Arial" w:cs="Arial"/>
          <w:lang w:val="en-AU"/>
        </w:rPr>
        <w:t>judge and barrister during the launch of my book</w:t>
      </w:r>
      <w:r w:rsidR="00336AA6" w:rsidRPr="00590733">
        <w:rPr>
          <w:rFonts w:ascii="Arial" w:hAnsi="Arial" w:cs="Arial"/>
          <w:lang w:val="en-AU"/>
        </w:rPr>
        <w:t xml:space="preserve"> earlier this year.</w:t>
      </w:r>
      <w:r w:rsidR="00A86E9F" w:rsidRPr="00590733">
        <w:rPr>
          <w:rStyle w:val="FootnoteReference"/>
          <w:rFonts w:ascii="Arial" w:hAnsi="Arial" w:cs="Arial"/>
          <w:lang w:val="en-AU"/>
        </w:rPr>
        <w:footnoteReference w:id="31"/>
      </w:r>
      <w:r w:rsidR="00336AA6" w:rsidRPr="00590733">
        <w:rPr>
          <w:rFonts w:ascii="Arial" w:hAnsi="Arial" w:cs="Arial"/>
          <w:lang w:val="en-AU"/>
        </w:rPr>
        <w:t xml:space="preserve"> For this </w:t>
      </w:r>
      <w:r w:rsidR="002D2831" w:rsidRPr="00590733">
        <w:rPr>
          <w:rFonts w:ascii="Arial" w:hAnsi="Arial" w:cs="Arial"/>
          <w:lang w:val="en-AU"/>
        </w:rPr>
        <w:t>individual</w:t>
      </w:r>
      <w:r w:rsidR="00336AA6" w:rsidRPr="00590733">
        <w:rPr>
          <w:rFonts w:ascii="Arial" w:hAnsi="Arial" w:cs="Arial"/>
          <w:lang w:val="en-AU"/>
        </w:rPr>
        <w:t>, the heightened focus on emotion risked turning the practice of law into one of radical subjectivism</w:t>
      </w:r>
      <w:r w:rsidR="002D2831" w:rsidRPr="00590733">
        <w:rPr>
          <w:rFonts w:ascii="Arial" w:hAnsi="Arial" w:cs="Arial"/>
          <w:lang w:val="en-AU"/>
        </w:rPr>
        <w:t xml:space="preserve">, </w:t>
      </w:r>
      <w:r w:rsidR="00336AA6" w:rsidRPr="00590733">
        <w:rPr>
          <w:rFonts w:ascii="Arial" w:hAnsi="Arial" w:cs="Arial"/>
          <w:lang w:val="en-AU"/>
        </w:rPr>
        <w:t>inimical to reason. But the earnestness of his last comment made me pause to wonder how the irony of it – using emotion to talk about why we shouldn’t ta</w:t>
      </w:r>
      <w:r w:rsidR="00590733">
        <w:rPr>
          <w:rFonts w:ascii="Arial" w:hAnsi="Arial" w:cs="Arial"/>
          <w:lang w:val="en-AU"/>
        </w:rPr>
        <w:t>l</w:t>
      </w:r>
      <w:r w:rsidR="00336AA6" w:rsidRPr="00590733">
        <w:rPr>
          <w:rFonts w:ascii="Arial" w:hAnsi="Arial" w:cs="Arial"/>
          <w:lang w:val="en-AU"/>
        </w:rPr>
        <w:t xml:space="preserve">k about emotion in law – could be missed by such an experienced legal professional. This is not meant as a criticism of </w:t>
      </w:r>
      <w:r w:rsidR="002D2831" w:rsidRPr="00590733">
        <w:rPr>
          <w:rFonts w:ascii="Arial" w:hAnsi="Arial" w:cs="Arial"/>
          <w:lang w:val="en-AU"/>
        </w:rPr>
        <w:t xml:space="preserve">that </w:t>
      </w:r>
      <w:r w:rsidR="00336AA6" w:rsidRPr="00590733">
        <w:rPr>
          <w:rFonts w:ascii="Arial" w:hAnsi="Arial" w:cs="Arial"/>
          <w:lang w:val="en-AU"/>
        </w:rPr>
        <w:t xml:space="preserve">judge. Rather, it illuminates the hostility </w:t>
      </w:r>
      <w:r w:rsidR="00700ED6">
        <w:rPr>
          <w:rFonts w:ascii="Arial" w:hAnsi="Arial" w:cs="Arial"/>
          <w:lang w:val="en-AU"/>
        </w:rPr>
        <w:t xml:space="preserve">that </w:t>
      </w:r>
      <w:r w:rsidR="00336AA6" w:rsidRPr="00590733">
        <w:rPr>
          <w:rFonts w:ascii="Arial" w:hAnsi="Arial" w:cs="Arial"/>
          <w:lang w:val="en-AU"/>
        </w:rPr>
        <w:t xml:space="preserve">we – as legal scholars and lawyers – have </w:t>
      </w:r>
      <w:r w:rsidR="00700ED6">
        <w:rPr>
          <w:rFonts w:ascii="Arial" w:hAnsi="Arial" w:cs="Arial"/>
          <w:lang w:val="en-AU"/>
        </w:rPr>
        <w:t>in</w:t>
      </w:r>
      <w:r w:rsidR="00336AA6" w:rsidRPr="00590733">
        <w:rPr>
          <w:rFonts w:ascii="Arial" w:hAnsi="Arial" w:cs="Arial"/>
          <w:lang w:val="en-AU"/>
        </w:rPr>
        <w:t xml:space="preserve"> talking about our feelings in our work. This is not surprising given how most law schools train us in doctrinal forms of analysis and legal practice encourages us to see our work as intellectual, rather than emotion</w:t>
      </w:r>
      <w:r w:rsidR="00BB475D">
        <w:rPr>
          <w:rFonts w:ascii="Arial" w:hAnsi="Arial" w:cs="Arial"/>
          <w:lang w:val="en-AU"/>
        </w:rPr>
        <w:t>al</w:t>
      </w:r>
      <w:r w:rsidR="00336AA6" w:rsidRPr="00590733">
        <w:rPr>
          <w:rFonts w:ascii="Arial" w:hAnsi="Arial" w:cs="Arial"/>
          <w:lang w:val="en-AU"/>
        </w:rPr>
        <w:t xml:space="preserve">, exercises of reasoning. </w:t>
      </w:r>
    </w:p>
    <w:p w14:paraId="3C8869FD" w14:textId="7AE1F425" w:rsidR="00EC5601" w:rsidRPr="00590733" w:rsidRDefault="00EC5601" w:rsidP="00590733">
      <w:pPr>
        <w:spacing w:line="276" w:lineRule="auto"/>
        <w:rPr>
          <w:rFonts w:ascii="Arial" w:hAnsi="Arial" w:cs="Arial"/>
          <w:lang w:val="en-AU"/>
        </w:rPr>
      </w:pPr>
      <w:r w:rsidRPr="00590733">
        <w:rPr>
          <w:rFonts w:ascii="Arial" w:hAnsi="Arial" w:cs="Arial"/>
          <w:lang w:val="en-AU"/>
        </w:rPr>
        <w:tab/>
      </w:r>
      <w:r w:rsidR="00A86E9F" w:rsidRPr="00590733">
        <w:rPr>
          <w:rFonts w:ascii="Arial" w:hAnsi="Arial" w:cs="Arial"/>
          <w:lang w:val="en-AU"/>
        </w:rPr>
        <w:t>W</w:t>
      </w:r>
      <w:r w:rsidRPr="00590733">
        <w:rPr>
          <w:rFonts w:ascii="Arial" w:hAnsi="Arial" w:cs="Arial"/>
          <w:lang w:val="en-AU"/>
        </w:rPr>
        <w:t>e need to</w:t>
      </w:r>
      <w:r w:rsidR="00A86E9F" w:rsidRPr="00590733">
        <w:rPr>
          <w:rFonts w:ascii="Arial" w:hAnsi="Arial" w:cs="Arial"/>
          <w:lang w:val="en-AU"/>
        </w:rPr>
        <w:t xml:space="preserve"> think more </w:t>
      </w:r>
      <w:r w:rsidR="002D2831" w:rsidRPr="00590733">
        <w:rPr>
          <w:rFonts w:ascii="Arial" w:hAnsi="Arial" w:cs="Arial"/>
          <w:lang w:val="en-AU"/>
        </w:rPr>
        <w:t>affectively</w:t>
      </w:r>
      <w:r w:rsidR="00A86E9F" w:rsidRPr="00590733">
        <w:rPr>
          <w:rFonts w:ascii="Arial" w:hAnsi="Arial" w:cs="Arial"/>
          <w:lang w:val="en-AU"/>
        </w:rPr>
        <w:t xml:space="preserve"> about law, rights and reform</w:t>
      </w:r>
      <w:r w:rsidR="002D2831" w:rsidRPr="00590733">
        <w:rPr>
          <w:rFonts w:ascii="Arial" w:hAnsi="Arial" w:cs="Arial"/>
          <w:lang w:val="en-AU"/>
        </w:rPr>
        <w:t xml:space="preserve"> to better understand all three</w:t>
      </w:r>
      <w:r w:rsidR="00A86E9F" w:rsidRPr="00590733">
        <w:rPr>
          <w:rFonts w:ascii="Arial" w:hAnsi="Arial" w:cs="Arial"/>
          <w:lang w:val="en-AU"/>
        </w:rPr>
        <w:t>. We</w:t>
      </w:r>
      <w:r w:rsidRPr="00590733">
        <w:rPr>
          <w:rFonts w:ascii="Arial" w:hAnsi="Arial" w:cs="Arial"/>
          <w:lang w:val="en-AU"/>
        </w:rPr>
        <w:t xml:space="preserve"> </w:t>
      </w:r>
      <w:r w:rsidR="00A86E9F" w:rsidRPr="00590733">
        <w:rPr>
          <w:rFonts w:ascii="Arial" w:hAnsi="Arial" w:cs="Arial"/>
          <w:lang w:val="en-AU"/>
        </w:rPr>
        <w:t xml:space="preserve">can do that by thinking, and talking more about, our </w:t>
      </w:r>
      <w:r w:rsidR="00A86E9F" w:rsidRPr="00590733">
        <w:rPr>
          <w:rFonts w:ascii="Arial" w:hAnsi="Arial" w:cs="Arial"/>
          <w:lang w:val="en-AU"/>
        </w:rPr>
        <w:lastRenderedPageBreak/>
        <w:t>feelings critically</w:t>
      </w:r>
      <w:r w:rsidRPr="00590733">
        <w:rPr>
          <w:rFonts w:ascii="Arial" w:hAnsi="Arial" w:cs="Arial"/>
          <w:lang w:val="en-AU"/>
        </w:rPr>
        <w:t>. We need to develop our legal vocabularies, tactics in litigation and strategies of reform to take account of how emotion makes the pursuit of</w:t>
      </w:r>
      <w:r w:rsidR="006E6E9A" w:rsidRPr="00590733">
        <w:rPr>
          <w:rFonts w:ascii="Arial" w:hAnsi="Arial" w:cs="Arial"/>
          <w:lang w:val="en-AU"/>
        </w:rPr>
        <w:t xml:space="preserve"> </w:t>
      </w:r>
      <w:r w:rsidRPr="00590733">
        <w:rPr>
          <w:rFonts w:ascii="Arial" w:hAnsi="Arial" w:cs="Arial"/>
          <w:lang w:val="en-AU"/>
        </w:rPr>
        <w:t xml:space="preserve">LGBTI rights possible. </w:t>
      </w:r>
      <w:r w:rsidR="002D2831" w:rsidRPr="00590733">
        <w:rPr>
          <w:rFonts w:ascii="Arial" w:hAnsi="Arial" w:cs="Arial"/>
          <w:lang w:val="en-AU"/>
        </w:rPr>
        <w:t>L</w:t>
      </w:r>
      <w:r w:rsidR="00580D14" w:rsidRPr="00590733">
        <w:rPr>
          <w:rFonts w:ascii="Arial" w:hAnsi="Arial" w:cs="Arial"/>
          <w:lang w:val="en-AU"/>
        </w:rPr>
        <w:t xml:space="preserve">aw can’t escape emotion. </w:t>
      </w:r>
      <w:r w:rsidR="002D2831" w:rsidRPr="00590733">
        <w:rPr>
          <w:rFonts w:ascii="Arial" w:hAnsi="Arial" w:cs="Arial"/>
          <w:lang w:val="en-AU"/>
        </w:rPr>
        <w:t>And neither should we</w:t>
      </w:r>
      <w:r w:rsidR="0039235F" w:rsidRPr="00590733">
        <w:rPr>
          <w:rFonts w:ascii="Arial" w:hAnsi="Arial" w:cs="Arial"/>
          <w:lang w:val="en-AU"/>
        </w:rPr>
        <w:t xml:space="preserve">. </w:t>
      </w:r>
    </w:p>
    <w:p w14:paraId="5856EC0B" w14:textId="77777777" w:rsidR="006B762C" w:rsidRDefault="006B762C" w:rsidP="00590733">
      <w:pPr>
        <w:spacing w:line="276" w:lineRule="auto"/>
        <w:rPr>
          <w:rFonts w:ascii="Arial" w:hAnsi="Arial" w:cs="Arial"/>
          <w:lang w:val="en-AU"/>
        </w:rPr>
      </w:pPr>
    </w:p>
    <w:p w14:paraId="19AA59BC" w14:textId="08C7E673" w:rsidR="00590733" w:rsidRPr="00B04368" w:rsidRDefault="00590733" w:rsidP="00590733">
      <w:pPr>
        <w:spacing w:line="276" w:lineRule="auto"/>
        <w:rPr>
          <w:rFonts w:ascii="Arial" w:hAnsi="Arial" w:cs="Arial"/>
          <w:b/>
          <w:bCs/>
          <w:lang w:val="en-AU"/>
        </w:rPr>
      </w:pPr>
      <w:r w:rsidRPr="00B04368">
        <w:rPr>
          <w:rFonts w:ascii="Arial" w:hAnsi="Arial" w:cs="Arial"/>
          <w:b/>
          <w:bCs/>
          <w:lang w:val="en-AU"/>
        </w:rPr>
        <w:t xml:space="preserve">Senthorun Raj </w:t>
      </w:r>
      <w:r w:rsidR="00700ED6" w:rsidRPr="00700ED6">
        <w:rPr>
          <w:rFonts w:ascii="Arial" w:hAnsi="Arial" w:cs="Arial"/>
          <w:lang w:val="en-AU"/>
        </w:rPr>
        <w:t>is</w:t>
      </w:r>
      <w:r w:rsidR="00700ED6">
        <w:rPr>
          <w:rFonts w:ascii="Arial" w:hAnsi="Arial" w:cs="Arial"/>
          <w:b/>
          <w:bCs/>
          <w:lang w:val="en-AU"/>
        </w:rPr>
        <w:t xml:space="preserve"> </w:t>
      </w:r>
      <w:r w:rsidR="00700ED6" w:rsidRPr="00700ED6">
        <w:rPr>
          <w:rFonts w:ascii="Arial" w:hAnsi="Arial" w:cs="Arial"/>
          <w:lang w:val="en-AU"/>
        </w:rPr>
        <w:t xml:space="preserve">a Lecturer in </w:t>
      </w:r>
      <w:r w:rsidR="00BB475D">
        <w:rPr>
          <w:rFonts w:ascii="Arial" w:hAnsi="Arial" w:cs="Arial"/>
          <w:lang w:val="en-AU"/>
        </w:rPr>
        <w:t>L</w:t>
      </w:r>
      <w:r w:rsidR="00700ED6" w:rsidRPr="00700ED6">
        <w:rPr>
          <w:rFonts w:ascii="Arial" w:hAnsi="Arial" w:cs="Arial"/>
          <w:lang w:val="en-AU"/>
        </w:rPr>
        <w:t xml:space="preserve">aw </w:t>
      </w:r>
      <w:r w:rsidR="00043781">
        <w:rPr>
          <w:rFonts w:ascii="Arial" w:hAnsi="Arial" w:cs="Arial"/>
          <w:lang w:val="en-AU"/>
        </w:rPr>
        <w:t xml:space="preserve">and Co-Director of the MA program in Human Rights, Globalisation and Justice </w:t>
      </w:r>
      <w:r w:rsidR="00700ED6" w:rsidRPr="00700ED6">
        <w:rPr>
          <w:rFonts w:ascii="Arial" w:hAnsi="Arial" w:cs="Arial"/>
          <w:lang w:val="en-AU"/>
        </w:rPr>
        <w:t>at Ke</w:t>
      </w:r>
      <w:r w:rsidR="00700ED6">
        <w:rPr>
          <w:rFonts w:ascii="Arial" w:hAnsi="Arial" w:cs="Arial"/>
          <w:lang w:val="en-AU"/>
        </w:rPr>
        <w:t>e</w:t>
      </w:r>
      <w:r w:rsidR="00700ED6" w:rsidRPr="00700ED6">
        <w:rPr>
          <w:rFonts w:ascii="Arial" w:hAnsi="Arial" w:cs="Arial"/>
          <w:lang w:val="en-AU"/>
        </w:rPr>
        <w:t>le University</w:t>
      </w:r>
      <w:r w:rsidR="00700ED6">
        <w:rPr>
          <w:rFonts w:ascii="Arial" w:hAnsi="Arial" w:cs="Arial"/>
          <w:lang w:val="en-AU"/>
        </w:rPr>
        <w:t xml:space="preserve"> in Staffordshire, UK.</w:t>
      </w:r>
    </w:p>
    <w:sectPr w:rsidR="00590733" w:rsidRPr="00B04368" w:rsidSect="00380517">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D8371" w14:textId="77777777" w:rsidR="005D15C6" w:rsidRDefault="005D15C6" w:rsidP="001F2B3D">
      <w:r>
        <w:separator/>
      </w:r>
    </w:p>
  </w:endnote>
  <w:endnote w:type="continuationSeparator" w:id="0">
    <w:p w14:paraId="3019BD85" w14:textId="77777777" w:rsidR="005D15C6" w:rsidRDefault="005D15C6" w:rsidP="001F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4181593"/>
      <w:docPartObj>
        <w:docPartGallery w:val="Page Numbers (Bottom of Page)"/>
        <w:docPartUnique/>
      </w:docPartObj>
    </w:sdtPr>
    <w:sdtEndPr>
      <w:rPr>
        <w:rStyle w:val="PageNumber"/>
      </w:rPr>
    </w:sdtEndPr>
    <w:sdtContent>
      <w:p w14:paraId="65522539" w14:textId="77777777" w:rsidR="00A86E9F" w:rsidRDefault="00A86E9F" w:rsidP="006E6E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AF8B1" w14:textId="77777777" w:rsidR="00A86E9F" w:rsidRDefault="00A86E9F" w:rsidP="00A86E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0683128"/>
      <w:docPartObj>
        <w:docPartGallery w:val="Page Numbers (Bottom of Page)"/>
        <w:docPartUnique/>
      </w:docPartObj>
    </w:sdtPr>
    <w:sdtEndPr>
      <w:rPr>
        <w:rStyle w:val="PageNumber"/>
        <w:sz w:val="18"/>
        <w:szCs w:val="18"/>
      </w:rPr>
    </w:sdtEndPr>
    <w:sdtContent>
      <w:p w14:paraId="52D29284" w14:textId="77777777" w:rsidR="00A86E9F" w:rsidRPr="00A86E9F" w:rsidRDefault="00A86E9F" w:rsidP="00A86E9F">
        <w:pPr>
          <w:pStyle w:val="Footer"/>
          <w:framePr w:wrap="none" w:vAnchor="text" w:hAnchor="margin" w:xAlign="right" w:y="1"/>
          <w:rPr>
            <w:rStyle w:val="PageNumber"/>
            <w:sz w:val="18"/>
            <w:szCs w:val="18"/>
          </w:rPr>
        </w:pPr>
        <w:r w:rsidRPr="00A86E9F">
          <w:rPr>
            <w:rStyle w:val="PageNumber"/>
            <w:sz w:val="18"/>
            <w:szCs w:val="18"/>
          </w:rPr>
          <w:fldChar w:fldCharType="begin"/>
        </w:r>
        <w:r w:rsidRPr="00A86E9F">
          <w:rPr>
            <w:rStyle w:val="PageNumber"/>
            <w:sz w:val="18"/>
            <w:szCs w:val="18"/>
          </w:rPr>
          <w:instrText xml:space="preserve"> PAGE </w:instrText>
        </w:r>
        <w:r w:rsidRPr="00A86E9F">
          <w:rPr>
            <w:rStyle w:val="PageNumber"/>
            <w:sz w:val="18"/>
            <w:szCs w:val="18"/>
          </w:rPr>
          <w:fldChar w:fldCharType="separate"/>
        </w:r>
        <w:r w:rsidRPr="00A86E9F">
          <w:rPr>
            <w:rStyle w:val="PageNumber"/>
            <w:noProof/>
            <w:sz w:val="18"/>
            <w:szCs w:val="18"/>
          </w:rPr>
          <w:t>1</w:t>
        </w:r>
        <w:r w:rsidRPr="00A86E9F">
          <w:rPr>
            <w:rStyle w:val="PageNumber"/>
            <w:sz w:val="18"/>
            <w:szCs w:val="18"/>
          </w:rPr>
          <w:fldChar w:fldCharType="end"/>
        </w:r>
      </w:p>
    </w:sdtContent>
  </w:sdt>
  <w:p w14:paraId="734BB694" w14:textId="77777777" w:rsidR="00A86E9F" w:rsidRDefault="00A86E9F" w:rsidP="00A86E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0C27B" w14:textId="77777777" w:rsidR="005D15C6" w:rsidRDefault="005D15C6" w:rsidP="001F2B3D">
      <w:r>
        <w:separator/>
      </w:r>
    </w:p>
  </w:footnote>
  <w:footnote w:type="continuationSeparator" w:id="0">
    <w:p w14:paraId="3DC4225A" w14:textId="77777777" w:rsidR="005D15C6" w:rsidRDefault="005D15C6" w:rsidP="001F2B3D">
      <w:r>
        <w:continuationSeparator/>
      </w:r>
    </w:p>
  </w:footnote>
  <w:footnote w:id="1">
    <w:p w14:paraId="5DD0EFE5" w14:textId="58A6C7CB" w:rsidR="00BB475D" w:rsidRPr="00BC3391" w:rsidRDefault="00BB475D" w:rsidP="00BC3391">
      <w:pPr>
        <w:pStyle w:val="FootnoteText"/>
        <w:jc w:val="both"/>
        <w:rPr>
          <w:lang w:val="en-AU"/>
        </w:rPr>
      </w:pPr>
      <w:r>
        <w:rPr>
          <w:rStyle w:val="FootnoteReference"/>
        </w:rPr>
        <w:footnoteRef/>
      </w:r>
      <w:r>
        <w:t xml:space="preserve"> </w:t>
      </w:r>
      <w:r>
        <w:rPr>
          <w:lang w:val="en-AU"/>
        </w:rPr>
        <w:t>Intersex rights emerge alongside, and distinct from, LGBT rights and law reform projects. ‘LGBT’ is</w:t>
      </w:r>
      <w:r w:rsidR="000E3C99">
        <w:rPr>
          <w:lang w:val="en-AU"/>
        </w:rPr>
        <w:t xml:space="preserve"> sometimes</w:t>
      </w:r>
      <w:r>
        <w:rPr>
          <w:lang w:val="en-AU"/>
        </w:rPr>
        <w:t xml:space="preserve"> used instead of ‘LGBTI’</w:t>
      </w:r>
      <w:r w:rsidR="000E3C99">
        <w:rPr>
          <w:lang w:val="en-AU"/>
        </w:rPr>
        <w:t xml:space="preserve"> in this paper </w:t>
      </w:r>
      <w:r>
        <w:rPr>
          <w:lang w:val="en-AU"/>
        </w:rPr>
        <w:t xml:space="preserve"> to indicate that the law reform or legal debate does not explicitly include intersex people.</w:t>
      </w:r>
      <w:r w:rsidR="000E3C99">
        <w:rPr>
          <w:lang w:val="en-AU"/>
        </w:rPr>
        <w:t xml:space="preserve"> </w:t>
      </w:r>
    </w:p>
  </w:footnote>
  <w:footnote w:id="2">
    <w:p w14:paraId="2C220B82" w14:textId="42EB565D" w:rsidR="001F2B3D" w:rsidRPr="00A86E9F" w:rsidRDefault="001F2B3D" w:rsidP="00A86E9F">
      <w:pPr>
        <w:jc w:val="both"/>
        <w:rPr>
          <w:rFonts w:ascii="Calibri" w:eastAsia="Times New Roman" w:hAnsi="Calibri" w:cs="Calibri"/>
          <w:sz w:val="18"/>
          <w:szCs w:val="18"/>
          <w:lang w:eastAsia="en-GB"/>
        </w:rPr>
      </w:pPr>
      <w:r w:rsidRPr="00A86E9F">
        <w:rPr>
          <w:rStyle w:val="FootnoteReference"/>
          <w:rFonts w:ascii="Calibri" w:hAnsi="Calibri" w:cs="Calibri"/>
          <w:sz w:val="18"/>
          <w:szCs w:val="18"/>
        </w:rPr>
        <w:footnoteRef/>
      </w:r>
      <w:r w:rsidRPr="00A86E9F">
        <w:rPr>
          <w:rFonts w:ascii="Calibri" w:hAnsi="Calibri" w:cs="Calibri"/>
          <w:sz w:val="18"/>
          <w:szCs w:val="18"/>
        </w:rPr>
        <w:t xml:space="preserve"> </w:t>
      </w:r>
      <w:r w:rsidRPr="00A86E9F">
        <w:rPr>
          <w:rFonts w:ascii="Calibri" w:hAnsi="Calibri" w:cs="Calibri"/>
          <w:sz w:val="18"/>
          <w:szCs w:val="18"/>
          <w:lang w:val="en-AU"/>
        </w:rPr>
        <w:t xml:space="preserve">This reflection draws on material </w:t>
      </w:r>
      <w:r w:rsidR="00580D14" w:rsidRPr="00A86E9F">
        <w:rPr>
          <w:rFonts w:ascii="Calibri" w:hAnsi="Calibri" w:cs="Calibri"/>
          <w:sz w:val="18"/>
          <w:szCs w:val="18"/>
          <w:lang w:val="en-AU"/>
        </w:rPr>
        <w:t xml:space="preserve">I have </w:t>
      </w:r>
      <w:r w:rsidRPr="00A86E9F">
        <w:rPr>
          <w:rFonts w:ascii="Calibri" w:hAnsi="Calibri" w:cs="Calibri"/>
          <w:sz w:val="18"/>
          <w:szCs w:val="18"/>
          <w:lang w:val="en-AU"/>
        </w:rPr>
        <w:t xml:space="preserve">published elsewhere. See Senthorun Raj, </w:t>
      </w:r>
      <w:r w:rsidRPr="00A86E9F">
        <w:rPr>
          <w:rFonts w:ascii="Calibri" w:hAnsi="Calibri" w:cs="Calibri"/>
          <w:i/>
          <w:iCs/>
          <w:sz w:val="18"/>
          <w:szCs w:val="18"/>
          <w:lang w:val="en-AU"/>
        </w:rPr>
        <w:t xml:space="preserve">Feeling Queer Jurisprudence: Injury, Intimacy, Identity </w:t>
      </w:r>
      <w:r w:rsidRPr="00A86E9F">
        <w:rPr>
          <w:rFonts w:ascii="Calibri" w:hAnsi="Calibri" w:cs="Calibri"/>
          <w:sz w:val="18"/>
          <w:szCs w:val="18"/>
          <w:lang w:val="en-AU"/>
        </w:rPr>
        <w:t>(Routledge, 2020)</w:t>
      </w:r>
      <w:r w:rsidR="00A86E9F">
        <w:rPr>
          <w:rFonts w:ascii="Calibri" w:hAnsi="Calibri" w:cs="Calibri"/>
          <w:sz w:val="18"/>
          <w:szCs w:val="18"/>
          <w:lang w:val="en-AU"/>
        </w:rPr>
        <w:t xml:space="preserve">; </w:t>
      </w:r>
      <w:r w:rsidRPr="00A86E9F">
        <w:rPr>
          <w:rFonts w:ascii="Calibri" w:hAnsi="Calibri" w:cs="Calibri"/>
          <w:sz w:val="18"/>
          <w:szCs w:val="18"/>
          <w:lang w:val="en-AU"/>
        </w:rPr>
        <w:t xml:space="preserve">Senthorun Raj, </w:t>
      </w:r>
      <w:r w:rsidR="00504C9D">
        <w:rPr>
          <w:rFonts w:ascii="Calibri" w:hAnsi="Calibri" w:cs="Calibri"/>
          <w:sz w:val="18"/>
          <w:szCs w:val="18"/>
          <w:lang w:val="en-AU"/>
        </w:rPr>
        <w:t>‘</w:t>
      </w:r>
      <w:r w:rsidRPr="00A86E9F">
        <w:rPr>
          <w:rFonts w:ascii="Calibri" w:hAnsi="Calibri" w:cs="Calibri"/>
          <w:sz w:val="18"/>
          <w:szCs w:val="18"/>
          <w:lang w:val="en-AU"/>
        </w:rPr>
        <w:t>Alleviating Anxiety and Cultivating Care: Young Trans People in the Family Court of Australia</w:t>
      </w:r>
      <w:r w:rsidR="00504C9D">
        <w:rPr>
          <w:rFonts w:ascii="Calibri" w:hAnsi="Calibri" w:cs="Calibri"/>
          <w:sz w:val="18"/>
          <w:szCs w:val="18"/>
          <w:lang w:val="en-AU"/>
        </w:rPr>
        <w:t>’</w:t>
      </w:r>
      <w:r w:rsidRPr="00A86E9F">
        <w:rPr>
          <w:rFonts w:ascii="Calibri" w:hAnsi="Calibri" w:cs="Calibri"/>
          <w:sz w:val="18"/>
          <w:szCs w:val="18"/>
          <w:lang w:val="en-AU"/>
        </w:rPr>
        <w:t xml:space="preserve"> (2019) 45(1) </w:t>
      </w:r>
      <w:r w:rsidRPr="00A86E9F">
        <w:rPr>
          <w:rFonts w:ascii="Calibri" w:hAnsi="Calibri" w:cs="Calibri"/>
          <w:i/>
          <w:iCs/>
          <w:sz w:val="18"/>
          <w:szCs w:val="18"/>
          <w:lang w:val="en-AU"/>
        </w:rPr>
        <w:t xml:space="preserve">Australian Feminist Law Journal </w:t>
      </w:r>
      <w:r w:rsidRPr="00A86E9F">
        <w:rPr>
          <w:rFonts w:ascii="Calibri" w:hAnsi="Calibri" w:cs="Calibri"/>
          <w:sz w:val="18"/>
          <w:szCs w:val="18"/>
          <w:lang w:val="en-AU"/>
        </w:rPr>
        <w:t>111</w:t>
      </w:r>
      <w:r w:rsidR="00A86E9F">
        <w:rPr>
          <w:rFonts w:ascii="Calibri" w:hAnsi="Calibri" w:cs="Calibri"/>
          <w:sz w:val="18"/>
          <w:szCs w:val="18"/>
          <w:lang w:val="en-AU"/>
        </w:rPr>
        <w:t xml:space="preserve">; </w:t>
      </w:r>
      <w:r w:rsidR="00A86E9F" w:rsidRPr="00A86E9F">
        <w:rPr>
          <w:rFonts w:ascii="Calibri" w:hAnsi="Calibri" w:cs="Calibri"/>
          <w:sz w:val="18"/>
          <w:szCs w:val="18"/>
          <w:lang w:val="en-AU"/>
        </w:rPr>
        <w:t xml:space="preserve">Senthorun Raj, </w:t>
      </w:r>
      <w:r w:rsidR="00504C9D">
        <w:rPr>
          <w:rFonts w:ascii="Calibri" w:hAnsi="Calibri" w:cs="Calibri"/>
          <w:sz w:val="18"/>
          <w:szCs w:val="18"/>
          <w:lang w:val="en-AU"/>
        </w:rPr>
        <w:t>‘</w:t>
      </w:r>
      <w:r w:rsidR="00A86E9F" w:rsidRPr="00A86E9F">
        <w:rPr>
          <w:rFonts w:ascii="Calibri" w:hAnsi="Calibri" w:cs="Calibri"/>
          <w:sz w:val="18"/>
          <w:szCs w:val="18"/>
          <w:lang w:val="en-AU"/>
        </w:rPr>
        <w:t xml:space="preserve">How Indian </w:t>
      </w:r>
      <w:r w:rsidR="007F5BF9" w:rsidRPr="00A86E9F">
        <w:rPr>
          <w:rFonts w:ascii="Calibri" w:hAnsi="Calibri" w:cs="Calibri"/>
          <w:sz w:val="18"/>
          <w:szCs w:val="18"/>
          <w:lang w:val="en-AU"/>
        </w:rPr>
        <w:t xml:space="preserve">Judges Wrote Love </w:t>
      </w:r>
      <w:r w:rsidR="007F5BF9">
        <w:rPr>
          <w:rFonts w:ascii="Calibri" w:hAnsi="Calibri" w:cs="Calibri"/>
          <w:sz w:val="18"/>
          <w:szCs w:val="18"/>
          <w:lang w:val="en-AU"/>
        </w:rPr>
        <w:t>i</w:t>
      </w:r>
      <w:r w:rsidR="007F5BF9" w:rsidRPr="00A86E9F">
        <w:rPr>
          <w:rFonts w:ascii="Calibri" w:hAnsi="Calibri" w:cs="Calibri"/>
          <w:sz w:val="18"/>
          <w:szCs w:val="18"/>
          <w:lang w:val="en-AU"/>
        </w:rPr>
        <w:t xml:space="preserve">nto Law </w:t>
      </w:r>
      <w:r w:rsidR="007F5BF9">
        <w:rPr>
          <w:rFonts w:ascii="Calibri" w:hAnsi="Calibri" w:cs="Calibri"/>
          <w:sz w:val="18"/>
          <w:szCs w:val="18"/>
          <w:lang w:val="en-AU"/>
        </w:rPr>
        <w:t>a</w:t>
      </w:r>
      <w:r w:rsidR="007F5BF9" w:rsidRPr="00A86E9F">
        <w:rPr>
          <w:rFonts w:ascii="Calibri" w:hAnsi="Calibri" w:cs="Calibri"/>
          <w:sz w:val="18"/>
          <w:szCs w:val="18"/>
          <w:lang w:val="en-AU"/>
        </w:rPr>
        <w:t>s They Decriminalised Gay Sex</w:t>
      </w:r>
      <w:r w:rsidR="007F5BF9">
        <w:rPr>
          <w:rFonts w:ascii="Calibri" w:hAnsi="Calibri" w:cs="Calibri"/>
          <w:sz w:val="18"/>
          <w:szCs w:val="18"/>
          <w:lang w:val="en-AU"/>
        </w:rPr>
        <w:t>’,</w:t>
      </w:r>
      <w:r w:rsidR="007F5BF9" w:rsidRPr="00A86E9F">
        <w:rPr>
          <w:rFonts w:ascii="Calibri" w:hAnsi="Calibri" w:cs="Calibri"/>
          <w:sz w:val="18"/>
          <w:szCs w:val="18"/>
          <w:lang w:val="en-AU"/>
        </w:rPr>
        <w:t xml:space="preserve"> </w:t>
      </w:r>
      <w:r w:rsidR="00504C9D" w:rsidRPr="00A86E9F">
        <w:rPr>
          <w:rFonts w:ascii="Calibri" w:hAnsi="Calibri" w:cs="Calibri"/>
          <w:i/>
          <w:iCs/>
          <w:sz w:val="18"/>
          <w:szCs w:val="18"/>
          <w:lang w:val="en-AU"/>
        </w:rPr>
        <w:t>The Conversation</w:t>
      </w:r>
      <w:r w:rsidR="00504C9D" w:rsidRPr="00A86E9F">
        <w:rPr>
          <w:rFonts w:ascii="Calibri" w:hAnsi="Calibri" w:cs="Calibri"/>
          <w:sz w:val="18"/>
          <w:szCs w:val="18"/>
          <w:lang w:val="en-AU"/>
        </w:rPr>
        <w:t xml:space="preserve"> </w:t>
      </w:r>
      <w:r w:rsidR="00A86E9F" w:rsidRPr="00A86E9F">
        <w:rPr>
          <w:rFonts w:ascii="Calibri" w:hAnsi="Calibri" w:cs="Calibri"/>
          <w:sz w:val="18"/>
          <w:szCs w:val="18"/>
          <w:lang w:val="en-AU"/>
        </w:rPr>
        <w:t xml:space="preserve">(10 September 2018) </w:t>
      </w:r>
      <w:hyperlink r:id="rId1" w:history="1">
        <w:r w:rsidR="00A86E9F" w:rsidRPr="00A86E9F">
          <w:rPr>
            <w:rFonts w:ascii="Calibri" w:eastAsia="Times New Roman" w:hAnsi="Calibri" w:cs="Calibri"/>
            <w:color w:val="0000FF"/>
            <w:sz w:val="18"/>
            <w:szCs w:val="18"/>
            <w:u w:val="single"/>
            <w:lang w:eastAsia="en-GB"/>
          </w:rPr>
          <w:t>https://theconversation.com/how-indian-judges-wrote-love-into-law-as-they-decriminalised-gay-sex-102810</w:t>
        </w:r>
      </w:hyperlink>
      <w:r w:rsidR="00A86E9F" w:rsidRPr="00A86E9F">
        <w:rPr>
          <w:rFonts w:ascii="Calibri" w:eastAsia="Times New Roman" w:hAnsi="Calibri" w:cs="Calibri"/>
          <w:sz w:val="18"/>
          <w:szCs w:val="18"/>
          <w:lang w:eastAsia="en-GB"/>
        </w:rPr>
        <w:t xml:space="preserve">. </w:t>
      </w:r>
    </w:p>
  </w:footnote>
  <w:footnote w:id="3">
    <w:p w14:paraId="31203559" w14:textId="77777777" w:rsidR="001F2B3D" w:rsidRPr="00A86E9F" w:rsidRDefault="001F2B3D" w:rsidP="00A86E9F">
      <w:pPr>
        <w:pStyle w:val="FootnoteText"/>
        <w:jc w:val="both"/>
        <w:rPr>
          <w:rFonts w:ascii="Calibri" w:hAnsi="Calibri" w:cs="Calibri"/>
          <w:sz w:val="18"/>
          <w:szCs w:val="18"/>
          <w:lang w:val="en-AU"/>
        </w:rPr>
      </w:pPr>
      <w:r w:rsidRPr="00A86E9F">
        <w:rPr>
          <w:rStyle w:val="FootnoteReference"/>
          <w:rFonts w:ascii="Calibri" w:hAnsi="Calibri" w:cs="Calibri"/>
          <w:sz w:val="18"/>
          <w:szCs w:val="18"/>
        </w:rPr>
        <w:footnoteRef/>
      </w:r>
      <w:r w:rsidRPr="00A86E9F">
        <w:rPr>
          <w:rFonts w:ascii="Calibri" w:hAnsi="Calibri" w:cs="Calibri"/>
          <w:sz w:val="18"/>
          <w:szCs w:val="18"/>
        </w:rPr>
        <w:t xml:space="preserve"> </w:t>
      </w:r>
      <w:r w:rsidRPr="00A86E9F">
        <w:rPr>
          <w:rFonts w:ascii="Calibri" w:hAnsi="Calibri" w:cs="Calibri"/>
          <w:sz w:val="18"/>
          <w:szCs w:val="18"/>
          <w:lang w:val="en-AU"/>
        </w:rPr>
        <w:t xml:space="preserve">For a more in-depth overview of Law and Emotion scholarship, see Terry Maroney, </w:t>
      </w:r>
      <w:r w:rsidR="00504C9D">
        <w:rPr>
          <w:rFonts w:ascii="Calibri" w:hAnsi="Calibri" w:cs="Calibri"/>
          <w:color w:val="000000"/>
          <w:sz w:val="18"/>
          <w:szCs w:val="18"/>
        </w:rPr>
        <w:t>‘</w:t>
      </w:r>
      <w:r w:rsidRPr="00A86E9F">
        <w:rPr>
          <w:rFonts w:ascii="Calibri" w:hAnsi="Calibri" w:cs="Calibri"/>
          <w:color w:val="000000"/>
          <w:sz w:val="18"/>
          <w:szCs w:val="18"/>
        </w:rPr>
        <w:t>Law and Emotion: A Proposed Taxonomy of an Emerging Field</w:t>
      </w:r>
      <w:r w:rsidR="00504C9D">
        <w:rPr>
          <w:rFonts w:ascii="Calibri" w:hAnsi="Calibri" w:cs="Calibri"/>
          <w:color w:val="000000"/>
          <w:sz w:val="18"/>
          <w:szCs w:val="18"/>
        </w:rPr>
        <w:t>’</w:t>
      </w:r>
      <w:r w:rsidRPr="00A86E9F">
        <w:rPr>
          <w:rFonts w:ascii="Calibri" w:hAnsi="Calibri" w:cs="Calibri"/>
          <w:color w:val="000000"/>
          <w:sz w:val="18"/>
          <w:szCs w:val="18"/>
        </w:rPr>
        <w:t xml:space="preserve"> (2006) 30 </w:t>
      </w:r>
      <w:r w:rsidRPr="00A86E9F">
        <w:rPr>
          <w:rFonts w:ascii="Calibri" w:hAnsi="Calibri" w:cs="Calibri"/>
          <w:i/>
          <w:color w:val="000000"/>
          <w:sz w:val="18"/>
          <w:szCs w:val="18"/>
        </w:rPr>
        <w:t xml:space="preserve">Law and Human Behavior </w:t>
      </w:r>
      <w:r w:rsidRPr="00A86E9F">
        <w:rPr>
          <w:rFonts w:ascii="Calibri" w:hAnsi="Calibri" w:cs="Calibri"/>
          <w:color w:val="000000"/>
          <w:sz w:val="18"/>
          <w:szCs w:val="18"/>
        </w:rPr>
        <w:t>119.</w:t>
      </w:r>
    </w:p>
  </w:footnote>
  <w:footnote w:id="4">
    <w:p w14:paraId="3BAB56DF" w14:textId="77777777" w:rsidR="001F2B3D" w:rsidRPr="00580D14" w:rsidRDefault="001F2B3D" w:rsidP="00A86E9F">
      <w:pPr>
        <w:pStyle w:val="FootnoteText"/>
        <w:jc w:val="both"/>
        <w:rPr>
          <w:rFonts w:ascii="Calibri" w:hAnsi="Calibri" w:cs="Calibri"/>
          <w:sz w:val="18"/>
          <w:szCs w:val="18"/>
          <w:lang w:val="en-AU"/>
        </w:rPr>
      </w:pPr>
      <w:r w:rsidRPr="00A86E9F">
        <w:rPr>
          <w:rStyle w:val="FootnoteReference"/>
          <w:rFonts w:ascii="Calibri" w:hAnsi="Calibri" w:cs="Calibri"/>
          <w:sz w:val="18"/>
          <w:szCs w:val="18"/>
        </w:rPr>
        <w:footnoteRef/>
      </w:r>
      <w:r w:rsidRPr="00A86E9F">
        <w:rPr>
          <w:rFonts w:ascii="Calibri" w:hAnsi="Calibri" w:cs="Calibri"/>
          <w:sz w:val="18"/>
          <w:szCs w:val="18"/>
        </w:rPr>
        <w:t xml:space="preserve"> </w:t>
      </w:r>
      <w:r w:rsidRPr="00A86E9F">
        <w:rPr>
          <w:rFonts w:ascii="Calibri" w:hAnsi="Calibri" w:cs="Calibri"/>
          <w:i/>
          <w:color w:val="000000"/>
          <w:sz w:val="18"/>
          <w:szCs w:val="18"/>
        </w:rPr>
        <w:t xml:space="preserve">R v Brown </w:t>
      </w:r>
      <w:r w:rsidRPr="00A86E9F">
        <w:rPr>
          <w:rFonts w:ascii="Calibri" w:hAnsi="Calibri" w:cs="Calibri"/>
          <w:color w:val="000000"/>
          <w:sz w:val="18"/>
          <w:szCs w:val="18"/>
        </w:rPr>
        <w:t>[1994] 1 AC 212 at 237 (Lord Templeman).</w:t>
      </w:r>
    </w:p>
  </w:footnote>
  <w:footnote w:id="5">
    <w:p w14:paraId="3730840D" w14:textId="77777777" w:rsidR="001F2B3D" w:rsidRPr="00580D14" w:rsidRDefault="001F2B3D" w:rsidP="00F80C3A">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hAnsi="Calibri" w:cs="Calibri"/>
          <w:i/>
          <w:color w:val="000000"/>
          <w:sz w:val="18"/>
          <w:szCs w:val="18"/>
        </w:rPr>
        <w:t>R v Wilson</w:t>
      </w:r>
      <w:r w:rsidRPr="00580D14">
        <w:rPr>
          <w:rFonts w:ascii="Calibri" w:hAnsi="Calibri" w:cs="Calibri"/>
          <w:color w:val="000000"/>
          <w:sz w:val="18"/>
          <w:szCs w:val="18"/>
        </w:rPr>
        <w:t xml:space="preserve"> [1997] QB 47 at 50 (Russell LJ, Bracewell and Capstick JJ).</w:t>
      </w:r>
    </w:p>
  </w:footnote>
  <w:footnote w:id="6">
    <w:p w14:paraId="5B46B4CC" w14:textId="3D337F05" w:rsidR="001F2B3D" w:rsidRPr="00580D14" w:rsidRDefault="001F2B3D" w:rsidP="00F80C3A">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See also </w:t>
      </w:r>
      <w:r w:rsidRPr="00580D14">
        <w:rPr>
          <w:rFonts w:ascii="Calibri" w:hAnsi="Calibri" w:cs="Calibri"/>
          <w:color w:val="000000"/>
          <w:sz w:val="18"/>
          <w:szCs w:val="18"/>
        </w:rPr>
        <w:t xml:space="preserve">Kendall Thomas, </w:t>
      </w:r>
      <w:r w:rsidR="00F93817">
        <w:rPr>
          <w:rFonts w:ascii="Calibri" w:hAnsi="Calibri" w:cs="Calibri"/>
          <w:color w:val="000000"/>
          <w:sz w:val="18"/>
          <w:szCs w:val="18"/>
        </w:rPr>
        <w:t>‘</w:t>
      </w:r>
      <w:r w:rsidRPr="00580D14">
        <w:rPr>
          <w:rFonts w:ascii="Calibri" w:hAnsi="Calibri" w:cs="Calibri"/>
          <w:color w:val="000000"/>
          <w:sz w:val="18"/>
          <w:szCs w:val="18"/>
        </w:rPr>
        <w:t>Beyond the Privacy Principle</w:t>
      </w:r>
      <w:r w:rsidR="00F93817">
        <w:rPr>
          <w:rFonts w:ascii="Calibri" w:hAnsi="Calibri" w:cs="Calibri"/>
          <w:color w:val="000000"/>
          <w:sz w:val="18"/>
          <w:szCs w:val="18"/>
        </w:rPr>
        <w:t>’</w:t>
      </w:r>
      <w:r w:rsidRPr="00580D14">
        <w:rPr>
          <w:rFonts w:ascii="Calibri" w:hAnsi="Calibri" w:cs="Calibri"/>
          <w:color w:val="000000"/>
          <w:sz w:val="18"/>
          <w:szCs w:val="18"/>
        </w:rPr>
        <w:t xml:space="preserve"> (1992) 92</w:t>
      </w:r>
      <w:r w:rsidR="002F4BFE">
        <w:rPr>
          <w:rFonts w:ascii="Calibri" w:hAnsi="Calibri" w:cs="Calibri"/>
          <w:color w:val="000000"/>
          <w:sz w:val="18"/>
          <w:szCs w:val="18"/>
        </w:rPr>
        <w:t>(6)</w:t>
      </w:r>
      <w:r w:rsidRPr="00580D14">
        <w:rPr>
          <w:rFonts w:ascii="Calibri" w:hAnsi="Calibri" w:cs="Calibri"/>
          <w:color w:val="000000"/>
          <w:sz w:val="18"/>
          <w:szCs w:val="18"/>
        </w:rPr>
        <w:t xml:space="preserve"> </w:t>
      </w:r>
      <w:r w:rsidRPr="00580D14">
        <w:rPr>
          <w:rFonts w:ascii="Calibri" w:hAnsi="Calibri" w:cs="Calibri"/>
          <w:i/>
          <w:color w:val="000000"/>
          <w:sz w:val="18"/>
          <w:szCs w:val="18"/>
        </w:rPr>
        <w:t xml:space="preserve">Columbia Law Review </w:t>
      </w:r>
      <w:r w:rsidRPr="00580D14">
        <w:rPr>
          <w:rFonts w:ascii="Calibri" w:hAnsi="Calibri" w:cs="Calibri"/>
          <w:color w:val="000000"/>
          <w:sz w:val="18"/>
          <w:szCs w:val="18"/>
        </w:rPr>
        <w:t xml:space="preserve">1431. </w:t>
      </w:r>
    </w:p>
  </w:footnote>
  <w:footnote w:id="7">
    <w:p w14:paraId="4292DA4A" w14:textId="77777777" w:rsidR="00CF0919" w:rsidRPr="00580D14" w:rsidRDefault="00CF0919" w:rsidP="00CF0919">
      <w:pPr>
        <w:pStyle w:val="FootnoteText"/>
        <w:jc w:val="both"/>
        <w:rPr>
          <w:rFonts w:ascii="Calibri" w:hAnsi="Calibri" w:cs="Calibri"/>
          <w:sz w:val="18"/>
          <w:szCs w:val="18"/>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hAnsi="Calibri" w:cs="Calibri"/>
          <w:i/>
          <w:sz w:val="18"/>
          <w:szCs w:val="18"/>
        </w:rPr>
        <w:t>18 USC ss249</w:t>
      </w:r>
      <w:r w:rsidRPr="00580D14">
        <w:rPr>
          <w:rFonts w:ascii="Calibri" w:hAnsi="Calibri" w:cs="Calibri"/>
          <w:iCs/>
          <w:sz w:val="18"/>
          <w:szCs w:val="18"/>
        </w:rPr>
        <w:t xml:space="preserve">. </w:t>
      </w:r>
    </w:p>
  </w:footnote>
  <w:footnote w:id="8">
    <w:p w14:paraId="16CD1D1B" w14:textId="77777777" w:rsidR="00CF0919" w:rsidRPr="00580D14" w:rsidRDefault="00CF0919" w:rsidP="00CF0919">
      <w:pPr>
        <w:pStyle w:val="FootnoteText"/>
        <w:jc w:val="both"/>
        <w:rPr>
          <w:rFonts w:ascii="Calibri" w:hAnsi="Calibri" w:cs="Calibri"/>
          <w:sz w:val="18"/>
          <w:szCs w:val="18"/>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F93817">
        <w:rPr>
          <w:rFonts w:ascii="Calibri" w:hAnsi="Calibri" w:cs="Calibri"/>
          <w:iCs/>
          <w:sz w:val="18"/>
          <w:szCs w:val="18"/>
        </w:rPr>
        <w:t>Ibid.</w:t>
      </w:r>
    </w:p>
  </w:footnote>
  <w:footnote w:id="9">
    <w:p w14:paraId="55E24E94" w14:textId="2966DA57" w:rsidR="00CF0919" w:rsidRPr="00580D14" w:rsidRDefault="00CF0919" w:rsidP="00CF0919">
      <w:pPr>
        <w:pStyle w:val="FootnoteText"/>
        <w:jc w:val="both"/>
        <w:rPr>
          <w:rFonts w:ascii="Calibri" w:hAnsi="Calibri" w:cs="Calibri"/>
          <w:sz w:val="18"/>
          <w:szCs w:val="18"/>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Style w:val="st"/>
          <w:rFonts w:ascii="Calibri" w:hAnsi="Calibri" w:cs="Calibri"/>
          <w:sz w:val="18"/>
          <w:szCs w:val="18"/>
        </w:rPr>
        <w:t>Les</w:t>
      </w:r>
      <w:r w:rsidR="00054E05">
        <w:rPr>
          <w:rStyle w:val="st"/>
          <w:rFonts w:ascii="Calibri" w:hAnsi="Calibri" w:cs="Calibri"/>
          <w:sz w:val="18"/>
          <w:szCs w:val="18"/>
        </w:rPr>
        <w:t>l</w:t>
      </w:r>
      <w:r w:rsidRPr="00580D14">
        <w:rPr>
          <w:rStyle w:val="st"/>
          <w:rFonts w:ascii="Calibri" w:hAnsi="Calibri" w:cs="Calibri"/>
          <w:sz w:val="18"/>
          <w:szCs w:val="18"/>
        </w:rPr>
        <w:t xml:space="preserve">ie Moran and Beverley Skeggs, </w:t>
      </w:r>
      <w:r w:rsidRPr="00580D14">
        <w:rPr>
          <w:rStyle w:val="st"/>
          <w:rFonts w:ascii="Calibri" w:hAnsi="Calibri" w:cs="Calibri"/>
          <w:i/>
          <w:sz w:val="18"/>
          <w:szCs w:val="18"/>
        </w:rPr>
        <w:t xml:space="preserve">Sexuality and the Politics of Violence and Safety </w:t>
      </w:r>
      <w:r w:rsidRPr="00580D14">
        <w:rPr>
          <w:rStyle w:val="st"/>
          <w:rFonts w:ascii="Calibri" w:hAnsi="Calibri" w:cs="Calibri"/>
          <w:sz w:val="18"/>
          <w:szCs w:val="18"/>
        </w:rPr>
        <w:t>(</w:t>
      </w:r>
      <w:r w:rsidR="00054E05">
        <w:rPr>
          <w:rStyle w:val="st"/>
          <w:rFonts w:ascii="Calibri" w:hAnsi="Calibri" w:cs="Calibri"/>
          <w:sz w:val="18"/>
          <w:szCs w:val="18"/>
        </w:rPr>
        <w:t xml:space="preserve">Routledge, </w:t>
      </w:r>
      <w:r w:rsidRPr="00580D14">
        <w:rPr>
          <w:rStyle w:val="st"/>
          <w:rFonts w:ascii="Calibri" w:hAnsi="Calibri" w:cs="Calibri"/>
          <w:sz w:val="18"/>
          <w:szCs w:val="18"/>
        </w:rPr>
        <w:t xml:space="preserve">2004) 35. </w:t>
      </w:r>
    </w:p>
  </w:footnote>
  <w:footnote w:id="10">
    <w:p w14:paraId="65ED5F53" w14:textId="77777777" w:rsidR="00CF0919" w:rsidRPr="00580D14" w:rsidRDefault="00CF0919" w:rsidP="00CF0919">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hAnsi="Calibri" w:cs="Calibri"/>
          <w:sz w:val="18"/>
          <w:szCs w:val="18"/>
          <w:lang w:val="en-AU"/>
        </w:rPr>
        <w:t xml:space="preserve">See Gail Mason, </w:t>
      </w:r>
      <w:r w:rsidRPr="00580D14">
        <w:rPr>
          <w:rFonts w:ascii="Calibri" w:hAnsi="Calibri" w:cs="Calibri"/>
          <w:i/>
          <w:iCs/>
          <w:sz w:val="18"/>
          <w:szCs w:val="18"/>
          <w:lang w:val="en-AU"/>
        </w:rPr>
        <w:t>The Spectacle of Violence: Gender, Homophobia and Knowledge</w:t>
      </w:r>
      <w:r w:rsidRPr="00580D14">
        <w:rPr>
          <w:rFonts w:ascii="Calibri" w:hAnsi="Calibri" w:cs="Calibri"/>
          <w:sz w:val="18"/>
          <w:szCs w:val="18"/>
          <w:lang w:val="en-AU"/>
        </w:rPr>
        <w:t xml:space="preserve"> (Routledge, 2002). </w:t>
      </w:r>
    </w:p>
  </w:footnote>
  <w:footnote w:id="11">
    <w:p w14:paraId="5E6EF201" w14:textId="74973C99" w:rsidR="00CF0919" w:rsidRPr="00580D14" w:rsidRDefault="00CF0919" w:rsidP="00CF0919">
      <w:pPr>
        <w:pStyle w:val="FootnoteText"/>
        <w:jc w:val="both"/>
        <w:rPr>
          <w:rFonts w:ascii="Calibri" w:hAnsi="Calibri" w:cs="Calibri"/>
          <w:sz w:val="18"/>
          <w:szCs w:val="18"/>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proofErr w:type="spellStart"/>
      <w:r w:rsidRPr="00580D14">
        <w:rPr>
          <w:rFonts w:ascii="Calibri" w:hAnsi="Calibri" w:cs="Calibri"/>
          <w:sz w:val="18"/>
          <w:szCs w:val="18"/>
        </w:rPr>
        <w:t>Jin</w:t>
      </w:r>
      <w:proofErr w:type="spellEnd"/>
      <w:r w:rsidRPr="00580D14">
        <w:rPr>
          <w:rFonts w:ascii="Calibri" w:hAnsi="Calibri" w:cs="Calibri"/>
          <w:sz w:val="18"/>
          <w:szCs w:val="18"/>
        </w:rPr>
        <w:t xml:space="preserve"> Haritaworn, </w:t>
      </w:r>
      <w:r w:rsidR="00054E05">
        <w:rPr>
          <w:rFonts w:ascii="Calibri" w:hAnsi="Calibri" w:cs="Calibri"/>
          <w:sz w:val="18"/>
          <w:szCs w:val="18"/>
        </w:rPr>
        <w:t>‘</w:t>
      </w:r>
      <w:r w:rsidRPr="00580D14">
        <w:rPr>
          <w:rFonts w:ascii="Calibri" w:hAnsi="Calibri" w:cs="Calibri"/>
          <w:sz w:val="18"/>
          <w:szCs w:val="18"/>
        </w:rPr>
        <w:t xml:space="preserve">Beyond </w:t>
      </w:r>
      <w:r w:rsidR="00054E05">
        <w:rPr>
          <w:rFonts w:ascii="Calibri" w:hAnsi="Calibri" w:cs="Calibri"/>
          <w:sz w:val="18"/>
          <w:szCs w:val="18"/>
        </w:rPr>
        <w:t>“</w:t>
      </w:r>
      <w:r w:rsidRPr="00580D14">
        <w:rPr>
          <w:rFonts w:ascii="Calibri" w:hAnsi="Calibri" w:cs="Calibri"/>
          <w:sz w:val="18"/>
          <w:szCs w:val="18"/>
        </w:rPr>
        <w:t>Hate</w:t>
      </w:r>
      <w:r w:rsidR="00054E05">
        <w:rPr>
          <w:rFonts w:ascii="Calibri" w:hAnsi="Calibri" w:cs="Calibri"/>
          <w:sz w:val="18"/>
          <w:szCs w:val="18"/>
        </w:rPr>
        <w:t>”</w:t>
      </w:r>
      <w:r w:rsidRPr="00580D14">
        <w:rPr>
          <w:rFonts w:ascii="Calibri" w:hAnsi="Calibri" w:cs="Calibri"/>
          <w:sz w:val="18"/>
          <w:szCs w:val="18"/>
        </w:rPr>
        <w:t>: Queer Metonymies of Crime, Pathology, and Anti/Violence</w:t>
      </w:r>
      <w:r w:rsidR="00054E05">
        <w:rPr>
          <w:rFonts w:ascii="Calibri" w:hAnsi="Calibri" w:cs="Calibri"/>
          <w:sz w:val="18"/>
          <w:szCs w:val="18"/>
        </w:rPr>
        <w:t>’</w:t>
      </w:r>
      <w:r w:rsidRPr="00580D14">
        <w:rPr>
          <w:rFonts w:ascii="Calibri" w:hAnsi="Calibri" w:cs="Calibri"/>
          <w:sz w:val="18"/>
          <w:szCs w:val="18"/>
        </w:rPr>
        <w:t xml:space="preserve"> (2013) 4(2) </w:t>
      </w:r>
      <w:r w:rsidRPr="00580D14">
        <w:rPr>
          <w:rFonts w:ascii="Calibri" w:hAnsi="Calibri" w:cs="Calibri"/>
          <w:i/>
          <w:sz w:val="18"/>
          <w:szCs w:val="18"/>
        </w:rPr>
        <w:t xml:space="preserve">Jindal Global Law Review </w:t>
      </w:r>
      <w:r w:rsidRPr="00580D14">
        <w:rPr>
          <w:rFonts w:ascii="Calibri" w:hAnsi="Calibri" w:cs="Calibri"/>
          <w:sz w:val="18"/>
          <w:szCs w:val="18"/>
        </w:rPr>
        <w:t xml:space="preserve">44, 47. </w:t>
      </w:r>
    </w:p>
  </w:footnote>
  <w:footnote w:id="12">
    <w:p w14:paraId="6146FE0E" w14:textId="77777777" w:rsidR="00CE45F6" w:rsidRPr="0039235F" w:rsidRDefault="00CE45F6" w:rsidP="004E4BFE">
      <w:pPr>
        <w:pStyle w:val="FootnoteText"/>
        <w:jc w:val="both"/>
        <w:rPr>
          <w:rFonts w:ascii="Calibri" w:hAnsi="Calibri" w:cs="Calibri"/>
          <w:sz w:val="18"/>
          <w:szCs w:val="18"/>
          <w:lang w:val="en-AU"/>
        </w:rPr>
      </w:pPr>
      <w:r w:rsidRPr="0039235F">
        <w:rPr>
          <w:rStyle w:val="FootnoteReference"/>
          <w:rFonts w:ascii="Calibri" w:hAnsi="Calibri" w:cs="Calibri"/>
          <w:sz w:val="18"/>
          <w:szCs w:val="18"/>
        </w:rPr>
        <w:footnoteRef/>
      </w:r>
      <w:r w:rsidRPr="0039235F">
        <w:rPr>
          <w:rFonts w:ascii="Calibri" w:hAnsi="Calibri" w:cs="Calibri"/>
          <w:sz w:val="18"/>
          <w:szCs w:val="18"/>
        </w:rPr>
        <w:t xml:space="preserve"> </w:t>
      </w:r>
      <w:r w:rsidR="004E4BFE" w:rsidRPr="0039235F">
        <w:rPr>
          <w:rFonts w:ascii="Calibri" w:hAnsi="Calibri" w:cs="Calibri"/>
          <w:sz w:val="18"/>
          <w:szCs w:val="18"/>
        </w:rPr>
        <w:t xml:space="preserve">Religious Discrimination Bill 2019 (Cth). </w:t>
      </w:r>
    </w:p>
  </w:footnote>
  <w:footnote w:id="13">
    <w:p w14:paraId="7B8D5C4A" w14:textId="64AA5B06" w:rsidR="004E4BFE" w:rsidRPr="0039235F" w:rsidRDefault="004E4BFE" w:rsidP="004E4BFE">
      <w:pPr>
        <w:jc w:val="both"/>
        <w:rPr>
          <w:rFonts w:ascii="Calibri" w:eastAsia="Times New Roman" w:hAnsi="Calibri" w:cs="Calibri"/>
          <w:sz w:val="18"/>
          <w:szCs w:val="18"/>
          <w:lang w:eastAsia="en-GB"/>
        </w:rPr>
      </w:pPr>
      <w:r w:rsidRPr="0039235F">
        <w:rPr>
          <w:rStyle w:val="FootnoteReference"/>
          <w:rFonts w:ascii="Calibri" w:hAnsi="Calibri" w:cs="Calibri"/>
          <w:sz w:val="18"/>
          <w:szCs w:val="18"/>
        </w:rPr>
        <w:footnoteRef/>
      </w:r>
      <w:r w:rsidRPr="0039235F">
        <w:rPr>
          <w:rFonts w:ascii="Calibri" w:hAnsi="Calibri" w:cs="Calibri"/>
          <w:sz w:val="18"/>
          <w:szCs w:val="18"/>
        </w:rPr>
        <w:t xml:space="preserve"> Paul Karp, </w:t>
      </w:r>
      <w:r w:rsidR="00054E05">
        <w:rPr>
          <w:rFonts w:ascii="Calibri" w:hAnsi="Calibri" w:cs="Calibri"/>
          <w:sz w:val="18"/>
          <w:szCs w:val="18"/>
        </w:rPr>
        <w:t>‘</w:t>
      </w:r>
      <w:r w:rsidRPr="0039235F">
        <w:rPr>
          <w:rFonts w:ascii="Calibri" w:hAnsi="Calibri" w:cs="Calibri"/>
          <w:sz w:val="18"/>
          <w:szCs w:val="18"/>
        </w:rPr>
        <w:t xml:space="preserve">Religious freedom bill’s latest draft </w:t>
      </w:r>
      <w:r w:rsidR="00054E05">
        <w:rPr>
          <w:rFonts w:ascii="Calibri" w:hAnsi="Calibri" w:cs="Calibri"/>
          <w:sz w:val="18"/>
          <w:szCs w:val="18"/>
        </w:rPr>
        <w:t>“</w:t>
      </w:r>
      <w:r w:rsidRPr="0039235F">
        <w:rPr>
          <w:rFonts w:ascii="Calibri" w:hAnsi="Calibri" w:cs="Calibri"/>
          <w:sz w:val="18"/>
          <w:szCs w:val="18"/>
        </w:rPr>
        <w:t>unacceptable and does not protect human rights”</w:t>
      </w:r>
      <w:r w:rsidR="00054E05">
        <w:rPr>
          <w:rFonts w:ascii="Calibri" w:hAnsi="Calibri" w:cs="Calibri"/>
          <w:sz w:val="18"/>
          <w:szCs w:val="18"/>
        </w:rPr>
        <w:t>’,</w:t>
      </w:r>
      <w:r w:rsidRPr="0039235F">
        <w:rPr>
          <w:rFonts w:ascii="Calibri" w:hAnsi="Calibri" w:cs="Calibri"/>
          <w:sz w:val="18"/>
          <w:szCs w:val="18"/>
        </w:rPr>
        <w:t xml:space="preserve"> </w:t>
      </w:r>
      <w:r w:rsidR="00054E05" w:rsidRPr="0039235F">
        <w:rPr>
          <w:rFonts w:ascii="Calibri" w:hAnsi="Calibri" w:cs="Calibri"/>
          <w:i/>
          <w:iCs/>
          <w:sz w:val="18"/>
          <w:szCs w:val="18"/>
        </w:rPr>
        <w:t>The Guardian</w:t>
      </w:r>
      <w:r w:rsidR="00054E05" w:rsidRPr="0039235F">
        <w:rPr>
          <w:rFonts w:ascii="Calibri" w:hAnsi="Calibri" w:cs="Calibri"/>
          <w:sz w:val="18"/>
          <w:szCs w:val="18"/>
        </w:rPr>
        <w:t xml:space="preserve"> </w:t>
      </w:r>
      <w:r w:rsidR="00413B1E">
        <w:rPr>
          <w:rFonts w:ascii="Calibri" w:hAnsi="Calibri" w:cs="Calibri"/>
          <w:sz w:val="18"/>
          <w:szCs w:val="18"/>
        </w:rPr>
        <w:t>(online,</w:t>
      </w:r>
      <w:r w:rsidR="00022D0A">
        <w:rPr>
          <w:rFonts w:ascii="Calibri" w:hAnsi="Calibri" w:cs="Calibri"/>
          <w:sz w:val="18"/>
          <w:szCs w:val="18"/>
        </w:rPr>
        <w:t xml:space="preserve"> </w:t>
      </w:r>
      <w:r w:rsidRPr="0039235F">
        <w:rPr>
          <w:rFonts w:ascii="Calibri" w:hAnsi="Calibri" w:cs="Calibri"/>
          <w:sz w:val="18"/>
          <w:szCs w:val="18"/>
        </w:rPr>
        <w:t xml:space="preserve">1 February 2020) </w:t>
      </w:r>
      <w:hyperlink r:id="rId2" w:history="1">
        <w:r w:rsidRPr="0039235F">
          <w:rPr>
            <w:rFonts w:ascii="Calibri" w:eastAsia="Times New Roman" w:hAnsi="Calibri" w:cs="Calibri"/>
            <w:color w:val="0000FF"/>
            <w:sz w:val="18"/>
            <w:szCs w:val="18"/>
            <w:u w:val="single"/>
            <w:lang w:eastAsia="en-GB"/>
          </w:rPr>
          <w:t>https://www.theguardian.com/world/2020/feb/01/religious-freedom-bills-latest-draft-unacceptable-and-does-not-protect-human-rights</w:t>
        </w:r>
      </w:hyperlink>
      <w:r w:rsidRPr="0039235F">
        <w:rPr>
          <w:rFonts w:ascii="Calibri" w:eastAsia="Times New Roman" w:hAnsi="Calibri" w:cs="Calibri"/>
          <w:sz w:val="18"/>
          <w:szCs w:val="18"/>
          <w:lang w:eastAsia="en-GB"/>
        </w:rPr>
        <w:t xml:space="preserve">. </w:t>
      </w:r>
    </w:p>
  </w:footnote>
  <w:footnote w:id="14">
    <w:p w14:paraId="791A70B9" w14:textId="29154427" w:rsidR="001F2B3D" w:rsidRPr="0039235F" w:rsidRDefault="001F2B3D" w:rsidP="004E4BFE">
      <w:pPr>
        <w:pStyle w:val="FootnoteText"/>
        <w:jc w:val="both"/>
        <w:rPr>
          <w:rFonts w:ascii="Calibri" w:hAnsi="Calibri" w:cs="Calibri"/>
          <w:sz w:val="18"/>
          <w:szCs w:val="18"/>
          <w:lang w:val="en-AU"/>
        </w:rPr>
      </w:pPr>
      <w:r w:rsidRPr="00BC3391">
        <w:rPr>
          <w:rStyle w:val="FootnoteReference"/>
          <w:rFonts w:ascii="Calibri" w:hAnsi="Calibri" w:cs="Calibri"/>
          <w:sz w:val="18"/>
          <w:szCs w:val="18"/>
        </w:rPr>
        <w:footnoteRef/>
      </w:r>
      <w:r w:rsidRPr="00BC3391">
        <w:rPr>
          <w:rFonts w:ascii="Calibri" w:hAnsi="Calibri" w:cs="Calibri"/>
          <w:sz w:val="18"/>
          <w:szCs w:val="18"/>
        </w:rPr>
        <w:t xml:space="preserve"> </w:t>
      </w:r>
      <w:r w:rsidR="0039235F" w:rsidRPr="00BC3391">
        <w:rPr>
          <w:rFonts w:ascii="Calibri" w:hAnsi="Calibri" w:cs="Calibri"/>
          <w:sz w:val="18"/>
          <w:szCs w:val="18"/>
        </w:rPr>
        <w:t xml:space="preserve">Article 1A(2) </w:t>
      </w:r>
      <w:r w:rsidR="0039235F" w:rsidRPr="00BC3391">
        <w:rPr>
          <w:rFonts w:ascii="Calibri" w:hAnsi="Calibri" w:cs="Calibri"/>
          <w:i/>
          <w:sz w:val="18"/>
          <w:szCs w:val="18"/>
        </w:rPr>
        <w:t>Convention Relating to the Status of Refugees</w:t>
      </w:r>
      <w:r w:rsidR="00E57686" w:rsidRPr="00BC3391">
        <w:rPr>
          <w:rFonts w:ascii="Calibri" w:hAnsi="Calibri" w:cs="Calibri"/>
          <w:sz w:val="18"/>
          <w:szCs w:val="18"/>
        </w:rPr>
        <w:t>,</w:t>
      </w:r>
      <w:r w:rsidR="0039235F" w:rsidRPr="00BC3391">
        <w:rPr>
          <w:rFonts w:ascii="Calibri" w:hAnsi="Calibri" w:cs="Calibri"/>
          <w:sz w:val="18"/>
          <w:szCs w:val="18"/>
        </w:rPr>
        <w:t xml:space="preserve"> </w:t>
      </w:r>
      <w:r w:rsidR="00E57686" w:rsidRPr="00BC3391">
        <w:rPr>
          <w:rFonts w:ascii="Calibri" w:hAnsi="Calibri" w:cs="Calibri"/>
          <w:sz w:val="18"/>
          <w:szCs w:val="18"/>
        </w:rPr>
        <w:t xml:space="preserve">opened for signature </w:t>
      </w:r>
      <w:r w:rsidR="0039235F" w:rsidRPr="00BC3391">
        <w:rPr>
          <w:rFonts w:ascii="Calibri" w:hAnsi="Calibri" w:cs="Calibri"/>
          <w:sz w:val="18"/>
          <w:szCs w:val="18"/>
        </w:rPr>
        <w:t xml:space="preserve">28 July 1951 </w:t>
      </w:r>
      <w:hyperlink r:id="rId3" w:history="1">
        <w:r w:rsidR="0039235F" w:rsidRPr="00BC3391">
          <w:rPr>
            <w:rStyle w:val="Hyperlink"/>
            <w:rFonts w:ascii="Calibri" w:hAnsi="Calibri" w:cs="Calibri"/>
            <w:color w:val="auto"/>
            <w:sz w:val="18"/>
            <w:szCs w:val="18"/>
          </w:rPr>
          <w:t>http://www.unhcr.org/en-us/1951-refugee-convention.html</w:t>
        </w:r>
      </w:hyperlink>
      <w:r w:rsidR="0039235F" w:rsidRPr="00BC3391">
        <w:rPr>
          <w:rFonts w:ascii="Calibri" w:hAnsi="Calibri" w:cs="Calibri"/>
          <w:sz w:val="18"/>
          <w:szCs w:val="18"/>
        </w:rPr>
        <w:t xml:space="preserve">. </w:t>
      </w:r>
    </w:p>
  </w:footnote>
  <w:footnote w:id="15">
    <w:p w14:paraId="06637481" w14:textId="1AC81627" w:rsidR="001F2B3D" w:rsidRPr="0039235F" w:rsidRDefault="001F2B3D" w:rsidP="004E4BFE">
      <w:pPr>
        <w:pStyle w:val="FootnoteText"/>
        <w:jc w:val="both"/>
        <w:rPr>
          <w:rFonts w:ascii="Calibri" w:hAnsi="Calibri" w:cs="Calibri"/>
          <w:sz w:val="18"/>
          <w:szCs w:val="18"/>
          <w:lang w:val="en-AU"/>
        </w:rPr>
      </w:pPr>
      <w:r w:rsidRPr="0039235F">
        <w:rPr>
          <w:rStyle w:val="FootnoteReference"/>
          <w:rFonts w:ascii="Calibri" w:hAnsi="Calibri" w:cs="Calibri"/>
          <w:sz w:val="18"/>
          <w:szCs w:val="18"/>
        </w:rPr>
        <w:footnoteRef/>
      </w:r>
      <w:r w:rsidRPr="0039235F">
        <w:rPr>
          <w:rFonts w:ascii="Calibri" w:hAnsi="Calibri" w:cs="Calibri"/>
          <w:sz w:val="18"/>
          <w:szCs w:val="18"/>
        </w:rPr>
        <w:t xml:space="preserve"> </w:t>
      </w:r>
      <w:r w:rsidRPr="0039235F">
        <w:rPr>
          <w:rFonts w:ascii="Calibri" w:hAnsi="Calibri" w:cs="Calibri"/>
          <w:color w:val="000000"/>
          <w:sz w:val="18"/>
          <w:szCs w:val="18"/>
        </w:rPr>
        <w:t xml:space="preserve">Jenni Millbank, </w:t>
      </w:r>
      <w:r w:rsidR="00D75056">
        <w:rPr>
          <w:rFonts w:ascii="Calibri" w:hAnsi="Calibri" w:cs="Calibri"/>
          <w:color w:val="000000"/>
          <w:sz w:val="18"/>
          <w:szCs w:val="18"/>
        </w:rPr>
        <w:t>‘</w:t>
      </w:r>
      <w:r w:rsidRPr="0039235F">
        <w:rPr>
          <w:rFonts w:ascii="Calibri" w:hAnsi="Calibri" w:cs="Calibri"/>
          <w:color w:val="000000"/>
          <w:sz w:val="18"/>
          <w:szCs w:val="18"/>
        </w:rPr>
        <w:t>Imagining Otherness: Refugee Claims on the Basis of Sexuality in Canada and Australia</w:t>
      </w:r>
      <w:r w:rsidR="00D75056">
        <w:rPr>
          <w:rFonts w:ascii="Calibri" w:hAnsi="Calibri" w:cs="Calibri"/>
          <w:color w:val="000000"/>
          <w:sz w:val="18"/>
          <w:szCs w:val="18"/>
        </w:rPr>
        <w:t>’</w:t>
      </w:r>
      <w:r w:rsidRPr="0039235F">
        <w:rPr>
          <w:rFonts w:ascii="Calibri" w:hAnsi="Calibri" w:cs="Calibri"/>
          <w:color w:val="000000"/>
          <w:sz w:val="18"/>
          <w:szCs w:val="18"/>
        </w:rPr>
        <w:t xml:space="preserve"> (2002) 26(7) </w:t>
      </w:r>
      <w:r w:rsidRPr="0039235F">
        <w:rPr>
          <w:rFonts w:ascii="Calibri" w:hAnsi="Calibri" w:cs="Calibri"/>
          <w:i/>
          <w:color w:val="000000"/>
          <w:sz w:val="18"/>
          <w:szCs w:val="18"/>
        </w:rPr>
        <w:t xml:space="preserve">Melbourne University Law Review </w:t>
      </w:r>
      <w:r w:rsidRPr="0039235F">
        <w:rPr>
          <w:rFonts w:ascii="Calibri" w:hAnsi="Calibri" w:cs="Calibri"/>
          <w:color w:val="000000"/>
          <w:sz w:val="18"/>
          <w:szCs w:val="18"/>
        </w:rPr>
        <w:t xml:space="preserve">144. </w:t>
      </w:r>
    </w:p>
  </w:footnote>
  <w:footnote w:id="16">
    <w:p w14:paraId="30791FC1" w14:textId="2E3677A6" w:rsidR="001F2B3D" w:rsidRPr="00580D14" w:rsidRDefault="001F2B3D" w:rsidP="004E4BFE">
      <w:pPr>
        <w:pStyle w:val="FootnoteText"/>
        <w:jc w:val="both"/>
        <w:rPr>
          <w:rFonts w:ascii="Calibri" w:hAnsi="Calibri" w:cs="Calibri"/>
          <w:sz w:val="18"/>
          <w:szCs w:val="18"/>
          <w:lang w:val="en-AU"/>
        </w:rPr>
      </w:pPr>
      <w:r w:rsidRPr="0039235F">
        <w:rPr>
          <w:rStyle w:val="FootnoteReference"/>
          <w:rFonts w:ascii="Calibri" w:hAnsi="Calibri" w:cs="Calibri"/>
          <w:sz w:val="18"/>
          <w:szCs w:val="18"/>
        </w:rPr>
        <w:footnoteRef/>
      </w:r>
      <w:r w:rsidRPr="0039235F">
        <w:rPr>
          <w:rFonts w:ascii="Calibri" w:hAnsi="Calibri" w:cs="Calibri"/>
          <w:sz w:val="18"/>
          <w:szCs w:val="18"/>
        </w:rPr>
        <w:t xml:space="preserve"> Frances Webber, </w:t>
      </w:r>
      <w:r w:rsidR="00D75056">
        <w:rPr>
          <w:rFonts w:ascii="Calibri" w:hAnsi="Calibri" w:cs="Calibri"/>
          <w:sz w:val="18"/>
          <w:szCs w:val="18"/>
        </w:rPr>
        <w:t>‘</w:t>
      </w:r>
      <w:r w:rsidRPr="0039235F">
        <w:rPr>
          <w:rFonts w:ascii="Calibri" w:hAnsi="Calibri" w:cs="Calibri"/>
          <w:sz w:val="18"/>
          <w:szCs w:val="18"/>
        </w:rPr>
        <w:t xml:space="preserve">On the creation of the UK’s </w:t>
      </w:r>
      <w:r w:rsidR="00D75056">
        <w:rPr>
          <w:rFonts w:ascii="Calibri" w:hAnsi="Calibri" w:cs="Calibri"/>
          <w:sz w:val="18"/>
          <w:szCs w:val="18"/>
        </w:rPr>
        <w:t>“</w:t>
      </w:r>
      <w:r w:rsidRPr="0039235F">
        <w:rPr>
          <w:rFonts w:ascii="Calibri" w:hAnsi="Calibri" w:cs="Calibri"/>
          <w:sz w:val="18"/>
          <w:szCs w:val="18"/>
        </w:rPr>
        <w:t>hostile environment”</w:t>
      </w:r>
      <w:r w:rsidR="00D75056">
        <w:rPr>
          <w:rFonts w:ascii="Calibri" w:hAnsi="Calibri" w:cs="Calibri"/>
          <w:sz w:val="18"/>
          <w:szCs w:val="18"/>
        </w:rPr>
        <w:t>’</w:t>
      </w:r>
      <w:r w:rsidRPr="0039235F">
        <w:rPr>
          <w:rFonts w:ascii="Calibri" w:hAnsi="Calibri" w:cs="Calibri"/>
          <w:sz w:val="18"/>
          <w:szCs w:val="18"/>
        </w:rPr>
        <w:t xml:space="preserve"> (2019) 60(4) </w:t>
      </w:r>
      <w:r w:rsidRPr="00D75056">
        <w:rPr>
          <w:rFonts w:ascii="Calibri" w:hAnsi="Calibri" w:cs="Calibri"/>
          <w:i/>
          <w:iCs/>
          <w:sz w:val="18"/>
          <w:szCs w:val="18"/>
        </w:rPr>
        <w:t>Race &amp; Class</w:t>
      </w:r>
      <w:r w:rsidRPr="0039235F">
        <w:rPr>
          <w:rFonts w:ascii="Calibri" w:hAnsi="Calibri" w:cs="Calibri"/>
          <w:sz w:val="18"/>
          <w:szCs w:val="18"/>
        </w:rPr>
        <w:t xml:space="preserve"> 76, 77.</w:t>
      </w:r>
      <w:r w:rsidRPr="00580D14">
        <w:rPr>
          <w:rFonts w:ascii="Calibri" w:hAnsi="Calibri" w:cs="Calibri"/>
          <w:sz w:val="18"/>
          <w:szCs w:val="18"/>
        </w:rPr>
        <w:t xml:space="preserve"> </w:t>
      </w:r>
    </w:p>
  </w:footnote>
  <w:footnote w:id="17">
    <w:p w14:paraId="31C3ED01" w14:textId="3B961EFF" w:rsidR="001F2B3D" w:rsidRPr="00580D14" w:rsidRDefault="001F2B3D" w:rsidP="00CF0919">
      <w:pPr>
        <w:jc w:val="both"/>
        <w:rPr>
          <w:rFonts w:ascii="Calibri" w:hAnsi="Calibri" w:cs="Calibri"/>
          <w:sz w:val="18"/>
          <w:szCs w:val="18"/>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eastAsia="Batang" w:hAnsi="Calibri" w:cs="Calibri"/>
          <w:sz w:val="18"/>
          <w:szCs w:val="18"/>
        </w:rPr>
        <w:t xml:space="preserve">UKLGIG, </w:t>
      </w:r>
      <w:r w:rsidRPr="00EB56FD">
        <w:rPr>
          <w:rFonts w:ascii="Calibri" w:eastAsia="Batang" w:hAnsi="Calibri" w:cs="Calibri"/>
          <w:i/>
          <w:iCs/>
          <w:sz w:val="18"/>
          <w:szCs w:val="18"/>
        </w:rPr>
        <w:t>Still Falling Short: The Standard of Home Office Decision-Making in Asylum Claims Based on Sexual Orientation and Gender Identity</w:t>
      </w:r>
      <w:r w:rsidRPr="00580D14">
        <w:rPr>
          <w:rFonts w:ascii="Calibri" w:eastAsia="Batang" w:hAnsi="Calibri" w:cs="Calibri"/>
          <w:sz w:val="18"/>
          <w:szCs w:val="18"/>
        </w:rPr>
        <w:t xml:space="preserve"> (</w:t>
      </w:r>
      <w:r w:rsidR="00EB56FD">
        <w:rPr>
          <w:rFonts w:ascii="Calibri" w:eastAsia="Batang" w:hAnsi="Calibri" w:cs="Calibri"/>
          <w:sz w:val="18"/>
          <w:szCs w:val="18"/>
        </w:rPr>
        <w:t xml:space="preserve">Web Page, </w:t>
      </w:r>
      <w:r w:rsidRPr="00580D14">
        <w:rPr>
          <w:rFonts w:ascii="Calibri" w:eastAsia="Batang" w:hAnsi="Calibri" w:cs="Calibri"/>
          <w:sz w:val="18"/>
          <w:szCs w:val="18"/>
        </w:rPr>
        <w:t>July 2018)</w:t>
      </w:r>
      <w:r w:rsidR="00EB56FD">
        <w:rPr>
          <w:rFonts w:ascii="Calibri" w:eastAsia="Batang" w:hAnsi="Calibri" w:cs="Calibri"/>
          <w:sz w:val="18"/>
          <w:szCs w:val="18"/>
        </w:rPr>
        <w:t xml:space="preserve"> </w:t>
      </w:r>
      <w:r w:rsidR="00EB56FD" w:rsidRPr="00580D14">
        <w:rPr>
          <w:rFonts w:ascii="Calibri" w:hAnsi="Calibri" w:cs="Calibri"/>
          <w:sz w:val="18"/>
          <w:szCs w:val="18"/>
        </w:rPr>
        <w:t>18</w:t>
      </w:r>
      <w:r w:rsidRPr="00580D14">
        <w:rPr>
          <w:rFonts w:ascii="Calibri" w:hAnsi="Calibri" w:cs="Calibri"/>
          <w:sz w:val="18"/>
          <w:szCs w:val="18"/>
        </w:rPr>
        <w:t xml:space="preserve"> </w:t>
      </w:r>
      <w:hyperlink r:id="rId4" w:history="1">
        <w:r w:rsidRPr="00580D14">
          <w:rPr>
            <w:rFonts w:ascii="Calibri" w:hAnsi="Calibri" w:cs="Calibri"/>
            <w:color w:val="0000FF"/>
            <w:sz w:val="18"/>
            <w:szCs w:val="18"/>
            <w:u w:val="single"/>
          </w:rPr>
          <w:t>https://uklgig.org.uk/wp-content/uploads/2018/07/Still-Falling-Short.pdf</w:t>
        </w:r>
      </w:hyperlink>
      <w:r w:rsidRPr="00580D14">
        <w:rPr>
          <w:rFonts w:ascii="Calibri" w:hAnsi="Calibri" w:cs="Calibri"/>
          <w:sz w:val="18"/>
          <w:szCs w:val="18"/>
        </w:rPr>
        <w:t xml:space="preserve">. </w:t>
      </w:r>
    </w:p>
  </w:footnote>
  <w:footnote w:id="18">
    <w:p w14:paraId="44681A8D" w14:textId="7F359E1F" w:rsidR="001F2B3D" w:rsidRPr="00580D14" w:rsidRDefault="001F2B3D" w:rsidP="00F80C3A">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hAnsi="Calibri" w:cs="Calibri"/>
          <w:color w:val="000000"/>
          <w:sz w:val="18"/>
          <w:szCs w:val="18"/>
        </w:rPr>
        <w:t xml:space="preserve">Didier Fassin, </w:t>
      </w:r>
      <w:r w:rsidR="00D75056">
        <w:rPr>
          <w:rFonts w:ascii="Calibri" w:hAnsi="Calibri" w:cs="Calibri"/>
          <w:color w:val="000000"/>
          <w:sz w:val="18"/>
          <w:szCs w:val="18"/>
        </w:rPr>
        <w:t>‘</w:t>
      </w:r>
      <w:r w:rsidRPr="00580D14">
        <w:rPr>
          <w:rFonts w:ascii="Calibri" w:hAnsi="Calibri" w:cs="Calibri"/>
          <w:color w:val="000000"/>
          <w:sz w:val="18"/>
          <w:szCs w:val="18"/>
        </w:rPr>
        <w:t>The Precarious Truth of Asylum</w:t>
      </w:r>
      <w:r w:rsidR="00D75056">
        <w:rPr>
          <w:rFonts w:ascii="Calibri" w:hAnsi="Calibri" w:cs="Calibri"/>
          <w:color w:val="000000"/>
          <w:sz w:val="18"/>
          <w:szCs w:val="18"/>
        </w:rPr>
        <w:t>’</w:t>
      </w:r>
      <w:r w:rsidRPr="00580D14">
        <w:rPr>
          <w:rFonts w:ascii="Calibri" w:hAnsi="Calibri" w:cs="Calibri"/>
          <w:color w:val="000000"/>
          <w:sz w:val="18"/>
          <w:szCs w:val="18"/>
        </w:rPr>
        <w:t xml:space="preserve"> (2013) 25(1) </w:t>
      </w:r>
      <w:r w:rsidRPr="00580D14">
        <w:rPr>
          <w:rFonts w:ascii="Calibri" w:hAnsi="Calibri" w:cs="Calibri"/>
          <w:i/>
          <w:color w:val="000000"/>
          <w:sz w:val="18"/>
          <w:szCs w:val="18"/>
        </w:rPr>
        <w:t xml:space="preserve">Public Culture </w:t>
      </w:r>
      <w:r w:rsidRPr="00580D14">
        <w:rPr>
          <w:rFonts w:ascii="Calibri" w:hAnsi="Calibri" w:cs="Calibri"/>
          <w:color w:val="000000"/>
          <w:sz w:val="18"/>
          <w:szCs w:val="18"/>
        </w:rPr>
        <w:t xml:space="preserve">39. </w:t>
      </w:r>
    </w:p>
  </w:footnote>
  <w:footnote w:id="19">
    <w:p w14:paraId="68CF6F3C" w14:textId="77777777" w:rsidR="00F80C3A" w:rsidRPr="00580D14" w:rsidRDefault="00F80C3A" w:rsidP="00F80C3A">
      <w:pPr>
        <w:pStyle w:val="FootnoteText"/>
        <w:jc w:val="both"/>
        <w:rPr>
          <w:rFonts w:ascii="Calibri" w:hAnsi="Calibri" w:cs="Calibri"/>
          <w:sz w:val="18"/>
          <w:szCs w:val="18"/>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hAnsi="Calibri" w:cs="Calibri"/>
          <w:i/>
          <w:sz w:val="18"/>
          <w:szCs w:val="18"/>
        </w:rPr>
        <w:t>Re Alex</w:t>
      </w:r>
      <w:r w:rsidRPr="00580D14">
        <w:rPr>
          <w:rFonts w:ascii="Calibri" w:hAnsi="Calibri" w:cs="Calibri"/>
          <w:sz w:val="18"/>
          <w:szCs w:val="18"/>
        </w:rPr>
        <w:t xml:space="preserve"> [2004] FamCAFC 297 at [173] (Nicholson J). </w:t>
      </w:r>
    </w:p>
  </w:footnote>
  <w:footnote w:id="20">
    <w:p w14:paraId="78EB2CBB" w14:textId="77777777" w:rsidR="00F80C3A" w:rsidRPr="00580D14" w:rsidRDefault="00F80C3A" w:rsidP="00F80C3A">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eastAsia="Times New Roman" w:hAnsi="Calibri" w:cs="Calibri"/>
          <w:i/>
          <w:sz w:val="18"/>
          <w:szCs w:val="18"/>
        </w:rPr>
        <w:t>Re Jamie</w:t>
      </w:r>
      <w:r w:rsidRPr="00580D14">
        <w:rPr>
          <w:rFonts w:ascii="Calibri" w:eastAsia="Times New Roman" w:hAnsi="Calibri" w:cs="Calibri"/>
          <w:sz w:val="18"/>
          <w:szCs w:val="18"/>
        </w:rPr>
        <w:t xml:space="preserve"> [2013] FamCAFC 110 at [60] (Dessau J).</w:t>
      </w:r>
    </w:p>
  </w:footnote>
  <w:footnote w:id="21">
    <w:p w14:paraId="711FFD43" w14:textId="5126320E" w:rsidR="00F80C3A" w:rsidRPr="00580D14" w:rsidRDefault="00F80C3A" w:rsidP="00F80C3A">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D3CF3">
        <w:rPr>
          <w:rFonts w:ascii="Calibri" w:hAnsi="Calibri" w:cs="Calibri"/>
          <w:sz w:val="18"/>
          <w:szCs w:val="18"/>
        </w:rPr>
        <w:t>I</w:t>
      </w:r>
      <w:r w:rsidR="005D3CF3">
        <w:rPr>
          <w:rFonts w:ascii="Calibri" w:hAnsi="Calibri" w:cs="Calibri"/>
          <w:sz w:val="18"/>
          <w:szCs w:val="18"/>
        </w:rPr>
        <w:t>bi</w:t>
      </w:r>
      <w:r w:rsidRPr="005D3CF3">
        <w:rPr>
          <w:rFonts w:ascii="Calibri" w:hAnsi="Calibri" w:cs="Calibri"/>
          <w:sz w:val="18"/>
          <w:szCs w:val="18"/>
        </w:rPr>
        <w:t>d</w:t>
      </w:r>
      <w:r w:rsidRPr="00580D14">
        <w:rPr>
          <w:rFonts w:ascii="Calibri" w:hAnsi="Calibri" w:cs="Calibri"/>
          <w:sz w:val="18"/>
          <w:szCs w:val="18"/>
        </w:rPr>
        <w:t xml:space="preserve"> at [130]. </w:t>
      </w:r>
    </w:p>
  </w:footnote>
  <w:footnote w:id="22">
    <w:p w14:paraId="7343F2F1" w14:textId="77777777" w:rsidR="00F80C3A" w:rsidRPr="00580D14" w:rsidRDefault="00F80C3A" w:rsidP="00F80C3A">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hAnsi="Calibri" w:cs="Calibri"/>
          <w:i/>
          <w:sz w:val="18"/>
          <w:szCs w:val="18"/>
        </w:rPr>
        <w:t>Re Kelvin II</w:t>
      </w:r>
      <w:r w:rsidRPr="00580D14">
        <w:rPr>
          <w:rFonts w:ascii="Calibri" w:hAnsi="Calibri" w:cs="Calibri"/>
          <w:sz w:val="18"/>
          <w:szCs w:val="18"/>
        </w:rPr>
        <w:t xml:space="preserve"> [2017] FamCAFC 258 at [19] (Thackray, Strickland, and Murphy JJ).</w:t>
      </w:r>
    </w:p>
  </w:footnote>
  <w:footnote w:id="23">
    <w:p w14:paraId="10CBEE48" w14:textId="4031A00C" w:rsidR="00F80C3A" w:rsidRPr="00580D14" w:rsidRDefault="00F80C3A" w:rsidP="00F80C3A">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D3CF3">
        <w:rPr>
          <w:rFonts w:ascii="Calibri" w:hAnsi="Calibri" w:cs="Calibri"/>
          <w:sz w:val="18"/>
          <w:szCs w:val="18"/>
        </w:rPr>
        <w:t>I</w:t>
      </w:r>
      <w:r w:rsidR="005D3CF3">
        <w:rPr>
          <w:rFonts w:ascii="Calibri" w:hAnsi="Calibri" w:cs="Calibri"/>
          <w:sz w:val="18"/>
          <w:szCs w:val="18"/>
        </w:rPr>
        <w:t>bi</w:t>
      </w:r>
      <w:r w:rsidRPr="005D3CF3">
        <w:rPr>
          <w:rFonts w:ascii="Calibri" w:hAnsi="Calibri" w:cs="Calibri"/>
          <w:sz w:val="18"/>
          <w:szCs w:val="18"/>
        </w:rPr>
        <w:t>d</w:t>
      </w:r>
      <w:r w:rsidRPr="00580D14">
        <w:rPr>
          <w:rFonts w:ascii="Calibri" w:hAnsi="Calibri" w:cs="Calibri"/>
          <w:sz w:val="18"/>
          <w:szCs w:val="18"/>
        </w:rPr>
        <w:t xml:space="preserve"> at [37 and 47].</w:t>
      </w:r>
    </w:p>
  </w:footnote>
  <w:footnote w:id="24">
    <w:p w14:paraId="7A80F4D4" w14:textId="77777777" w:rsidR="00CB4A71" w:rsidRPr="00580D14" w:rsidRDefault="00CB4A71" w:rsidP="00CB4A71">
      <w:pPr>
        <w:pStyle w:val="FootnoteText"/>
        <w:jc w:val="both"/>
        <w:rPr>
          <w:rFonts w:ascii="Calibri" w:hAnsi="Calibri" w:cs="Calibri"/>
          <w:sz w:val="18"/>
          <w:szCs w:val="18"/>
          <w:lang w:val="en-AU"/>
        </w:rPr>
      </w:pPr>
      <w:r w:rsidRPr="00580D14">
        <w:rPr>
          <w:rStyle w:val="FootnoteReference"/>
          <w:rFonts w:ascii="Calibri" w:hAnsi="Calibri" w:cs="Calibri"/>
          <w:sz w:val="18"/>
          <w:szCs w:val="18"/>
        </w:rPr>
        <w:footnoteRef/>
      </w:r>
      <w:r w:rsidRPr="00580D14">
        <w:rPr>
          <w:rFonts w:ascii="Calibri" w:hAnsi="Calibri" w:cs="Calibri"/>
          <w:sz w:val="18"/>
          <w:szCs w:val="18"/>
        </w:rPr>
        <w:t xml:space="preserve"> </w:t>
      </w:r>
      <w:r w:rsidRPr="00580D14">
        <w:rPr>
          <w:rFonts w:ascii="Calibri" w:hAnsi="Calibri" w:cs="Calibri"/>
          <w:i/>
          <w:iCs/>
          <w:sz w:val="18"/>
          <w:szCs w:val="18"/>
        </w:rPr>
        <w:t>Re Carla (a medical procedure)</w:t>
      </w:r>
      <w:r w:rsidRPr="00580D14">
        <w:rPr>
          <w:rFonts w:ascii="Calibri" w:hAnsi="Calibri" w:cs="Calibri"/>
          <w:sz w:val="18"/>
          <w:szCs w:val="18"/>
        </w:rPr>
        <w:t xml:space="preserve"> [2016] FamCA 7. </w:t>
      </w:r>
    </w:p>
  </w:footnote>
  <w:footnote w:id="25">
    <w:p w14:paraId="403D5D74" w14:textId="4E1C111B" w:rsidR="00CB4A71" w:rsidRPr="00A86E9F" w:rsidRDefault="00CB4A71" w:rsidP="00CB4A71">
      <w:pPr>
        <w:pStyle w:val="FootnoteText"/>
        <w:jc w:val="both"/>
        <w:rPr>
          <w:rFonts w:ascii="Calibri" w:hAnsi="Calibri" w:cs="Calibri"/>
          <w:sz w:val="18"/>
          <w:szCs w:val="18"/>
          <w:lang w:val="en-AU"/>
        </w:rPr>
      </w:pPr>
      <w:r w:rsidRPr="00A86E9F">
        <w:rPr>
          <w:rStyle w:val="FootnoteReference"/>
          <w:rFonts w:ascii="Calibri" w:hAnsi="Calibri" w:cs="Calibri"/>
          <w:sz w:val="18"/>
          <w:szCs w:val="18"/>
        </w:rPr>
        <w:footnoteRef/>
      </w:r>
      <w:r w:rsidRPr="00A86E9F">
        <w:rPr>
          <w:rFonts w:ascii="Calibri" w:hAnsi="Calibri" w:cs="Calibri"/>
          <w:sz w:val="18"/>
          <w:szCs w:val="18"/>
        </w:rPr>
        <w:t xml:space="preserve"> Morgan Carpenter, </w:t>
      </w:r>
      <w:r w:rsidR="008173C7">
        <w:rPr>
          <w:rFonts w:ascii="Calibri" w:hAnsi="Calibri" w:cs="Calibri"/>
          <w:sz w:val="18"/>
          <w:szCs w:val="18"/>
        </w:rPr>
        <w:t>‘</w:t>
      </w:r>
      <w:r w:rsidRPr="00A86E9F">
        <w:rPr>
          <w:rFonts w:ascii="Calibri" w:hAnsi="Calibri" w:cs="Calibri"/>
          <w:sz w:val="18"/>
          <w:szCs w:val="18"/>
        </w:rPr>
        <w:t>The “Normalization” of Intersex Bodies and the “Othering” of Intersex Identities in Australia</w:t>
      </w:r>
      <w:r w:rsidR="008173C7">
        <w:rPr>
          <w:rFonts w:ascii="Calibri" w:hAnsi="Calibri" w:cs="Calibri"/>
          <w:sz w:val="18"/>
          <w:szCs w:val="18"/>
        </w:rPr>
        <w:t>’</w:t>
      </w:r>
      <w:r w:rsidRPr="00A86E9F">
        <w:rPr>
          <w:rFonts w:ascii="Calibri" w:hAnsi="Calibri" w:cs="Calibri"/>
          <w:sz w:val="18"/>
          <w:szCs w:val="18"/>
        </w:rPr>
        <w:t xml:space="preserve"> (2018) 15 </w:t>
      </w:r>
      <w:r w:rsidRPr="00A86E9F">
        <w:rPr>
          <w:rFonts w:ascii="Calibri" w:hAnsi="Calibri" w:cs="Calibri"/>
          <w:i/>
          <w:iCs/>
          <w:sz w:val="18"/>
          <w:szCs w:val="18"/>
        </w:rPr>
        <w:t>Bioethical Inquiry</w:t>
      </w:r>
      <w:r w:rsidRPr="00A86E9F">
        <w:rPr>
          <w:rFonts w:ascii="Calibri" w:hAnsi="Calibri" w:cs="Calibri"/>
          <w:sz w:val="18"/>
          <w:szCs w:val="18"/>
        </w:rPr>
        <w:t xml:space="preserve"> 487. </w:t>
      </w:r>
    </w:p>
  </w:footnote>
  <w:footnote w:id="26">
    <w:p w14:paraId="0D370F79" w14:textId="77777777" w:rsidR="00580D14" w:rsidRPr="00A86E9F" w:rsidRDefault="00580D14" w:rsidP="00580D14">
      <w:pPr>
        <w:pStyle w:val="FootnoteText"/>
        <w:jc w:val="both"/>
        <w:rPr>
          <w:rFonts w:ascii="Calibri" w:hAnsi="Calibri" w:cs="Calibri"/>
          <w:color w:val="000000" w:themeColor="text1"/>
          <w:sz w:val="18"/>
          <w:szCs w:val="18"/>
          <w:lang w:val="en-AU"/>
        </w:rPr>
      </w:pPr>
      <w:r w:rsidRPr="00A86E9F">
        <w:rPr>
          <w:rStyle w:val="FootnoteReference"/>
          <w:rFonts w:ascii="Calibri" w:hAnsi="Calibri" w:cs="Calibri"/>
          <w:color w:val="000000" w:themeColor="text1"/>
          <w:sz w:val="18"/>
          <w:szCs w:val="18"/>
        </w:rPr>
        <w:footnoteRef/>
      </w:r>
      <w:r w:rsidRPr="00A86E9F">
        <w:rPr>
          <w:rFonts w:ascii="Calibri" w:hAnsi="Calibri" w:cs="Calibri"/>
          <w:color w:val="000000" w:themeColor="text1"/>
          <w:sz w:val="18"/>
          <w:szCs w:val="18"/>
        </w:rPr>
        <w:t xml:space="preserve"> </w:t>
      </w:r>
      <w:r w:rsidRPr="00A86E9F">
        <w:rPr>
          <w:rFonts w:ascii="Calibri" w:hAnsi="Calibri" w:cs="Calibri"/>
          <w:i/>
          <w:color w:val="000000" w:themeColor="text1"/>
          <w:sz w:val="18"/>
          <w:szCs w:val="18"/>
          <w:lang w:bidi="en-US"/>
        </w:rPr>
        <w:t>Obergefell v Hodges</w:t>
      </w:r>
      <w:r w:rsidRPr="00A86E9F">
        <w:rPr>
          <w:rFonts w:ascii="Calibri" w:hAnsi="Calibri" w:cs="Calibri"/>
          <w:color w:val="000000" w:themeColor="text1"/>
          <w:sz w:val="18"/>
          <w:szCs w:val="18"/>
          <w:lang w:bidi="en-US"/>
        </w:rPr>
        <w:t>, 576 US ___ (2015)</w:t>
      </w:r>
      <w:r w:rsidRPr="00A86E9F">
        <w:rPr>
          <w:rFonts w:ascii="Calibri" w:hAnsi="Calibri" w:cs="Calibri"/>
          <w:color w:val="000000" w:themeColor="text1"/>
          <w:sz w:val="18"/>
          <w:szCs w:val="18"/>
        </w:rPr>
        <w:t xml:space="preserve">, </w:t>
      </w:r>
      <w:r w:rsidRPr="00A86E9F">
        <w:rPr>
          <w:rFonts w:ascii="Calibri" w:hAnsi="Calibri" w:cs="Calibri"/>
          <w:color w:val="000000" w:themeColor="text1"/>
          <w:sz w:val="18"/>
          <w:szCs w:val="18"/>
          <w:lang w:bidi="en-US"/>
        </w:rPr>
        <w:t>at 25 (Kennedy, Sotomayor, Breyer, Kagan, and Ginsburg JJ).</w:t>
      </w:r>
    </w:p>
  </w:footnote>
  <w:footnote w:id="27">
    <w:p w14:paraId="145950C1" w14:textId="77777777" w:rsidR="00A86E9F" w:rsidRPr="00A86E9F" w:rsidRDefault="00A86E9F">
      <w:pPr>
        <w:pStyle w:val="FootnoteText"/>
        <w:rPr>
          <w:color w:val="000000"/>
          <w:sz w:val="18"/>
          <w:szCs w:val="18"/>
        </w:rPr>
      </w:pPr>
      <w:r w:rsidRPr="00A86E9F">
        <w:rPr>
          <w:rStyle w:val="FootnoteReference"/>
          <w:sz w:val="18"/>
          <w:szCs w:val="18"/>
        </w:rPr>
        <w:footnoteRef/>
      </w:r>
      <w:r w:rsidRPr="00A86E9F">
        <w:rPr>
          <w:sz w:val="18"/>
          <w:szCs w:val="18"/>
        </w:rPr>
        <w:t xml:space="preserve"> </w:t>
      </w:r>
      <w:r w:rsidRPr="00A86E9F">
        <w:rPr>
          <w:color w:val="000000"/>
          <w:sz w:val="18"/>
          <w:szCs w:val="18"/>
        </w:rPr>
        <w:t xml:space="preserve">See Katherine Franke, </w:t>
      </w:r>
      <w:r w:rsidRPr="00A86E9F">
        <w:rPr>
          <w:i/>
          <w:color w:val="000000"/>
          <w:sz w:val="18"/>
          <w:szCs w:val="18"/>
        </w:rPr>
        <w:t>Wedlocked: The Perils of Marriage Equality</w:t>
      </w:r>
      <w:r w:rsidRPr="00A86E9F">
        <w:rPr>
          <w:color w:val="000000"/>
          <w:sz w:val="18"/>
          <w:szCs w:val="18"/>
        </w:rPr>
        <w:t xml:space="preserve"> (NYU Press, 2015).</w:t>
      </w:r>
    </w:p>
  </w:footnote>
  <w:footnote w:id="28">
    <w:p w14:paraId="417BADA4" w14:textId="77777777" w:rsidR="00580D14" w:rsidRPr="00580D14" w:rsidRDefault="00580D14" w:rsidP="00580D14">
      <w:pPr>
        <w:pStyle w:val="FootnoteText"/>
        <w:jc w:val="both"/>
        <w:rPr>
          <w:rFonts w:ascii="Calibri" w:hAnsi="Calibri" w:cs="Calibri"/>
          <w:color w:val="000000" w:themeColor="text1"/>
          <w:sz w:val="18"/>
          <w:szCs w:val="18"/>
          <w:lang w:val="en-AU"/>
        </w:rPr>
      </w:pPr>
      <w:r w:rsidRPr="00A86E9F">
        <w:rPr>
          <w:rStyle w:val="FootnoteReference"/>
          <w:rFonts w:ascii="Calibri" w:hAnsi="Calibri" w:cs="Calibri"/>
          <w:color w:val="000000" w:themeColor="text1"/>
          <w:sz w:val="18"/>
          <w:szCs w:val="18"/>
        </w:rPr>
        <w:footnoteRef/>
      </w:r>
      <w:r w:rsidRPr="00A86E9F">
        <w:rPr>
          <w:rFonts w:ascii="Calibri" w:hAnsi="Calibri" w:cs="Calibri"/>
          <w:color w:val="000000" w:themeColor="text1"/>
          <w:sz w:val="18"/>
          <w:szCs w:val="18"/>
        </w:rPr>
        <w:t xml:space="preserve"> See Joey Mogul, Andrea Ritchie, and Kay Whitlock, </w:t>
      </w:r>
      <w:r w:rsidRPr="00A86E9F">
        <w:rPr>
          <w:rFonts w:ascii="Calibri" w:hAnsi="Calibri" w:cs="Calibri"/>
          <w:i/>
          <w:color w:val="000000" w:themeColor="text1"/>
          <w:sz w:val="18"/>
          <w:szCs w:val="18"/>
        </w:rPr>
        <w:t xml:space="preserve">Queer (In)Justice: The Criminalization of LGBT People in the United States </w:t>
      </w:r>
      <w:r w:rsidRPr="00A86E9F">
        <w:rPr>
          <w:rFonts w:ascii="Calibri" w:hAnsi="Calibri" w:cs="Calibri"/>
          <w:color w:val="000000" w:themeColor="text1"/>
          <w:sz w:val="18"/>
          <w:szCs w:val="18"/>
        </w:rPr>
        <w:t>(Beacon Press, 2011).</w:t>
      </w:r>
      <w:r w:rsidRPr="00580D14">
        <w:rPr>
          <w:rFonts w:ascii="Calibri" w:hAnsi="Calibri" w:cs="Calibri"/>
          <w:color w:val="000000" w:themeColor="text1"/>
          <w:sz w:val="18"/>
          <w:szCs w:val="18"/>
        </w:rPr>
        <w:t xml:space="preserve"> </w:t>
      </w:r>
    </w:p>
  </w:footnote>
  <w:footnote w:id="29">
    <w:p w14:paraId="40C148E4" w14:textId="2935E675" w:rsidR="00580D14" w:rsidRPr="00580D14" w:rsidRDefault="00580D14" w:rsidP="00580D14">
      <w:pPr>
        <w:jc w:val="both"/>
        <w:rPr>
          <w:rFonts w:ascii="Calibri" w:eastAsia="Times New Roman" w:hAnsi="Calibri" w:cs="Calibri"/>
          <w:color w:val="000000" w:themeColor="text1"/>
          <w:sz w:val="18"/>
          <w:szCs w:val="18"/>
          <w:lang w:eastAsia="en-GB"/>
        </w:rPr>
      </w:pPr>
      <w:r w:rsidRPr="00580D14">
        <w:rPr>
          <w:rStyle w:val="FootnoteReference"/>
          <w:rFonts w:ascii="Calibri" w:hAnsi="Calibri" w:cs="Calibri"/>
          <w:color w:val="000000" w:themeColor="text1"/>
          <w:sz w:val="18"/>
          <w:szCs w:val="18"/>
        </w:rPr>
        <w:footnoteRef/>
      </w:r>
      <w:r w:rsidRPr="00580D14">
        <w:rPr>
          <w:rFonts w:ascii="Calibri" w:hAnsi="Calibri" w:cs="Calibri"/>
          <w:color w:val="000000" w:themeColor="text1"/>
          <w:sz w:val="18"/>
          <w:szCs w:val="18"/>
        </w:rPr>
        <w:t xml:space="preserve"> </w:t>
      </w:r>
      <w:proofErr w:type="spellStart"/>
      <w:r w:rsidRPr="00686405">
        <w:rPr>
          <w:rFonts w:ascii="Calibri" w:eastAsia="Times New Roman" w:hAnsi="Calibri" w:cs="Calibri"/>
          <w:i/>
          <w:iCs/>
          <w:color w:val="000000" w:themeColor="text1"/>
          <w:sz w:val="18"/>
          <w:szCs w:val="18"/>
          <w:shd w:val="clear" w:color="auto" w:fill="FFFFFF"/>
          <w:lang w:eastAsia="en-GB"/>
        </w:rPr>
        <w:t>Navtej</w:t>
      </w:r>
      <w:proofErr w:type="spellEnd"/>
      <w:r w:rsidRPr="00686405">
        <w:rPr>
          <w:rFonts w:ascii="Calibri" w:eastAsia="Times New Roman" w:hAnsi="Calibri" w:cs="Calibri"/>
          <w:i/>
          <w:iCs/>
          <w:color w:val="000000" w:themeColor="text1"/>
          <w:sz w:val="18"/>
          <w:szCs w:val="18"/>
          <w:shd w:val="clear" w:color="auto" w:fill="FFFFFF"/>
          <w:lang w:eastAsia="en-GB"/>
        </w:rPr>
        <w:t xml:space="preserve"> Singh </w:t>
      </w:r>
      <w:proofErr w:type="spellStart"/>
      <w:r w:rsidRPr="00686405">
        <w:rPr>
          <w:rFonts w:ascii="Calibri" w:eastAsia="Times New Roman" w:hAnsi="Calibri" w:cs="Calibri"/>
          <w:i/>
          <w:iCs/>
          <w:color w:val="000000" w:themeColor="text1"/>
          <w:sz w:val="18"/>
          <w:szCs w:val="18"/>
          <w:shd w:val="clear" w:color="auto" w:fill="FFFFFF"/>
          <w:lang w:eastAsia="en-GB"/>
        </w:rPr>
        <w:t>Johar</w:t>
      </w:r>
      <w:proofErr w:type="spellEnd"/>
      <w:r w:rsidRPr="00686405">
        <w:rPr>
          <w:rFonts w:ascii="Calibri" w:eastAsia="Times New Roman" w:hAnsi="Calibri" w:cs="Calibri"/>
          <w:i/>
          <w:iCs/>
          <w:color w:val="000000" w:themeColor="text1"/>
          <w:sz w:val="18"/>
          <w:szCs w:val="18"/>
          <w:shd w:val="clear" w:color="auto" w:fill="FFFFFF"/>
          <w:lang w:eastAsia="en-GB"/>
        </w:rPr>
        <w:t> &amp; </w:t>
      </w:r>
      <w:proofErr w:type="spellStart"/>
      <w:r w:rsidRPr="00686405">
        <w:rPr>
          <w:rFonts w:ascii="Calibri" w:eastAsia="Times New Roman" w:hAnsi="Calibri" w:cs="Calibri"/>
          <w:i/>
          <w:iCs/>
          <w:color w:val="000000" w:themeColor="text1"/>
          <w:sz w:val="18"/>
          <w:szCs w:val="18"/>
          <w:shd w:val="clear" w:color="auto" w:fill="FFFFFF"/>
          <w:lang w:eastAsia="en-GB"/>
        </w:rPr>
        <w:t>Ors</w:t>
      </w:r>
      <w:proofErr w:type="spellEnd"/>
      <w:r w:rsidRPr="00686405">
        <w:rPr>
          <w:rFonts w:ascii="Calibri" w:eastAsia="Times New Roman" w:hAnsi="Calibri" w:cs="Calibri"/>
          <w:i/>
          <w:iCs/>
          <w:color w:val="000000" w:themeColor="text1"/>
          <w:sz w:val="18"/>
          <w:szCs w:val="18"/>
          <w:shd w:val="clear" w:color="auto" w:fill="FFFFFF"/>
          <w:lang w:eastAsia="en-GB"/>
        </w:rPr>
        <w:t> v Union of India </w:t>
      </w:r>
      <w:proofErr w:type="spellStart"/>
      <w:r w:rsidRPr="00686405">
        <w:rPr>
          <w:rFonts w:ascii="Calibri" w:eastAsia="Times New Roman" w:hAnsi="Calibri" w:cs="Calibri"/>
          <w:i/>
          <w:iCs/>
          <w:color w:val="000000" w:themeColor="text1"/>
          <w:sz w:val="18"/>
          <w:szCs w:val="18"/>
          <w:shd w:val="clear" w:color="auto" w:fill="FFFFFF"/>
          <w:lang w:eastAsia="en-GB"/>
        </w:rPr>
        <w:t>thr</w:t>
      </w:r>
      <w:proofErr w:type="spellEnd"/>
      <w:r w:rsidRPr="00686405">
        <w:rPr>
          <w:rFonts w:ascii="Calibri" w:eastAsia="Times New Roman" w:hAnsi="Calibri" w:cs="Calibri"/>
          <w:i/>
          <w:iCs/>
          <w:color w:val="000000" w:themeColor="text1"/>
          <w:sz w:val="18"/>
          <w:szCs w:val="18"/>
          <w:shd w:val="clear" w:color="auto" w:fill="FFFFFF"/>
          <w:lang w:eastAsia="en-GB"/>
        </w:rPr>
        <w:t> Secretary Ministry of Law and Justice</w:t>
      </w:r>
      <w:r w:rsidRPr="00580D14">
        <w:rPr>
          <w:rFonts w:ascii="Calibri" w:eastAsia="Times New Roman" w:hAnsi="Calibri" w:cs="Calibri"/>
          <w:color w:val="000000" w:themeColor="text1"/>
          <w:sz w:val="18"/>
          <w:szCs w:val="18"/>
          <w:lang w:eastAsia="en-GB"/>
        </w:rPr>
        <w:t xml:space="preserve"> (2018) (10) SCALE 386, at </w:t>
      </w:r>
      <w:r w:rsidRPr="00580D14">
        <w:rPr>
          <w:rFonts w:ascii="Calibri" w:hAnsi="Calibri" w:cs="Calibri"/>
          <w:color w:val="000000" w:themeColor="text1"/>
          <w:sz w:val="18"/>
          <w:szCs w:val="18"/>
        </w:rPr>
        <w:t>86 (Misra CJ).</w:t>
      </w:r>
    </w:p>
  </w:footnote>
  <w:footnote w:id="30">
    <w:p w14:paraId="52162446" w14:textId="0678D908" w:rsidR="00580D14" w:rsidRPr="00580D14" w:rsidRDefault="00580D14" w:rsidP="00580D14">
      <w:pPr>
        <w:pStyle w:val="FootnoteText"/>
        <w:jc w:val="both"/>
        <w:rPr>
          <w:rFonts w:ascii="Calibri" w:hAnsi="Calibri" w:cs="Calibri"/>
          <w:sz w:val="18"/>
          <w:szCs w:val="18"/>
          <w:lang w:val="en-AU"/>
        </w:rPr>
      </w:pPr>
      <w:r w:rsidRPr="00580D14">
        <w:rPr>
          <w:rStyle w:val="FootnoteReference"/>
          <w:rFonts w:ascii="Calibri" w:hAnsi="Calibri" w:cs="Calibri"/>
          <w:color w:val="000000" w:themeColor="text1"/>
          <w:sz w:val="18"/>
          <w:szCs w:val="18"/>
        </w:rPr>
        <w:footnoteRef/>
      </w:r>
      <w:r w:rsidRPr="00580D14">
        <w:rPr>
          <w:rFonts w:ascii="Calibri" w:hAnsi="Calibri" w:cs="Calibri"/>
          <w:color w:val="000000" w:themeColor="text1"/>
          <w:sz w:val="18"/>
          <w:szCs w:val="18"/>
        </w:rPr>
        <w:t xml:space="preserve"> </w:t>
      </w:r>
      <w:r w:rsidRPr="008173C7">
        <w:rPr>
          <w:rFonts w:ascii="Calibri" w:hAnsi="Calibri" w:cs="Calibri"/>
          <w:color w:val="000000" w:themeColor="text1"/>
          <w:sz w:val="18"/>
          <w:szCs w:val="18"/>
        </w:rPr>
        <w:t>I</w:t>
      </w:r>
      <w:r w:rsidR="008173C7">
        <w:rPr>
          <w:rFonts w:ascii="Calibri" w:hAnsi="Calibri" w:cs="Calibri"/>
          <w:color w:val="000000" w:themeColor="text1"/>
          <w:sz w:val="18"/>
          <w:szCs w:val="18"/>
        </w:rPr>
        <w:t>bi</w:t>
      </w:r>
      <w:r w:rsidRPr="008173C7">
        <w:rPr>
          <w:rFonts w:ascii="Calibri" w:hAnsi="Calibri" w:cs="Calibri"/>
          <w:color w:val="000000" w:themeColor="text1"/>
          <w:sz w:val="18"/>
          <w:szCs w:val="18"/>
        </w:rPr>
        <w:t xml:space="preserve">d </w:t>
      </w:r>
      <w:r w:rsidRPr="00580D14">
        <w:rPr>
          <w:rFonts w:ascii="Calibri" w:hAnsi="Calibri" w:cs="Calibri"/>
          <w:color w:val="000000" w:themeColor="text1"/>
          <w:sz w:val="18"/>
          <w:szCs w:val="18"/>
        </w:rPr>
        <w:t>at 154 (</w:t>
      </w:r>
      <w:proofErr w:type="spellStart"/>
      <w:r w:rsidRPr="00580D14">
        <w:rPr>
          <w:rFonts w:ascii="Calibri" w:hAnsi="Calibri" w:cs="Calibri"/>
          <w:color w:val="000000" w:themeColor="text1"/>
          <w:sz w:val="18"/>
          <w:szCs w:val="18"/>
        </w:rPr>
        <w:t>Misra</w:t>
      </w:r>
      <w:proofErr w:type="spellEnd"/>
      <w:r w:rsidRPr="00580D14">
        <w:rPr>
          <w:rFonts w:ascii="Calibri" w:hAnsi="Calibri" w:cs="Calibri"/>
          <w:color w:val="000000" w:themeColor="text1"/>
          <w:sz w:val="18"/>
          <w:szCs w:val="18"/>
        </w:rPr>
        <w:t xml:space="preserve"> CJ).</w:t>
      </w:r>
    </w:p>
  </w:footnote>
  <w:footnote w:id="31">
    <w:p w14:paraId="367A7C47" w14:textId="65B42E53" w:rsidR="00A86E9F" w:rsidRPr="00A86E9F" w:rsidRDefault="00A86E9F" w:rsidP="00A86E9F">
      <w:pPr>
        <w:pStyle w:val="FootnoteText"/>
        <w:jc w:val="both"/>
        <w:rPr>
          <w:sz w:val="18"/>
          <w:szCs w:val="18"/>
          <w:lang w:val="en-AU"/>
        </w:rPr>
      </w:pPr>
      <w:r w:rsidRPr="00A86E9F">
        <w:rPr>
          <w:rStyle w:val="FootnoteReference"/>
          <w:sz w:val="18"/>
          <w:szCs w:val="18"/>
        </w:rPr>
        <w:footnoteRef/>
      </w:r>
      <w:r w:rsidRPr="00A86E9F">
        <w:rPr>
          <w:sz w:val="18"/>
          <w:szCs w:val="18"/>
        </w:rPr>
        <w:t xml:space="preserve"> </w:t>
      </w:r>
      <w:r w:rsidRPr="00A86E9F">
        <w:rPr>
          <w:sz w:val="18"/>
          <w:szCs w:val="18"/>
          <w:lang w:val="en-AU"/>
        </w:rPr>
        <w:t xml:space="preserve">This </w:t>
      </w:r>
      <w:r>
        <w:rPr>
          <w:sz w:val="18"/>
          <w:szCs w:val="18"/>
          <w:lang w:val="en-AU"/>
        </w:rPr>
        <w:t xml:space="preserve">intervention </w:t>
      </w:r>
      <w:r w:rsidRPr="00A86E9F">
        <w:rPr>
          <w:sz w:val="18"/>
          <w:szCs w:val="18"/>
          <w:lang w:val="en-AU"/>
        </w:rPr>
        <w:t xml:space="preserve">took place during a panel discussion organised by the Sydney Institute of Criminology for my book, </w:t>
      </w:r>
      <w:r w:rsidRPr="00A86E9F">
        <w:rPr>
          <w:i/>
          <w:iCs/>
          <w:sz w:val="18"/>
          <w:szCs w:val="18"/>
          <w:lang w:val="en-AU"/>
        </w:rPr>
        <w:t>Feeling Queer Jurisprudence</w:t>
      </w:r>
      <w:r w:rsidRPr="00A86E9F">
        <w:rPr>
          <w:sz w:val="18"/>
          <w:szCs w:val="18"/>
          <w:lang w:val="en-AU"/>
        </w:rPr>
        <w:t>, on</w:t>
      </w:r>
      <w:r w:rsidR="00B04368">
        <w:rPr>
          <w:sz w:val="18"/>
          <w:szCs w:val="18"/>
          <w:lang w:val="en-AU"/>
        </w:rPr>
        <w:t xml:space="preserve"> </w:t>
      </w:r>
      <w:r w:rsidRPr="00A86E9F">
        <w:rPr>
          <w:sz w:val="18"/>
          <w:szCs w:val="18"/>
          <w:lang w:val="en-AU"/>
        </w:rPr>
        <w:t xml:space="preserve">4 March </w:t>
      </w:r>
      <w:r w:rsidR="00B04368">
        <w:rPr>
          <w:sz w:val="18"/>
          <w:szCs w:val="18"/>
          <w:lang w:val="en-AU"/>
        </w:rPr>
        <w:t xml:space="preserve">2020 </w:t>
      </w:r>
      <w:r w:rsidRPr="00A86E9F">
        <w:rPr>
          <w:sz w:val="18"/>
          <w:szCs w:val="18"/>
          <w:lang w:val="en-AU"/>
        </w:rPr>
        <w:t xml:space="preserve">at Sydney Law School.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F7"/>
    <w:rsid w:val="00022D0A"/>
    <w:rsid w:val="00043781"/>
    <w:rsid w:val="00054E05"/>
    <w:rsid w:val="000D371E"/>
    <w:rsid w:val="000E3C99"/>
    <w:rsid w:val="00102072"/>
    <w:rsid w:val="0014379A"/>
    <w:rsid w:val="00187117"/>
    <w:rsid w:val="001B4A48"/>
    <w:rsid w:val="001F2B3D"/>
    <w:rsid w:val="00212D2E"/>
    <w:rsid w:val="002D2831"/>
    <w:rsid w:val="002F4BFE"/>
    <w:rsid w:val="0031395E"/>
    <w:rsid w:val="00336AA6"/>
    <w:rsid w:val="0035592E"/>
    <w:rsid w:val="00380517"/>
    <w:rsid w:val="0039235F"/>
    <w:rsid w:val="00405FB3"/>
    <w:rsid w:val="00413B1E"/>
    <w:rsid w:val="00467B57"/>
    <w:rsid w:val="004E4BFE"/>
    <w:rsid w:val="004E65F2"/>
    <w:rsid w:val="00504C9D"/>
    <w:rsid w:val="00507DEE"/>
    <w:rsid w:val="00580D14"/>
    <w:rsid w:val="00590733"/>
    <w:rsid w:val="005A6FCD"/>
    <w:rsid w:val="005D15C6"/>
    <w:rsid w:val="005D3CF3"/>
    <w:rsid w:val="00655209"/>
    <w:rsid w:val="0069507A"/>
    <w:rsid w:val="006B10CB"/>
    <w:rsid w:val="006B762C"/>
    <w:rsid w:val="006E6E9A"/>
    <w:rsid w:val="00700ED6"/>
    <w:rsid w:val="00773165"/>
    <w:rsid w:val="007C6CA1"/>
    <w:rsid w:val="007D0BA6"/>
    <w:rsid w:val="007D5439"/>
    <w:rsid w:val="007F5BF9"/>
    <w:rsid w:val="00803084"/>
    <w:rsid w:val="008173C7"/>
    <w:rsid w:val="0088074A"/>
    <w:rsid w:val="008D24DB"/>
    <w:rsid w:val="0092044E"/>
    <w:rsid w:val="00964EA1"/>
    <w:rsid w:val="00995608"/>
    <w:rsid w:val="009B137D"/>
    <w:rsid w:val="009E0A4C"/>
    <w:rsid w:val="00A86E9F"/>
    <w:rsid w:val="00B04368"/>
    <w:rsid w:val="00B10B2E"/>
    <w:rsid w:val="00B65270"/>
    <w:rsid w:val="00BB475D"/>
    <w:rsid w:val="00BC3391"/>
    <w:rsid w:val="00C63B99"/>
    <w:rsid w:val="00C94DD2"/>
    <w:rsid w:val="00CB4A71"/>
    <w:rsid w:val="00CE45F6"/>
    <w:rsid w:val="00CF0919"/>
    <w:rsid w:val="00D30525"/>
    <w:rsid w:val="00D448F6"/>
    <w:rsid w:val="00D66F66"/>
    <w:rsid w:val="00D75056"/>
    <w:rsid w:val="00DA6AF5"/>
    <w:rsid w:val="00E2591E"/>
    <w:rsid w:val="00E57686"/>
    <w:rsid w:val="00E63FF7"/>
    <w:rsid w:val="00EB56FD"/>
    <w:rsid w:val="00EC5601"/>
    <w:rsid w:val="00F80C3A"/>
    <w:rsid w:val="00F8423B"/>
    <w:rsid w:val="00F93817"/>
    <w:rsid w:val="00FA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6E39"/>
  <w15:chartTrackingRefBased/>
  <w15:docId w15:val="{D8860D13-58C6-5442-8324-782E553B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762C"/>
  </w:style>
  <w:style w:type="paragraph" w:customStyle="1" w:styleId="Body">
    <w:name w:val="Body"/>
    <w:rsid w:val="001F2B3D"/>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FootnoteText">
    <w:name w:val="footnote text"/>
    <w:aliases w:val="FN,Footnote Text Char1 Char,Footnote Text Char Char Char,Footnote Text Char1 Char Char Char,Footnote Text Char Char Char Char Char,Footnote Text Char2 Char Char Char Char Char,Footnote Text Char Char,Ca"/>
    <w:basedOn w:val="Normal"/>
    <w:link w:val="FootnoteTextChar"/>
    <w:uiPriority w:val="99"/>
    <w:unhideWhenUsed/>
    <w:rsid w:val="001F2B3D"/>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2 Char Char Char Char Char Char,Ca Char"/>
    <w:basedOn w:val="DefaultParagraphFont"/>
    <w:link w:val="FootnoteText"/>
    <w:uiPriority w:val="99"/>
    <w:rsid w:val="001F2B3D"/>
    <w:rPr>
      <w:sz w:val="20"/>
      <w:szCs w:val="20"/>
    </w:rPr>
  </w:style>
  <w:style w:type="character" w:styleId="FootnoteReference">
    <w:name w:val="footnote reference"/>
    <w:basedOn w:val="DefaultParagraphFont"/>
    <w:uiPriority w:val="99"/>
    <w:unhideWhenUsed/>
    <w:rsid w:val="001F2B3D"/>
    <w:rPr>
      <w:vertAlign w:val="superscript"/>
    </w:rPr>
  </w:style>
  <w:style w:type="character" w:customStyle="1" w:styleId="st">
    <w:name w:val="st"/>
    <w:basedOn w:val="DefaultParagraphFont"/>
    <w:rsid w:val="00CF0919"/>
  </w:style>
  <w:style w:type="character" w:styleId="Hyperlink">
    <w:name w:val="Hyperlink"/>
    <w:basedOn w:val="DefaultParagraphFont"/>
    <w:uiPriority w:val="99"/>
    <w:unhideWhenUsed/>
    <w:rsid w:val="004E4BFE"/>
    <w:rPr>
      <w:color w:val="0000FF"/>
      <w:u w:val="single"/>
    </w:rPr>
  </w:style>
  <w:style w:type="paragraph" w:styleId="Header">
    <w:name w:val="header"/>
    <w:basedOn w:val="Normal"/>
    <w:link w:val="HeaderChar"/>
    <w:uiPriority w:val="99"/>
    <w:unhideWhenUsed/>
    <w:rsid w:val="00A86E9F"/>
    <w:pPr>
      <w:tabs>
        <w:tab w:val="center" w:pos="4513"/>
        <w:tab w:val="right" w:pos="9026"/>
      </w:tabs>
    </w:pPr>
  </w:style>
  <w:style w:type="character" w:customStyle="1" w:styleId="HeaderChar">
    <w:name w:val="Header Char"/>
    <w:basedOn w:val="DefaultParagraphFont"/>
    <w:link w:val="Header"/>
    <w:uiPriority w:val="99"/>
    <w:rsid w:val="00A86E9F"/>
  </w:style>
  <w:style w:type="paragraph" w:styleId="Footer">
    <w:name w:val="footer"/>
    <w:basedOn w:val="Normal"/>
    <w:link w:val="FooterChar"/>
    <w:uiPriority w:val="99"/>
    <w:unhideWhenUsed/>
    <w:rsid w:val="00A86E9F"/>
    <w:pPr>
      <w:tabs>
        <w:tab w:val="center" w:pos="4513"/>
        <w:tab w:val="right" w:pos="9026"/>
      </w:tabs>
    </w:pPr>
  </w:style>
  <w:style w:type="character" w:customStyle="1" w:styleId="FooterChar">
    <w:name w:val="Footer Char"/>
    <w:basedOn w:val="DefaultParagraphFont"/>
    <w:link w:val="Footer"/>
    <w:uiPriority w:val="99"/>
    <w:rsid w:val="00A86E9F"/>
  </w:style>
  <w:style w:type="character" w:styleId="PageNumber">
    <w:name w:val="page number"/>
    <w:basedOn w:val="DefaultParagraphFont"/>
    <w:uiPriority w:val="99"/>
    <w:semiHidden/>
    <w:unhideWhenUsed/>
    <w:rsid w:val="00A86E9F"/>
  </w:style>
  <w:style w:type="paragraph" w:styleId="BalloonText">
    <w:name w:val="Balloon Text"/>
    <w:basedOn w:val="Normal"/>
    <w:link w:val="BalloonTextChar"/>
    <w:uiPriority w:val="99"/>
    <w:semiHidden/>
    <w:unhideWhenUsed/>
    <w:rsid w:val="00A86E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6E9F"/>
    <w:rPr>
      <w:rFonts w:ascii="Times New Roman" w:hAnsi="Times New Roman" w:cs="Times New Roman"/>
      <w:sz w:val="18"/>
      <w:szCs w:val="18"/>
    </w:rPr>
  </w:style>
  <w:style w:type="paragraph" w:styleId="Revision">
    <w:name w:val="Revision"/>
    <w:hidden/>
    <w:uiPriority w:val="99"/>
    <w:semiHidden/>
    <w:rsid w:val="006E6E9A"/>
  </w:style>
  <w:style w:type="character" w:styleId="CommentReference">
    <w:name w:val="annotation reference"/>
    <w:basedOn w:val="DefaultParagraphFont"/>
    <w:uiPriority w:val="99"/>
    <w:semiHidden/>
    <w:unhideWhenUsed/>
    <w:rsid w:val="00F93817"/>
    <w:rPr>
      <w:sz w:val="16"/>
      <w:szCs w:val="16"/>
    </w:rPr>
  </w:style>
  <w:style w:type="paragraph" w:styleId="CommentText">
    <w:name w:val="annotation text"/>
    <w:basedOn w:val="Normal"/>
    <w:link w:val="CommentTextChar"/>
    <w:uiPriority w:val="99"/>
    <w:semiHidden/>
    <w:unhideWhenUsed/>
    <w:rsid w:val="00F93817"/>
    <w:rPr>
      <w:sz w:val="20"/>
      <w:szCs w:val="20"/>
    </w:rPr>
  </w:style>
  <w:style w:type="character" w:customStyle="1" w:styleId="CommentTextChar">
    <w:name w:val="Comment Text Char"/>
    <w:basedOn w:val="DefaultParagraphFont"/>
    <w:link w:val="CommentText"/>
    <w:uiPriority w:val="99"/>
    <w:semiHidden/>
    <w:rsid w:val="00F93817"/>
    <w:rPr>
      <w:sz w:val="20"/>
      <w:szCs w:val="20"/>
    </w:rPr>
  </w:style>
  <w:style w:type="paragraph" w:styleId="CommentSubject">
    <w:name w:val="annotation subject"/>
    <w:basedOn w:val="CommentText"/>
    <w:next w:val="CommentText"/>
    <w:link w:val="CommentSubjectChar"/>
    <w:uiPriority w:val="99"/>
    <w:semiHidden/>
    <w:unhideWhenUsed/>
    <w:rsid w:val="00F93817"/>
    <w:rPr>
      <w:b/>
      <w:bCs/>
    </w:rPr>
  </w:style>
  <w:style w:type="character" w:customStyle="1" w:styleId="CommentSubjectChar">
    <w:name w:val="Comment Subject Char"/>
    <w:basedOn w:val="CommentTextChar"/>
    <w:link w:val="CommentSubject"/>
    <w:uiPriority w:val="99"/>
    <w:semiHidden/>
    <w:rsid w:val="00F93817"/>
    <w:rPr>
      <w:b/>
      <w:bCs/>
      <w:sz w:val="20"/>
      <w:szCs w:val="20"/>
    </w:rPr>
  </w:style>
  <w:style w:type="character" w:styleId="FollowedHyperlink">
    <w:name w:val="FollowedHyperlink"/>
    <w:basedOn w:val="DefaultParagraphFont"/>
    <w:uiPriority w:val="99"/>
    <w:semiHidden/>
    <w:unhideWhenUsed/>
    <w:rsid w:val="00E57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77597">
      <w:bodyDiv w:val="1"/>
      <w:marLeft w:val="0"/>
      <w:marRight w:val="0"/>
      <w:marTop w:val="0"/>
      <w:marBottom w:val="0"/>
      <w:divBdr>
        <w:top w:val="none" w:sz="0" w:space="0" w:color="auto"/>
        <w:left w:val="none" w:sz="0" w:space="0" w:color="auto"/>
        <w:bottom w:val="none" w:sz="0" w:space="0" w:color="auto"/>
        <w:right w:val="none" w:sz="0" w:space="0" w:color="auto"/>
      </w:divBdr>
    </w:div>
    <w:div w:id="953445072">
      <w:bodyDiv w:val="1"/>
      <w:marLeft w:val="0"/>
      <w:marRight w:val="0"/>
      <w:marTop w:val="0"/>
      <w:marBottom w:val="0"/>
      <w:divBdr>
        <w:top w:val="none" w:sz="0" w:space="0" w:color="auto"/>
        <w:left w:val="none" w:sz="0" w:space="0" w:color="auto"/>
        <w:bottom w:val="none" w:sz="0" w:space="0" w:color="auto"/>
        <w:right w:val="none" w:sz="0" w:space="0" w:color="auto"/>
      </w:divBdr>
    </w:div>
    <w:div w:id="1105271451">
      <w:bodyDiv w:val="1"/>
      <w:marLeft w:val="0"/>
      <w:marRight w:val="0"/>
      <w:marTop w:val="0"/>
      <w:marBottom w:val="0"/>
      <w:divBdr>
        <w:top w:val="none" w:sz="0" w:space="0" w:color="auto"/>
        <w:left w:val="none" w:sz="0" w:space="0" w:color="auto"/>
        <w:bottom w:val="none" w:sz="0" w:space="0" w:color="auto"/>
        <w:right w:val="none" w:sz="0" w:space="0" w:color="auto"/>
      </w:divBdr>
    </w:div>
    <w:div w:id="1677803250">
      <w:bodyDiv w:val="1"/>
      <w:marLeft w:val="0"/>
      <w:marRight w:val="0"/>
      <w:marTop w:val="0"/>
      <w:marBottom w:val="0"/>
      <w:divBdr>
        <w:top w:val="none" w:sz="0" w:space="0" w:color="auto"/>
        <w:left w:val="none" w:sz="0" w:space="0" w:color="auto"/>
        <w:bottom w:val="none" w:sz="0" w:space="0" w:color="auto"/>
        <w:right w:val="none" w:sz="0" w:space="0" w:color="auto"/>
      </w:divBdr>
    </w:div>
    <w:div w:id="21077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hcr.org/en-us/1951-refugee-convention.html" TargetMode="External"/><Relationship Id="rId2" Type="http://schemas.openxmlformats.org/officeDocument/2006/relationships/hyperlink" Target="https://www.theguardian.com/world/2020/feb/01/religious-freedom-bills-latest-draft-unacceptable-and-does-not-protect-human-rights" TargetMode="External"/><Relationship Id="rId1" Type="http://schemas.openxmlformats.org/officeDocument/2006/relationships/hyperlink" Target="https://theconversation.com/how-indian-judges-wrote-love-into-law-as-they-decriminalised-gay-sex-102810" TargetMode="External"/><Relationship Id="rId4" Type="http://schemas.openxmlformats.org/officeDocument/2006/relationships/hyperlink" Target="https://uklgig.org.uk/wp-content/uploads/2018/07/Still-Falling-Sh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6128-32B1-9A48-87F3-D5E38F65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3776</Words>
  <Characters>21639</Characters>
  <Application>Microsoft Office Word</Application>
  <DocSecurity>0</DocSecurity>
  <Lines>354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Sunil Raj</dc:creator>
  <cp:keywords/>
  <dc:description/>
  <cp:lastModifiedBy>Sen Sunil Raj</cp:lastModifiedBy>
  <cp:revision>2</cp:revision>
  <dcterms:created xsi:type="dcterms:W3CDTF">2020-06-24T02:00:00Z</dcterms:created>
  <dcterms:modified xsi:type="dcterms:W3CDTF">2020-06-24T02:00:00Z</dcterms:modified>
</cp:coreProperties>
</file>