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C4DF5" w14:textId="7AE9624C" w:rsidR="00DD50B3" w:rsidRDefault="00DD50B3">
      <w:pPr>
        <w:rPr>
          <w:rFonts w:ascii="Arial" w:hAnsi="Arial" w:cs="Arial"/>
          <w:color w:val="000000"/>
          <w:shd w:val="clear" w:color="auto" w:fill="FFFFFF"/>
        </w:rPr>
      </w:pPr>
      <w:r w:rsidRPr="00DD50B3">
        <w:rPr>
          <w:rFonts w:ascii="Arial" w:hAnsi="Arial" w:cs="Arial"/>
          <w:b/>
          <w:color w:val="000000"/>
          <w:u w:val="single"/>
          <w:shd w:val="clear" w:color="auto" w:fill="FFFFFF"/>
        </w:rPr>
        <w:t>Title: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85A18">
        <w:rPr>
          <w:rFonts w:ascii="Arial" w:hAnsi="Arial" w:cs="Arial"/>
          <w:color w:val="000000"/>
          <w:shd w:val="clear" w:color="auto" w:fill="FFFFFF"/>
        </w:rPr>
        <w:t>The descriptive epidemiology and secular trends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85A18">
        <w:rPr>
          <w:rFonts w:ascii="Arial" w:hAnsi="Arial" w:cs="Arial"/>
          <w:color w:val="000000"/>
          <w:shd w:val="clear" w:color="auto" w:fill="FFFFFF"/>
        </w:rPr>
        <w:t>of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2329E">
        <w:rPr>
          <w:rFonts w:ascii="Arial" w:hAnsi="Arial" w:cs="Arial"/>
          <w:color w:val="000000"/>
          <w:shd w:val="clear" w:color="auto" w:fill="FFFFFF"/>
        </w:rPr>
        <w:t xml:space="preserve">lower </w:t>
      </w:r>
      <w:r>
        <w:rPr>
          <w:rFonts w:ascii="Arial" w:hAnsi="Arial" w:cs="Arial"/>
          <w:color w:val="000000"/>
          <w:shd w:val="clear" w:color="auto" w:fill="FFFFFF"/>
        </w:rPr>
        <w:t xml:space="preserve">back </w:t>
      </w:r>
      <w:r w:rsidR="00885A18">
        <w:rPr>
          <w:rFonts w:ascii="Arial" w:hAnsi="Arial" w:cs="Arial"/>
          <w:color w:val="000000"/>
          <w:shd w:val="clear" w:color="auto" w:fill="FFFFFF"/>
        </w:rPr>
        <w:t xml:space="preserve">surgery </w:t>
      </w:r>
      <w:r>
        <w:rPr>
          <w:rFonts w:ascii="Arial" w:hAnsi="Arial" w:cs="Arial"/>
          <w:color w:val="000000"/>
          <w:shd w:val="clear" w:color="auto" w:fill="FFFFFF"/>
        </w:rPr>
        <w:t xml:space="preserve">in </w:t>
      </w:r>
      <w:r w:rsidR="00885A18">
        <w:rPr>
          <w:rFonts w:ascii="Arial" w:hAnsi="Arial" w:cs="Arial"/>
          <w:color w:val="000000"/>
          <w:shd w:val="clear" w:color="auto" w:fill="FFFFFF"/>
        </w:rPr>
        <w:t xml:space="preserve">routine </w:t>
      </w:r>
      <w:r>
        <w:rPr>
          <w:rFonts w:ascii="Arial" w:hAnsi="Arial" w:cs="Arial"/>
          <w:color w:val="000000"/>
          <w:shd w:val="clear" w:color="auto" w:fill="FFFFFF"/>
        </w:rPr>
        <w:t xml:space="preserve">UK </w:t>
      </w:r>
      <w:r w:rsidR="00885A18">
        <w:rPr>
          <w:rFonts w:ascii="Arial" w:hAnsi="Arial" w:cs="Arial"/>
          <w:color w:val="000000"/>
          <w:shd w:val="clear" w:color="auto" w:fill="FFFFFF"/>
        </w:rPr>
        <w:t xml:space="preserve">NHS care from </w:t>
      </w:r>
      <w:r>
        <w:rPr>
          <w:rFonts w:ascii="Arial" w:hAnsi="Arial" w:cs="Arial"/>
          <w:color w:val="000000"/>
          <w:shd w:val="clear" w:color="auto" w:fill="FFFFFF"/>
        </w:rPr>
        <w:t>2000</w:t>
      </w:r>
      <w:r w:rsidR="00885A18">
        <w:rPr>
          <w:rFonts w:ascii="Arial" w:hAnsi="Arial" w:cs="Arial"/>
          <w:color w:val="000000"/>
          <w:shd w:val="clear" w:color="auto" w:fill="FFFFFF"/>
        </w:rPr>
        <w:t xml:space="preserve"> to</w:t>
      </w:r>
      <w:r>
        <w:rPr>
          <w:rFonts w:ascii="Arial" w:hAnsi="Arial" w:cs="Arial"/>
          <w:color w:val="000000"/>
          <w:shd w:val="clear" w:color="auto" w:fill="FFFFFF"/>
        </w:rPr>
        <w:t xml:space="preserve"> 2016</w:t>
      </w:r>
    </w:p>
    <w:p w14:paraId="7717953B" w14:textId="4EB08B82" w:rsidR="00310316" w:rsidRPr="00310316" w:rsidRDefault="00310316">
      <w:pPr>
        <w:rPr>
          <w:rFonts w:ascii="Arial" w:hAnsi="Arial" w:cs="Arial"/>
          <w:color w:val="000000"/>
          <w:shd w:val="clear" w:color="auto" w:fill="FFFFFF"/>
          <w:vertAlign w:val="superscript"/>
        </w:rPr>
      </w:pPr>
      <w:r w:rsidRPr="00310316">
        <w:rPr>
          <w:rFonts w:ascii="Arial" w:hAnsi="Arial" w:cs="Arial"/>
          <w:b/>
          <w:color w:val="000000"/>
          <w:u w:val="single"/>
          <w:shd w:val="clear" w:color="auto" w:fill="FFFFFF"/>
        </w:rPr>
        <w:t>Authors:</w:t>
      </w:r>
      <w:r w:rsidRPr="00310316">
        <w:rPr>
          <w:rFonts w:ascii="Arial" w:hAnsi="Arial" w:cs="Arial"/>
          <w:color w:val="000000"/>
          <w:shd w:val="clear" w:color="auto" w:fill="FFFFFF"/>
        </w:rPr>
        <w:t xml:space="preserve"> D E Robinson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1</w:t>
      </w:r>
      <w:r w:rsidRPr="00310316">
        <w:rPr>
          <w:rFonts w:ascii="Arial" w:hAnsi="Arial" w:cs="Arial"/>
          <w:color w:val="000000"/>
          <w:shd w:val="clear" w:color="auto" w:fill="FFFFFF"/>
        </w:rPr>
        <w:t xml:space="preserve">, J </w:t>
      </w:r>
      <w:r w:rsidR="00FC04C5">
        <w:rPr>
          <w:rFonts w:ascii="Arial" w:hAnsi="Arial" w:cs="Arial"/>
          <w:color w:val="000000"/>
          <w:shd w:val="clear" w:color="auto" w:fill="FFFFFF"/>
        </w:rPr>
        <w:t xml:space="preserve">C </w:t>
      </w:r>
      <w:r w:rsidRPr="00310316">
        <w:rPr>
          <w:rFonts w:ascii="Arial" w:hAnsi="Arial" w:cs="Arial"/>
          <w:color w:val="000000"/>
          <w:shd w:val="clear" w:color="auto" w:fill="FFFFFF"/>
        </w:rPr>
        <w:t>Lane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1</w:t>
      </w:r>
      <w:r w:rsidRPr="00310316">
        <w:rPr>
          <w:rFonts w:ascii="Arial" w:hAnsi="Arial" w:cs="Arial"/>
          <w:color w:val="000000"/>
          <w:shd w:val="clear" w:color="auto" w:fill="FFFFFF"/>
        </w:rPr>
        <w:t>, R Craig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1</w:t>
      </w:r>
      <w:r w:rsidRPr="00310316">
        <w:rPr>
          <w:rFonts w:ascii="Arial" w:hAnsi="Arial" w:cs="Arial"/>
          <w:color w:val="000000"/>
          <w:shd w:val="clear" w:color="auto" w:fill="FFFFFF"/>
        </w:rPr>
        <w:t>, A Judge</w:t>
      </w:r>
      <w:r w:rsidR="00FC04C5" w:rsidRPr="00FC04C5">
        <w:rPr>
          <w:rFonts w:ascii="Arial" w:hAnsi="Arial" w:cs="Arial"/>
          <w:color w:val="000000"/>
          <w:shd w:val="clear" w:color="auto" w:fill="FFFFFF"/>
          <w:vertAlign w:val="superscript"/>
        </w:rPr>
        <w:t>1</w:t>
      </w:r>
      <w:r w:rsidR="00FC04C5">
        <w:rPr>
          <w:rFonts w:ascii="Arial" w:hAnsi="Arial" w:cs="Arial"/>
          <w:color w:val="000000"/>
          <w:shd w:val="clear" w:color="auto" w:fill="FFFFFF"/>
          <w:vertAlign w:val="superscript"/>
        </w:rPr>
        <w:t>,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2</w:t>
      </w:r>
      <w:r w:rsidRPr="00310316">
        <w:rPr>
          <w:rFonts w:ascii="Arial" w:hAnsi="Arial" w:cs="Arial"/>
          <w:color w:val="000000"/>
          <w:shd w:val="clear" w:color="auto" w:fill="FFFFFF"/>
        </w:rPr>
        <w:t>, J Bailey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3</w:t>
      </w:r>
      <w:r w:rsidRPr="00310316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FC04C5">
        <w:t>D Yu</w:t>
      </w:r>
      <w:r w:rsidR="00FC04C5">
        <w:rPr>
          <w:vertAlign w:val="superscript"/>
        </w:rPr>
        <w:t>3</w:t>
      </w:r>
      <w:r w:rsidR="00FC04C5">
        <w:t xml:space="preserve">, </w:t>
      </w:r>
      <w:r w:rsidRPr="00310316">
        <w:rPr>
          <w:rFonts w:ascii="Arial" w:hAnsi="Arial" w:cs="Arial"/>
          <w:color w:val="000000"/>
          <w:shd w:val="clear" w:color="auto" w:fill="FFFFFF"/>
        </w:rPr>
        <w:t xml:space="preserve">K </w:t>
      </w:r>
      <w:r w:rsidR="00FC04C5">
        <w:rPr>
          <w:rFonts w:ascii="Arial" w:hAnsi="Arial" w:cs="Arial"/>
          <w:color w:val="000000"/>
          <w:shd w:val="clear" w:color="auto" w:fill="FFFFFF"/>
        </w:rPr>
        <w:t xml:space="preserve">P </w:t>
      </w:r>
      <w:r w:rsidRPr="00310316">
        <w:rPr>
          <w:rFonts w:ascii="Arial" w:hAnsi="Arial" w:cs="Arial"/>
          <w:color w:val="000000"/>
          <w:shd w:val="clear" w:color="auto" w:fill="FFFFFF"/>
        </w:rPr>
        <w:t>Jordan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3</w:t>
      </w:r>
      <w:r w:rsidRPr="00310316">
        <w:rPr>
          <w:rFonts w:ascii="Arial" w:hAnsi="Arial" w:cs="Arial"/>
          <w:color w:val="000000"/>
          <w:shd w:val="clear" w:color="auto" w:fill="FFFFFF"/>
        </w:rPr>
        <w:t>, G Peat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3</w:t>
      </w:r>
      <w:r w:rsidRPr="00310316">
        <w:rPr>
          <w:rFonts w:ascii="Arial" w:hAnsi="Arial" w:cs="Arial"/>
          <w:color w:val="000000"/>
          <w:shd w:val="clear" w:color="auto" w:fill="FFFFFF"/>
        </w:rPr>
        <w:t xml:space="preserve">, R </w:t>
      </w:r>
      <w:r w:rsidR="00FC04C5">
        <w:t>Wilkie</w:t>
      </w:r>
      <w:r w:rsidR="00FC04C5">
        <w:rPr>
          <w:vertAlign w:val="superscript"/>
        </w:rPr>
        <w:t>3</w:t>
      </w:r>
      <w:r w:rsidRPr="00310316">
        <w:rPr>
          <w:rFonts w:ascii="Arial" w:hAnsi="Arial" w:cs="Arial"/>
          <w:color w:val="000000"/>
          <w:shd w:val="clear" w:color="auto" w:fill="FFFFFF"/>
        </w:rPr>
        <w:t>, A Silman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1</w:t>
      </w:r>
      <w:r w:rsidRPr="00310316">
        <w:rPr>
          <w:rFonts w:ascii="Arial" w:hAnsi="Arial" w:cs="Arial"/>
          <w:color w:val="000000"/>
          <w:shd w:val="clear" w:color="auto" w:fill="FFFFFF"/>
        </w:rPr>
        <w:t>, V Y Strauss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1</w:t>
      </w:r>
      <w:r w:rsidRPr="00310316">
        <w:rPr>
          <w:rFonts w:ascii="Arial" w:hAnsi="Arial" w:cs="Arial"/>
          <w:color w:val="000000"/>
          <w:shd w:val="clear" w:color="auto" w:fill="FFFFFF"/>
        </w:rPr>
        <w:t>, D Prieto-Alhambra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1</w:t>
      </w:r>
    </w:p>
    <w:p w14:paraId="5EC4E17B" w14:textId="77777777" w:rsidR="00310316" w:rsidRDefault="00310316">
      <w:pPr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310316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Affiliations: </w:t>
      </w:r>
    </w:p>
    <w:p w14:paraId="420B1F00" w14:textId="77777777" w:rsidR="00310316" w:rsidRPr="00310316" w:rsidRDefault="00310316" w:rsidP="0031031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310316">
        <w:rPr>
          <w:rFonts w:ascii="Arial" w:hAnsi="Arial" w:cs="Arial"/>
          <w:color w:val="000000"/>
          <w:shd w:val="clear" w:color="auto" w:fill="FFFFFF"/>
        </w:rPr>
        <w:t>NDORMS, University of Oxford, Oxford, UK</w:t>
      </w:r>
    </w:p>
    <w:p w14:paraId="3FB10B62" w14:textId="77777777" w:rsidR="00310316" w:rsidRPr="00310316" w:rsidRDefault="00310316" w:rsidP="0031031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310316">
        <w:rPr>
          <w:rFonts w:ascii="Arial" w:hAnsi="Arial" w:cs="Arial"/>
          <w:color w:val="000000"/>
          <w:shd w:val="clear" w:color="auto" w:fill="FFFFFF"/>
        </w:rPr>
        <w:t>Musculoskeletal Research Unit, University of Bristol, Bristol, UK</w:t>
      </w:r>
    </w:p>
    <w:p w14:paraId="36E57FAD" w14:textId="77777777" w:rsidR="000548C0" w:rsidRDefault="00310316" w:rsidP="000548C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310316">
        <w:rPr>
          <w:rFonts w:ascii="Arial" w:hAnsi="Arial" w:cs="Arial"/>
          <w:color w:val="000000"/>
          <w:shd w:val="clear" w:color="auto" w:fill="FFFFFF"/>
        </w:rPr>
        <w:t xml:space="preserve">School of </w:t>
      </w:r>
      <w:r w:rsidR="00A60AC6">
        <w:rPr>
          <w:rFonts w:ascii="Arial" w:hAnsi="Arial" w:cs="Arial"/>
          <w:color w:val="000000"/>
          <w:shd w:val="clear" w:color="auto" w:fill="FFFFFF"/>
        </w:rPr>
        <w:t>P</w:t>
      </w:r>
      <w:r w:rsidRPr="00310316">
        <w:rPr>
          <w:rFonts w:ascii="Arial" w:hAnsi="Arial" w:cs="Arial"/>
          <w:color w:val="000000"/>
          <w:shd w:val="clear" w:color="auto" w:fill="FFFFFF"/>
        </w:rPr>
        <w:t xml:space="preserve">rimary, </w:t>
      </w:r>
      <w:r w:rsidR="00A60AC6">
        <w:rPr>
          <w:rFonts w:ascii="Arial" w:hAnsi="Arial" w:cs="Arial"/>
          <w:color w:val="000000"/>
          <w:shd w:val="clear" w:color="auto" w:fill="FFFFFF"/>
        </w:rPr>
        <w:t>C</w:t>
      </w:r>
      <w:r w:rsidRPr="00310316">
        <w:rPr>
          <w:rFonts w:ascii="Arial" w:hAnsi="Arial" w:cs="Arial"/>
          <w:color w:val="000000"/>
          <w:shd w:val="clear" w:color="auto" w:fill="FFFFFF"/>
        </w:rPr>
        <w:t xml:space="preserve">ommunity and </w:t>
      </w:r>
      <w:r w:rsidR="00A60AC6">
        <w:rPr>
          <w:rFonts w:ascii="Arial" w:hAnsi="Arial" w:cs="Arial"/>
          <w:color w:val="000000"/>
          <w:shd w:val="clear" w:color="auto" w:fill="FFFFFF"/>
        </w:rPr>
        <w:t>S</w:t>
      </w:r>
      <w:r w:rsidRPr="00310316">
        <w:rPr>
          <w:rFonts w:ascii="Arial" w:hAnsi="Arial" w:cs="Arial"/>
          <w:color w:val="000000"/>
          <w:shd w:val="clear" w:color="auto" w:fill="FFFFFF"/>
        </w:rPr>
        <w:t xml:space="preserve">ocial </w:t>
      </w:r>
      <w:r w:rsidR="00A60AC6">
        <w:rPr>
          <w:rFonts w:ascii="Arial" w:hAnsi="Arial" w:cs="Arial"/>
          <w:color w:val="000000"/>
          <w:shd w:val="clear" w:color="auto" w:fill="FFFFFF"/>
        </w:rPr>
        <w:t>C</w:t>
      </w:r>
      <w:r w:rsidRPr="00310316">
        <w:rPr>
          <w:rFonts w:ascii="Arial" w:hAnsi="Arial" w:cs="Arial"/>
          <w:color w:val="000000"/>
          <w:shd w:val="clear" w:color="auto" w:fill="FFFFFF"/>
        </w:rPr>
        <w:t xml:space="preserve">are, </w:t>
      </w:r>
      <w:proofErr w:type="spellStart"/>
      <w:r w:rsidRPr="00310316">
        <w:rPr>
          <w:rFonts w:ascii="Arial" w:hAnsi="Arial" w:cs="Arial"/>
          <w:color w:val="000000"/>
          <w:shd w:val="clear" w:color="auto" w:fill="FFFFFF"/>
        </w:rPr>
        <w:t>Keele</w:t>
      </w:r>
      <w:proofErr w:type="spellEnd"/>
      <w:r w:rsidRPr="00310316">
        <w:rPr>
          <w:rFonts w:ascii="Arial" w:hAnsi="Arial" w:cs="Arial"/>
          <w:color w:val="000000"/>
          <w:shd w:val="clear" w:color="auto" w:fill="FFFFFF"/>
        </w:rPr>
        <w:t xml:space="preserve"> University, UK</w:t>
      </w:r>
    </w:p>
    <w:p w14:paraId="3D2299E6" w14:textId="02FC5B5D" w:rsidR="000548C0" w:rsidRPr="000548C0" w:rsidRDefault="000548C0" w:rsidP="000548C0">
      <w:pPr>
        <w:rPr>
          <w:rFonts w:ascii="Arial" w:hAnsi="Arial" w:cs="Arial"/>
          <w:color w:val="000000"/>
          <w:shd w:val="clear" w:color="auto" w:fill="FFFFFF"/>
        </w:rPr>
      </w:pPr>
      <w:r w:rsidRPr="000548C0">
        <w:rPr>
          <w:rFonts w:ascii="Times New Roman" w:hAnsi="Times New Roman" w:cs="Times New Roman"/>
          <w:b/>
          <w:bCs/>
          <w:u w:val="single"/>
        </w:rPr>
        <w:t>Background:</w:t>
      </w:r>
      <w:r w:rsidRPr="000548C0">
        <w:rPr>
          <w:rFonts w:ascii="Times New Roman" w:hAnsi="Times New Roman" w:cs="Times New Roman"/>
        </w:rPr>
        <w:t xml:space="preserve"> The lifetime prevalence of lower back pain is between 60% and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548C0">
        <w:rPr>
          <w:rFonts w:ascii="Times New Roman" w:hAnsi="Times New Roman" w:cs="Times New Roman"/>
        </w:rPr>
        <w:t>70%, with surgical treatments spared for those not responding to other options.</w:t>
      </w:r>
    </w:p>
    <w:p w14:paraId="33632303" w14:textId="74E69EE6" w:rsidR="000548C0" w:rsidRPr="000548C0" w:rsidRDefault="000548C0" w:rsidP="00054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48C0">
        <w:rPr>
          <w:rFonts w:ascii="Times New Roman" w:hAnsi="Times New Roman" w:cs="Times New Roman"/>
          <w:b/>
          <w:bCs/>
          <w:u w:val="single"/>
        </w:rPr>
        <w:t>Objectives:</w:t>
      </w:r>
      <w:r w:rsidRPr="000548C0">
        <w:rPr>
          <w:rFonts w:ascii="Times New Roman" w:hAnsi="Times New Roman" w:cs="Times New Roman"/>
        </w:rPr>
        <w:t xml:space="preserve"> To investigate the age, gender and socio-economic status differences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in back pain procedures in the UK between 2000, 2008 and 2016.</w:t>
      </w:r>
    </w:p>
    <w:p w14:paraId="0BCC292E" w14:textId="77777777" w:rsidR="000548C0" w:rsidRDefault="000548C0" w:rsidP="00054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E08B59" w14:textId="6422074F" w:rsidR="000548C0" w:rsidRDefault="000548C0" w:rsidP="00054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48C0">
        <w:rPr>
          <w:rFonts w:ascii="Times New Roman" w:hAnsi="Times New Roman" w:cs="Times New Roman"/>
          <w:b/>
          <w:bCs/>
          <w:u w:val="single"/>
        </w:rPr>
        <w:t>Methods</w:t>
      </w:r>
      <w:r w:rsidRPr="000548C0">
        <w:rPr>
          <w:rFonts w:ascii="Times New Roman" w:hAnsi="Times New Roman" w:cs="Times New Roman"/>
        </w:rPr>
        <w:t>: Data was obtained from primary care electronic medical records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(CPRD GOLD) linked to English hospital admissions data. Lower back procedures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in patients aged 35+ were identified using OPCS-4 codes for Decompression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(Dc), Fusion (F), Therapeutic injections (TI) and Denervation (</w:t>
      </w:r>
      <w:proofErr w:type="spellStart"/>
      <w:r w:rsidRPr="000548C0">
        <w:rPr>
          <w:rFonts w:ascii="Times New Roman" w:hAnsi="Times New Roman" w:cs="Times New Roman"/>
        </w:rPr>
        <w:t>Dn</w:t>
      </w:r>
      <w:proofErr w:type="spellEnd"/>
      <w:r w:rsidRPr="000548C0">
        <w:rPr>
          <w:rFonts w:ascii="Times New Roman" w:hAnsi="Times New Roman" w:cs="Times New Roman"/>
        </w:rPr>
        <w:t>). Standardised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incidence rates (IR) of each type of lower back procedures were calculated per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10,000 CPRD registered person years for each age group, gender, region and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SES strata in 2000, 2008 and 2016. IR were also calculated for combinations o</w:t>
      </w:r>
      <w:r w:rsidRPr="000548C0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age and gender. Negative binomial regression calculated incidence rate ratios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(IRR) and 95% confidence intervals.</w:t>
      </w:r>
    </w:p>
    <w:p w14:paraId="087F4B47" w14:textId="77777777" w:rsidR="000548C0" w:rsidRPr="000548C0" w:rsidRDefault="000548C0" w:rsidP="00054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8838DC" w14:textId="599B8F1F" w:rsidR="000548C0" w:rsidRPr="000548C0" w:rsidRDefault="000548C0" w:rsidP="00054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48C0">
        <w:rPr>
          <w:rFonts w:ascii="Times New Roman" w:hAnsi="Times New Roman" w:cs="Times New Roman"/>
          <w:b/>
          <w:bCs/>
          <w:u w:val="single"/>
        </w:rPr>
        <w:t>Results:</w:t>
      </w:r>
      <w:r w:rsidRPr="000548C0">
        <w:rPr>
          <w:rFonts w:ascii="Times New Roman" w:hAnsi="Times New Roman" w:cs="Times New Roman"/>
        </w:rPr>
        <w:t xml:space="preserve"> The IR of lower back procedures was 21.5 [20.7, 22.3] per 10,000 person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years in 2000. This doubled by 2008 (45.5 [44.5, 46.5]) and trebled by 2016 (62.5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[60.8, 64.2]). Number of events and incidence rates of each procedure type are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 xml:space="preserve">shown in table 1 below. The incidence of </w:t>
      </w:r>
      <w:proofErr w:type="spellStart"/>
      <w:r w:rsidRPr="000548C0">
        <w:rPr>
          <w:rFonts w:ascii="Times New Roman" w:hAnsi="Times New Roman" w:cs="Times New Roman"/>
        </w:rPr>
        <w:t>Dn</w:t>
      </w:r>
      <w:proofErr w:type="spellEnd"/>
      <w:r w:rsidRPr="000548C0">
        <w:rPr>
          <w:rFonts w:ascii="Times New Roman" w:hAnsi="Times New Roman" w:cs="Times New Roman"/>
        </w:rPr>
        <w:t xml:space="preserve"> has increased 6-fold whilst Dc and F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have doubled. Female (IR in 2016 of 73.99 [71.43, 76.61] vs 50.08 [47.90, 52.33] in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men, IRR 1.50 [1.41, 1.59]) and age are associated with back procedure rates (figure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1).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Large socio-economic differences were observed, with higher procedure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rates seen in the most deprived areas. These differences did however narrow over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time during the study period (figure 2).</w:t>
      </w:r>
    </w:p>
    <w:p w14:paraId="70BC616E" w14:textId="77777777" w:rsidR="000548C0" w:rsidRDefault="000548C0" w:rsidP="00054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42EE7D" w14:textId="59059C0B" w:rsidR="000548C0" w:rsidRPr="000548C0" w:rsidRDefault="000548C0" w:rsidP="00054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48C0">
        <w:rPr>
          <w:rFonts w:ascii="Times New Roman" w:hAnsi="Times New Roman" w:cs="Times New Roman"/>
          <w:b/>
          <w:bCs/>
          <w:u w:val="single"/>
        </w:rPr>
        <w:t>Conclusion:</w:t>
      </w:r>
      <w:r w:rsidRPr="000548C0">
        <w:rPr>
          <w:rFonts w:ascii="Times New Roman" w:hAnsi="Times New Roman" w:cs="Times New Roman"/>
        </w:rPr>
        <w:t xml:space="preserve"> The incidence of lower back procedures has more than trebled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since 2000. Women are more likely to have lower back procedures than men,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with patients aged 65-74 the most likely to have a procedure. Procedures in those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aged 75+ have become more common over time, potentially increasing the risk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of post-operative complications. Socio-economic differences in the incidence of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low back procedures are probably related to the known higher prevalence of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back pain in deprived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areas. Whether the observed narrowing in socio-economic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variation over time is explained by a reduced need or by lowered provision needs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further research.</w:t>
      </w:r>
    </w:p>
    <w:p w14:paraId="04267630" w14:textId="77777777" w:rsidR="000548C0" w:rsidRDefault="000548C0" w:rsidP="00054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69B12C" w14:textId="7D2F6DD6" w:rsidR="000548C0" w:rsidRPr="000548C0" w:rsidRDefault="000548C0" w:rsidP="00054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48C0">
        <w:rPr>
          <w:rFonts w:ascii="Times New Roman" w:hAnsi="Times New Roman" w:cs="Times New Roman"/>
          <w:b/>
          <w:bCs/>
          <w:u w:val="single"/>
        </w:rPr>
        <w:t>Disclosure of Interests:</w:t>
      </w:r>
      <w:r w:rsidRPr="000548C0">
        <w:rPr>
          <w:rFonts w:ascii="Times New Roman" w:hAnsi="Times New Roman" w:cs="Times New Roman"/>
        </w:rPr>
        <w:t xml:space="preserve"> Danielle E Robinson: None declared, Jennifer Lane: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None declared, Richard Craig: None declared, Andrew Judge: None declared,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 xml:space="preserve">James Bailey: None declared, </w:t>
      </w:r>
      <w:proofErr w:type="spellStart"/>
      <w:r w:rsidRPr="000548C0">
        <w:rPr>
          <w:rFonts w:ascii="Times New Roman" w:hAnsi="Times New Roman" w:cs="Times New Roman"/>
        </w:rPr>
        <w:t>Dahai</w:t>
      </w:r>
      <w:proofErr w:type="spellEnd"/>
      <w:r w:rsidRPr="000548C0">
        <w:rPr>
          <w:rFonts w:ascii="Times New Roman" w:hAnsi="Times New Roman" w:cs="Times New Roman"/>
        </w:rPr>
        <w:t xml:space="preserve"> Yu: None declared, Kelvin Jordan: None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 xml:space="preserve">declared, George Peat: None declared, Ross </w:t>
      </w:r>
      <w:proofErr w:type="spellStart"/>
      <w:r w:rsidRPr="000548C0">
        <w:rPr>
          <w:rFonts w:ascii="Times New Roman" w:hAnsi="Times New Roman" w:cs="Times New Roman"/>
        </w:rPr>
        <w:t>Wilkie</w:t>
      </w:r>
      <w:proofErr w:type="spellEnd"/>
      <w:r w:rsidRPr="000548C0">
        <w:rPr>
          <w:rFonts w:ascii="Times New Roman" w:hAnsi="Times New Roman" w:cs="Times New Roman"/>
        </w:rPr>
        <w:t xml:space="preserve">: None declared, Alan </w:t>
      </w:r>
      <w:proofErr w:type="spellStart"/>
      <w:r w:rsidRPr="000548C0">
        <w:rPr>
          <w:rFonts w:ascii="Times New Roman" w:hAnsi="Times New Roman" w:cs="Times New Roman"/>
        </w:rPr>
        <w:t>Silman</w:t>
      </w:r>
      <w:proofErr w:type="spellEnd"/>
      <w:r w:rsidRPr="000548C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None declared, Victoria Y Strauss: None declared, Daniel Prieto-Alhambra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Grant/research support from: Professor Prieto-Alhambra has received research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Grants from AMGEN,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 xml:space="preserve">UCB Biopharma and Les </w:t>
      </w:r>
      <w:proofErr w:type="spellStart"/>
      <w:r w:rsidRPr="000548C0">
        <w:rPr>
          <w:rFonts w:ascii="Times New Roman" w:hAnsi="Times New Roman" w:cs="Times New Roman"/>
        </w:rPr>
        <w:t>Laboratoires</w:t>
      </w:r>
      <w:proofErr w:type="spellEnd"/>
      <w:r w:rsidRPr="000548C0">
        <w:rPr>
          <w:rFonts w:ascii="Times New Roman" w:hAnsi="Times New Roman" w:cs="Times New Roman"/>
        </w:rPr>
        <w:t xml:space="preserve"> </w:t>
      </w:r>
      <w:proofErr w:type="spellStart"/>
      <w:r w:rsidRPr="000548C0">
        <w:rPr>
          <w:rFonts w:ascii="Times New Roman" w:hAnsi="Times New Roman" w:cs="Times New Roman"/>
        </w:rPr>
        <w:t>Servier</w:t>
      </w:r>
      <w:proofErr w:type="spellEnd"/>
      <w:r w:rsidRPr="000548C0">
        <w:rPr>
          <w:rFonts w:ascii="Times New Roman" w:hAnsi="Times New Roman" w:cs="Times New Roman"/>
        </w:rPr>
        <w:t>, Consultant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of: DPA’s department has received fees for consultancy services from UCB Biopharma,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Speakers bureau: DPA’s department has received fees for speaker and</w:t>
      </w:r>
      <w:r>
        <w:rPr>
          <w:rFonts w:ascii="Times New Roman" w:hAnsi="Times New Roman" w:cs="Times New Roman"/>
        </w:rPr>
        <w:t xml:space="preserve"> </w:t>
      </w:r>
      <w:r w:rsidRPr="000548C0">
        <w:rPr>
          <w:rFonts w:ascii="Times New Roman" w:hAnsi="Times New Roman" w:cs="Times New Roman"/>
        </w:rPr>
        <w:t>advisory board membership services from Amgen</w:t>
      </w:r>
    </w:p>
    <w:p w14:paraId="04BB07EC" w14:textId="77777777" w:rsidR="000548C0" w:rsidRPr="000548C0" w:rsidRDefault="000548C0" w:rsidP="000548C0">
      <w:pPr>
        <w:ind w:left="360"/>
        <w:rPr>
          <w:rFonts w:ascii="Arial" w:hAnsi="Arial" w:cs="Arial"/>
          <w:color w:val="000000"/>
          <w:shd w:val="clear" w:color="auto" w:fill="FFFFFF"/>
        </w:rPr>
      </w:pPr>
    </w:p>
    <w:p w14:paraId="47E5D129" w14:textId="7C9BDA1C" w:rsidR="00960E70" w:rsidRPr="000548C0" w:rsidRDefault="00E972FF">
      <w:pPr>
        <w:rPr>
          <w:b/>
          <w:u w:val="single"/>
        </w:rPr>
      </w:pPr>
    </w:p>
    <w:p w14:paraId="76DD8942" w14:textId="77777777" w:rsidR="00097BF7" w:rsidRDefault="00097BF7">
      <w:pPr>
        <w:rPr>
          <w:b/>
          <w:u w:val="single"/>
        </w:rPr>
        <w:sectPr w:rsidR="00097BF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20B6E32" w14:textId="655771A7" w:rsidR="00A637EF" w:rsidRDefault="00A637EF">
      <w:pPr>
        <w:rPr>
          <w:b/>
          <w:u w:val="single"/>
        </w:rPr>
      </w:pPr>
      <w:r>
        <w:rPr>
          <w:b/>
          <w:u w:val="single"/>
        </w:rPr>
        <w:lastRenderedPageBreak/>
        <w:t xml:space="preserve">Table 1: </w:t>
      </w:r>
      <w:r w:rsidR="00097BF7">
        <w:rPr>
          <w:b/>
          <w:u w:val="single"/>
        </w:rPr>
        <w:t xml:space="preserve">Event numbers and incidence rates of different types of lower back surgery.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1170"/>
        <w:gridCol w:w="1674"/>
        <w:gridCol w:w="1393"/>
        <w:gridCol w:w="1674"/>
        <w:gridCol w:w="1393"/>
        <w:gridCol w:w="2009"/>
        <w:gridCol w:w="1170"/>
        <w:gridCol w:w="1674"/>
      </w:tblGrid>
      <w:tr w:rsidR="00097BF7" w:rsidRPr="00A637EF" w14:paraId="45D8A541" w14:textId="77777777" w:rsidTr="00097BF7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EBFE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5DB8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Fusion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2BCC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Decompression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DD52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Therapeutic Injection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4CB5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Denervation</w:t>
            </w:r>
          </w:p>
        </w:tc>
      </w:tr>
      <w:tr w:rsidR="00097BF7" w:rsidRPr="00A637EF" w14:paraId="1D90C00A" w14:textId="77777777" w:rsidTr="00097BF7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7EDD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7AC5E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Events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61F3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IR (95% CI)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66BE9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Events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B22B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IR (95% CI)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E0472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Events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67BF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IR (95% CI)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1FE86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Events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E495A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IR (95% CI)</w:t>
            </w:r>
          </w:p>
        </w:tc>
      </w:tr>
      <w:tr w:rsidR="00097BF7" w:rsidRPr="00A637EF" w14:paraId="132BC7C7" w14:textId="77777777" w:rsidTr="00097BF7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F7E7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4291" w14:textId="3EF7647C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109 (4</w:t>
            </w:r>
            <w:r w:rsidR="00AC5D4B">
              <w:rPr>
                <w:rFonts w:ascii="Calibri" w:eastAsia="Times New Roman" w:hAnsi="Calibri" w:cs="Calibri"/>
                <w:color w:val="000000"/>
                <w:lang w:eastAsia="en-GB"/>
              </w:rPr>
              <w:t>.0</w:t>
            </w: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92DD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0.86 (0.71, 1.04)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E820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466 (17.2%)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E42C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3.69 (3.36, 4.04)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4FF1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2035 (74.9%)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8FDE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16.11 (15.42, 16.82)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FDC8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91 (3.3%)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BC18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0.72 (0.58, 0.88)</w:t>
            </w:r>
          </w:p>
        </w:tc>
      </w:tr>
      <w:tr w:rsidR="00097BF7" w:rsidRPr="00A637EF" w14:paraId="7309F43E" w14:textId="77777777" w:rsidTr="00097BF7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D5B8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2008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9EB4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333 (3.9%)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3555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1.77 (1.58, 1.97)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E4D5" w14:textId="054E7AAF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1197 (14</w:t>
            </w:r>
            <w:r w:rsidR="00097BF7">
              <w:rPr>
                <w:rFonts w:ascii="Calibri" w:eastAsia="Times New Roman" w:hAnsi="Calibri" w:cs="Calibri"/>
                <w:color w:val="000000"/>
                <w:lang w:eastAsia="en-GB"/>
              </w:rPr>
              <w:t>.0</w:t>
            </w: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88E2" w14:textId="6AE0EE26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6.35 (6</w:t>
            </w:r>
            <w:r w:rsidR="00097BF7"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, 6.72)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2736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6283 (73.3%)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05AE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33.35 (32.53, 34.18)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AD7E" w14:textId="3F111A76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596 (7</w:t>
            </w:r>
            <w:r w:rsidR="00097BF7">
              <w:rPr>
                <w:rFonts w:ascii="Calibri" w:eastAsia="Times New Roman" w:hAnsi="Calibri" w:cs="Calibri"/>
                <w:color w:val="000000"/>
                <w:lang w:eastAsia="en-GB"/>
              </w:rPr>
              <w:t>.0</w:t>
            </w: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86FA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3.16 (2.91, 3.43)</w:t>
            </w:r>
          </w:p>
        </w:tc>
      </w:tr>
      <w:tr w:rsidR="00097BF7" w:rsidRPr="00A637EF" w14:paraId="19DA7E51" w14:textId="77777777" w:rsidTr="00097BF7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DD0B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2016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C5D6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159 (3.1%)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096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1.93 (1.65, 2.26)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AF6B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525 (10.2%)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8F7C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6.39 (5.85, 6.96)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6C4E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3865 (75.3%)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A129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47.03 (45.56, 48.54)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7DE9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487 (9.5%)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0938" w14:textId="77777777" w:rsidR="00A637EF" w:rsidRPr="00A637EF" w:rsidRDefault="00A637EF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7EF">
              <w:rPr>
                <w:rFonts w:ascii="Calibri" w:eastAsia="Times New Roman" w:hAnsi="Calibri" w:cs="Calibri"/>
                <w:color w:val="000000"/>
                <w:lang w:eastAsia="en-GB"/>
              </w:rPr>
              <w:t>5.93 (5.41, 6.48)</w:t>
            </w:r>
          </w:p>
        </w:tc>
      </w:tr>
    </w:tbl>
    <w:p w14:paraId="24184148" w14:textId="0E310846" w:rsidR="00A637EF" w:rsidRDefault="00A637EF">
      <w:pPr>
        <w:rPr>
          <w:b/>
          <w:u w:val="single"/>
        </w:rPr>
      </w:pPr>
    </w:p>
    <w:p w14:paraId="0A170C05" w14:textId="061C253F" w:rsidR="00097BF7" w:rsidRDefault="00FC31A4">
      <w:pPr>
        <w:rPr>
          <w:b/>
          <w:u w:val="single"/>
        </w:rPr>
      </w:pPr>
      <w:r>
        <w:rPr>
          <w:b/>
          <w:u w:val="single"/>
        </w:rPr>
        <w:t>Figure 1: Age and Gender stratified incidence rate</w:t>
      </w:r>
      <w:r w:rsidR="001F03A1">
        <w:rPr>
          <w:b/>
          <w:u w:val="single"/>
        </w:rPr>
        <w:t xml:space="preserve"> ratios</w:t>
      </w:r>
      <w:r>
        <w:rPr>
          <w:b/>
          <w:u w:val="single"/>
        </w:rPr>
        <w:t xml:space="preserve"> of all back surgeries in 2000, 2008 and 2016</w:t>
      </w:r>
    </w:p>
    <w:p w14:paraId="447DAD7C" w14:textId="4F3E7827" w:rsidR="00FC31A4" w:rsidRDefault="00A6681C">
      <w:pPr>
        <w:rPr>
          <w:b/>
          <w:u w:val="single"/>
        </w:rPr>
      </w:pPr>
      <w:r w:rsidRPr="00A6681C">
        <w:rPr>
          <w:noProof/>
          <w:lang w:eastAsia="en-GB"/>
        </w:rPr>
        <w:drawing>
          <wp:inline distT="0" distB="0" distL="0" distR="0" wp14:anchorId="57D77FD9" wp14:editId="1FA02AD9">
            <wp:extent cx="502920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45ED7" w14:textId="19071C73" w:rsidR="008D05DE" w:rsidRDefault="008D05DE">
      <w:pPr>
        <w:rPr>
          <w:b/>
          <w:u w:val="single"/>
        </w:rPr>
      </w:pPr>
    </w:p>
    <w:p w14:paraId="40DB200C" w14:textId="7C86F622" w:rsidR="008D05DE" w:rsidRDefault="008D05DE">
      <w:pPr>
        <w:rPr>
          <w:b/>
          <w:u w:val="single"/>
        </w:rPr>
      </w:pPr>
      <w:r>
        <w:rPr>
          <w:b/>
          <w:u w:val="single"/>
        </w:rPr>
        <w:lastRenderedPageBreak/>
        <w:t>Figure 2: deprivation status incidence rate ratios by year</w:t>
      </w:r>
    </w:p>
    <w:p w14:paraId="37875A7C" w14:textId="703DB8EC" w:rsidR="008D05DE" w:rsidRPr="00DD50B3" w:rsidRDefault="008D05DE">
      <w:pPr>
        <w:rPr>
          <w:b/>
          <w:u w:val="single"/>
        </w:rPr>
      </w:pPr>
      <w:r w:rsidRPr="008D05DE">
        <w:rPr>
          <w:noProof/>
          <w:lang w:eastAsia="en-GB"/>
        </w:rPr>
        <w:drawing>
          <wp:inline distT="0" distB="0" distL="0" distR="0" wp14:anchorId="7DBA5866" wp14:editId="7DC7ACD1">
            <wp:extent cx="5025390" cy="36576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5DE" w:rsidRPr="00DD50B3" w:rsidSect="00097B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B2225"/>
    <w:multiLevelType w:val="hybridMultilevel"/>
    <w:tmpl w:val="58F64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4B48"/>
    <w:multiLevelType w:val="hybridMultilevel"/>
    <w:tmpl w:val="58F64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249E9"/>
    <w:multiLevelType w:val="hybridMultilevel"/>
    <w:tmpl w:val="58F64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B3"/>
    <w:rsid w:val="000548C0"/>
    <w:rsid w:val="000646EB"/>
    <w:rsid w:val="00097BF7"/>
    <w:rsid w:val="000F07ED"/>
    <w:rsid w:val="0018702A"/>
    <w:rsid w:val="001A0C25"/>
    <w:rsid w:val="001C097B"/>
    <w:rsid w:val="001F03A1"/>
    <w:rsid w:val="002D6B4E"/>
    <w:rsid w:val="00310316"/>
    <w:rsid w:val="00364988"/>
    <w:rsid w:val="00372921"/>
    <w:rsid w:val="003F3DAE"/>
    <w:rsid w:val="0049686C"/>
    <w:rsid w:val="004E1FD2"/>
    <w:rsid w:val="005C4427"/>
    <w:rsid w:val="008267B5"/>
    <w:rsid w:val="00885A18"/>
    <w:rsid w:val="008C36CD"/>
    <w:rsid w:val="008D05DE"/>
    <w:rsid w:val="009150D1"/>
    <w:rsid w:val="009C7143"/>
    <w:rsid w:val="00A60AC6"/>
    <w:rsid w:val="00A637EF"/>
    <w:rsid w:val="00A6681C"/>
    <w:rsid w:val="00AC5D4B"/>
    <w:rsid w:val="00AD2E14"/>
    <w:rsid w:val="00B34159"/>
    <w:rsid w:val="00BE3165"/>
    <w:rsid w:val="00C6684D"/>
    <w:rsid w:val="00CC0FCB"/>
    <w:rsid w:val="00CE0896"/>
    <w:rsid w:val="00CE7892"/>
    <w:rsid w:val="00D067AE"/>
    <w:rsid w:val="00D21C12"/>
    <w:rsid w:val="00D2329E"/>
    <w:rsid w:val="00D25FE6"/>
    <w:rsid w:val="00D769EE"/>
    <w:rsid w:val="00DD0C17"/>
    <w:rsid w:val="00DD50B3"/>
    <w:rsid w:val="00DF2CBE"/>
    <w:rsid w:val="00E51ACC"/>
    <w:rsid w:val="00E972FF"/>
    <w:rsid w:val="00EA5861"/>
    <w:rsid w:val="00FA5710"/>
    <w:rsid w:val="00FC04C5"/>
    <w:rsid w:val="00FC31A4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94F3"/>
  <w15:chartTrackingRefBased/>
  <w15:docId w15:val="{3949A022-347E-44D4-AD7D-63D72F40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0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C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C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C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0316"/>
    <w:pPr>
      <w:ind w:left="720"/>
      <w:contextualSpacing/>
    </w:pPr>
  </w:style>
  <w:style w:type="paragraph" w:styleId="Revision">
    <w:name w:val="Revision"/>
    <w:hidden/>
    <w:uiPriority w:val="99"/>
    <w:semiHidden/>
    <w:rsid w:val="004E1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Robinson</dc:creator>
  <cp:keywords/>
  <dc:description/>
  <cp:lastModifiedBy>Dahai Yu</cp:lastModifiedBy>
  <cp:revision>3</cp:revision>
  <dcterms:created xsi:type="dcterms:W3CDTF">2020-08-22T09:16:00Z</dcterms:created>
  <dcterms:modified xsi:type="dcterms:W3CDTF">2020-08-22T09:17:00Z</dcterms:modified>
</cp:coreProperties>
</file>