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7DD23" w14:textId="37CBFFBA" w:rsidR="00900BDF" w:rsidRPr="00666718" w:rsidRDefault="003462EF" w:rsidP="00307DE6">
      <w:pPr>
        <w:spacing w:after="120" w:line="480" w:lineRule="auto"/>
        <w:rPr>
          <w:rFonts w:ascii="Garamond" w:hAnsi="Garamond"/>
          <w:b/>
          <w:bCs/>
        </w:rPr>
      </w:pPr>
      <w:r>
        <w:rPr>
          <w:rFonts w:ascii="Garamond" w:hAnsi="Garamond"/>
          <w:b/>
          <w:bCs/>
        </w:rPr>
        <w:t xml:space="preserve">Fostering </w:t>
      </w:r>
      <w:r w:rsidR="00EE202C">
        <w:rPr>
          <w:rFonts w:ascii="Garamond" w:hAnsi="Garamond"/>
          <w:b/>
          <w:bCs/>
        </w:rPr>
        <w:t xml:space="preserve">excellence in medical </w:t>
      </w:r>
      <w:r>
        <w:rPr>
          <w:rFonts w:ascii="Garamond" w:hAnsi="Garamond"/>
          <w:b/>
          <w:bCs/>
        </w:rPr>
        <w:t>education career pathways</w:t>
      </w:r>
    </w:p>
    <w:p w14:paraId="2EF57C1F" w14:textId="3081381E" w:rsidR="00666718" w:rsidRPr="00666718" w:rsidRDefault="00666718" w:rsidP="00307DE6">
      <w:pPr>
        <w:spacing w:after="120" w:line="480" w:lineRule="auto"/>
        <w:rPr>
          <w:rFonts w:ascii="Garamond" w:hAnsi="Garamond"/>
          <w:vertAlign w:val="superscript"/>
        </w:rPr>
      </w:pPr>
      <w:r w:rsidRPr="00666718">
        <w:rPr>
          <w:rFonts w:ascii="Garamond" w:hAnsi="Garamond"/>
        </w:rPr>
        <w:t>Eliot L Rees</w:t>
      </w:r>
      <w:r w:rsidRPr="00666718">
        <w:rPr>
          <w:rFonts w:ascii="Garamond" w:hAnsi="Garamond"/>
          <w:vertAlign w:val="superscript"/>
        </w:rPr>
        <w:t>1,2</w:t>
      </w:r>
      <w:r>
        <w:rPr>
          <w:rFonts w:ascii="Garamond" w:hAnsi="Garamond"/>
          <w:vertAlign w:val="superscript"/>
        </w:rPr>
        <w:t>,</w:t>
      </w:r>
      <w:r w:rsidRPr="00666718">
        <w:rPr>
          <w:rFonts w:ascii="Garamond" w:hAnsi="Garamond"/>
          <w:vertAlign w:val="superscript"/>
        </w:rPr>
        <w:t>3</w:t>
      </w:r>
      <w:r>
        <w:rPr>
          <w:rFonts w:ascii="Garamond" w:hAnsi="Garamond"/>
        </w:rPr>
        <w:t xml:space="preserve">, </w:t>
      </w:r>
      <w:r w:rsidRPr="00666718">
        <w:rPr>
          <w:rFonts w:ascii="Garamond" w:hAnsi="Garamond"/>
        </w:rPr>
        <w:t>Jonathan Guckian</w:t>
      </w:r>
      <w:r w:rsidRPr="00666718">
        <w:rPr>
          <w:rFonts w:ascii="Garamond" w:hAnsi="Garamond"/>
          <w:vertAlign w:val="superscript"/>
        </w:rPr>
        <w:t>3</w:t>
      </w:r>
      <w:r>
        <w:rPr>
          <w:rFonts w:ascii="Garamond" w:hAnsi="Garamond"/>
          <w:vertAlign w:val="superscript"/>
        </w:rPr>
        <w:t>,4</w:t>
      </w:r>
      <w:r>
        <w:rPr>
          <w:rFonts w:ascii="Garamond" w:hAnsi="Garamond"/>
        </w:rPr>
        <w:t xml:space="preserve"> &amp; Simon Fleming</w:t>
      </w:r>
      <w:r>
        <w:rPr>
          <w:rFonts w:ascii="Garamond" w:hAnsi="Garamond"/>
          <w:vertAlign w:val="superscript"/>
        </w:rPr>
        <w:t>5</w:t>
      </w:r>
    </w:p>
    <w:p w14:paraId="0E0A225A" w14:textId="640878EC" w:rsidR="00666718" w:rsidRDefault="009C26B9" w:rsidP="00307DE6">
      <w:pPr>
        <w:pStyle w:val="ListParagraph"/>
        <w:numPr>
          <w:ilvl w:val="0"/>
          <w:numId w:val="1"/>
        </w:numPr>
        <w:spacing w:after="120" w:line="480" w:lineRule="auto"/>
        <w:contextualSpacing w:val="0"/>
        <w:rPr>
          <w:rFonts w:ascii="Garamond" w:hAnsi="Garamond"/>
        </w:rPr>
      </w:pPr>
      <w:r>
        <w:rPr>
          <w:rFonts w:ascii="Garamond" w:hAnsi="Garamond"/>
        </w:rPr>
        <w:t>Department of Primary Care and Population Health</w:t>
      </w:r>
      <w:r w:rsidR="00666718">
        <w:rPr>
          <w:rFonts w:ascii="Garamond" w:hAnsi="Garamond"/>
        </w:rPr>
        <w:t>, University College London</w:t>
      </w:r>
    </w:p>
    <w:p w14:paraId="0D14361E" w14:textId="22C146F7" w:rsidR="00666718" w:rsidRDefault="00666718" w:rsidP="00307DE6">
      <w:pPr>
        <w:pStyle w:val="ListParagraph"/>
        <w:numPr>
          <w:ilvl w:val="0"/>
          <w:numId w:val="1"/>
        </w:numPr>
        <w:spacing w:after="120" w:line="480" w:lineRule="auto"/>
        <w:contextualSpacing w:val="0"/>
        <w:rPr>
          <w:rFonts w:ascii="Garamond" w:hAnsi="Garamond"/>
        </w:rPr>
      </w:pPr>
      <w:r>
        <w:rPr>
          <w:rFonts w:ascii="Garamond" w:hAnsi="Garamond"/>
        </w:rPr>
        <w:t>School of Medicine, Keele University</w:t>
      </w:r>
    </w:p>
    <w:p w14:paraId="6BCC4460" w14:textId="5D58A7F9" w:rsidR="00666718" w:rsidRDefault="00666718" w:rsidP="00307DE6">
      <w:pPr>
        <w:pStyle w:val="ListParagraph"/>
        <w:numPr>
          <w:ilvl w:val="0"/>
          <w:numId w:val="1"/>
        </w:numPr>
        <w:spacing w:after="120" w:line="480" w:lineRule="auto"/>
        <w:contextualSpacing w:val="0"/>
        <w:rPr>
          <w:rFonts w:ascii="Garamond" w:hAnsi="Garamond"/>
        </w:rPr>
      </w:pPr>
      <w:r>
        <w:rPr>
          <w:rFonts w:ascii="Garamond" w:hAnsi="Garamond"/>
        </w:rPr>
        <w:t>Association for the Study of Medical Education</w:t>
      </w:r>
    </w:p>
    <w:p w14:paraId="6894F6F3" w14:textId="6C63F21E" w:rsidR="00666718" w:rsidRDefault="00666718" w:rsidP="00307DE6">
      <w:pPr>
        <w:pStyle w:val="ListParagraph"/>
        <w:numPr>
          <w:ilvl w:val="0"/>
          <w:numId w:val="1"/>
        </w:numPr>
        <w:spacing w:after="120" w:line="480" w:lineRule="auto"/>
        <w:contextualSpacing w:val="0"/>
        <w:rPr>
          <w:rFonts w:ascii="Garamond" w:hAnsi="Garamond"/>
        </w:rPr>
      </w:pPr>
      <w:r>
        <w:rPr>
          <w:rFonts w:ascii="Garamond" w:hAnsi="Garamond"/>
        </w:rPr>
        <w:t>Leeds Teaching Hospitals NHS Trust</w:t>
      </w:r>
    </w:p>
    <w:p w14:paraId="5C7762FB" w14:textId="36F32DC7" w:rsidR="00666718" w:rsidRDefault="00DC23A8" w:rsidP="00307DE6">
      <w:pPr>
        <w:pStyle w:val="ListParagraph"/>
        <w:numPr>
          <w:ilvl w:val="0"/>
          <w:numId w:val="1"/>
        </w:numPr>
        <w:spacing w:after="120" w:line="480" w:lineRule="auto"/>
        <w:contextualSpacing w:val="0"/>
        <w:rPr>
          <w:rFonts w:ascii="Garamond" w:hAnsi="Garamond"/>
        </w:rPr>
      </w:pPr>
      <w:proofErr w:type="spellStart"/>
      <w:r>
        <w:rPr>
          <w:rFonts w:ascii="Garamond" w:hAnsi="Garamond"/>
        </w:rPr>
        <w:t>Barts</w:t>
      </w:r>
      <w:proofErr w:type="spellEnd"/>
      <w:r>
        <w:rPr>
          <w:rFonts w:ascii="Garamond" w:hAnsi="Garamond"/>
        </w:rPr>
        <w:t xml:space="preserve"> and the London School of Medicine and Dentistry</w:t>
      </w:r>
    </w:p>
    <w:p w14:paraId="2A2FF087" w14:textId="575762C6" w:rsidR="009D5B84" w:rsidRPr="006C5760" w:rsidRDefault="009D5B84" w:rsidP="009D5B84">
      <w:pPr>
        <w:spacing w:after="120" w:line="480" w:lineRule="auto"/>
        <w:rPr>
          <w:rFonts w:ascii="Garamond" w:hAnsi="Garamond"/>
          <w:b/>
          <w:bCs/>
        </w:rPr>
      </w:pPr>
      <w:r w:rsidRPr="006C5760">
        <w:rPr>
          <w:rFonts w:ascii="Garamond" w:hAnsi="Garamond"/>
          <w:b/>
          <w:bCs/>
        </w:rPr>
        <w:t>Corresponding author:</w:t>
      </w:r>
    </w:p>
    <w:p w14:paraId="4E751979" w14:textId="47C416BC" w:rsidR="009D5B84" w:rsidRDefault="009D5B84" w:rsidP="009D5B84">
      <w:pPr>
        <w:spacing w:after="120" w:line="480" w:lineRule="auto"/>
        <w:rPr>
          <w:rFonts w:ascii="Garamond" w:hAnsi="Garamond"/>
        </w:rPr>
      </w:pPr>
      <w:r>
        <w:rPr>
          <w:rFonts w:ascii="Garamond" w:hAnsi="Garamond"/>
        </w:rPr>
        <w:t>Eliot L Rees</w:t>
      </w:r>
    </w:p>
    <w:p w14:paraId="48A90389" w14:textId="30A450E9" w:rsidR="009D5B84" w:rsidRDefault="00D33076" w:rsidP="009D5B84">
      <w:pPr>
        <w:spacing w:after="120" w:line="480" w:lineRule="auto"/>
        <w:rPr>
          <w:rFonts w:ascii="Garamond" w:hAnsi="Garamond"/>
        </w:rPr>
      </w:pPr>
      <w:r>
        <w:rPr>
          <w:rFonts w:ascii="Garamond" w:hAnsi="Garamond"/>
        </w:rPr>
        <w:t>GF664</w:t>
      </w:r>
    </w:p>
    <w:p w14:paraId="2AC0D4B6" w14:textId="68709BF0" w:rsidR="00D33076" w:rsidRDefault="00D33076" w:rsidP="009D5B84">
      <w:pPr>
        <w:spacing w:after="120" w:line="480" w:lineRule="auto"/>
        <w:rPr>
          <w:rFonts w:ascii="Garamond" w:hAnsi="Garamond"/>
        </w:rPr>
      </w:pPr>
      <w:r>
        <w:rPr>
          <w:rFonts w:ascii="Garamond" w:hAnsi="Garamond"/>
        </w:rPr>
        <w:t>UCL Medical School</w:t>
      </w:r>
    </w:p>
    <w:p w14:paraId="431B4724" w14:textId="6A8FB6C1" w:rsidR="00D33076" w:rsidRDefault="00D33076" w:rsidP="009D5B84">
      <w:pPr>
        <w:spacing w:after="120" w:line="480" w:lineRule="auto"/>
        <w:rPr>
          <w:rFonts w:ascii="Garamond" w:hAnsi="Garamond"/>
        </w:rPr>
      </w:pPr>
      <w:r>
        <w:rPr>
          <w:rFonts w:ascii="Garamond" w:hAnsi="Garamond"/>
        </w:rPr>
        <w:t>Royal Free Hospital</w:t>
      </w:r>
    </w:p>
    <w:p w14:paraId="2662F556" w14:textId="1899E296" w:rsidR="006A6F7A" w:rsidRDefault="006A6F7A" w:rsidP="009D5B84">
      <w:pPr>
        <w:spacing w:after="120" w:line="480" w:lineRule="auto"/>
        <w:rPr>
          <w:rFonts w:ascii="Garamond" w:hAnsi="Garamond"/>
        </w:rPr>
      </w:pPr>
      <w:r>
        <w:rPr>
          <w:rFonts w:ascii="Garamond" w:hAnsi="Garamond"/>
        </w:rPr>
        <w:t>London</w:t>
      </w:r>
    </w:p>
    <w:p w14:paraId="629641F9" w14:textId="2B777791" w:rsidR="006A6F7A" w:rsidRDefault="006A6F7A" w:rsidP="009D5B84">
      <w:pPr>
        <w:spacing w:after="120" w:line="480" w:lineRule="auto"/>
        <w:rPr>
          <w:rFonts w:ascii="Garamond" w:hAnsi="Garamond"/>
        </w:rPr>
      </w:pPr>
      <w:r>
        <w:rPr>
          <w:rFonts w:ascii="Garamond" w:hAnsi="Garamond"/>
        </w:rPr>
        <w:t>NW3 2PF</w:t>
      </w:r>
    </w:p>
    <w:p w14:paraId="4DB56513" w14:textId="6C25F6B4" w:rsidR="006C5760" w:rsidRDefault="006C5760" w:rsidP="00307DE6">
      <w:pPr>
        <w:spacing w:after="120" w:line="480" w:lineRule="auto"/>
        <w:rPr>
          <w:rFonts w:ascii="Garamond" w:hAnsi="Garamond"/>
        </w:rPr>
      </w:pPr>
      <w:r w:rsidRPr="006C5760">
        <w:rPr>
          <w:rFonts w:ascii="Garamond" w:hAnsi="Garamond"/>
        </w:rPr>
        <w:t>+44 (0) 203 108 6875</w:t>
      </w:r>
    </w:p>
    <w:p w14:paraId="6025486A" w14:textId="77777777" w:rsidR="006C5760" w:rsidRDefault="006C5760" w:rsidP="009D5B84">
      <w:pPr>
        <w:spacing w:after="120" w:line="480" w:lineRule="auto"/>
        <w:rPr>
          <w:rFonts w:ascii="Garamond" w:hAnsi="Garamond"/>
        </w:rPr>
        <w:sectPr w:rsidR="006C5760" w:rsidSect="006255CB">
          <w:pgSz w:w="11900" w:h="16840"/>
          <w:pgMar w:top="1440" w:right="1440" w:bottom="1440" w:left="1440" w:header="708" w:footer="708" w:gutter="0"/>
          <w:cols w:space="708"/>
          <w:docGrid w:linePitch="360"/>
        </w:sectPr>
      </w:pPr>
      <w:r>
        <w:rPr>
          <w:rFonts w:ascii="Garamond" w:hAnsi="Garamond"/>
        </w:rPr>
        <w:t>e.rees@ucl.ac.uk</w:t>
      </w:r>
    </w:p>
    <w:p w14:paraId="6A58701D" w14:textId="2FB85D7D" w:rsidR="00051283" w:rsidRDefault="00051283" w:rsidP="00307DE6">
      <w:pPr>
        <w:spacing w:after="120" w:line="480" w:lineRule="auto"/>
        <w:rPr>
          <w:rFonts w:ascii="Garamond" w:hAnsi="Garamond"/>
          <w:b/>
          <w:bCs/>
        </w:rPr>
      </w:pPr>
      <w:r w:rsidRPr="006C5760">
        <w:rPr>
          <w:rFonts w:ascii="Garamond" w:hAnsi="Garamond"/>
          <w:b/>
          <w:bCs/>
        </w:rPr>
        <w:lastRenderedPageBreak/>
        <w:t>Abstract</w:t>
      </w:r>
    </w:p>
    <w:p w14:paraId="4EE7581B" w14:textId="05E89138" w:rsidR="00C73053" w:rsidRPr="00C73053" w:rsidRDefault="00DD170E" w:rsidP="00307DE6">
      <w:pPr>
        <w:spacing w:after="120" w:line="480" w:lineRule="auto"/>
        <w:rPr>
          <w:rFonts w:ascii="Garamond" w:hAnsi="Garamond"/>
        </w:rPr>
      </w:pPr>
      <w:r w:rsidRPr="00666718">
        <w:rPr>
          <w:rFonts w:ascii="Garamond" w:hAnsi="Garamond"/>
        </w:rPr>
        <w:t xml:space="preserve">High quality medical education requires committed and skilled educators, researchers, and leaders.  </w:t>
      </w:r>
      <w:r>
        <w:rPr>
          <w:rFonts w:ascii="Garamond" w:hAnsi="Garamond"/>
        </w:rPr>
        <w:t>Capacity building for future educationalists is fundamental in the pursuit of excellence in medical education</w:t>
      </w:r>
      <w:r w:rsidR="00147415">
        <w:rPr>
          <w:rFonts w:ascii="Garamond" w:hAnsi="Garamond"/>
        </w:rPr>
        <w:t xml:space="preserve">.  </w:t>
      </w:r>
      <w:r w:rsidR="00A51CEA">
        <w:rPr>
          <w:rFonts w:ascii="Garamond" w:hAnsi="Garamond"/>
        </w:rPr>
        <w:t>Medical education as a discipline</w:t>
      </w:r>
      <w:r w:rsidR="00DD2A5C">
        <w:rPr>
          <w:rFonts w:ascii="Garamond" w:hAnsi="Garamond"/>
        </w:rPr>
        <w:t xml:space="preserve"> is undervalued</w:t>
      </w:r>
      <w:r w:rsidR="00982477">
        <w:rPr>
          <w:rFonts w:ascii="Garamond" w:hAnsi="Garamond"/>
        </w:rPr>
        <w:t>, underfunded, and often badmouthed.</w:t>
      </w:r>
      <w:r w:rsidR="00A51CEA">
        <w:rPr>
          <w:rFonts w:ascii="Garamond" w:hAnsi="Garamond"/>
        </w:rPr>
        <w:t xml:space="preserve"> </w:t>
      </w:r>
      <w:r w:rsidR="00FB5DBC">
        <w:rPr>
          <w:rFonts w:ascii="Garamond" w:hAnsi="Garamond"/>
        </w:rPr>
        <w:t>In order to pave the way to excellence, we must lay down the correct career pathways and foster a supportive climate in our specialty. In order to attract and support tomorrow’s educationalists we argue that we need to champion the field, develop integrated clinical and educational training programmes, and promote role modelling and mentorship</w:t>
      </w:r>
      <w:r w:rsidR="00260175">
        <w:rPr>
          <w:rFonts w:ascii="Garamond" w:hAnsi="Garamond"/>
        </w:rPr>
        <w:t>.</w:t>
      </w:r>
    </w:p>
    <w:p w14:paraId="5F1F1E0E" w14:textId="37C6AE9D" w:rsidR="00051283" w:rsidRDefault="00325317" w:rsidP="00307DE6">
      <w:pPr>
        <w:spacing w:after="120" w:line="480" w:lineRule="auto"/>
        <w:rPr>
          <w:rFonts w:ascii="Garamond" w:hAnsi="Garamond"/>
          <w:b/>
          <w:bCs/>
        </w:rPr>
      </w:pPr>
      <w:r w:rsidRPr="006C5760">
        <w:rPr>
          <w:rFonts w:ascii="Garamond" w:hAnsi="Garamond"/>
          <w:b/>
          <w:bCs/>
        </w:rPr>
        <w:t>Keywords</w:t>
      </w:r>
    </w:p>
    <w:p w14:paraId="5C259EAA" w14:textId="22300AAE" w:rsidR="006C5760" w:rsidRPr="007111FC" w:rsidRDefault="007111FC" w:rsidP="007111FC">
      <w:pPr>
        <w:pStyle w:val="ListParagraph"/>
        <w:numPr>
          <w:ilvl w:val="0"/>
          <w:numId w:val="3"/>
        </w:numPr>
        <w:spacing w:after="120" w:line="480" w:lineRule="auto"/>
        <w:rPr>
          <w:rFonts w:ascii="Garamond" w:hAnsi="Garamond"/>
        </w:rPr>
      </w:pPr>
      <w:r w:rsidRPr="007111FC">
        <w:rPr>
          <w:rFonts w:ascii="Garamond" w:hAnsi="Garamond"/>
        </w:rPr>
        <w:t>Medical Education</w:t>
      </w:r>
    </w:p>
    <w:p w14:paraId="281687EF" w14:textId="70F96CE1" w:rsidR="007111FC" w:rsidRPr="007111FC" w:rsidRDefault="007111FC" w:rsidP="007111FC">
      <w:pPr>
        <w:pStyle w:val="ListParagraph"/>
        <w:numPr>
          <w:ilvl w:val="0"/>
          <w:numId w:val="3"/>
        </w:numPr>
        <w:spacing w:after="120" w:line="480" w:lineRule="auto"/>
        <w:rPr>
          <w:rFonts w:ascii="Garamond" w:hAnsi="Garamond"/>
        </w:rPr>
      </w:pPr>
      <w:r w:rsidRPr="007111FC">
        <w:rPr>
          <w:rFonts w:ascii="Garamond" w:hAnsi="Garamond"/>
        </w:rPr>
        <w:t>Careers</w:t>
      </w:r>
    </w:p>
    <w:p w14:paraId="2BD2E4BB" w14:textId="65A7ACD1" w:rsidR="007111FC" w:rsidRPr="007111FC" w:rsidRDefault="007111FC" w:rsidP="007111FC">
      <w:pPr>
        <w:pStyle w:val="ListParagraph"/>
        <w:numPr>
          <w:ilvl w:val="0"/>
          <w:numId w:val="3"/>
        </w:numPr>
        <w:spacing w:after="120" w:line="480" w:lineRule="auto"/>
        <w:rPr>
          <w:rFonts w:ascii="Garamond" w:hAnsi="Garamond"/>
        </w:rPr>
      </w:pPr>
      <w:r w:rsidRPr="007111FC">
        <w:rPr>
          <w:rFonts w:ascii="Garamond" w:hAnsi="Garamond"/>
        </w:rPr>
        <w:t>Role-Modelling</w:t>
      </w:r>
    </w:p>
    <w:p w14:paraId="6C9DBADE" w14:textId="56CCBF14" w:rsidR="007111FC" w:rsidRPr="00B3511C" w:rsidRDefault="009E7182" w:rsidP="007111FC">
      <w:pPr>
        <w:pStyle w:val="ListParagraph"/>
        <w:numPr>
          <w:ilvl w:val="0"/>
          <w:numId w:val="3"/>
        </w:numPr>
        <w:spacing w:after="120" w:line="480" w:lineRule="auto"/>
        <w:rPr>
          <w:rFonts w:ascii="Garamond" w:hAnsi="Garamond"/>
        </w:rPr>
      </w:pPr>
      <w:r w:rsidRPr="00B3511C">
        <w:rPr>
          <w:rFonts w:ascii="Garamond" w:hAnsi="Garamond"/>
        </w:rPr>
        <w:t>Flexibility</w:t>
      </w:r>
    </w:p>
    <w:p w14:paraId="07CB4B3E" w14:textId="24FD8DD6" w:rsidR="00B3511C" w:rsidRPr="00B3511C" w:rsidRDefault="00B3511C" w:rsidP="007111FC">
      <w:pPr>
        <w:pStyle w:val="ListParagraph"/>
        <w:numPr>
          <w:ilvl w:val="0"/>
          <w:numId w:val="3"/>
        </w:numPr>
        <w:spacing w:after="120" w:line="480" w:lineRule="auto"/>
        <w:rPr>
          <w:rFonts w:ascii="Garamond" w:hAnsi="Garamond"/>
        </w:rPr>
      </w:pPr>
      <w:r w:rsidRPr="00B3511C">
        <w:rPr>
          <w:rFonts w:ascii="Garamond" w:hAnsi="Garamond"/>
        </w:rPr>
        <w:t>Portfolio</w:t>
      </w:r>
    </w:p>
    <w:p w14:paraId="68F5F2BD" w14:textId="77777777" w:rsidR="00826DE7" w:rsidRDefault="00826DE7" w:rsidP="00307DE6">
      <w:pPr>
        <w:spacing w:after="120" w:line="480" w:lineRule="auto"/>
        <w:rPr>
          <w:rFonts w:ascii="Garamond" w:hAnsi="Garamond"/>
          <w:b/>
          <w:bCs/>
        </w:rPr>
      </w:pPr>
    </w:p>
    <w:p w14:paraId="158B8AC0" w14:textId="1E2E155A" w:rsidR="009E7182" w:rsidRDefault="009E7182" w:rsidP="00307DE6">
      <w:pPr>
        <w:spacing w:after="120" w:line="480" w:lineRule="auto"/>
        <w:rPr>
          <w:rFonts w:ascii="Garamond" w:hAnsi="Garamond"/>
          <w:b/>
          <w:bCs/>
        </w:rPr>
        <w:sectPr w:rsidR="009E7182" w:rsidSect="006255CB">
          <w:pgSz w:w="11900" w:h="16840"/>
          <w:pgMar w:top="1440" w:right="1440" w:bottom="1440" w:left="1440" w:header="708" w:footer="708" w:gutter="0"/>
          <w:cols w:space="708"/>
          <w:docGrid w:linePitch="360"/>
        </w:sectPr>
      </w:pPr>
    </w:p>
    <w:p w14:paraId="2E1E4647" w14:textId="48162B65" w:rsidR="00051283" w:rsidRPr="006C5760" w:rsidRDefault="00826DE7" w:rsidP="00307DE6">
      <w:pPr>
        <w:spacing w:after="120" w:line="480" w:lineRule="auto"/>
        <w:rPr>
          <w:rFonts w:ascii="Garamond" w:hAnsi="Garamond"/>
          <w:b/>
          <w:bCs/>
        </w:rPr>
      </w:pPr>
      <w:r>
        <w:rPr>
          <w:rFonts w:ascii="Garamond" w:hAnsi="Garamond"/>
          <w:b/>
          <w:bCs/>
        </w:rPr>
        <w:lastRenderedPageBreak/>
        <w:t>Introduction</w:t>
      </w:r>
    </w:p>
    <w:p w14:paraId="3CCBDD4F" w14:textId="63B6794D" w:rsidR="00666718" w:rsidRPr="00866FF9" w:rsidRDefault="00666718" w:rsidP="00866FF9">
      <w:pPr>
        <w:spacing w:after="120" w:line="480" w:lineRule="auto"/>
        <w:rPr>
          <w:rFonts w:ascii="Garamond" w:hAnsi="Garamond"/>
        </w:rPr>
      </w:pPr>
      <w:r w:rsidRPr="00666718">
        <w:rPr>
          <w:rFonts w:ascii="Garamond" w:hAnsi="Garamond"/>
        </w:rPr>
        <w:t xml:space="preserve">This issue of </w:t>
      </w:r>
      <w:r w:rsidRPr="00666718">
        <w:rPr>
          <w:rFonts w:ascii="Garamond" w:hAnsi="Garamond"/>
          <w:i/>
          <w:iCs/>
        </w:rPr>
        <w:t>Education for Primary Care</w:t>
      </w:r>
      <w:r w:rsidRPr="00666718">
        <w:rPr>
          <w:rFonts w:ascii="Garamond" w:hAnsi="Garamond"/>
        </w:rPr>
        <w:t xml:space="preserve"> considers how we can develop excellence in medical education.  High quality medical education requires committed and skilled educators, researchers, and leaders.  </w:t>
      </w:r>
      <w:r>
        <w:rPr>
          <w:rFonts w:ascii="Garamond" w:hAnsi="Garamond"/>
        </w:rPr>
        <w:t xml:space="preserve">Capacity building for future educationalists is fundamental in the pursuit of </w:t>
      </w:r>
      <w:r w:rsidRPr="00866FF9">
        <w:rPr>
          <w:rFonts w:ascii="Garamond" w:hAnsi="Garamond"/>
        </w:rPr>
        <w:t>excellence in medical education.  Medical Education has historically been considered the ugly duckling of research</w:t>
      </w:r>
      <w:r w:rsidR="00307DE6" w:rsidRPr="00866FF9">
        <w:rPr>
          <w:rFonts w:ascii="Garamond" w:hAnsi="Garamond"/>
        </w:rPr>
        <w:t xml:space="preserve"> </w:t>
      </w:r>
      <w:r w:rsidR="00307DE6" w:rsidRPr="00866FF9">
        <w:rPr>
          <w:rFonts w:ascii="Garamond" w:hAnsi="Garamond"/>
        </w:rPr>
        <w:fldChar w:fldCharType="begin" w:fldLock="1"/>
      </w:r>
      <w:r w:rsidR="00DD7AC7" w:rsidRPr="00866FF9">
        <w:rPr>
          <w:rFonts w:ascii="Garamond" w:hAnsi="Garamond"/>
        </w:rPr>
        <w:instrText>ADDIN CSL_CITATION {"citationItems":[{"id":"ITEM-1","itemData":{"DOI":"10.1097/ACM.0000000000000420","ISBN":"0000000000000","ISSN":"1938808X","abstract":"Purpose : The authors first aimed to ascertain how the Academy of Medical Educators (AoME) could develop and support early career medical educators. They expanded their study to explore the challenges to defining medical education as a discipline because of a lack of collective identity among educators.\nMethod: In 2010, the authors and members of the AoME Early Careers Working Group conducted focus groups with early career medical educators (clinicians and scientists) and interviews with senior medical educators in the United Kingdom. All focus groups and interviews were audio recorded and transcribed verbatim. The authors used an interpretative phenomenological analysis to explore how medical educators described events or phenomena in their careers. They inductively identified overarching theoretical perspectivesto understand observed phenomena drawing on social identity theories.\nResults: The authors conducted nine focus groups with 34 participants in total and six interviews. Participants identified fundamental challenges to their identity as a medical educator; they understood their medical education role to be secondary to their primary role as clinician or scientist. Participants noted that they had not developed an emotional attachment to medical education. Their relationship with the field remained at an operational level, revolving around roles and responsibilities.\nConclusions: Medical educators' social cohesion is threatened by their sense that educators are poor relations compared with scientists and clinicians. While medical educators' identities may be in crisis, they also are changing, a change needed for medical education, medical education research, the practice of medicine, and ultimately patient care.","author":[{"dropping-particle":"","family":"Sabel","given":"Esther","non-dropping-particle":"","parse-names":false,"suffix":""},{"dropping-particle":"","family":"Archer","given":"Julian","non-dropping-particle":"","parse-names":false,"suffix":""}],"container-title":"Academic Medicine","id":"ITEM-1","issue":"11","issued":{"date-parts":[["2014"]]},"page":"1474-1480","title":"Medical education is the ugly duckling of the medical world\" and other challenges to medical educators' identity construction: A qualitative study","type":"article-journal","volume":"89"},"uris":["http://www.mendeley.com/documents/?uuid=75d16742-74ae-4fed-941a-c45851dd700d"]}],"mendeley":{"formattedCitation":"&lt;sup&gt;1&lt;/sup&gt;","plainTextFormattedCitation":"1","previouslyFormattedCitation":"&lt;sup&gt;1&lt;/sup&gt;"},"properties":{"noteIndex":0},"schema":"https://github.com/citation-style-language/schema/raw/master/csl-citation.json"}</w:instrText>
      </w:r>
      <w:r w:rsidR="00307DE6" w:rsidRPr="00866FF9">
        <w:rPr>
          <w:rFonts w:ascii="Garamond" w:hAnsi="Garamond"/>
        </w:rPr>
        <w:fldChar w:fldCharType="separate"/>
      </w:r>
      <w:r w:rsidR="00D505B7" w:rsidRPr="00866FF9">
        <w:rPr>
          <w:rFonts w:ascii="Garamond" w:hAnsi="Garamond"/>
          <w:noProof/>
          <w:vertAlign w:val="superscript"/>
        </w:rPr>
        <w:t>1</w:t>
      </w:r>
      <w:r w:rsidR="00307DE6" w:rsidRPr="00866FF9">
        <w:rPr>
          <w:rFonts w:ascii="Garamond" w:hAnsi="Garamond"/>
        </w:rPr>
        <w:fldChar w:fldCharType="end"/>
      </w:r>
      <w:r w:rsidRPr="00866FF9">
        <w:rPr>
          <w:rFonts w:ascii="Garamond" w:hAnsi="Garamond"/>
        </w:rPr>
        <w:t xml:space="preserve">, and junior doctors are often discouraged from developing careers in medical education through badmouthing and stigmatisation.  Current training systems in the UK </w:t>
      </w:r>
      <w:r w:rsidR="006723A5" w:rsidRPr="00866FF9">
        <w:rPr>
          <w:rFonts w:ascii="Garamond" w:hAnsi="Garamond"/>
        </w:rPr>
        <w:t>have typically under</w:t>
      </w:r>
      <w:r w:rsidRPr="00866FF9">
        <w:rPr>
          <w:rFonts w:ascii="Garamond" w:hAnsi="Garamond"/>
        </w:rPr>
        <w:t>value</w:t>
      </w:r>
      <w:r w:rsidR="006723A5" w:rsidRPr="00866FF9">
        <w:rPr>
          <w:rFonts w:ascii="Garamond" w:hAnsi="Garamond"/>
        </w:rPr>
        <w:t>d</w:t>
      </w:r>
      <w:r w:rsidRPr="00866FF9">
        <w:rPr>
          <w:rFonts w:ascii="Garamond" w:hAnsi="Garamond"/>
        </w:rPr>
        <w:t xml:space="preserve"> the development of medical educators, further undermin</w:t>
      </w:r>
      <w:r w:rsidR="006723A5" w:rsidRPr="00866FF9">
        <w:rPr>
          <w:rFonts w:ascii="Garamond" w:hAnsi="Garamond"/>
        </w:rPr>
        <w:t>ing</w:t>
      </w:r>
      <w:r w:rsidRPr="00866FF9">
        <w:rPr>
          <w:rFonts w:ascii="Garamond" w:hAnsi="Garamond"/>
        </w:rPr>
        <w:t xml:space="preserve"> the discipline. </w:t>
      </w:r>
    </w:p>
    <w:p w14:paraId="48AD35FC" w14:textId="668413FA" w:rsidR="00666718" w:rsidRPr="00866FF9" w:rsidRDefault="00666718" w:rsidP="00866FF9">
      <w:pPr>
        <w:spacing w:after="120" w:line="480" w:lineRule="auto"/>
        <w:rPr>
          <w:rFonts w:ascii="Garamond" w:hAnsi="Garamond"/>
        </w:rPr>
      </w:pPr>
      <w:r w:rsidRPr="00866FF9">
        <w:rPr>
          <w:rFonts w:ascii="Garamond" w:hAnsi="Garamond"/>
        </w:rPr>
        <w:t xml:space="preserve">In this </w:t>
      </w:r>
      <w:r w:rsidR="000537BD" w:rsidRPr="00866FF9">
        <w:rPr>
          <w:rFonts w:ascii="Garamond" w:hAnsi="Garamond"/>
        </w:rPr>
        <w:t>article</w:t>
      </w:r>
      <w:r w:rsidRPr="00866FF9">
        <w:rPr>
          <w:rFonts w:ascii="Garamond" w:hAnsi="Garamond"/>
        </w:rPr>
        <w:t xml:space="preserve"> we reflect on our experiences of badmouthing and stigmatisation of medical education careers.  We argue that parity of esteem for educatio</w:t>
      </w:r>
      <w:r w:rsidR="006723A5" w:rsidRPr="00866FF9">
        <w:rPr>
          <w:rFonts w:ascii="Garamond" w:hAnsi="Garamond"/>
        </w:rPr>
        <w:t>nal careers</w:t>
      </w:r>
      <w:r w:rsidRPr="00866FF9">
        <w:rPr>
          <w:rFonts w:ascii="Garamond" w:hAnsi="Garamond"/>
        </w:rPr>
        <w:t xml:space="preserve"> is needed and make recommendations for how we might work towards this.</w:t>
      </w:r>
      <w:r w:rsidR="00307DE6" w:rsidRPr="00866FF9">
        <w:rPr>
          <w:rFonts w:ascii="Garamond" w:hAnsi="Garamond"/>
        </w:rPr>
        <w:t xml:space="preserve">  We identify three key areas from our personal experiences of being junior doctors and budding medical educators. </w:t>
      </w:r>
    </w:p>
    <w:p w14:paraId="2C1A03CE" w14:textId="12C18BD4" w:rsidR="00307DE6" w:rsidRPr="00866FF9" w:rsidRDefault="00307DE6" w:rsidP="00866FF9">
      <w:pPr>
        <w:spacing w:after="120" w:line="480" w:lineRule="auto"/>
        <w:rPr>
          <w:rFonts w:ascii="Garamond" w:hAnsi="Garamond"/>
          <w:b/>
          <w:bCs/>
        </w:rPr>
      </w:pPr>
      <w:r w:rsidRPr="00866FF9">
        <w:rPr>
          <w:rFonts w:ascii="Garamond" w:hAnsi="Garamond"/>
          <w:b/>
          <w:bCs/>
        </w:rPr>
        <w:t>Stigma</w:t>
      </w:r>
    </w:p>
    <w:p w14:paraId="02F882D2" w14:textId="522F8F4B" w:rsidR="000537BD" w:rsidRPr="00866FF9" w:rsidRDefault="000537BD" w:rsidP="00866FF9">
      <w:pPr>
        <w:pStyle w:val="Quote"/>
        <w:spacing w:line="480" w:lineRule="auto"/>
        <w:jc w:val="left"/>
        <w:rPr>
          <w:rFonts w:ascii="Garamond" w:hAnsi="Garamond"/>
        </w:rPr>
      </w:pPr>
      <w:r w:rsidRPr="00866FF9">
        <w:rPr>
          <w:rFonts w:ascii="Garamond" w:hAnsi="Garamond"/>
          <w:i w:val="0"/>
          <w:iCs w:val="0"/>
        </w:rPr>
        <w:t xml:space="preserve">There’s this idea of fit. Of not wanting to stand out. To a greater or lesser extent, we all know what the archetype surgeon or physician looks and sounds like. So, as a trainee orthopaedic surgeon, to be academically focused on medical education is…uncommon. I was once told “those who can, do. Those who can’t, teach. And those who can’t teach go into MedEd”. Equally, in the past, I had it suggested to me that the reason I (and others) go into medical education, or have an interest in training is because we don’t have the “hands”; the implication being, if you were a great surgeon, why would you want to be training or in a lab somewhere, surely you would want to be operating all the time. There’s this weird stigma – like, telling people I am a qualitative MedEd researcher and an orthopod creates this…glitch in the </w:t>
      </w:r>
      <w:r w:rsidRPr="00866FF9">
        <w:rPr>
          <w:rFonts w:ascii="Garamond" w:hAnsi="Garamond"/>
          <w:i w:val="0"/>
          <w:iCs w:val="0"/>
        </w:rPr>
        <w:lastRenderedPageBreak/>
        <w:t xml:space="preserve">matrix. Anyway, when people </w:t>
      </w:r>
      <w:r w:rsidR="006C3202">
        <w:rPr>
          <w:rFonts w:ascii="Garamond" w:hAnsi="Garamond"/>
          <w:i w:val="0"/>
          <w:iCs w:val="0"/>
        </w:rPr>
        <w:t>criticise,</w:t>
      </w:r>
      <w:r w:rsidRPr="00866FF9">
        <w:rPr>
          <w:rFonts w:ascii="Garamond" w:hAnsi="Garamond"/>
          <w:i w:val="0"/>
          <w:iCs w:val="0"/>
        </w:rPr>
        <w:t xml:space="preserve"> I tell them it’s like Top Gun. The best pilots become instructors…</w:t>
      </w:r>
      <w:r w:rsidRPr="00866FF9">
        <w:rPr>
          <w:rFonts w:ascii="Garamond" w:hAnsi="Garamond"/>
        </w:rPr>
        <w:br/>
        <w:t>Simon</w:t>
      </w:r>
    </w:p>
    <w:p w14:paraId="08390C9A" w14:textId="265887FB" w:rsidR="00307DE6" w:rsidRPr="00866FF9" w:rsidRDefault="005A55FA" w:rsidP="00866FF9">
      <w:pPr>
        <w:spacing w:after="120" w:line="480" w:lineRule="auto"/>
        <w:rPr>
          <w:rFonts w:ascii="Garamond" w:hAnsi="Garamond"/>
        </w:rPr>
      </w:pPr>
      <w:r w:rsidRPr="00866FF9">
        <w:rPr>
          <w:rFonts w:ascii="Garamond" w:hAnsi="Garamond"/>
        </w:rPr>
        <w:t>T</w:t>
      </w:r>
      <w:r w:rsidR="00307DE6" w:rsidRPr="00866FF9">
        <w:rPr>
          <w:rFonts w:ascii="Garamond" w:hAnsi="Garamond"/>
        </w:rPr>
        <w:t xml:space="preserve">here are </w:t>
      </w:r>
      <w:r w:rsidRPr="00866FF9">
        <w:rPr>
          <w:rFonts w:ascii="Garamond" w:hAnsi="Garamond"/>
        </w:rPr>
        <w:t xml:space="preserve">a </w:t>
      </w:r>
      <w:r w:rsidR="00307DE6" w:rsidRPr="00866FF9">
        <w:rPr>
          <w:rFonts w:ascii="Garamond" w:hAnsi="Garamond"/>
        </w:rPr>
        <w:t xml:space="preserve">few issues to unpack around building a culture of respect for those who want to be clinician educators or perhaps, clinician </w:t>
      </w:r>
      <w:r w:rsidRPr="00866FF9">
        <w:rPr>
          <w:rFonts w:ascii="Garamond" w:hAnsi="Garamond"/>
        </w:rPr>
        <w:t xml:space="preserve">educational </w:t>
      </w:r>
      <w:r w:rsidR="00307DE6" w:rsidRPr="00866FF9">
        <w:rPr>
          <w:rFonts w:ascii="Garamond" w:hAnsi="Garamond"/>
        </w:rPr>
        <w:t xml:space="preserve">researchers. </w:t>
      </w:r>
      <w:r w:rsidRPr="00866FF9">
        <w:rPr>
          <w:rFonts w:ascii="Garamond" w:hAnsi="Garamond"/>
        </w:rPr>
        <w:t>Firstly,</w:t>
      </w:r>
      <w:r w:rsidR="00307DE6" w:rsidRPr="00866FF9">
        <w:rPr>
          <w:rFonts w:ascii="Garamond" w:hAnsi="Garamond"/>
        </w:rPr>
        <w:t xml:space="preserve"> there is no clear career pathway. </w:t>
      </w:r>
      <w:r w:rsidR="00797CDB" w:rsidRPr="00866FF9">
        <w:rPr>
          <w:rFonts w:ascii="Garamond" w:hAnsi="Garamond"/>
        </w:rPr>
        <w:t xml:space="preserve">The Royal College of General Practitioners </w:t>
      </w:r>
      <w:r w:rsidR="00307DE6" w:rsidRPr="00866FF9">
        <w:rPr>
          <w:rFonts w:ascii="Garamond" w:hAnsi="Garamond"/>
        </w:rPr>
        <w:t>have, in the UK at least, led the way in the recognition and professionalisation of trainers.</w:t>
      </w:r>
      <w:r w:rsidR="00AA55D4" w:rsidRPr="00866FF9">
        <w:rPr>
          <w:rFonts w:ascii="Garamond" w:hAnsi="Garamond"/>
        </w:rPr>
        <w:t xml:space="preserve"> </w:t>
      </w:r>
      <w:r w:rsidR="0062419E" w:rsidRPr="00866FF9">
        <w:rPr>
          <w:rFonts w:ascii="Garamond" w:hAnsi="Garamond"/>
        </w:rPr>
        <w:t>However,</w:t>
      </w:r>
      <w:r w:rsidR="00307DE6" w:rsidRPr="00866FF9">
        <w:rPr>
          <w:rFonts w:ascii="Garamond" w:hAnsi="Garamond"/>
        </w:rPr>
        <w:t xml:space="preserve"> when look</w:t>
      </w:r>
      <w:r w:rsidR="00AA55D4" w:rsidRPr="00866FF9">
        <w:rPr>
          <w:rFonts w:ascii="Garamond" w:hAnsi="Garamond"/>
        </w:rPr>
        <w:t>ing</w:t>
      </w:r>
      <w:r w:rsidR="00307DE6" w:rsidRPr="00866FF9">
        <w:rPr>
          <w:rFonts w:ascii="Garamond" w:hAnsi="Garamond"/>
        </w:rPr>
        <w:t xml:space="preserve"> to the Canadian </w:t>
      </w:r>
      <w:proofErr w:type="spellStart"/>
      <w:r w:rsidR="00307DE6" w:rsidRPr="00866FF9">
        <w:rPr>
          <w:rFonts w:ascii="Garamond" w:hAnsi="Garamond"/>
        </w:rPr>
        <w:t>CanMeds</w:t>
      </w:r>
      <w:proofErr w:type="spellEnd"/>
      <w:r w:rsidR="00307DE6" w:rsidRPr="00866FF9">
        <w:rPr>
          <w:rFonts w:ascii="Garamond" w:hAnsi="Garamond"/>
        </w:rPr>
        <w:t xml:space="preserve"> Clinician Educator Program</w:t>
      </w:r>
      <w:r w:rsidR="00706E55" w:rsidRPr="00866FF9">
        <w:rPr>
          <w:rFonts w:ascii="Garamond" w:hAnsi="Garamond"/>
        </w:rPr>
        <w:fldChar w:fldCharType="begin" w:fldLock="1"/>
      </w:r>
      <w:r w:rsidR="00636985">
        <w:rPr>
          <w:rFonts w:ascii="Garamond" w:hAnsi="Garamond"/>
        </w:rPr>
        <w:instrText>ADDIN CSL_CITATION {"citationItems":[{"id":"ITEM-1","itemData":{"DOI":"10.3402/meo.v15i0.5356","ISSN":"10872981","abstract":"The increasing complexity of medical training often requires faculty members with educational expertise to address issues of curriculum design, instructional methods, assessment, program evaluation, faculty development, and educational scholarship, among others. In 2007, The Royal College of Physicians &amp; Surgeons of Canada responded to this need by establishing the first national clinician-educator program. We define a clinician-educator and describe the development of the program. Adopting a construct from the business community, we use a community of practice framework to describe the benefits (with examples) of this program and challenges in developing it. The benefits of the clinician-educator program include: improved educational problem solving, recognition of educational needs and development of new projects, enhanced personal educational expertise, maintenance of professional satisfaction and retention of group members, a positive influence within the Royal College, and a positive influence within other Canadian academic institutions. Our described experience of a social reorganization - a community of practice - suggests that the organizational and educational benefits of a national clinician-educator program are not theoretical, but real.","author":[{"dropping-particle":"","family":"Sherbino","given":"Jonathan","non-dropping-particle":"","parse-names":false,"suffix":""},{"dropping-particle":"","family":"Snell","given":"Linda","non-dropping-particle":"","parse-names":false,"suffix":""},{"dropping-particle":"","family":"Dath","given":"Deepak","non-dropping-particle":"","parse-names":false,"suffix":""},{"dropping-particle":"","family":"Dojeiji","given":"Sue","non-dropping-particle":"","parse-names":false,"suffix":""},{"dropping-particle":"","family":"Abbott","given":"Cynthia","non-dropping-particle":"","parse-names":false,"suffix":""},{"dropping-particle":"","family":"Frank","given":"Jason R.","non-dropping-particle":"","parse-names":false,"suffix":""}],"container-title":"Medical education online","id":"ITEM-1","issued":{"date-parts":[["2010"]]},"page":"1-8","title":"A national clinician-educator program: a model of an effective community of practice.","type":"article-journal","volume":"15"},"uris":["http://www.mendeley.com/documents/?uuid=00a2c355-c426-44ed-945b-7d37dd18fd06","http://www.mendeley.com/documents/?uuid=5ca59c7d-4094-4892-b4d2-f06d81d3728a"]}],"mendeley":{"formattedCitation":"&lt;sup&gt;2&lt;/sup&gt;","plainTextFormattedCitation":"2","previouslyFormattedCitation":"&lt;sup&gt;2&lt;/sup&gt;"},"properties":{"noteIndex":0},"schema":"https://github.com/citation-style-language/schema/raw/master/csl-citation.json"}</w:instrText>
      </w:r>
      <w:r w:rsidR="00706E55" w:rsidRPr="00866FF9">
        <w:rPr>
          <w:rFonts w:ascii="Garamond" w:hAnsi="Garamond"/>
        </w:rPr>
        <w:fldChar w:fldCharType="separate"/>
      </w:r>
      <w:r w:rsidR="00660605" w:rsidRPr="00660605">
        <w:rPr>
          <w:rFonts w:ascii="Garamond" w:hAnsi="Garamond"/>
          <w:noProof/>
          <w:vertAlign w:val="superscript"/>
        </w:rPr>
        <w:t>2</w:t>
      </w:r>
      <w:r w:rsidR="00706E55" w:rsidRPr="00866FF9">
        <w:rPr>
          <w:rFonts w:ascii="Garamond" w:hAnsi="Garamond"/>
        </w:rPr>
        <w:fldChar w:fldCharType="end"/>
      </w:r>
      <w:r w:rsidR="00706E55" w:rsidRPr="00866FF9">
        <w:rPr>
          <w:rFonts w:ascii="Garamond" w:hAnsi="Garamond"/>
        </w:rPr>
        <w:t xml:space="preserve"> </w:t>
      </w:r>
      <w:r w:rsidR="00307DE6" w:rsidRPr="00866FF9">
        <w:rPr>
          <w:rFonts w:ascii="Garamond" w:hAnsi="Garamond"/>
        </w:rPr>
        <w:t xml:space="preserve">and similar, </w:t>
      </w:r>
      <w:r w:rsidR="00AA55D4" w:rsidRPr="00866FF9">
        <w:rPr>
          <w:rFonts w:ascii="Garamond" w:hAnsi="Garamond"/>
        </w:rPr>
        <w:t xml:space="preserve">the UK remains lagging behind in terms of </w:t>
      </w:r>
      <w:r w:rsidR="0062419E" w:rsidRPr="00866FF9">
        <w:rPr>
          <w:rFonts w:ascii="Garamond" w:hAnsi="Garamond"/>
        </w:rPr>
        <w:t>recognition of medical educators</w:t>
      </w:r>
      <w:r w:rsidR="00AA55D4" w:rsidRPr="00866FF9">
        <w:rPr>
          <w:rFonts w:ascii="Garamond" w:hAnsi="Garamond"/>
        </w:rPr>
        <w:t>. T</w:t>
      </w:r>
      <w:r w:rsidR="00307DE6" w:rsidRPr="00866FF9">
        <w:rPr>
          <w:rFonts w:ascii="Garamond" w:hAnsi="Garamond"/>
        </w:rPr>
        <w:t>hose involved in medical education are often seen as hobbyists or</w:t>
      </w:r>
      <w:r w:rsidR="00AA55D4" w:rsidRPr="00866FF9">
        <w:rPr>
          <w:rFonts w:ascii="Garamond" w:hAnsi="Garamond"/>
        </w:rPr>
        <w:t xml:space="preserve"> are forced</w:t>
      </w:r>
      <w:r w:rsidR="00307DE6" w:rsidRPr="00866FF9">
        <w:rPr>
          <w:rFonts w:ascii="Garamond" w:hAnsi="Garamond"/>
        </w:rPr>
        <w:t xml:space="preserve"> to wrap </w:t>
      </w:r>
      <w:r w:rsidR="00AA55D4" w:rsidRPr="00866FF9">
        <w:rPr>
          <w:rFonts w:ascii="Garamond" w:hAnsi="Garamond"/>
        </w:rPr>
        <w:t xml:space="preserve">their education work </w:t>
      </w:r>
      <w:r w:rsidR="00307DE6" w:rsidRPr="00866FF9">
        <w:rPr>
          <w:rFonts w:ascii="Garamond" w:hAnsi="Garamond"/>
        </w:rPr>
        <w:t xml:space="preserve">up under the auspices of something else (quality improvement, academic research) rather than being seen for what it is – a distinct branch of medical science. If someone wants to be a research scientist (as we know it), </w:t>
      </w:r>
      <w:r w:rsidR="005D6FC6" w:rsidRPr="00866FF9">
        <w:rPr>
          <w:rFonts w:ascii="Garamond" w:hAnsi="Garamond"/>
        </w:rPr>
        <w:t>there is a</w:t>
      </w:r>
      <w:r w:rsidRPr="00866FF9">
        <w:rPr>
          <w:rFonts w:ascii="Garamond" w:hAnsi="Garamond"/>
        </w:rPr>
        <w:t xml:space="preserve"> clear</w:t>
      </w:r>
      <w:r w:rsidR="00307DE6" w:rsidRPr="00866FF9">
        <w:rPr>
          <w:rFonts w:ascii="Garamond" w:hAnsi="Garamond"/>
        </w:rPr>
        <w:t xml:space="preserve"> career path </w:t>
      </w:r>
      <w:r w:rsidR="005D6FC6" w:rsidRPr="00866FF9">
        <w:rPr>
          <w:rFonts w:ascii="Garamond" w:hAnsi="Garamond"/>
        </w:rPr>
        <w:t>for them</w:t>
      </w:r>
      <w:r w:rsidR="00307DE6" w:rsidRPr="00866FF9">
        <w:rPr>
          <w:rFonts w:ascii="Garamond" w:hAnsi="Garamond"/>
        </w:rPr>
        <w:t xml:space="preserve"> to take; the</w:t>
      </w:r>
      <w:r w:rsidR="005D6FC6" w:rsidRPr="00866FF9">
        <w:rPr>
          <w:rFonts w:ascii="Garamond" w:hAnsi="Garamond"/>
        </w:rPr>
        <w:t xml:space="preserve"> National Institute for Health Research’s (NIHR) Integrated Academic Training</w:t>
      </w:r>
      <w:r w:rsidR="004A5359" w:rsidRPr="00866FF9">
        <w:rPr>
          <w:rFonts w:ascii="Garamond" w:hAnsi="Garamond"/>
        </w:rPr>
        <w:t xml:space="preserve"> </w:t>
      </w:r>
      <w:r w:rsidR="00DA0032" w:rsidRPr="00866FF9">
        <w:rPr>
          <w:rFonts w:ascii="Garamond" w:hAnsi="Garamond"/>
        </w:rPr>
        <w:fldChar w:fldCharType="begin" w:fldLock="1"/>
      </w:r>
      <w:r w:rsidR="00636985">
        <w:rPr>
          <w:rFonts w:ascii="Garamond" w:hAnsi="Garamond"/>
        </w:rPr>
        <w:instrText>ADDIN CSL_CITATION {"citationItems":[{"id":"ITEM-1","itemData":{"DOI":"10.1136/bmjopen-2016-015722","ISSN":"20446055","abstract":"Objectives The Academic Clinical Fellowship (ACF) was introduced to support the early career clinical and research training of potential future clinical academics in England. The driver for the model was concern about falling numbers of clinical academic trainees. This study examines the impact of the ACF model, over its first 10 years, in developing clinical academic careers by tracking the progression of ACF trainees. Design Retrospective analysis of National Institute for Health Research (NIHR) ACF career progression. This was performed using mixed methods including routine data collections of career destination, analysis of application rates to doctoral level fellowships and supplemented by survey information that captured the perceived benefits and challenges from previous ACFs and their current career activities. Participants 1239 NIHR ACFs who completed or left their posts between 2006 and March 2015. Results ACFs are perceived by the candidate population as attractive posts, with high numbers of applications leading to high fill rates. Balancing clinical and academic commitments is one of the reported challenges when completing an ACF. We have found that undertaking an ACF was shown to increase the likelihood of securing an externally funded doctoral training award and the vast majority of ACFs move into academic roles, with many completing PhDs. Previous ACFs continue to show positive career progression, predominantly in translational and clinical research. The knowledge acquired during the ACF continues to be useful in subsequent roles and trainees would recommend the scheme to others. Conclusions The NIHR ACF scheme is successful as part of an integrated training pathway in developing careers in academic medicine and dentistry.","author":[{"dropping-particle":"","family":"Clough","given":"Sally","non-dropping-particle":"","parse-names":false,"suffix":""},{"dropping-particle":"","family":"Fenton","given":"James","non-dropping-particle":"","parse-names":false,"suffix":""},{"dropping-particle":"","family":"Harris-Joseph","given":"Helen","non-dropping-particle":"","parse-names":false,"suffix":""},{"dropping-particle":"","family":"Rayton","given":"Leesa","non-dropping-particle":"","parse-names":false,"suffix":""},{"dropping-particle":"","family":"Magee","given":"Caroline","non-dropping-particle":"","parse-names":false,"suffix":""},{"dropping-particle":"","family":"Jones","given":"David","non-dropping-particle":"","parse-names":false,"suffix":""},{"dropping-particle":"","family":"Cotterill","given":"Lisa Ann","non-dropping-particle":"","parse-names":false,"suffix":""},{"dropping-particle":"","family":"Neilson","given":"James","non-dropping-particle":"","parse-names":false,"suffix":""}],"container-title":"BMJ Open","id":"ITEM-1","issue":"6","issued":{"date-parts":[["2017"]]},"page":"1-5","title":"What impact has the NIHR Academic Clinical Fellowship (ACF) scheme had on clinical academic careers in England over the last 10 years? A retrospective study","type":"article-journal","volume":"7"},"uris":["http://www.mendeley.com/documents/?uuid=e99d6630-a321-4d4f-94b3-58bde8b034b8","http://www.mendeley.com/documents/?uuid=06e9ffcd-2dc9-4b9f-9d59-820a8783490d"]}],"mendeley":{"formattedCitation":"&lt;sup&gt;3&lt;/sup&gt;","plainTextFormattedCitation":"3","previouslyFormattedCitation":"&lt;sup&gt;3&lt;/sup&gt;"},"properties":{"noteIndex":0},"schema":"https://github.com/citation-style-language/schema/raw/master/csl-citation.json"}</w:instrText>
      </w:r>
      <w:r w:rsidR="00DA0032" w:rsidRPr="00866FF9">
        <w:rPr>
          <w:rFonts w:ascii="Garamond" w:hAnsi="Garamond"/>
        </w:rPr>
        <w:fldChar w:fldCharType="separate"/>
      </w:r>
      <w:r w:rsidR="00660605" w:rsidRPr="00660605">
        <w:rPr>
          <w:rFonts w:ascii="Garamond" w:hAnsi="Garamond"/>
          <w:noProof/>
          <w:vertAlign w:val="superscript"/>
        </w:rPr>
        <w:t>3</w:t>
      </w:r>
      <w:r w:rsidR="00DA0032" w:rsidRPr="00866FF9">
        <w:rPr>
          <w:rFonts w:ascii="Garamond" w:hAnsi="Garamond"/>
        </w:rPr>
        <w:fldChar w:fldCharType="end"/>
      </w:r>
      <w:r w:rsidR="005D6FC6" w:rsidRPr="00866FF9">
        <w:rPr>
          <w:rFonts w:ascii="Garamond" w:hAnsi="Garamond"/>
        </w:rPr>
        <w:t>.</w:t>
      </w:r>
      <w:r w:rsidR="00307DE6" w:rsidRPr="00866FF9">
        <w:rPr>
          <w:rFonts w:ascii="Garamond" w:hAnsi="Garamond"/>
        </w:rPr>
        <w:t xml:space="preserve"> </w:t>
      </w:r>
      <w:r w:rsidR="005D6FC6" w:rsidRPr="00866FF9">
        <w:rPr>
          <w:rFonts w:ascii="Garamond" w:hAnsi="Garamond"/>
        </w:rPr>
        <w:t xml:space="preserve">This includes </w:t>
      </w:r>
      <w:r w:rsidR="00307DE6" w:rsidRPr="00866FF9">
        <w:rPr>
          <w:rFonts w:ascii="Garamond" w:hAnsi="Garamond"/>
        </w:rPr>
        <w:t xml:space="preserve">academic foundation program, academic clinical fellowships, </w:t>
      </w:r>
      <w:r w:rsidR="004D4224" w:rsidRPr="00866FF9">
        <w:rPr>
          <w:rFonts w:ascii="Garamond" w:hAnsi="Garamond"/>
        </w:rPr>
        <w:t>and</w:t>
      </w:r>
      <w:r w:rsidR="00CD06DE" w:rsidRPr="00866FF9">
        <w:rPr>
          <w:rFonts w:ascii="Garamond" w:hAnsi="Garamond"/>
        </w:rPr>
        <w:t xml:space="preserve"> </w:t>
      </w:r>
      <w:r w:rsidR="00307DE6" w:rsidRPr="00866FF9">
        <w:rPr>
          <w:rFonts w:ascii="Garamond" w:hAnsi="Garamond"/>
        </w:rPr>
        <w:t>clinical lectureships</w:t>
      </w:r>
      <w:r w:rsidR="004D4224" w:rsidRPr="00866FF9">
        <w:rPr>
          <w:rFonts w:ascii="Garamond" w:hAnsi="Garamond"/>
        </w:rPr>
        <w:t xml:space="preserve">.  On completion of training there are opportunities for </w:t>
      </w:r>
      <w:r w:rsidR="00AA55D4" w:rsidRPr="00866FF9">
        <w:rPr>
          <w:rFonts w:ascii="Garamond" w:hAnsi="Garamond"/>
        </w:rPr>
        <w:t>role</w:t>
      </w:r>
      <w:r w:rsidR="004D4224" w:rsidRPr="00866FF9">
        <w:rPr>
          <w:rFonts w:ascii="Garamond" w:hAnsi="Garamond"/>
        </w:rPr>
        <w:t>s</w:t>
      </w:r>
      <w:r w:rsidR="00AA55D4" w:rsidRPr="00866FF9">
        <w:rPr>
          <w:rFonts w:ascii="Garamond" w:hAnsi="Garamond"/>
        </w:rPr>
        <w:t xml:space="preserve"> </w:t>
      </w:r>
      <w:r w:rsidR="004D4224" w:rsidRPr="00866FF9">
        <w:rPr>
          <w:rFonts w:ascii="Garamond" w:hAnsi="Garamond"/>
        </w:rPr>
        <w:t>combining clinical practice with</w:t>
      </w:r>
      <w:r w:rsidR="00AA55D4" w:rsidRPr="00866FF9">
        <w:rPr>
          <w:rFonts w:ascii="Garamond" w:hAnsi="Garamond"/>
        </w:rPr>
        <w:t xml:space="preserve"> significant</w:t>
      </w:r>
      <w:r w:rsidR="00307DE6" w:rsidRPr="00866FF9">
        <w:rPr>
          <w:rFonts w:ascii="Garamond" w:hAnsi="Garamond"/>
        </w:rPr>
        <w:t xml:space="preserve"> time in the lab or “doing science”. </w:t>
      </w:r>
      <w:r w:rsidR="00AA55D4" w:rsidRPr="00866FF9">
        <w:rPr>
          <w:rFonts w:ascii="Garamond" w:hAnsi="Garamond"/>
        </w:rPr>
        <w:t>Largely, t</w:t>
      </w:r>
      <w:r w:rsidR="00307DE6" w:rsidRPr="00866FF9">
        <w:rPr>
          <w:rFonts w:ascii="Garamond" w:hAnsi="Garamond"/>
        </w:rPr>
        <w:t xml:space="preserve">his </w:t>
      </w:r>
      <w:r w:rsidR="00AA55D4" w:rsidRPr="00866FF9">
        <w:rPr>
          <w:rFonts w:ascii="Garamond" w:hAnsi="Garamond"/>
        </w:rPr>
        <w:t>simply</w:t>
      </w:r>
      <w:r w:rsidR="00307DE6" w:rsidRPr="00866FF9">
        <w:rPr>
          <w:rFonts w:ascii="Garamond" w:hAnsi="Garamond"/>
        </w:rPr>
        <w:t xml:space="preserve"> isn’t the case </w:t>
      </w:r>
      <w:r w:rsidRPr="00866FF9">
        <w:rPr>
          <w:rFonts w:ascii="Garamond" w:hAnsi="Garamond"/>
        </w:rPr>
        <w:t xml:space="preserve">for </w:t>
      </w:r>
      <w:r w:rsidR="00307DE6" w:rsidRPr="00866FF9">
        <w:rPr>
          <w:rFonts w:ascii="Garamond" w:hAnsi="Garamond"/>
        </w:rPr>
        <w:t xml:space="preserve">educators, or </w:t>
      </w:r>
      <w:r w:rsidRPr="00866FF9">
        <w:rPr>
          <w:rFonts w:ascii="Garamond" w:hAnsi="Garamond"/>
        </w:rPr>
        <w:t>medical education</w:t>
      </w:r>
      <w:r w:rsidR="00307DE6" w:rsidRPr="00866FF9">
        <w:rPr>
          <w:rFonts w:ascii="Garamond" w:hAnsi="Garamond"/>
        </w:rPr>
        <w:t xml:space="preserve"> researcher</w:t>
      </w:r>
      <w:r w:rsidR="00AA55D4" w:rsidRPr="00866FF9">
        <w:rPr>
          <w:rFonts w:ascii="Garamond" w:hAnsi="Garamond"/>
        </w:rPr>
        <w:t>s.</w:t>
      </w:r>
      <w:r w:rsidR="00307DE6" w:rsidRPr="00866FF9">
        <w:rPr>
          <w:rFonts w:ascii="Garamond" w:hAnsi="Garamond"/>
        </w:rPr>
        <w:t xml:space="preserve"> </w:t>
      </w:r>
      <w:r w:rsidR="00AA55D4" w:rsidRPr="00866FF9">
        <w:rPr>
          <w:rFonts w:ascii="Garamond" w:hAnsi="Garamond"/>
        </w:rPr>
        <w:t>A</w:t>
      </w:r>
      <w:r w:rsidR="00307DE6" w:rsidRPr="00866FF9">
        <w:rPr>
          <w:rFonts w:ascii="Garamond" w:hAnsi="Garamond"/>
        </w:rPr>
        <w:t xml:space="preserve"> lack of</w:t>
      </w:r>
      <w:r w:rsidR="00AA55D4" w:rsidRPr="00866FF9">
        <w:rPr>
          <w:rFonts w:ascii="Garamond" w:hAnsi="Garamond"/>
        </w:rPr>
        <w:t xml:space="preserve"> dedicated</w:t>
      </w:r>
      <w:r w:rsidR="00307DE6" w:rsidRPr="00866FF9">
        <w:rPr>
          <w:rFonts w:ascii="Garamond" w:hAnsi="Garamond"/>
        </w:rPr>
        <w:t xml:space="preserve"> time</w:t>
      </w:r>
      <w:r w:rsidR="00AA55D4" w:rsidRPr="00866FF9">
        <w:rPr>
          <w:rFonts w:ascii="Garamond" w:hAnsi="Garamond"/>
        </w:rPr>
        <w:t xml:space="preserve"> for educational work</w:t>
      </w:r>
      <w:r w:rsidR="00307DE6" w:rsidRPr="00866FF9">
        <w:rPr>
          <w:rFonts w:ascii="Garamond" w:hAnsi="Garamond"/>
        </w:rPr>
        <w:t xml:space="preserve">, funding, respect and support is </w:t>
      </w:r>
      <w:r w:rsidRPr="00866FF9">
        <w:rPr>
          <w:rFonts w:ascii="Garamond" w:hAnsi="Garamond"/>
        </w:rPr>
        <w:t xml:space="preserve">reflected </w:t>
      </w:r>
      <w:r w:rsidR="00307DE6" w:rsidRPr="00866FF9">
        <w:rPr>
          <w:rFonts w:ascii="Garamond" w:hAnsi="Garamond"/>
        </w:rPr>
        <w:t xml:space="preserve">year on year in the GMC trainer Survey </w:t>
      </w:r>
      <w:r w:rsidR="00043744" w:rsidRPr="00866FF9">
        <w:rPr>
          <w:rFonts w:ascii="Garamond" w:hAnsi="Garamond"/>
        </w:rPr>
        <w:fldChar w:fldCharType="begin" w:fldLock="1"/>
      </w:r>
      <w:r w:rsidR="00636985">
        <w:rPr>
          <w:rFonts w:ascii="Garamond" w:hAnsi="Garamond"/>
        </w:rPr>
        <w:instrText>ADDIN CSL_CITATION {"citationItems":[{"id":"ITEM-1","itemData":{"DOI":"2018","abstract":"Foreword 01 Executive summary 02 Section 1 What did trainers across the UK tell us? 06 Section 2 What did doctors in training tell us? 17 Section 3 Variation in responses by specialty 36 Section 4 The quality of rotas and the impact on postgraduate medical education 40 Section 5 Trainees and reported bullying and undermining 42 Section 6 What happens next? 47","author":[{"dropping-particle":"","family":"General Medical Council","given":"","non-dropping-particle":"","parse-names":false,"suffix":""}],"id":"ITEM-1","issued":{"date-parts":[["2018"]]},"title":"Training environments 2017: Key findings from the national training surveys","type":"article-journal"},"uris":["http://www.mendeley.com/documents/?uuid=5cc97a41-382a-4c26-a4b8-20c1ffc3bc0e","http://www.mendeley.com/documents/?uuid=a9e3cade-0136-4fbd-9c0c-c93294850376"]}],"mendeley":{"formattedCitation":"&lt;sup&gt;4&lt;/sup&gt;","plainTextFormattedCitation":"4","previouslyFormattedCitation":"&lt;sup&gt;4&lt;/sup&gt;"},"properties":{"noteIndex":0},"schema":"https://github.com/citation-style-language/schema/raw/master/csl-citation.json"}</w:instrText>
      </w:r>
      <w:r w:rsidR="00043744" w:rsidRPr="00866FF9">
        <w:rPr>
          <w:rFonts w:ascii="Garamond" w:hAnsi="Garamond"/>
        </w:rPr>
        <w:fldChar w:fldCharType="separate"/>
      </w:r>
      <w:r w:rsidR="00660605" w:rsidRPr="00660605">
        <w:rPr>
          <w:rFonts w:ascii="Garamond" w:hAnsi="Garamond"/>
          <w:noProof/>
          <w:vertAlign w:val="superscript"/>
        </w:rPr>
        <w:t>4</w:t>
      </w:r>
      <w:r w:rsidR="00043744" w:rsidRPr="00866FF9">
        <w:rPr>
          <w:rFonts w:ascii="Garamond" w:hAnsi="Garamond"/>
        </w:rPr>
        <w:fldChar w:fldCharType="end"/>
      </w:r>
      <w:r w:rsidR="00307DE6" w:rsidRPr="00866FF9">
        <w:rPr>
          <w:rFonts w:ascii="Garamond" w:hAnsi="Garamond"/>
        </w:rPr>
        <w:t xml:space="preserve"> and </w:t>
      </w:r>
      <w:r w:rsidR="00AA55D4" w:rsidRPr="00866FF9">
        <w:rPr>
          <w:rFonts w:ascii="Garamond" w:hAnsi="Garamond"/>
        </w:rPr>
        <w:t xml:space="preserve">is commonplace </w:t>
      </w:r>
      <w:r w:rsidR="00307DE6" w:rsidRPr="00866FF9">
        <w:rPr>
          <w:rFonts w:ascii="Garamond" w:hAnsi="Garamond"/>
        </w:rPr>
        <w:t xml:space="preserve">in the lived experiences of trainers and trainees alike. </w:t>
      </w:r>
      <w:r w:rsidR="00AA55D4" w:rsidRPr="00866FF9">
        <w:rPr>
          <w:rFonts w:ascii="Garamond" w:hAnsi="Garamond"/>
        </w:rPr>
        <w:t>Anecdotally,</w:t>
      </w:r>
      <w:r w:rsidR="00307DE6" w:rsidRPr="00866FF9">
        <w:rPr>
          <w:rFonts w:ascii="Garamond" w:hAnsi="Garamond"/>
        </w:rPr>
        <w:t xml:space="preserve"> </w:t>
      </w:r>
      <w:r w:rsidR="00AA55D4" w:rsidRPr="00866FF9">
        <w:rPr>
          <w:rFonts w:ascii="Garamond" w:hAnsi="Garamond"/>
        </w:rPr>
        <w:t>much</w:t>
      </w:r>
      <w:r w:rsidR="00307DE6" w:rsidRPr="00866FF9">
        <w:rPr>
          <w:rFonts w:ascii="Garamond" w:hAnsi="Garamond"/>
        </w:rPr>
        <w:t xml:space="preserve"> of medical education research has to be re-branded for it to be seen as credible</w:t>
      </w:r>
      <w:r w:rsidR="00AA55D4" w:rsidRPr="00866FF9">
        <w:rPr>
          <w:rFonts w:ascii="Garamond" w:hAnsi="Garamond"/>
        </w:rPr>
        <w:t>.</w:t>
      </w:r>
    </w:p>
    <w:p w14:paraId="4F8B9E0A" w14:textId="69EC4FC6" w:rsidR="00307DE6" w:rsidRPr="00866FF9" w:rsidRDefault="00307DE6" w:rsidP="00866FF9">
      <w:pPr>
        <w:spacing w:after="120" w:line="480" w:lineRule="auto"/>
        <w:rPr>
          <w:rFonts w:ascii="Garamond" w:hAnsi="Garamond"/>
        </w:rPr>
      </w:pPr>
      <w:r w:rsidRPr="00866FF9">
        <w:rPr>
          <w:rFonts w:ascii="Garamond" w:hAnsi="Garamond"/>
        </w:rPr>
        <w:t xml:space="preserve">There is an epistemological shame around ‘being MedEd’ (especially qualitative) and </w:t>
      </w:r>
      <w:r w:rsidR="00AA55D4" w:rsidRPr="00866FF9">
        <w:rPr>
          <w:rFonts w:ascii="Garamond" w:hAnsi="Garamond"/>
        </w:rPr>
        <w:t>this prejudice must be challenged</w:t>
      </w:r>
      <w:r w:rsidRPr="00866FF9">
        <w:rPr>
          <w:rFonts w:ascii="Garamond" w:hAnsi="Garamond"/>
        </w:rPr>
        <w:t xml:space="preserve"> this if we wish to build a culture </w:t>
      </w:r>
      <w:r w:rsidR="005A55FA" w:rsidRPr="00866FF9">
        <w:rPr>
          <w:rFonts w:ascii="Garamond" w:hAnsi="Garamond"/>
        </w:rPr>
        <w:t>whereby</w:t>
      </w:r>
      <w:r w:rsidRPr="00866FF9">
        <w:rPr>
          <w:rFonts w:ascii="Garamond" w:hAnsi="Garamond"/>
        </w:rPr>
        <w:t xml:space="preserve"> being part of the community who build excellent training and evidence around it is not just </w:t>
      </w:r>
      <w:proofErr w:type="gramStart"/>
      <w:r w:rsidRPr="00866FF9">
        <w:rPr>
          <w:rFonts w:ascii="Garamond" w:hAnsi="Garamond"/>
        </w:rPr>
        <w:t>ok, but</w:t>
      </w:r>
      <w:proofErr w:type="gramEnd"/>
      <w:r w:rsidRPr="00866FF9">
        <w:rPr>
          <w:rFonts w:ascii="Garamond" w:hAnsi="Garamond"/>
        </w:rPr>
        <w:t xml:space="preserve"> encouraged. We </w:t>
      </w:r>
      <w:r w:rsidR="00AA55D4" w:rsidRPr="00866FF9">
        <w:rPr>
          <w:rFonts w:ascii="Garamond" w:hAnsi="Garamond"/>
        </w:rPr>
        <w:t xml:space="preserve">demand </w:t>
      </w:r>
      <w:r w:rsidRPr="00866FF9">
        <w:rPr>
          <w:rFonts w:ascii="Garamond" w:hAnsi="Garamond"/>
        </w:rPr>
        <w:t xml:space="preserve">a clear career path for those with a passion and a drive. We </w:t>
      </w:r>
      <w:r w:rsidR="00AA55D4" w:rsidRPr="00866FF9">
        <w:rPr>
          <w:rFonts w:ascii="Garamond" w:hAnsi="Garamond"/>
        </w:rPr>
        <w:t xml:space="preserve">require </w:t>
      </w:r>
      <w:r w:rsidRPr="00866FF9">
        <w:rPr>
          <w:rFonts w:ascii="Garamond" w:hAnsi="Garamond"/>
        </w:rPr>
        <w:t xml:space="preserve">resources (time, </w:t>
      </w:r>
      <w:r w:rsidRPr="00866FF9">
        <w:rPr>
          <w:rFonts w:ascii="Garamond" w:hAnsi="Garamond"/>
        </w:rPr>
        <w:lastRenderedPageBreak/>
        <w:t xml:space="preserve">people and money) so that it is no longer “those who can’t, teach” but rather, the very best of us aspire to a career as a clinician educator or clinician researcher. </w:t>
      </w:r>
    </w:p>
    <w:p w14:paraId="479FD977" w14:textId="7565B4E2" w:rsidR="00666718" w:rsidRPr="00866FF9" w:rsidRDefault="005A55FA" w:rsidP="00866FF9">
      <w:pPr>
        <w:spacing w:after="120" w:line="480" w:lineRule="auto"/>
        <w:rPr>
          <w:rFonts w:ascii="Garamond" w:hAnsi="Garamond"/>
        </w:rPr>
      </w:pPr>
      <w:r w:rsidRPr="00866FF9">
        <w:rPr>
          <w:rFonts w:ascii="Garamond" w:hAnsi="Garamond"/>
        </w:rPr>
        <w:t>H</w:t>
      </w:r>
      <w:r w:rsidR="00DC23A8" w:rsidRPr="00866FF9">
        <w:rPr>
          <w:rFonts w:ascii="Garamond" w:hAnsi="Garamond"/>
        </w:rPr>
        <w:t>istorically</w:t>
      </w:r>
      <w:r w:rsidR="00666718" w:rsidRPr="00866FF9">
        <w:rPr>
          <w:rFonts w:ascii="Garamond" w:hAnsi="Garamond"/>
        </w:rPr>
        <w:t xml:space="preserve"> medical education research has suffered from underfunding </w:t>
      </w:r>
      <w:r w:rsidRPr="00866FF9">
        <w:rPr>
          <w:rFonts w:ascii="Garamond" w:hAnsi="Garamond"/>
        </w:rPr>
        <w:fldChar w:fldCharType="begin" w:fldLock="1"/>
      </w:r>
      <w:r w:rsidR="00636985">
        <w:rPr>
          <w:rFonts w:ascii="Garamond" w:hAnsi="Garamond"/>
        </w:rPr>
        <w:instrText>ADDIN CSL_CITATION {"citationItems":[{"id":"ITEM-1","itemData":{"DOI":"10.1136/bmj.h3445","author":[{"dropping-particle":"","family":"Archer","given":"Julian","non-dropping-particle":"","parse-names":false,"suffix":""},{"dropping-particle":"","family":"Mcmanus","given":"Chris","non-dropping-particle":"","parse-names":false,"suffix":""},{"dropping-particle":"","family":"Woolf","given":"Katherine","non-dropping-particle":"","parse-names":false,"suffix":""},{"dropping-particle":"","family":"Monrouxe","given":"Lynn","non-dropping-particle":"","parse-names":false,"suffix":""},{"dropping-particle":"","family":"Illing","given":"Jan","non-dropping-particle":"","parse-names":false,"suffix":""},{"dropping-particle":"","family":"Bullock","given":"Alison","non-dropping-particle":"","parse-names":false,"suffix":""},{"dropping-particle":"","family":"Roberts","given":"Trudie","non-dropping-particle":"","parse-names":false,"suffix":""}],"id":"ITEM-1","issue":"June","issued":{"date-parts":[["2015"]]},"page":"1-2","title":"Without proper research funding , how can medical education be evidence based ?","type":"article-journal","volume":"3445"},"uris":["http://www.mendeley.com/documents/?uuid=22e5f9fa-2656-417b-bcbd-3467f37091ca"]}],"mendeley":{"formattedCitation":"&lt;sup&gt;5&lt;/sup&gt;","plainTextFormattedCitation":"5","previouslyFormattedCitation":"&lt;sup&gt;5&lt;/sup&gt;"},"properties":{"noteIndex":0},"schema":"https://github.com/citation-style-language/schema/raw/master/csl-citation.json"}</w:instrText>
      </w:r>
      <w:r w:rsidRPr="00866FF9">
        <w:rPr>
          <w:rFonts w:ascii="Garamond" w:hAnsi="Garamond"/>
        </w:rPr>
        <w:fldChar w:fldCharType="separate"/>
      </w:r>
      <w:r w:rsidR="00660605" w:rsidRPr="00660605">
        <w:rPr>
          <w:rFonts w:ascii="Garamond" w:hAnsi="Garamond"/>
          <w:noProof/>
          <w:vertAlign w:val="superscript"/>
        </w:rPr>
        <w:t>5</w:t>
      </w:r>
      <w:r w:rsidRPr="00866FF9">
        <w:rPr>
          <w:rFonts w:ascii="Garamond" w:hAnsi="Garamond"/>
        </w:rPr>
        <w:fldChar w:fldCharType="end"/>
      </w:r>
      <w:r w:rsidR="004C586C" w:rsidRPr="00866FF9">
        <w:rPr>
          <w:rFonts w:ascii="Garamond" w:hAnsi="Garamond"/>
        </w:rPr>
        <w:t xml:space="preserve">, which has </w:t>
      </w:r>
      <w:r w:rsidR="001C205A" w:rsidRPr="00866FF9">
        <w:rPr>
          <w:rFonts w:ascii="Garamond" w:hAnsi="Garamond"/>
        </w:rPr>
        <w:t xml:space="preserve">hindered the legitimisation of the </w:t>
      </w:r>
      <w:r w:rsidR="001F420E" w:rsidRPr="00866FF9">
        <w:rPr>
          <w:rFonts w:ascii="Garamond" w:hAnsi="Garamond"/>
        </w:rPr>
        <w:t>field</w:t>
      </w:r>
      <w:r w:rsidR="00666718" w:rsidRPr="00866FF9">
        <w:rPr>
          <w:rFonts w:ascii="Garamond" w:hAnsi="Garamond"/>
        </w:rPr>
        <w:t xml:space="preserve">.  In 2015 </w:t>
      </w:r>
      <w:r w:rsidR="00B729D3" w:rsidRPr="00866FF9">
        <w:rPr>
          <w:rFonts w:ascii="Garamond" w:hAnsi="Garamond"/>
        </w:rPr>
        <w:t xml:space="preserve">the </w:t>
      </w:r>
      <w:r w:rsidR="00954BD3" w:rsidRPr="00866FF9">
        <w:rPr>
          <w:rFonts w:ascii="Garamond" w:hAnsi="Garamond"/>
        </w:rPr>
        <w:t>NIHR</w:t>
      </w:r>
      <w:r w:rsidR="00666718" w:rsidRPr="00866FF9">
        <w:rPr>
          <w:rFonts w:ascii="Garamond" w:hAnsi="Garamond"/>
        </w:rPr>
        <w:t xml:space="preserve"> changed their funding criteria to explicitly include medical education research, provided the research “will have the potential to have practical application”</w:t>
      </w:r>
      <w:r w:rsidR="005320E2" w:rsidRPr="00866FF9">
        <w:rPr>
          <w:rFonts w:ascii="Garamond" w:hAnsi="Garamond"/>
        </w:rPr>
        <w:fldChar w:fldCharType="begin" w:fldLock="1"/>
      </w:r>
      <w:r w:rsidR="00636985">
        <w:rPr>
          <w:rFonts w:ascii="Garamond" w:hAnsi="Garamond"/>
        </w:rPr>
        <w:instrText>ADDIN CSL_CITATION {"citationItems":[{"id":"ITEM-1","itemData":{"author":[{"dropping-particle":"","family":"National Institute for Health Research","given":"","non-dropping-particle":"","parse-names":false,"suffix":""}],"id":"ITEM-1","issued":{"date-parts":[["2019"]]},"title":"Academy NIHR Remit For Personal Awards","type":"webpage"},"uris":["http://www.mendeley.com/documents/?uuid=9e4bf9b6-c12f-489b-b492-39ac952a21f7","http://www.mendeley.com/documents/?uuid=7ef32b82-e7ce-41ee-955c-dcd3a4f2fff6"]}],"mendeley":{"formattedCitation":"&lt;sup&gt;6&lt;/sup&gt;","plainTextFormattedCitation":"6","previouslyFormattedCitation":"&lt;sup&gt;6&lt;/sup&gt;"},"properties":{"noteIndex":0},"schema":"https://github.com/citation-style-language/schema/raw/master/csl-citation.json"}</w:instrText>
      </w:r>
      <w:r w:rsidR="005320E2" w:rsidRPr="00866FF9">
        <w:rPr>
          <w:rFonts w:ascii="Garamond" w:hAnsi="Garamond"/>
        </w:rPr>
        <w:fldChar w:fldCharType="separate"/>
      </w:r>
      <w:r w:rsidR="00660605" w:rsidRPr="00660605">
        <w:rPr>
          <w:rFonts w:ascii="Garamond" w:hAnsi="Garamond"/>
          <w:noProof/>
          <w:vertAlign w:val="superscript"/>
        </w:rPr>
        <w:t>6</w:t>
      </w:r>
      <w:r w:rsidR="005320E2" w:rsidRPr="00866FF9">
        <w:rPr>
          <w:rFonts w:ascii="Garamond" w:hAnsi="Garamond"/>
        </w:rPr>
        <w:fldChar w:fldCharType="end"/>
      </w:r>
      <w:r w:rsidR="00666718" w:rsidRPr="00866FF9">
        <w:rPr>
          <w:rFonts w:ascii="Garamond" w:hAnsi="Garamond"/>
        </w:rPr>
        <w:t>.  In recent years medical education has also been a priority research theme for NIHR integrated academic training.  These are significant steps forward for the field</w:t>
      </w:r>
      <w:r w:rsidRPr="00866FF9">
        <w:rPr>
          <w:rFonts w:ascii="Garamond" w:hAnsi="Garamond"/>
        </w:rPr>
        <w:t>, and we applaud NIHR for this.</w:t>
      </w:r>
      <w:r w:rsidR="001A397C">
        <w:rPr>
          <w:rFonts w:ascii="Garamond" w:hAnsi="Garamond"/>
        </w:rPr>
        <w:t xml:space="preserve">  Th</w:t>
      </w:r>
      <w:r w:rsidR="002C05C4">
        <w:rPr>
          <w:rFonts w:ascii="Garamond" w:hAnsi="Garamond"/>
        </w:rPr>
        <w:t xml:space="preserve">e </w:t>
      </w:r>
      <w:r w:rsidR="00FA30B7">
        <w:rPr>
          <w:rFonts w:ascii="Garamond" w:hAnsi="Garamond"/>
        </w:rPr>
        <w:t xml:space="preserve">increase in medical education focused academic training posts </w:t>
      </w:r>
      <w:r w:rsidR="00A7339A">
        <w:rPr>
          <w:rFonts w:ascii="Garamond" w:hAnsi="Garamond"/>
        </w:rPr>
        <w:t>both legitimises the discipline and serves to build capacity</w:t>
      </w:r>
      <w:r w:rsidR="00B00036">
        <w:rPr>
          <w:rFonts w:ascii="Garamond" w:hAnsi="Garamond"/>
        </w:rPr>
        <w:t xml:space="preserve">.  </w:t>
      </w:r>
      <w:r w:rsidR="00344F34">
        <w:rPr>
          <w:rFonts w:ascii="Garamond" w:hAnsi="Garamond"/>
        </w:rPr>
        <w:t>Those who take the first steps into such programmes will surely act as role models and encourage future educators to take a more well-trodden path.</w:t>
      </w:r>
    </w:p>
    <w:p w14:paraId="0562D92A" w14:textId="51557831" w:rsidR="00307DE6" w:rsidRPr="00866FF9" w:rsidRDefault="00307DE6" w:rsidP="00866FF9">
      <w:pPr>
        <w:spacing w:after="120" w:line="480" w:lineRule="auto"/>
        <w:rPr>
          <w:rFonts w:ascii="Garamond" w:hAnsi="Garamond"/>
          <w:b/>
          <w:bCs/>
        </w:rPr>
      </w:pPr>
      <w:r w:rsidRPr="00866FF9">
        <w:rPr>
          <w:rFonts w:ascii="Garamond" w:hAnsi="Garamond"/>
          <w:b/>
          <w:bCs/>
        </w:rPr>
        <w:t>Flexible training</w:t>
      </w:r>
    </w:p>
    <w:p w14:paraId="1CE99737" w14:textId="59FC3714" w:rsidR="00352AC8" w:rsidRPr="00866FF9" w:rsidRDefault="00352AC8" w:rsidP="006454FF">
      <w:pPr>
        <w:pStyle w:val="Quote"/>
        <w:spacing w:line="480" w:lineRule="auto"/>
        <w:jc w:val="left"/>
        <w:rPr>
          <w:rFonts w:ascii="Garamond" w:hAnsi="Garamond"/>
        </w:rPr>
      </w:pPr>
      <w:r w:rsidRPr="006454FF">
        <w:rPr>
          <w:rFonts w:ascii="Garamond" w:hAnsi="Garamond"/>
          <w:i w:val="0"/>
          <w:iCs w:val="0"/>
        </w:rPr>
        <w:t xml:space="preserve">I have long known that I want a portfolio career combining clinical work in general practice and a role in medical education.  I’m fortunate to have had great role models that have shown me different ways this can work in practice.  However, it appears very difficult to combing these roles simultaneously before completion of clinical training.  I was keen to start my clinical career as I meant to go </w:t>
      </w:r>
      <w:proofErr w:type="gramStart"/>
      <w:r w:rsidRPr="006454FF">
        <w:rPr>
          <w:rFonts w:ascii="Garamond" w:hAnsi="Garamond"/>
          <w:i w:val="0"/>
          <w:iCs w:val="0"/>
        </w:rPr>
        <w:t>on, and</w:t>
      </w:r>
      <w:proofErr w:type="gramEnd"/>
      <w:r w:rsidRPr="006454FF">
        <w:rPr>
          <w:rFonts w:ascii="Garamond" w:hAnsi="Garamond"/>
          <w:i w:val="0"/>
          <w:iCs w:val="0"/>
        </w:rPr>
        <w:t xml:space="preserve"> combine less than full time training with a part time role in medical education.  Opportunities to do this have not been forthcoming.  I was interested to hear on a previous TASME (Trainees in the Association for the Study of Medical Education) Twitter chat that this is a challenge many junior doctors are facing and finding difficult to overcome.  It seems to me this is a real missed opportunity.</w:t>
      </w:r>
      <w:r w:rsidRPr="00866FF9">
        <w:rPr>
          <w:rFonts w:ascii="Garamond" w:hAnsi="Garamond"/>
        </w:rPr>
        <w:br/>
        <w:t>Eliot</w:t>
      </w:r>
    </w:p>
    <w:p w14:paraId="2C9AEF35" w14:textId="4B26411E" w:rsidR="00ED4D05" w:rsidRPr="00866FF9" w:rsidRDefault="00666718" w:rsidP="00866FF9">
      <w:pPr>
        <w:spacing w:after="120" w:line="480" w:lineRule="auto"/>
        <w:rPr>
          <w:rFonts w:ascii="Garamond" w:hAnsi="Garamond"/>
        </w:rPr>
      </w:pPr>
      <w:r w:rsidRPr="00866FF9">
        <w:rPr>
          <w:rFonts w:ascii="Garamond" w:hAnsi="Garamond"/>
        </w:rPr>
        <w:lastRenderedPageBreak/>
        <w:t xml:space="preserve">There is significant interest amongst </w:t>
      </w:r>
      <w:r w:rsidR="00307DE6" w:rsidRPr="00866FF9">
        <w:rPr>
          <w:rFonts w:ascii="Garamond" w:hAnsi="Garamond"/>
        </w:rPr>
        <w:t>junior doctors</w:t>
      </w:r>
      <w:r w:rsidRPr="00866FF9">
        <w:rPr>
          <w:rFonts w:ascii="Garamond" w:hAnsi="Garamond"/>
        </w:rPr>
        <w:t xml:space="preserve"> in developing teaching focused careers in medical education </w:t>
      </w:r>
      <w:r w:rsidR="00332BF8" w:rsidRPr="00866FF9">
        <w:rPr>
          <w:rFonts w:ascii="Garamond" w:hAnsi="Garamond"/>
        </w:rPr>
        <w:fldChar w:fldCharType="begin" w:fldLock="1"/>
      </w:r>
      <w:r w:rsidR="00636985">
        <w:rPr>
          <w:rFonts w:ascii="Garamond" w:hAnsi="Garamond"/>
        </w:rPr>
        <w:instrText>ADDIN CSL_CITATION {"citationItems":[{"id":"ITEM-1","itemData":{"DOI":"10.1007/s10459-019-09949-7","ISBN":"0123456789","ISSN":"15731677","abstract":"Aspiring medical educators and their advisors often lack clarity about career paths. To provide guidance to faculty pursuing careers as educators, we sought to explore perceived factors that contributed to the career development of outstanding medical educators. Using a thematic analysis, investigators at two institutions interviewed 39 full or associate professor physician faculty with prominent roles as medical educators in 2016. The social cognitive career theory (SCCT) informed the interview guide. Investigators developed the codebook and performed iterative analysis using qualitative methods. Extensive team discussion generated the final themes. Eight themes emerged related to preparation, early successes, mentors, networks, faculty development, balance, work environment, and multiple identities. Preparation led to early successes, which served as “launch points,” while mentors, networks, and faculty development programs served as career accelerators to open more opportunities, and a supportive work environment was an additional enabler of this pathway. Educators who reported balance between work and outside interests described boundary setting as well as selectively choosing new opportunities to establish boundaries in mid-career. Participants described multiple professional identities, and clinician and educator identities tended to merge and reinforce each other as careers progressed. This study revealed common themes describing trajectories of success among medical educators. These themes aligned with the SCCT, and typically replayed and spiraled over the course of the educators’ careers. These findings resonate with other studies, lending credence to an approach to career development that can be shared with junior faculty who are exploring careers in medical education.","author":[{"dropping-particle":"","family":"Thomas","given":"Larissa R.","non-dropping-particle":"","parse-names":false,"suffix":""},{"dropping-particle":"","family":"Roesch","given":"Justin","non-dropping-particle":"","parse-names":false,"suffix":""},{"dropping-particle":"","family":"Haber","given":"Lawrence","non-dropping-particle":"","parse-names":false,"suffix":""},{"dropping-particle":"","family":"Rendón","given":"Patrick","non-dropping-particle":"","parse-names":false,"suffix":""},{"dropping-particle":"","family":"Chang","given":"Anna","non-dropping-particle":"","parse-names":false,"suffix":""},{"dropping-particle":"","family":"Timm","given":"Craig","non-dropping-particle":"","parse-names":false,"suffix":""},{"dropping-particle":"","family":"Kalishman","given":"Summers","non-dropping-particle":"","parse-names":false,"suffix":""},{"dropping-particle":"","family":"O’Sullivan","given":"Patricia","non-dropping-particle":"","parse-names":false,"suffix":""}],"container-title":"Advances in Health Sciences Education","id":"ITEM-1","issue":"March 2018","issued":{"date-parts":[["2020"]]},"publisher":"Springer Netherlands","title":"Becoming outstanding educators: What do they say contributed to success?","type":"article-journal"},"uris":["http://www.mendeley.com/documents/?uuid=e7d41950-4fa4-409f-a0e6-3f26234f5eb6","http://www.mendeley.com/documents/?uuid=4c0201f7-dc77-4ddb-92e0-f895f769a667"]},{"id":"ITEM-2","itemData":{"DOI":"10.1111/medu.12782","ISSN":"1365-2923","abstract":"Context: Despite the pace and intensity of the in-patient clinical setting, physicians carve out time for teaching medical students and residents.; Objectives: The goal of this study was to explore what it means for physicians to teach students and residents in the in-patient setting.; Methods: We conducted semi-structured interviews with 15 practising physicians from the departments of internal medicine, surgery and paediatrics in three university teaching hospitals at McGill University, using an interpretive phenomenological methodology.; Results: Five themes elucidated the meaning of teaching for physicians in the in-patient setting: (i) teaching was perceived as an integral part of their identity; (ii) teaching allowed them to repay former teachers for their own training; (iii) teaching gave them an opportunity to contribute to the development of the next generation of physicians; (iv) teaching enabled them to learn, and (v) teaching was experienced as personally energising and gratifying. Participants were morally and socially motivated to give time and effort through teaching (e.g. to pay forward their own privilege and thereby help to develop the next generation); teaching also gave them a sense of personal fulfilment (e.g. by allowing them to mould young minds and leave a legacy).; Conclusions: This study holds a number of implications for medical education with relevance to the recruitment and retention of clinical teachers, recognition of clinical teaching, and evidence-informed faculty development. The findings also suggest that teaching in an academic setting can bring joy and fulfilment to practising physicians.; © 2015 John Wiley &amp; Sons Ltd.","author":[{"dropping-particle":"","family":"Steinert","given":"Yvonne","non-dropping-particle":"","parse-names":false,"suffix":""},{"dropping-particle":"","family":"Macdonald","given":"Mary Ellen","non-dropping-particle":"","parse-names":false,"suffix":""}],"container-title":"Medical Education","id":"ITEM-2","issue":"8","issued":{"date-parts":[["2015","8"]]},"note":"Accession Number: 26152489. Language: English. Date Revised: 20150708. Date Created: 20150708. Date Completed: 20160115. Update Code: 20161213. Publication Type: Journal Article. Journal ID: 7605655. Publication Model: Print. Cited Medium: Internet. NLM ISO Abbr: Med Educ. Linking ISSN: 03080110. Subset: IM; Date of Electronic Publication: 20150801. Current Imprints: Publication: Oxford : Wiley-Blackwell; Original Imprints: Publication: Oxford, Blackwell Scientific Publications.","page":"773-782","publisher":"Wiley-Blackwell","publisher-place":"Centre for Medical Education, Faculty of Medicine, McGill University, Montreal, Quebec, Canada.","title":"Why physicians teach: giving back by paying it forward.","type":"article-journal","volume":"49"},"uris":["http://www.mendeley.com/documents/?uuid=2963a466-4bbb-47e1-9573-eaaf6be6a0ae"]}],"mendeley":{"formattedCitation":"&lt;sup&gt;7,8&lt;/sup&gt;","plainTextFormattedCitation":"7,8","previouslyFormattedCitation":"&lt;sup&gt;7,8&lt;/sup&gt;"},"properties":{"noteIndex":0},"schema":"https://github.com/citation-style-language/schema/raw/master/csl-citation.json"}</w:instrText>
      </w:r>
      <w:r w:rsidR="00332BF8" w:rsidRPr="00866FF9">
        <w:rPr>
          <w:rFonts w:ascii="Garamond" w:hAnsi="Garamond"/>
        </w:rPr>
        <w:fldChar w:fldCharType="separate"/>
      </w:r>
      <w:r w:rsidR="00660605" w:rsidRPr="00660605">
        <w:rPr>
          <w:rFonts w:ascii="Garamond" w:hAnsi="Garamond"/>
          <w:noProof/>
          <w:vertAlign w:val="superscript"/>
        </w:rPr>
        <w:t>7,8</w:t>
      </w:r>
      <w:r w:rsidR="00332BF8" w:rsidRPr="00866FF9">
        <w:rPr>
          <w:rFonts w:ascii="Garamond" w:hAnsi="Garamond"/>
        </w:rPr>
        <w:fldChar w:fldCharType="end"/>
      </w:r>
      <w:r w:rsidRPr="00866FF9">
        <w:rPr>
          <w:rFonts w:ascii="Garamond" w:hAnsi="Garamond"/>
        </w:rPr>
        <w:t xml:space="preserve">.  </w:t>
      </w:r>
      <w:r w:rsidR="00ED4D05" w:rsidRPr="00866FF9">
        <w:rPr>
          <w:rFonts w:ascii="Garamond" w:hAnsi="Garamond"/>
        </w:rPr>
        <w:t xml:space="preserve">Development of careers in medical education has historically for many been serendipitous </w:t>
      </w:r>
      <w:r w:rsidR="00ED4D05" w:rsidRPr="00866FF9">
        <w:rPr>
          <w:rFonts w:ascii="Garamond" w:hAnsi="Garamond"/>
        </w:rPr>
        <w:fldChar w:fldCharType="begin" w:fldLock="1"/>
      </w:r>
      <w:r w:rsidR="00636985">
        <w:rPr>
          <w:rFonts w:ascii="Garamond" w:hAnsi="Garamond"/>
        </w:rPr>
        <w:instrText>ADDIN CSL_CITATION {"citationItems":[{"id":"ITEM-1","itemData":{"DOI":"10.1111/medu.12822","ISSN":"1365-2923","abstract":"Context: Despite a demand for educational expertise in medical universities, little is known of the roles of medical educators and the sustainability of academic careers in medical education. We examined the experiences and career paths of medical educators from diverse professional backgrounds seeking to establish, maintain and strengthen their careers in medical schools.; Methods: Semi-structured interviews were conducted with 44 lead and early-career medical educators from all 21 Australian and New Zealand medical schools. Questions explored career beginnings, rewards and challenges. Transcripts underwent systematic coding and independent thematic analysis. Final themes were confirmed by iterative review and member checking. Analysis was informed by Bourdieu's concepts of field (a social space for hierarchical interactions), habitus (individual dispositions which influence social interactions) and capital (economic, symbolic, social and cultural forms of power).; Results: Participants provided diverse accounts of what constitutes the practice of medical education. Serendipitous career entry and little commonality of professional backgrounds and responsibilities suggest an ambiguous habitus with ill-defined career pathways. Within the field of medicine as enacted in medical schools, educators have invisible yet essential roles, experiencing tension between service expectations, a lesser form of capital, and demands for more highly valued forms of scholarship. Participants reported increasing expectations to produce research and obtain postgraduate qualifications to enter and maintain their careers. Unable to draw upon cultural capital accrued from clinical work, non-clinician educators faced additional challenges. To strengthen their position, educators consciously built social capital through essential service relationships, capitalising on times when education takes precedence, such as curriculum renewal and accreditation.; Conclusions: Bourdieu's theory provides insight into medical educator career paths and the positioning of medical education within medical schools. Medical educators have an indistinct practice, and limited cultural capital in the form of research outputs. In order to maintain and strengthen their careers, educators must create alternative sources of capital, through fostering collaborative alliances.; © 2015 John Wiley &amp; Sons Ltd.","author":[{"dropping-particle":"","family":"Hu","given":"Wendy C Y","non-dropping-particle":"","parse-names":false,"suffix":""},{"dropping-particle":"","family":"Thistlethwaite","given":"Jill E","non-dropping-particle":"","parse-names":false,"suffix":""},{"dropping-particle":"","family":"Weller","given":"Jennifer","non-dropping-particle":"","parse-names":false,"suffix":""},{"dropping-particle":"","family":"Gallego","given":"Gisselle","non-dropping-particle":"","parse-names":false,"suffix":""},{"dropping-particle":"","family":"Monteith","given":"Joseph","non-dropping-particle":"","parse-names":false,"suffix":""},{"dropping-particle":"","family":"McColl","given":"Geoff J","non-dropping-particle":"","parse-names":false,"suffix":""}],"container-title":"Medical Education","id":"ITEM-1","issue":"11","issued":{"date-parts":[["2015","11"]]},"note":"Accession Number: 26494065. Language: English. Date Revised: 20151023. Date Created: 20151023. Date Completed: 20160511. Update Code: 20161213. Publication Type: Journal Article. Journal ID: 7605655. Publication Model: Print. Cited Medium: Internet. NLM ISO Abbr: Med Educ. Linking ISSN: 03080110. Subset: IM; Date of Electronic Publication: 20151101. Current Imprints: Publication: Oxford : Wiley-Blackwell; Original Imprints: Publication: Oxford, Blackwell Scientific Publications.","page":"1124-1136","publisher":"Wiley-Blackwell","publisher-place":"School of Medicine, University of Western Sydney, Sydney, New South Wales, Australia.","title":"'It was serendipity': a qualitative study of academic careers in medical education.","type":"article-journal","volume":"49"},"uris":["http://www.mendeley.com/documents/?uuid=ea8077e3-d31e-4cec-b61b-5d1cf252ffb0"]}],"mendeley":{"formattedCitation":"&lt;sup&gt;9&lt;/sup&gt;","plainTextFormattedCitation":"9","previouslyFormattedCitation":"&lt;sup&gt;9&lt;/sup&gt;"},"properties":{"noteIndex":0},"schema":"https://github.com/citation-style-language/schema/raw/master/csl-citation.json"}</w:instrText>
      </w:r>
      <w:r w:rsidR="00ED4D05" w:rsidRPr="00866FF9">
        <w:rPr>
          <w:rFonts w:ascii="Garamond" w:hAnsi="Garamond"/>
        </w:rPr>
        <w:fldChar w:fldCharType="separate"/>
      </w:r>
      <w:r w:rsidR="00660605" w:rsidRPr="00660605">
        <w:rPr>
          <w:rFonts w:ascii="Garamond" w:hAnsi="Garamond"/>
          <w:noProof/>
          <w:vertAlign w:val="superscript"/>
        </w:rPr>
        <w:t>9</w:t>
      </w:r>
      <w:r w:rsidR="00ED4D05" w:rsidRPr="00866FF9">
        <w:rPr>
          <w:rFonts w:ascii="Garamond" w:hAnsi="Garamond"/>
        </w:rPr>
        <w:fldChar w:fldCharType="end"/>
      </w:r>
      <w:r w:rsidR="003A25AB" w:rsidRPr="00866FF9">
        <w:rPr>
          <w:rFonts w:ascii="Garamond" w:hAnsi="Garamond"/>
        </w:rPr>
        <w:t xml:space="preserve">, and </w:t>
      </w:r>
      <w:r w:rsidRPr="00866FF9">
        <w:rPr>
          <w:rFonts w:ascii="Garamond" w:hAnsi="Garamond"/>
        </w:rPr>
        <w:t xml:space="preserve">opportunities for teaching development integrated with clinical training are scarce.  </w:t>
      </w:r>
      <w:r w:rsidR="006857ED" w:rsidRPr="00866FF9">
        <w:rPr>
          <w:rFonts w:ascii="Garamond" w:hAnsi="Garamond"/>
        </w:rPr>
        <w:t>Increasing numbers of trainees take time away from training programmes to undertake clinical teaching fellowships (CTFs)</w:t>
      </w:r>
      <w:r w:rsidR="006857ED" w:rsidRPr="00866FF9">
        <w:rPr>
          <w:rFonts w:ascii="Garamond" w:hAnsi="Garamond"/>
        </w:rPr>
        <w:fldChar w:fldCharType="begin" w:fldLock="1"/>
      </w:r>
      <w:r w:rsidR="00636985">
        <w:rPr>
          <w:rFonts w:ascii="Garamond" w:hAnsi="Garamond"/>
        </w:rPr>
        <w:instrText>ADDIN CSL_CITATION {"citationItems":[{"id":"ITEM-1","itemData":{"DOI":"10.1111/j.1365-2923.2007.02933.x","ISSN":"03080110","abstract":"Context: Undergraduate medical education in the UK has changed considerably over the last decade. One development has involved the creation of teaching-specific posts for junior doctors by medical schools. These posts are generally termed 'clinical teaching fellowships', but it is not known how many of them exist, or whether they are similar in terms of educational activities, professional development, and research and clinical experience opportunities. Methods: Teaching deans in all UK medical schools were sent a questionnaire relating to clinical teaching fellowships, and were asked to distribute a second set of different questionnaires to their clinical teaching fellows, which were to be returned to the authors separately. Results: A total of 28 deans and 46 fellows responded. Fifteen medical schools had clinical teaching fellows and there appeared to be a total of 77 such posts in the UK. There was little uniformity in the activities undertaken within the posts. Deans who employed clinical teaching fellows were unanimously positive regarding the posts. Fellows were generally positive but expressed reservations relating to approval for postgraduate training, career development, deterioration in clinical skills, financial disincentives, credibility within one's own specialty, and provision of training and support. Conclusions: Clinical teaching fellow posts are generally enjoyed by fellows and valued by deans. Fellows carry out differing duties and their training in medical education is variable. The posts can be unstructured and may lack credibility to doctors outside medical education. Providing specific structured training in medical education, recognised at a national level, would help deal with these concerns. © 2008 Blackwell Publishing Ltd.","author":[{"dropping-particle":"","family":"Wilson","given":"Sam","non-dropping-particle":"","parse-names":false,"suffix":""},{"dropping-particle":"","family":"Denison","given":"Alan R.","non-dropping-particle":"","parse-names":false,"suffix":""},{"dropping-particle":"","family":"McKenzie","given":"Hamish","non-dropping-particle":"","parse-names":false,"suffix":""}],"container-title":"Medical Education","id":"ITEM-1","issue":"2","issued":{"date-parts":[["2008"]]},"page":"170-175","title":"A survey of clinical teaching fellowships in UK medical schools","type":"article-journal","volume":"42"},"uris":["http://www.mendeley.com/documents/?uuid=55d52043-7c5c-409d-a770-6adef372c18b"]}],"mendeley":{"formattedCitation":"&lt;sup&gt;10&lt;/sup&gt;","plainTextFormattedCitation":"10","previouslyFormattedCitation":"&lt;sup&gt;10&lt;/sup&gt;"},"properties":{"noteIndex":0},"schema":"https://github.com/citation-style-language/schema/raw/master/csl-citation.json"}</w:instrText>
      </w:r>
      <w:r w:rsidR="006857ED" w:rsidRPr="00866FF9">
        <w:rPr>
          <w:rFonts w:ascii="Garamond" w:hAnsi="Garamond"/>
        </w:rPr>
        <w:fldChar w:fldCharType="separate"/>
      </w:r>
      <w:r w:rsidR="00660605" w:rsidRPr="00660605">
        <w:rPr>
          <w:rFonts w:ascii="Garamond" w:hAnsi="Garamond"/>
          <w:noProof/>
          <w:vertAlign w:val="superscript"/>
        </w:rPr>
        <w:t>10</w:t>
      </w:r>
      <w:r w:rsidR="006857ED" w:rsidRPr="00866FF9">
        <w:rPr>
          <w:rFonts w:ascii="Garamond" w:hAnsi="Garamond"/>
        </w:rPr>
        <w:fldChar w:fldCharType="end"/>
      </w:r>
      <w:r w:rsidR="006857ED" w:rsidRPr="00866FF9">
        <w:rPr>
          <w:rFonts w:ascii="Garamond" w:hAnsi="Garamond"/>
        </w:rPr>
        <w:t xml:space="preserve">.  These are developmental posts that are typically fixed term for one to two years and are predominantly focused on teaching and educator development </w:t>
      </w:r>
      <w:r w:rsidR="006857ED" w:rsidRPr="00866FF9">
        <w:rPr>
          <w:rFonts w:ascii="Garamond" w:hAnsi="Garamond"/>
        </w:rPr>
        <w:fldChar w:fldCharType="begin" w:fldLock="1"/>
      </w:r>
      <w:r w:rsidR="00636985">
        <w:rPr>
          <w:rFonts w:ascii="Garamond" w:hAnsi="Garamond"/>
        </w:rPr>
        <w:instrText>ADDIN CSL_CITATION {"citationItems":[{"id":"ITEM-1","itemData":{"DOI":"10.1111/tct.12275","ISSN":"1743498X","author":[{"dropping-particle":"","family":"Brown","given":"Craig","non-dropping-particle":"","parse-names":false,"suffix":""}],"container-title":"Clinical Teacher","id":"ITEM-1","issue":"2","issued":{"date-parts":[["2015"]]},"page":"136-137","title":"Clinical teaching fellows: Best of both worlds?","type":"article-journal","volume":"12"},"uris":["http://www.mendeley.com/documents/?uuid=4d66fee9-a285-465b-8d3f-ac43763f1cbf","http://www.mendeley.com/documents/?uuid=9d633664-b8ce-4719-81a3-5b892175db4d"]}],"mendeley":{"formattedCitation":"&lt;sup&gt;11&lt;/sup&gt;","plainTextFormattedCitation":"11","previouslyFormattedCitation":"&lt;sup&gt;11&lt;/sup&gt;"},"properties":{"noteIndex":0},"schema":"https://github.com/citation-style-language/schema/raw/master/csl-citation.json"}</w:instrText>
      </w:r>
      <w:r w:rsidR="006857ED" w:rsidRPr="00866FF9">
        <w:rPr>
          <w:rFonts w:ascii="Garamond" w:hAnsi="Garamond"/>
        </w:rPr>
        <w:fldChar w:fldCharType="separate"/>
      </w:r>
      <w:r w:rsidR="00660605" w:rsidRPr="00660605">
        <w:rPr>
          <w:rFonts w:ascii="Garamond" w:hAnsi="Garamond"/>
          <w:noProof/>
          <w:vertAlign w:val="superscript"/>
        </w:rPr>
        <w:t>11</w:t>
      </w:r>
      <w:r w:rsidR="006857ED" w:rsidRPr="00866FF9">
        <w:rPr>
          <w:rFonts w:ascii="Garamond" w:hAnsi="Garamond"/>
        </w:rPr>
        <w:fldChar w:fldCharType="end"/>
      </w:r>
      <w:r w:rsidR="006857ED" w:rsidRPr="00866FF9">
        <w:rPr>
          <w:rFonts w:ascii="Garamond" w:hAnsi="Garamond"/>
        </w:rPr>
        <w:t xml:space="preserve">.  Some posts include a proportion of the job plan (usually up to 0.5 full time equivalent) as time spent on clinical duties.  This clinical time, however, does not contribute to specialist training, and the posts are fraught with challenges which are inevitable when placed outside of formal, protected training programmes </w:t>
      </w:r>
      <w:r w:rsidR="006857ED" w:rsidRPr="00866FF9">
        <w:rPr>
          <w:rFonts w:ascii="Garamond" w:hAnsi="Garamond"/>
        </w:rPr>
        <w:fldChar w:fldCharType="begin" w:fldLock="1"/>
      </w:r>
      <w:r w:rsidR="00636985">
        <w:rPr>
          <w:rFonts w:ascii="Garamond" w:hAnsi="Garamond"/>
        </w:rPr>
        <w:instrText>ADDIN CSL_CITATION {"citationItems":[{"id":"ITEM-1","itemData":{"DOI":"10.15694/mep.2018.0000239.1","ISSN":"2312-7996","author":[{"dropping-particle":"","family":"Ker","given":"Robert","non-dropping-particle":"","parse-names":false,"suffix":""},{"dropping-particle":"","family":"Guckian","given":"Jonathan","non-dropping-particle":"","parse-names":false,"suffix":""},{"dropping-particle":"","family":"Bowey","given":"Andrew J","non-dropping-particle":"","parse-names":false,"suffix":""}],"container-title":"MedEdPublish","id":"ITEM-1","issue":"4","issued":{"date-parts":[["2018"]]},"page":"1-8","title":"‘Just a year out’? – Challenges of the clinical teaching fellow","type":"article-journal","volume":"7"},"uris":["http://www.mendeley.com/documents/?uuid=636053f7-5549-4a88-83a7-f772c5cc11f9","http://www.mendeley.com/documents/?uuid=3ec06a29-fd38-4807-9aa8-0d2948bbf0ff"]}],"mendeley":{"formattedCitation":"&lt;sup&gt;12&lt;/sup&gt;","plainTextFormattedCitation":"12","previouslyFormattedCitation":"&lt;sup&gt;12&lt;/sup&gt;"},"properties":{"noteIndex":0},"schema":"https://github.com/citation-style-language/schema/raw/master/csl-citation.json"}</w:instrText>
      </w:r>
      <w:r w:rsidR="006857ED" w:rsidRPr="00866FF9">
        <w:rPr>
          <w:rFonts w:ascii="Garamond" w:hAnsi="Garamond"/>
        </w:rPr>
        <w:fldChar w:fldCharType="separate"/>
      </w:r>
      <w:r w:rsidR="00660605" w:rsidRPr="00660605">
        <w:rPr>
          <w:rFonts w:ascii="Garamond" w:hAnsi="Garamond"/>
          <w:noProof/>
          <w:vertAlign w:val="superscript"/>
        </w:rPr>
        <w:t>12</w:t>
      </w:r>
      <w:r w:rsidR="006857ED" w:rsidRPr="00866FF9">
        <w:rPr>
          <w:rFonts w:ascii="Garamond" w:hAnsi="Garamond"/>
        </w:rPr>
        <w:fldChar w:fldCharType="end"/>
      </w:r>
      <w:r w:rsidR="006857ED" w:rsidRPr="00866FF9">
        <w:rPr>
          <w:rFonts w:ascii="Garamond" w:hAnsi="Garamond"/>
        </w:rPr>
        <w:t>.  Competencies developed during this clinical work are not easily translated across to training programmes, which contradicts the principles of competency based medical education</w:t>
      </w:r>
      <w:r w:rsidR="006857ED" w:rsidRPr="00866FF9">
        <w:rPr>
          <w:rFonts w:ascii="Garamond" w:hAnsi="Garamond"/>
        </w:rPr>
        <w:fldChar w:fldCharType="begin" w:fldLock="1"/>
      </w:r>
      <w:r w:rsidR="00636985">
        <w:rPr>
          <w:rFonts w:ascii="Garamond" w:hAnsi="Garamond"/>
        </w:rPr>
        <w:instrText>ADDIN CSL_CITATION {"citationItems":[{"id":"ITEM-1","itemData":{"DOI":"10.1111/medu.12831","ISSN":"1365-2923","abstract":"Context: Competency-based medical education (CBME) has emerged as a core strategy to educate and assess the next generation of physicians. Advantages of CBME include: a focus on outcomes and learner achievement; requirements for multifaceted assessment that embraces formative and summative approaches; support of a flexible, time-independent trajectory through the curriculum; and increased accountability to stakeholders with a shared set of expectations and a common language for education, assessment and regulation.; Objectives: Despite the advantages of CBME, numerous concerns and challenges to the implementation of CBME frameworks have been described, including: increased administrative requirements; the need for faculty development; the lack of models for flexible curricula, and inconsistencies in terms and definitions. Additionally, there are concerns about reductionist approaches to assessment in CBME, lack of good assessments for some competencies, and whether CBME frameworks include domains of current importance. This study will outline these issues and discuss the responses of the medical education community.; Methods: The concerns and challenges expressed are primarily categorised as: (i) those related to practical, administrative and logistical challenges in implementing CBME frameworks, and (ii) those with more conceptual or theoretical bases. The responses of the education community to these issues are then summarised.; Conclusions: The education community has begun to address the challenges involved in implementing CBME. Models and guidance exist to inform implementation strategies across the continuum of education, and focus on the more efficient use of resources and technology, and the use of milestones and entrustable professional activities-based frameworks. Inconsistencies in CBME definitions and frameworks remain a significant obstacle. Evolution in assessment approaches from in vitro task-based methods to in vivo integrated approaches is responsive to many of the theoretical and conceptual concerns about CBME, but much work remains to be done to bring rigour and quality to work-based assessment.; © 2015 John Wiley &amp; Sons Ltd.","author":[{"dropping-particle":"","family":"Hawkins","given":"Richard E","non-dropping-particle":"","parse-names":false,"suffix":""},{"dropping-particle":"","family":"Welcher","given":"Catherine M","non-dropping-particle":"","parse-names":false,"suffix":""},{"dropping-particle":"","family":"Holmboe","given":"Eric S","non-dropping-particle":"","parse-names":false,"suffix":""},{"dropping-particle":"","family":"Kirk","given":"Lynne M","non-dropping-particle":"","parse-names":false,"suffix":""},{"dropping-particle":"","family":"Norcini","given":"John J","non-dropping-particle":"","parse-names":false,"suffix":""},{"dropping-particle":"","family":"Simons","given":"Kenneth B","non-dropping-particle":"","parse-names":false,"suffix":""},{"dropping-particle":"","family":"Skochelak","given":"Susan E","non-dropping-particle":"","parse-names":false,"suffix":""}],"container-title":"Medical Education","id":"ITEM-1","issue":"11","issued":{"date-parts":[["2015","11"]]},"note":"Accession Number: 26494062. Language: English. Date Revised: 20151023. Date Created: 20151023. Date Completed: 20160511. Update Code: 20161213. Publication Type: Journal Article. Journal ID: 7605655. Publication Model: Print. Cited Medium: Internet. NLM ISO Abbr: Med Educ. Linking ISSN: 03080110. Subset: IM; Date of Electronic Publication: 20151101. Current Imprints: Publication: Oxford : Wiley-Blackwell; Original Imprints: Publication: Oxford, Blackwell Scientific Publications.","page":"1086-1102","publisher":"Wiley-Blackwell","publisher-place":"Medical Education Outcomes, American Medical Association, Chicago, Illinois, USA.","title":"Implementation of competency-based medical education: are we addressing the concerns and challenges?","type":"article-journal","volume":"49"},"uris":["http://www.mendeley.com/documents/?uuid=47dcd772-ff91-4d35-b22b-fbd18da51e9b"]}],"mendeley":{"formattedCitation":"&lt;sup&gt;13&lt;/sup&gt;","plainTextFormattedCitation":"13","previouslyFormattedCitation":"&lt;sup&gt;13&lt;/sup&gt;"},"properties":{"noteIndex":0},"schema":"https://github.com/citation-style-language/schema/raw/master/csl-citation.json"}</w:instrText>
      </w:r>
      <w:r w:rsidR="006857ED" w:rsidRPr="00866FF9">
        <w:rPr>
          <w:rFonts w:ascii="Garamond" w:hAnsi="Garamond"/>
        </w:rPr>
        <w:fldChar w:fldCharType="separate"/>
      </w:r>
      <w:r w:rsidR="00660605" w:rsidRPr="00660605">
        <w:rPr>
          <w:rFonts w:ascii="Garamond" w:hAnsi="Garamond"/>
          <w:noProof/>
          <w:vertAlign w:val="superscript"/>
        </w:rPr>
        <w:t>13</w:t>
      </w:r>
      <w:r w:rsidR="006857ED" w:rsidRPr="00866FF9">
        <w:rPr>
          <w:rFonts w:ascii="Garamond" w:hAnsi="Garamond"/>
        </w:rPr>
        <w:fldChar w:fldCharType="end"/>
      </w:r>
      <w:r w:rsidR="006857ED" w:rsidRPr="00866FF9">
        <w:rPr>
          <w:rFonts w:ascii="Garamond" w:hAnsi="Garamond"/>
        </w:rPr>
        <w:t xml:space="preserve"> and leads to trainee frustration at lack of progression.</w:t>
      </w:r>
    </w:p>
    <w:p w14:paraId="418E3BCA" w14:textId="7C788DBC" w:rsidR="001A288E" w:rsidRDefault="00C960BB" w:rsidP="00866FF9">
      <w:pPr>
        <w:spacing w:after="120" w:line="480" w:lineRule="auto"/>
        <w:rPr>
          <w:rFonts w:ascii="Garamond" w:hAnsi="Garamond"/>
        </w:rPr>
      </w:pPr>
      <w:r w:rsidRPr="00866FF9">
        <w:rPr>
          <w:rFonts w:ascii="Garamond" w:hAnsi="Garamond"/>
        </w:rPr>
        <w:t xml:space="preserve">For doctors interested in pursuing careers in medical education research there are now opportunities to undertake academic clinical fellowships in medical education, combining clinical training with protected time for educational research.  While these programmes may have additional, often informal, opportunities to develop teaching skills, the focus is on research development.  For those that aspire to careers in education delivery and leadership, rather than research, there are </w:t>
      </w:r>
      <w:r w:rsidR="00442D78">
        <w:rPr>
          <w:rFonts w:ascii="Garamond" w:hAnsi="Garamond"/>
        </w:rPr>
        <w:t>fewer</w:t>
      </w:r>
      <w:r w:rsidR="00442D78" w:rsidRPr="00866FF9">
        <w:rPr>
          <w:rFonts w:ascii="Garamond" w:hAnsi="Garamond"/>
        </w:rPr>
        <w:t xml:space="preserve"> </w:t>
      </w:r>
      <w:r w:rsidRPr="00866FF9">
        <w:rPr>
          <w:rFonts w:ascii="Garamond" w:hAnsi="Garamond"/>
        </w:rPr>
        <w:t>opportunities for integrated clinical and educational training.</w:t>
      </w:r>
      <w:r w:rsidR="00A75444" w:rsidRPr="00866FF9">
        <w:rPr>
          <w:rFonts w:ascii="Garamond" w:hAnsi="Garamond"/>
        </w:rPr>
        <w:t xml:space="preserve">  </w:t>
      </w:r>
      <w:r w:rsidR="00C25845">
        <w:rPr>
          <w:rFonts w:ascii="Garamond" w:hAnsi="Garamond"/>
        </w:rPr>
        <w:t xml:space="preserve">Over the last decade there have been </w:t>
      </w:r>
      <w:r w:rsidR="001367C1">
        <w:rPr>
          <w:rFonts w:ascii="Garamond" w:hAnsi="Garamond"/>
        </w:rPr>
        <w:t xml:space="preserve">a growth in </w:t>
      </w:r>
      <w:r w:rsidR="00842CFB">
        <w:rPr>
          <w:rFonts w:ascii="Garamond" w:hAnsi="Garamond"/>
        </w:rPr>
        <w:t>clinician-educator tracks for postgraduate trainees</w:t>
      </w:r>
      <w:r w:rsidR="00660605">
        <w:rPr>
          <w:rFonts w:ascii="Garamond" w:hAnsi="Garamond"/>
        </w:rPr>
        <w:fldChar w:fldCharType="begin" w:fldLock="1"/>
      </w:r>
      <w:r w:rsidR="00636985">
        <w:rPr>
          <w:rFonts w:ascii="Garamond" w:hAnsi="Garamond"/>
        </w:rPr>
        <w:instrText>ADDIN CSL_CITATION {"citationItems":[{"id":"ITEM-1","itemData":{"DOI":"10.1097/ACM.0000000000002814","ISBN":"0000000000","ISSN":"1938808X","PMID":"31169537","abstract":"Purpose Clinician-educator tracks (CETs) appear to be increasing in prevalence in graduate medical education (GME) and may play an important role in medical education workforce development. The authors conducted a scoping review to characterize the current state of knowledge about CETs' structure, content, and outcomes. Method Six databases were searched in January 2018 for English-language peer-reviewed articles published through 2017 to identify articles describing CETs in GME. To be included, the CET had to target GME learners (residents/fellows), be longitudinal, have the primary aim of developing trainees into clinician-educators (CEs), and address at least one CE core competency (direct teaching, curriculum development, mentorship/advising, leadership, assessment, educational scholarship). The authors extracted and analyzed data from included articles. Results Of 1,434 articles identified, 19 were included in the review, representing 18 separate CETs. All but 2 CETs (11%) were specialty-specific. Most included a core curriculum with classroom-based sessions (18; 100%), workplace-based opportunities to practice skills (17; 94%), and a required scholarly project (16; 89%). Seventeen (94%) focused on skills related to direct teaching. Four (22%) identified mentoring/advising as a core curriculum focus. Five (28%) required project dissemination. Time spent in CETs varied widely (median: 166 hours; range: 8 hours/4-month period to 1,288 hours/2-year period). The most common reported outcomes were learner reactions (7; 39%) and career tracking (11; 61%). Conclusions This review yields a composite picture of the current state of CETs in GME. The results highlight the paucity of outcomes data and areas for potential standardization and future research.","author":[{"dropping-particle":"","family":"Friedman","given":"Karen","non-dropping-particle":"","parse-names":false,"suffix":""},{"dropping-particle":"","family":"Lester","given":"Janice","non-dropping-particle":"","parse-names":false,"suffix":""},{"dropping-particle":"","family":"Young","given":"John Q.","non-dropping-particle":"","parse-names":false,"suffix":""}],"container-title":"Academic Medicine","id":"ITEM-1","issue":"10","issued":{"date-parts":[["2019"]]},"page":"1599-1609","title":"Clinician-Educator Tracks for Trainees in Graduate Medical Education: A Scoping Review","type":"article-journal","volume":"94"},"uris":["http://www.mendeley.com/documents/?uuid=850abb13-ba38-4912-8e33-6b8d50315b6b"]}],"mendeley":{"formattedCitation":"&lt;sup&gt;14&lt;/sup&gt;","plainTextFormattedCitation":"14","previouslyFormattedCitation":"&lt;sup&gt;14&lt;/sup&gt;"},"properties":{"noteIndex":0},"schema":"https://github.com/citation-style-language/schema/raw/master/csl-citation.json"}</w:instrText>
      </w:r>
      <w:r w:rsidR="00660605">
        <w:rPr>
          <w:rFonts w:ascii="Garamond" w:hAnsi="Garamond"/>
        </w:rPr>
        <w:fldChar w:fldCharType="separate"/>
      </w:r>
      <w:r w:rsidR="00660605" w:rsidRPr="00660605">
        <w:rPr>
          <w:rFonts w:ascii="Garamond" w:hAnsi="Garamond"/>
          <w:noProof/>
          <w:vertAlign w:val="superscript"/>
        </w:rPr>
        <w:t>14</w:t>
      </w:r>
      <w:r w:rsidR="00660605">
        <w:rPr>
          <w:rFonts w:ascii="Garamond" w:hAnsi="Garamond"/>
        </w:rPr>
        <w:fldChar w:fldCharType="end"/>
      </w:r>
      <w:r w:rsidR="00842CFB">
        <w:rPr>
          <w:rFonts w:ascii="Garamond" w:hAnsi="Garamond"/>
        </w:rPr>
        <w:t xml:space="preserve">. </w:t>
      </w:r>
      <w:r w:rsidR="0035777D">
        <w:rPr>
          <w:rFonts w:ascii="Garamond" w:hAnsi="Garamond"/>
        </w:rPr>
        <w:t>Trainees</w:t>
      </w:r>
      <w:r w:rsidR="00085DEA">
        <w:rPr>
          <w:rFonts w:ascii="Garamond" w:hAnsi="Garamond"/>
        </w:rPr>
        <w:t>’ experiences of these have been reported to be very positive</w:t>
      </w:r>
      <w:r w:rsidR="00402884">
        <w:rPr>
          <w:rFonts w:ascii="Garamond" w:hAnsi="Garamond"/>
        </w:rPr>
        <w:t xml:space="preserve">.  These roles have contribute to the development of personal and professional identity as </w:t>
      </w:r>
      <w:r w:rsidR="009D1990">
        <w:rPr>
          <w:rFonts w:ascii="Garamond" w:hAnsi="Garamond"/>
        </w:rPr>
        <w:t>educationalists</w:t>
      </w:r>
      <w:r w:rsidR="00402884">
        <w:rPr>
          <w:rFonts w:ascii="Garamond" w:hAnsi="Garamond"/>
        </w:rPr>
        <w:t xml:space="preserve">, </w:t>
      </w:r>
      <w:r w:rsidR="009D1990">
        <w:rPr>
          <w:rFonts w:ascii="Garamond" w:hAnsi="Garamond"/>
        </w:rPr>
        <w:t>with transferable skills to clinical practice being noted</w:t>
      </w:r>
      <w:r w:rsidR="00344F34">
        <w:rPr>
          <w:rFonts w:ascii="Garamond" w:hAnsi="Garamond"/>
        </w:rPr>
        <w:t>.</w:t>
      </w:r>
      <w:r w:rsidR="009D1990">
        <w:rPr>
          <w:rFonts w:ascii="Garamond" w:hAnsi="Garamond"/>
        </w:rPr>
        <w:fldChar w:fldCharType="begin" w:fldLock="1"/>
      </w:r>
      <w:r w:rsidR="009D1990">
        <w:rPr>
          <w:rFonts w:ascii="Garamond" w:hAnsi="Garamond"/>
        </w:rPr>
        <w:instrText>ADDIN CSL_CITATION {"citationItems":[{"id":"ITEM-1","itemData":{"DOI":"10.1080/14739879.2020.1787230","ISSN":"1475990X","abstract":"This study explores the experience of undertaking an educational integrated training post (ITP) in general practice. There are problems with General Practice (GP) recruitment and retention in the UK and worldwide. It is thought that integrated training programmes (ITPs) within GP training may offer a new and appealing way of training, which may address this problem. Health Education England North East (HEENE) has been running educational integrated training posts for over 5 years. Integrated training schemes such as this have been rarely studied and in particular the trainees’ perspectives. In order to improve understanding of these posts and their potential for aiding GP recruitment, we undertook a qualitative study to explore trainees’ perceptions of the experience of undertaking an educational ITP. The study takes an interpretive phenomenological approach using focus groups and one-to-one interviews which were audio-recorded, transcribed and thematically analysed. Emerging themes from the data captured participants’ views of their experience of undertaking the posts, as well as the factors influencing their decisions to undertake the posts. The overarching theme found centred on identity formation. The study draws upon social learning theories to help understand and explain the themes identified and the influence on the individuals. For the interested stakeholder, this provides an insight into the individuals’ experience and highlights important areas that could be targeted and utilised in the development of future general practice training models.","author":[{"dropping-particle":"","family":"Cope","given":"Sarah","non-dropping-particle":"","parse-names":false,"suffix":""},{"dropping-particle":"","family":"Alberti","given":"Hugh","non-dropping-particle":"","parse-names":false,"suffix":""}],"container-title":"Education for Primary Care","id":"ITEM-1","issue":"00","issued":{"date-parts":[["2020"]]},"page":"1-8","publisher":"Taylor &amp; Francis","title":"Exploring educational integrated training posts in general practice: a phenomenological study of trainees’ perspectives","type":"article-journal","volume":"00"},"uris":["http://www.mendeley.com/documents/?uuid=5f63bfb8-854a-4a83-bb1d-be5e59fc169a"]}],"mendeley":{"formattedCitation":"&lt;sup&gt;15&lt;/sup&gt;","plainTextFormattedCitation":"15"},"properties":{"noteIndex":0},"schema":"https://github.com/citation-style-language/schema/raw/master/csl-citation.json"}</w:instrText>
      </w:r>
      <w:r w:rsidR="009D1990">
        <w:rPr>
          <w:rFonts w:ascii="Garamond" w:hAnsi="Garamond"/>
        </w:rPr>
        <w:fldChar w:fldCharType="separate"/>
      </w:r>
      <w:r w:rsidR="009D1990" w:rsidRPr="009D1990">
        <w:rPr>
          <w:rFonts w:ascii="Garamond" w:hAnsi="Garamond"/>
          <w:noProof/>
          <w:vertAlign w:val="superscript"/>
        </w:rPr>
        <w:t>15</w:t>
      </w:r>
      <w:r w:rsidR="009D1990">
        <w:rPr>
          <w:rFonts w:ascii="Garamond" w:hAnsi="Garamond"/>
        </w:rPr>
        <w:fldChar w:fldCharType="end"/>
      </w:r>
      <w:r w:rsidR="00344F34">
        <w:rPr>
          <w:rFonts w:ascii="Garamond" w:hAnsi="Garamond"/>
        </w:rPr>
        <w:t xml:space="preserve"> Increasing numbers of higher training programmes are facilitating transference of competencies, both clinical and educational, developed during fellow roles, offering promising flexibility.</w:t>
      </w:r>
    </w:p>
    <w:p w14:paraId="56F0F1B4" w14:textId="47DD76E4" w:rsidR="00C960BB" w:rsidRPr="00866FF9" w:rsidRDefault="001A288E" w:rsidP="00866FF9">
      <w:pPr>
        <w:spacing w:after="120" w:line="480" w:lineRule="auto"/>
        <w:rPr>
          <w:rFonts w:ascii="Garamond" w:hAnsi="Garamond"/>
        </w:rPr>
      </w:pPr>
      <w:r>
        <w:rPr>
          <w:rFonts w:ascii="Garamond" w:hAnsi="Garamond"/>
        </w:rPr>
        <w:lastRenderedPageBreak/>
        <w:t xml:space="preserve">Most recently </w:t>
      </w:r>
      <w:r w:rsidR="007012EF" w:rsidRPr="00866FF9">
        <w:rPr>
          <w:rFonts w:ascii="Garamond" w:hAnsi="Garamond"/>
        </w:rPr>
        <w:t xml:space="preserve">the </w:t>
      </w:r>
      <w:r w:rsidR="00A75444" w:rsidRPr="00866FF9">
        <w:rPr>
          <w:rFonts w:ascii="Garamond" w:hAnsi="Garamond"/>
        </w:rPr>
        <w:t xml:space="preserve"> Royal College of Physicians</w:t>
      </w:r>
      <w:r w:rsidR="007012EF" w:rsidRPr="00866FF9">
        <w:rPr>
          <w:rFonts w:ascii="Garamond" w:hAnsi="Garamond"/>
        </w:rPr>
        <w:t>’</w:t>
      </w:r>
      <w:r w:rsidR="00A75444" w:rsidRPr="00866FF9">
        <w:rPr>
          <w:rFonts w:ascii="Garamond" w:hAnsi="Garamond"/>
        </w:rPr>
        <w:t xml:space="preserve"> </w:t>
      </w:r>
      <w:r>
        <w:rPr>
          <w:rFonts w:ascii="Garamond" w:hAnsi="Garamond"/>
        </w:rPr>
        <w:t xml:space="preserve">have </w:t>
      </w:r>
      <w:r w:rsidR="00A75444" w:rsidRPr="00866FF9">
        <w:rPr>
          <w:rFonts w:ascii="Garamond" w:hAnsi="Garamond"/>
        </w:rPr>
        <w:t>pilot</w:t>
      </w:r>
      <w:r>
        <w:rPr>
          <w:rFonts w:ascii="Garamond" w:hAnsi="Garamond"/>
        </w:rPr>
        <w:t>ed</w:t>
      </w:r>
      <w:r w:rsidR="00A75444" w:rsidRPr="00866FF9">
        <w:rPr>
          <w:rFonts w:ascii="Garamond" w:hAnsi="Garamond"/>
        </w:rPr>
        <w:t xml:space="preserve"> Flexible Portfolio Training, which does include both medical education and research, </w:t>
      </w:r>
      <w:r>
        <w:rPr>
          <w:rFonts w:ascii="Garamond" w:hAnsi="Garamond"/>
        </w:rPr>
        <w:t>and</w:t>
      </w:r>
      <w:r w:rsidRPr="00866FF9">
        <w:rPr>
          <w:rFonts w:ascii="Garamond" w:hAnsi="Garamond"/>
        </w:rPr>
        <w:t xml:space="preserve"> </w:t>
      </w:r>
      <w:r w:rsidR="003D0D75">
        <w:rPr>
          <w:rFonts w:ascii="Garamond" w:hAnsi="Garamond"/>
        </w:rPr>
        <w:t>demonstrates</w:t>
      </w:r>
      <w:r w:rsidR="003D0D75" w:rsidRPr="00866FF9">
        <w:rPr>
          <w:rFonts w:ascii="Garamond" w:hAnsi="Garamond"/>
        </w:rPr>
        <w:t xml:space="preserve"> </w:t>
      </w:r>
      <w:r w:rsidR="00A75444" w:rsidRPr="00866FF9">
        <w:rPr>
          <w:rFonts w:ascii="Garamond" w:hAnsi="Garamond"/>
        </w:rPr>
        <w:t>a</w:t>
      </w:r>
      <w:r w:rsidR="003D0D75">
        <w:rPr>
          <w:rFonts w:ascii="Garamond" w:hAnsi="Garamond"/>
        </w:rPr>
        <w:t>nother</w:t>
      </w:r>
      <w:r w:rsidR="00A75444" w:rsidRPr="00866FF9">
        <w:rPr>
          <w:rFonts w:ascii="Garamond" w:hAnsi="Garamond"/>
        </w:rPr>
        <w:t xml:space="preserve"> promising innovation </w:t>
      </w:r>
      <w:r w:rsidR="00A75444" w:rsidRPr="00866FF9">
        <w:rPr>
          <w:rFonts w:ascii="Garamond" w:hAnsi="Garamond"/>
        </w:rPr>
        <w:fldChar w:fldCharType="begin" w:fldLock="1"/>
      </w:r>
      <w:r w:rsidR="009D1990">
        <w:rPr>
          <w:rFonts w:ascii="Garamond" w:hAnsi="Garamond"/>
        </w:rPr>
        <w:instrText>ADDIN CSL_CITATION {"citationItems":[{"id":"ITEM-1","itemData":{"author":[{"dropping-particle":"","family":"Health Education England","given":"","non-dropping-particle":"","parse-names":false,"suffix":""}],"id":"ITEM-1","issued":{"date-parts":[["2019"]]},"title":"Flexible portfolio training","type":"webpage"},"uris":["http://www.mendeley.com/documents/?uuid=da9c1203-3f7e-45a2-9bd0-1bb95d5b3bd9","http://www.mendeley.com/documents/?uuid=8630a38b-c9c6-4a94-a176-ce386e5ba611"]},{"id":"ITEM-2","itemData":{"DOI":"10.1136/bmj.l424","ISSN":"0959-8138","author":[{"dropping-particle":"","family":"Rimmer","given":"Abi","non-dropping-particle":"","parse-names":false,"suffix":""}],"container-title":"BMJ","id":"ITEM-2","issued":{"date-parts":[["2019"]]},"publisher":"BMJ Publishing Group Ltd","title":"A new outlook for medical registrar training","type":"article-journal","volume":"364"},"uris":["http://www.mendeley.com/documents/?uuid=aae0a8ef-232d-43f4-9ac6-682853143261","http://www.mendeley.com/documents/?uuid=2561fdcd-5223-4167-8ad4-2d4609ed1d7f"]}],"mendeley":{"formattedCitation":"&lt;sup&gt;16,17&lt;/sup&gt;","plainTextFormattedCitation":"16,17","previouslyFormattedCitation":"&lt;sup&gt;15,16&lt;/sup&gt;"},"properties":{"noteIndex":0},"schema":"https://github.com/citation-style-language/schema/raw/master/csl-citation.json"}</w:instrText>
      </w:r>
      <w:r w:rsidR="00A75444" w:rsidRPr="00866FF9">
        <w:rPr>
          <w:rFonts w:ascii="Garamond" w:hAnsi="Garamond"/>
        </w:rPr>
        <w:fldChar w:fldCharType="separate"/>
      </w:r>
      <w:r w:rsidR="009D1990" w:rsidRPr="009D1990">
        <w:rPr>
          <w:rFonts w:ascii="Garamond" w:hAnsi="Garamond"/>
          <w:noProof/>
          <w:vertAlign w:val="superscript"/>
        </w:rPr>
        <w:t>16,17</w:t>
      </w:r>
      <w:r w:rsidR="00A75444" w:rsidRPr="00866FF9">
        <w:rPr>
          <w:rFonts w:ascii="Garamond" w:hAnsi="Garamond"/>
        </w:rPr>
        <w:fldChar w:fldCharType="end"/>
      </w:r>
    </w:p>
    <w:p w14:paraId="31B1BC3C" w14:textId="6590F22C" w:rsidR="00AB3842" w:rsidRPr="00866FF9" w:rsidRDefault="006D4ADE" w:rsidP="00866FF9">
      <w:pPr>
        <w:spacing w:after="120" w:line="480" w:lineRule="auto"/>
        <w:rPr>
          <w:rFonts w:ascii="Garamond" w:hAnsi="Garamond"/>
        </w:rPr>
      </w:pPr>
      <w:r w:rsidRPr="00866FF9">
        <w:rPr>
          <w:rFonts w:ascii="Garamond" w:hAnsi="Garamond"/>
        </w:rPr>
        <w:t xml:space="preserve">We know that fewer than half of foundation doctors apply for training jobs straight from the foundation programme </w:t>
      </w:r>
      <w:r w:rsidRPr="00866FF9">
        <w:rPr>
          <w:rFonts w:ascii="Garamond" w:hAnsi="Garamond"/>
        </w:rPr>
        <w:fldChar w:fldCharType="begin" w:fldLock="1"/>
      </w:r>
      <w:r w:rsidR="009D1990">
        <w:rPr>
          <w:rFonts w:ascii="Garamond" w:hAnsi="Garamond"/>
        </w:rPr>
        <w:instrText>ADDIN CSL_CITATION {"citationItems":[{"id":"ITEM-1","itemData":{"DOI":"10.1136/bmjopen-2019-032021","ISSN":"20446055","abstract":"Introduction Knowledge about the career decisions of doctors in relation to specialty (residency) training is essential in terms of UK workforce planning. However, little is known about which doctors elect to progress directly from Foundation Year 2 (F2) into core/specialty/general practice training and those who instead opt for an alternative next career step. Objective To identify if there were any individual differences between these two groups of doctors. Design This was a longitudinal, cohort study of 'home' students who graduated from UK medical schools between 2010 and 2015 and completed the Foundation Programme (FP) between 2012 and 2017. We used the UK Medical Education Database (UKMED) to access linked data from different sources, including medical school performance, specialty training applications and career preferences. Multivariable regression analyses were used to predict the odds of taking time out of training based on various sociodemographic factors. Results 18 380/38 905 (47.2%) of F2 doctors applied for, and accepted, a training post offer immediately after completing F2. The most common pattern for doctors taking time out of the training pathway after FP was to have a 1-year (7155: 38.8%) or a 2-year break (2605: 14.0%) from training. The odds of not proceeding directly into core or specialty training were higher for those who were male, white, entered medical school as (high) school leavers and whose parents were educated to degree level. Doctors from areas of low participation in higher education were significantly (0.001) more likely to proceed directly into core or specialty training. Conclusion The results show that UK doctors from higher socioeconomic groups are less likely to choose to progress directly from the FP into specialty training. The data suggest that widening access and encouraging more socioeconomic diversity in our medical students may be helpful in terms of attracting F2s into core/specialty training posts.","author":[{"dropping-particle":"","family":"Cleland","given":"Jennifer","non-dropping-particle":"","parse-names":false,"suffix":""},{"dropping-particle":"","family":"Prescott","given":"Gordon","non-dropping-particle":"","parse-names":false,"suffix":""},{"dropping-particle":"","family":"Walker","given":"Kim","non-dropping-particle":"","parse-names":false,"suffix":""},{"dropping-particle":"","family":"Johnston","given":"Peter","non-dropping-particle":"","parse-names":false,"suffix":""},{"dropping-particle":"","family":"Kumwenda","given":"Ben","non-dropping-particle":"","parse-names":false,"suffix":""}],"container-title":"BMJ Open","id":"ITEM-1","issue":"11","issued":{"date-parts":[["2019"]]},"page":"1-12","title":"Are there differences between those doctors who apply for a training post in Foundation Year 2 and those who take time out of the training pathway? A UK multicohort study","type":"article-journal","volume":"9"},"uris":["http://www.mendeley.com/documents/?uuid=fed53286-6ed7-40b7-9455-0f682dbc405d"]}],"mendeley":{"formattedCitation":"&lt;sup&gt;18&lt;/sup&gt;","plainTextFormattedCitation":"18","previouslyFormattedCitation":"&lt;sup&gt;17&lt;/sup&gt;"},"properties":{"noteIndex":0},"schema":"https://github.com/citation-style-language/schema/raw/master/csl-citation.json"}</w:instrText>
      </w:r>
      <w:r w:rsidRPr="00866FF9">
        <w:rPr>
          <w:rFonts w:ascii="Garamond" w:hAnsi="Garamond"/>
        </w:rPr>
        <w:fldChar w:fldCharType="separate"/>
      </w:r>
      <w:r w:rsidR="009D1990" w:rsidRPr="009D1990">
        <w:rPr>
          <w:rFonts w:ascii="Garamond" w:hAnsi="Garamond"/>
          <w:noProof/>
          <w:vertAlign w:val="superscript"/>
        </w:rPr>
        <w:t>18</w:t>
      </w:r>
      <w:r w:rsidRPr="00866FF9">
        <w:rPr>
          <w:rFonts w:ascii="Garamond" w:hAnsi="Garamond"/>
        </w:rPr>
        <w:fldChar w:fldCharType="end"/>
      </w:r>
      <w:r w:rsidRPr="00866FF9">
        <w:rPr>
          <w:rFonts w:ascii="Garamond" w:hAnsi="Garamond"/>
        </w:rPr>
        <w:t xml:space="preserve">.  </w:t>
      </w:r>
      <w:r w:rsidR="00CC2350" w:rsidRPr="00866FF9">
        <w:rPr>
          <w:rFonts w:ascii="Garamond" w:hAnsi="Garamond"/>
        </w:rPr>
        <w:t xml:space="preserve">Reasons for this </w:t>
      </w:r>
      <w:r w:rsidR="007F0113" w:rsidRPr="00866FF9">
        <w:rPr>
          <w:rFonts w:ascii="Garamond" w:hAnsi="Garamond"/>
        </w:rPr>
        <w:t>include</w:t>
      </w:r>
      <w:r w:rsidR="00CC2350" w:rsidRPr="00866FF9">
        <w:rPr>
          <w:rFonts w:ascii="Garamond" w:hAnsi="Garamond"/>
        </w:rPr>
        <w:t xml:space="preserve"> that trainees perceive full time </w:t>
      </w:r>
      <w:r w:rsidR="007F0113" w:rsidRPr="00866FF9">
        <w:rPr>
          <w:rFonts w:ascii="Garamond" w:hAnsi="Garamond"/>
        </w:rPr>
        <w:t>clinical</w:t>
      </w:r>
      <w:r w:rsidR="00CC2350" w:rsidRPr="00866FF9">
        <w:rPr>
          <w:rFonts w:ascii="Garamond" w:hAnsi="Garamond"/>
        </w:rPr>
        <w:t xml:space="preserve"> training to be too rigid and </w:t>
      </w:r>
      <w:r w:rsidR="007F0113" w:rsidRPr="00866FF9">
        <w:rPr>
          <w:rFonts w:ascii="Garamond" w:hAnsi="Garamond"/>
        </w:rPr>
        <w:t>can feel like being on a conveyor belt.</w:t>
      </w:r>
      <w:r w:rsidRPr="00866FF9">
        <w:rPr>
          <w:rFonts w:ascii="Garamond" w:hAnsi="Garamond"/>
        </w:rPr>
        <w:fldChar w:fldCharType="begin" w:fldLock="1"/>
      </w:r>
      <w:r w:rsidR="009D1990">
        <w:rPr>
          <w:rFonts w:ascii="Garamond" w:hAnsi="Garamond"/>
        </w:rPr>
        <w:instrText>ADDIN CSL_CITATION {"citationItems":[{"id":"ITEM-1","itemData":{"DOI":"10.1136/bmjopen-2017-019456","ISSN":"20446055","abstract":"Objectives To explore the reasons that doctors choose to leave UK medicine after their foundation year two posts. Setting All four regions of Scotland. Participants Foundation year two doctors (F2s) working throughout Scotland who were considering leaving UK medicine after foundation training were recruited on a volunteer basis. Maximum variation between participants was sought. Primary and secondary outcome measures Semistructured interviews were coded using template analysis. Six perspectives, described by Feldman and Ng, were used as the initial coding template. The codes were then configured to form a framework that explores the interplay of factors influencing Foundation Year 2 (F2) doctors' decisions to leave UK medicine. Results Seventeen participants were interviewed. Six perspectives were explored. Structural influences (countrywide and worldwide issues) included visas, economic and political considerations, structure of healthcare systems and availability of junior doctor jobs worldwide. Organisational influences (the National Health Service (NHS) and other healthcare providers) included staffing and compensation policies, the working environment and the learning environment. Occupational influences (specific to being a junior doctor) comprised the junior doctor contract, role and workload, pursuit of career interests and the structure of training. Work group influences (relationships with colleagues) included support at work, task interdependence and use of locums. Personal life influences consisted of work-life balance, and support in resolving work-life conflict. The underlying theme of € taking a break' recurred through multiple narratives. Conclusions F2s give reasons similar to those given by any professional considering a change in their job. However, working within the NHS as an F2 doctor brought specific challenges, such as a need to make a choice of specialty within the F2 year, exposure to workplace bullying and difficulties in raising concerns. Despite these challenges, most F2s did not view their decision to leave as a permanent job change, but as a temporary break from their current working lives.","author":[{"dropping-particle":"","family":"Smith","given":"Samantha E.","non-dropping-particle":"","parse-names":false,"suffix":""},{"dropping-particle":"","family":"Tallentire","given":"Victoria R.","non-dropping-particle":"","parse-names":false,"suffix":""},{"dropping-particle":"","family":"Pope","given":"Lindsey M.","non-dropping-particle":"","parse-names":false,"suffix":""},{"dropping-particle":"","family":"Laidlaw","given":"Anita H.","non-dropping-particle":"","parse-names":false,"suffix":""},{"dropping-particle":"","family":"Morrison","given":"Jill","non-dropping-particle":"","parse-names":false,"suffix":""}],"container-title":"BMJ Open","id":"ITEM-1","issue":"3","issued":{"date-parts":[["2018"]]},"page":"1-17","title":"Foundation Year 2 doctors' reasons for leaving UK medicine: An in-depth analysis of decision-making using semistructured interviews","type":"article-journal","volume":"8"},"uris":["http://www.mendeley.com/documents/?uuid=b53a6fe9-1715-47f0-8824-59b44b525479","http://www.mendeley.com/documents/?uuid=a934d0ce-747d-4410-86fe-454ac2a1347a"]}],"mendeley":{"formattedCitation":"&lt;sup&gt;19&lt;/sup&gt;","plainTextFormattedCitation":"19","previouslyFormattedCitation":"&lt;sup&gt;18&lt;/sup&gt;"},"properties":{"noteIndex":0},"schema":"https://github.com/citation-style-language/schema/raw/master/csl-citation.json"}</w:instrText>
      </w:r>
      <w:r w:rsidRPr="00866FF9">
        <w:rPr>
          <w:rFonts w:ascii="Garamond" w:hAnsi="Garamond"/>
        </w:rPr>
        <w:fldChar w:fldCharType="separate"/>
      </w:r>
      <w:r w:rsidR="009D1990" w:rsidRPr="009D1990">
        <w:rPr>
          <w:rFonts w:ascii="Garamond" w:hAnsi="Garamond"/>
          <w:noProof/>
          <w:vertAlign w:val="superscript"/>
        </w:rPr>
        <w:t>19</w:t>
      </w:r>
      <w:r w:rsidRPr="00866FF9">
        <w:rPr>
          <w:rFonts w:ascii="Garamond" w:hAnsi="Garamond"/>
        </w:rPr>
        <w:fldChar w:fldCharType="end"/>
      </w:r>
      <w:r w:rsidRPr="00866FF9">
        <w:rPr>
          <w:rFonts w:ascii="Garamond" w:hAnsi="Garamond"/>
        </w:rPr>
        <w:t xml:space="preserve">.  </w:t>
      </w:r>
      <w:r w:rsidR="00C960BB" w:rsidRPr="00866FF9">
        <w:rPr>
          <w:rFonts w:ascii="Garamond" w:hAnsi="Garamond"/>
        </w:rPr>
        <w:t>One option</w:t>
      </w:r>
      <w:r w:rsidR="007F0113" w:rsidRPr="00866FF9">
        <w:rPr>
          <w:rFonts w:ascii="Garamond" w:hAnsi="Garamond"/>
        </w:rPr>
        <w:t xml:space="preserve"> for those interested in developing education careers</w:t>
      </w:r>
      <w:r w:rsidR="00C960BB" w:rsidRPr="00866FF9">
        <w:rPr>
          <w:rFonts w:ascii="Garamond" w:hAnsi="Garamond"/>
        </w:rPr>
        <w:t xml:space="preserve"> would be to undertake less than full time training and simultaneously hold a part time teaching position.  </w:t>
      </w:r>
      <w:r w:rsidR="0093247F" w:rsidRPr="00866FF9">
        <w:rPr>
          <w:rFonts w:ascii="Garamond" w:hAnsi="Garamond"/>
        </w:rPr>
        <w:t>There are, however, strict e</w:t>
      </w:r>
      <w:r w:rsidR="00C960BB" w:rsidRPr="00866FF9">
        <w:rPr>
          <w:rFonts w:ascii="Garamond" w:hAnsi="Garamond"/>
        </w:rPr>
        <w:t xml:space="preserve">ligibility criteria for less than full time clinical </w:t>
      </w:r>
      <w:r w:rsidR="0093247F" w:rsidRPr="00866FF9">
        <w:rPr>
          <w:rFonts w:ascii="Garamond" w:hAnsi="Garamond"/>
        </w:rPr>
        <w:t xml:space="preserve">training </w:t>
      </w:r>
      <w:r w:rsidR="00AB3842" w:rsidRPr="00866FF9">
        <w:rPr>
          <w:rFonts w:ascii="Garamond" w:hAnsi="Garamond"/>
        </w:rPr>
        <w:fldChar w:fldCharType="begin" w:fldLock="1"/>
      </w:r>
      <w:r w:rsidR="009D1990">
        <w:rPr>
          <w:rFonts w:ascii="Garamond" w:hAnsi="Garamond"/>
        </w:rPr>
        <w:instrText>ADDIN CSL_CITATION {"citationItems":[{"id":"ITEM-1","itemData":{"DOI":"10.1136/bmj.a757","ISSN":"0959-8138","abstract":"Applicable to all trainees taking up appointments in specialty training which commenced on or after 1 August 2007.","author":[{"dropping-particle":"","family":"Conference of Postgraduate Medical Deans","given":"","non-dropping-particle":"","parse-names":false,"suffix":""}],"id":"ITEM-1","issue":"November","issued":{"date-parts":[["2017"]]},"title":"The Gold Guide - 7th Edition","type":"report"},"uris":["http://www.mendeley.com/documents/?uuid=5cee635a-8a7b-405d-bf6c-797637e2edd1"]}],"mendeley":{"formattedCitation":"&lt;sup&gt;20&lt;/sup&gt;","plainTextFormattedCitation":"20","previouslyFormattedCitation":"&lt;sup&gt;19&lt;/sup&gt;"},"properties":{"noteIndex":0},"schema":"https://github.com/citation-style-language/schema/raw/master/csl-citation.json"}</w:instrText>
      </w:r>
      <w:r w:rsidR="00AB3842" w:rsidRPr="00866FF9">
        <w:rPr>
          <w:rFonts w:ascii="Garamond" w:hAnsi="Garamond"/>
        </w:rPr>
        <w:fldChar w:fldCharType="separate"/>
      </w:r>
      <w:r w:rsidR="009D1990" w:rsidRPr="009D1990">
        <w:rPr>
          <w:rFonts w:ascii="Garamond" w:hAnsi="Garamond"/>
          <w:noProof/>
          <w:vertAlign w:val="superscript"/>
        </w:rPr>
        <w:t>20</w:t>
      </w:r>
      <w:r w:rsidR="00AB3842" w:rsidRPr="00866FF9">
        <w:rPr>
          <w:rFonts w:ascii="Garamond" w:hAnsi="Garamond"/>
        </w:rPr>
        <w:fldChar w:fldCharType="end"/>
      </w:r>
      <w:r w:rsidR="0093247F" w:rsidRPr="00866FF9">
        <w:rPr>
          <w:rFonts w:ascii="Garamond" w:hAnsi="Garamond"/>
        </w:rPr>
        <w:t xml:space="preserve">.  </w:t>
      </w:r>
      <w:r w:rsidR="00AB3842" w:rsidRPr="00866FF9">
        <w:rPr>
          <w:rFonts w:ascii="Garamond" w:hAnsi="Garamond"/>
        </w:rPr>
        <w:t xml:space="preserve">Category two </w:t>
      </w:r>
      <w:r w:rsidR="0093247F" w:rsidRPr="00866FF9">
        <w:rPr>
          <w:rFonts w:ascii="Garamond" w:hAnsi="Garamond"/>
        </w:rPr>
        <w:t xml:space="preserve">criteria </w:t>
      </w:r>
      <w:r w:rsidR="00AB3842" w:rsidRPr="00866FF9">
        <w:rPr>
          <w:rFonts w:ascii="Garamond" w:hAnsi="Garamond"/>
        </w:rPr>
        <w:t xml:space="preserve">(lower priority) </w:t>
      </w:r>
      <w:r w:rsidR="0093247F" w:rsidRPr="00866FF9">
        <w:rPr>
          <w:rFonts w:ascii="Garamond" w:hAnsi="Garamond"/>
        </w:rPr>
        <w:t>include ‘unique opportunities’</w:t>
      </w:r>
      <w:r w:rsidR="00AB3842" w:rsidRPr="00866FF9">
        <w:rPr>
          <w:rFonts w:ascii="Garamond" w:hAnsi="Garamond"/>
        </w:rPr>
        <w:t>, but whether teaching fellowships are considered unique opportunities is subject to local interpretation.  If approved for category two criteria, less than full time training would usually be for a fixed term period.</w:t>
      </w:r>
    </w:p>
    <w:p w14:paraId="5F923320" w14:textId="0ADA3E4B" w:rsidR="00F46F5D" w:rsidRPr="00866FF9" w:rsidRDefault="00AB3842" w:rsidP="00866FF9">
      <w:pPr>
        <w:spacing w:after="120" w:line="480" w:lineRule="auto"/>
        <w:rPr>
          <w:rFonts w:ascii="Garamond" w:hAnsi="Garamond"/>
          <w:i/>
          <w:iCs/>
        </w:rPr>
      </w:pPr>
      <w:r w:rsidRPr="00866FF9">
        <w:rPr>
          <w:rFonts w:ascii="Garamond" w:hAnsi="Garamond"/>
        </w:rPr>
        <w:t xml:space="preserve">We argue that the development of trainees as educators should be valued, and that integrated posts </w:t>
      </w:r>
      <w:r w:rsidR="00C8647B">
        <w:rPr>
          <w:rFonts w:ascii="Garamond" w:hAnsi="Garamond"/>
        </w:rPr>
        <w:t>(like those describe</w:t>
      </w:r>
      <w:r w:rsidR="00636985">
        <w:rPr>
          <w:rFonts w:ascii="Garamond" w:hAnsi="Garamond"/>
        </w:rPr>
        <w:t xml:space="preserve">d by Cope &amp; Alberti </w:t>
      </w:r>
      <w:r w:rsidR="00636985">
        <w:rPr>
          <w:rFonts w:ascii="Garamond" w:hAnsi="Garamond"/>
        </w:rPr>
        <w:fldChar w:fldCharType="begin" w:fldLock="1"/>
      </w:r>
      <w:r w:rsidR="009D1990">
        <w:rPr>
          <w:rFonts w:ascii="Garamond" w:hAnsi="Garamond"/>
        </w:rPr>
        <w:instrText>ADDIN CSL_CITATION {"citationItems":[{"id":"ITEM-1","itemData":{"DOI":"10.1080/14739879.2020.1787230","ISSN":"1475990X","abstract":"This study explores the experience of undertaking an educational integrated training post (ITP) in general practice. There are problems with General Practice (GP) recruitment and retention in the UK and worldwide. It is thought that integrated training programmes (ITPs) within GP training may offer a new and appealing way of training, which may address this problem. Health Education England North East (HEENE) has been running educational integrated training posts for over 5 years. Integrated training schemes such as this have been rarely studied and in particular the trainees’ perspectives. In order to improve understanding of these posts and their potential for aiding GP recruitment, we undertook a qualitative study to explore trainees’ perceptions of the experience of undertaking an educational ITP. The study takes an interpretive phenomenological approach using focus groups and one-to-one interviews which were audio-recorded, transcribed and thematically analysed. Emerging themes from the data captured participants’ views of their experience of undertaking the posts, as well as the factors influencing their decisions to undertake the posts. The overarching theme found centred on identity formation. The study draws upon social learning theories to help understand and explain the themes identified and the influence on the individuals. For the interested stakeholder, this provides an insight into the individuals’ experience and highlights important areas that could be targeted and utilised in the development of future general practice training models.","author":[{"dropping-particle":"","family":"Cope","given":"Sarah","non-dropping-particle":"","parse-names":false,"suffix":""},{"dropping-particle":"","family":"Alberti","given":"Hugh","non-dropping-particle":"","parse-names":false,"suffix":""}],"container-title":"Education for Primary Care","id":"ITEM-1","issue":"00","issued":{"date-parts":[["2020"]]},"page":"1-8","publisher":"Taylor &amp; Francis","title":"Exploring educational integrated training posts in general practice: a phenomenological study of trainees’ perspectives","type":"article-journal","volume":"00"},"uris":["http://www.mendeley.com/documents/?uuid=5f63bfb8-854a-4a83-bb1d-be5e59fc169a"]}],"mendeley":{"formattedCitation":"&lt;sup&gt;15&lt;/sup&gt;","plainTextFormattedCitation":"15","previouslyFormattedCitation":"&lt;sup&gt;20&lt;/sup&gt;"},"properties":{"noteIndex":0},"schema":"https://github.com/citation-style-language/schema/raw/master/csl-citation.json"}</w:instrText>
      </w:r>
      <w:r w:rsidR="00636985">
        <w:rPr>
          <w:rFonts w:ascii="Garamond" w:hAnsi="Garamond"/>
        </w:rPr>
        <w:fldChar w:fldCharType="separate"/>
      </w:r>
      <w:r w:rsidR="009D1990" w:rsidRPr="009D1990">
        <w:rPr>
          <w:rFonts w:ascii="Garamond" w:hAnsi="Garamond"/>
          <w:noProof/>
          <w:vertAlign w:val="superscript"/>
        </w:rPr>
        <w:t>15</w:t>
      </w:r>
      <w:r w:rsidR="00636985">
        <w:rPr>
          <w:rFonts w:ascii="Garamond" w:hAnsi="Garamond"/>
        </w:rPr>
        <w:fldChar w:fldCharType="end"/>
      </w:r>
      <w:r w:rsidR="00636985">
        <w:rPr>
          <w:rFonts w:ascii="Garamond" w:hAnsi="Garamond"/>
        </w:rPr>
        <w:t xml:space="preserve">) </w:t>
      </w:r>
      <w:r w:rsidRPr="00866FF9">
        <w:rPr>
          <w:rFonts w:ascii="Garamond" w:hAnsi="Garamond"/>
        </w:rPr>
        <w:t xml:space="preserve">should be developed on a national scale </w:t>
      </w:r>
      <w:r w:rsidR="00682AEC" w:rsidRPr="00866FF9">
        <w:rPr>
          <w:rFonts w:ascii="Garamond" w:hAnsi="Garamond"/>
        </w:rPr>
        <w:t xml:space="preserve">and </w:t>
      </w:r>
      <w:r w:rsidR="00AB00DE">
        <w:rPr>
          <w:rFonts w:ascii="Garamond" w:hAnsi="Garamond"/>
        </w:rPr>
        <w:t xml:space="preserve">available </w:t>
      </w:r>
      <w:r w:rsidR="00682AEC" w:rsidRPr="00866FF9">
        <w:rPr>
          <w:rFonts w:ascii="Garamond" w:hAnsi="Garamond"/>
        </w:rPr>
        <w:t xml:space="preserve">to all specialities </w:t>
      </w:r>
      <w:r w:rsidRPr="00866FF9">
        <w:rPr>
          <w:rFonts w:ascii="Garamond" w:hAnsi="Garamond"/>
        </w:rPr>
        <w:t xml:space="preserve">to offer combined clinical training and educator development.  </w:t>
      </w:r>
      <w:r w:rsidR="00C33A13" w:rsidRPr="00866FF9">
        <w:rPr>
          <w:rFonts w:ascii="Garamond" w:hAnsi="Garamond"/>
        </w:rPr>
        <w:t xml:space="preserve">We anticipate these </w:t>
      </w:r>
      <w:r w:rsidRPr="00866FF9">
        <w:rPr>
          <w:rFonts w:ascii="Garamond" w:hAnsi="Garamond"/>
        </w:rPr>
        <w:t xml:space="preserve">posts would be attractive to junior </w:t>
      </w:r>
      <w:r w:rsidR="00ED4D05" w:rsidRPr="00866FF9">
        <w:rPr>
          <w:rFonts w:ascii="Garamond" w:hAnsi="Garamond"/>
        </w:rPr>
        <w:t>doctors and</w:t>
      </w:r>
      <w:r w:rsidRPr="00866FF9">
        <w:rPr>
          <w:rFonts w:ascii="Garamond" w:hAnsi="Garamond"/>
        </w:rPr>
        <w:t xml:space="preserve"> would improve retention and workforce development. </w:t>
      </w:r>
    </w:p>
    <w:p w14:paraId="7D24E2DC" w14:textId="512F6559" w:rsidR="007A65BF" w:rsidRPr="00866FF9" w:rsidRDefault="00307DE6" w:rsidP="00866FF9">
      <w:pPr>
        <w:spacing w:after="120" w:line="480" w:lineRule="auto"/>
        <w:rPr>
          <w:rFonts w:ascii="Garamond" w:hAnsi="Garamond"/>
          <w:b/>
          <w:bCs/>
        </w:rPr>
      </w:pPr>
      <w:r w:rsidRPr="00866FF9">
        <w:rPr>
          <w:rFonts w:ascii="Garamond" w:hAnsi="Garamond"/>
          <w:b/>
          <w:bCs/>
        </w:rPr>
        <w:t>Role modelling</w:t>
      </w:r>
    </w:p>
    <w:p w14:paraId="224FE55F" w14:textId="04A0CB9F" w:rsidR="00307DE6" w:rsidRPr="006454FF" w:rsidRDefault="00352AC8" w:rsidP="006454FF">
      <w:pPr>
        <w:pStyle w:val="Quote"/>
        <w:spacing w:line="480" w:lineRule="auto"/>
        <w:jc w:val="left"/>
        <w:rPr>
          <w:rFonts w:ascii="Garamond" w:hAnsi="Garamond"/>
          <w:i w:val="0"/>
          <w:iCs w:val="0"/>
        </w:rPr>
      </w:pPr>
      <w:r w:rsidRPr="00866FF9">
        <w:rPr>
          <w:rFonts w:ascii="Garamond" w:hAnsi="Garamond"/>
          <w:i w:val="0"/>
          <w:iCs w:val="0"/>
        </w:rPr>
        <w:t xml:space="preserve">When I was at medical school, my peers used to say to me: ‘What, you want to do dermatology? Don’t you want to become a proper doctor?’ Years later, preparing for an interview, I explained my love for medical education. “But now you’re going to become a proper dermatologist, aren’t you?” they asked. Career stigma exists across all specialties: this I was used to. But their next question threw me. “You want to do both dermatology and medical education? How are you going to do that? </w:t>
      </w:r>
      <w:r w:rsidRPr="00866FF9">
        <w:rPr>
          <w:rFonts w:ascii="Garamond" w:hAnsi="Garamond"/>
        </w:rPr>
        <w:t>Who</w:t>
      </w:r>
      <w:r w:rsidRPr="00866FF9">
        <w:rPr>
          <w:rFonts w:ascii="Garamond" w:hAnsi="Garamond"/>
          <w:i w:val="0"/>
          <w:iCs w:val="0"/>
        </w:rPr>
        <w:t xml:space="preserve"> even does that?”</w:t>
      </w:r>
      <w:r w:rsidR="003E7265" w:rsidRPr="00866FF9">
        <w:rPr>
          <w:rFonts w:ascii="Garamond" w:hAnsi="Garamond"/>
          <w:i w:val="0"/>
          <w:iCs w:val="0"/>
        </w:rPr>
        <w:t xml:space="preserve">  </w:t>
      </w:r>
      <w:r w:rsidRPr="00866FF9">
        <w:rPr>
          <w:rFonts w:ascii="Garamond" w:hAnsi="Garamond"/>
          <w:i w:val="0"/>
          <w:iCs w:val="0"/>
        </w:rPr>
        <w:t xml:space="preserve">It’s difficult </w:t>
      </w:r>
      <w:r w:rsidRPr="00866FF9">
        <w:rPr>
          <w:rFonts w:ascii="Garamond" w:hAnsi="Garamond"/>
          <w:i w:val="0"/>
          <w:iCs w:val="0"/>
        </w:rPr>
        <w:lastRenderedPageBreak/>
        <w:t>to see the career path ahead of you when there are few who have taken it before. Where would I find the right role-model?</w:t>
      </w:r>
      <w:r w:rsidR="003E7265" w:rsidRPr="00866FF9">
        <w:rPr>
          <w:rFonts w:ascii="Garamond" w:hAnsi="Garamond"/>
          <w:i w:val="0"/>
          <w:iCs w:val="0"/>
        </w:rPr>
        <w:br/>
      </w:r>
      <w:r w:rsidR="003E7265" w:rsidRPr="0035736A">
        <w:rPr>
          <w:rFonts w:ascii="Garamond" w:hAnsi="Garamond"/>
        </w:rPr>
        <w:t>Jonathan</w:t>
      </w:r>
    </w:p>
    <w:p w14:paraId="3E689F84" w14:textId="217C49D3" w:rsidR="00ED4D05" w:rsidRDefault="00756AF8" w:rsidP="00307DE6">
      <w:pPr>
        <w:spacing w:after="120" w:line="480" w:lineRule="auto"/>
        <w:rPr>
          <w:rFonts w:ascii="Garamond" w:hAnsi="Garamond"/>
        </w:rPr>
      </w:pPr>
      <w:r>
        <w:rPr>
          <w:rFonts w:ascii="Garamond" w:hAnsi="Garamond"/>
        </w:rPr>
        <w:t xml:space="preserve">It may well take more than the introduction of more flexible training to promote excellence in medical education careers. </w:t>
      </w:r>
      <w:r w:rsidR="00FB78DB">
        <w:rPr>
          <w:rFonts w:ascii="Garamond" w:hAnsi="Garamond"/>
        </w:rPr>
        <w:t xml:space="preserve">Role-modelling is a powerful driver for career choice </w:t>
      </w:r>
      <w:r w:rsidR="008B5B1E">
        <w:rPr>
          <w:rFonts w:ascii="Garamond" w:hAnsi="Garamond"/>
        </w:rPr>
        <w:fldChar w:fldCharType="begin" w:fldLock="1"/>
      </w:r>
      <w:r w:rsidR="009D1990">
        <w:rPr>
          <w:rFonts w:ascii="Garamond" w:hAnsi="Garamond"/>
        </w:rPr>
        <w:instrText>ADDIN CSL_CITATION {"citationItems":[{"id":"ITEM-1","itemData":{"DOI":"10.1177/2054270416669305","ISSN":"2054-2704","abstract":"ObjectivesThis qualitative study sought to elicit the views, experiences, career journeys and aspirations of women in senior post-graduate medical education roles to identify steps needed to help support career progression.DesignIn-depth semi-structured telephone interviews.SettingUK.ParticipantsPurposive sample of 12 women in a variety of senior leadership roles in post-graduate medical education in the UK.Main outcome measuresSelf reported motivating influences, factors that helped and hindered progress, key branch points, and key educational factors and social support impacting on participants' career in postgraduate medicine.ResultsRespondents often reported that career journeys were serendipitous, rather than planned, formal or well structured. Senior women leaders reported having a high internal locus of control, with very high levels of commitment to the NHS. All reported significant levels of drive, although the majority indicated that they were not ambitious in the sense of a strong drive for mon...","author":[{"dropping-particle":"","family":"Curtis","given":"Anthony","non-dropping-particle":"","parse-names":false,"suffix":""},{"dropping-particle":"","family":"Eley","given":"Lizzie","non-dropping-particle":"","parse-names":false,"suffix":""},{"dropping-particle":"","family":"Gray","given":"Selena","non-dropping-particle":"","parse-names":false,"suffix":""},{"dropping-particle":"","family":"Irish","given":"Bill","non-dropping-particle":"","parse-names":false,"suffix":""}],"container-title":"JRSM Open","id":"ITEM-1","issue":"1","issued":{"date-parts":[["2017"]]},"page":"205427041666930","title":"Women in senior post-graduate medicine career roles in the UK: a qualitative study","type":"article-journal","volume":"8"},"uris":["http://www.mendeley.com/documents/?uuid=4af4d7e7-95c1-4f8b-b477-6c0239dd73e8","http://www.mendeley.com/documents/?uuid=67ef9135-6dce-4b38-ae50-46419f177b64"]}],"mendeley":{"formattedCitation":"&lt;sup&gt;21&lt;/sup&gt;","plainTextFormattedCitation":"21","previouslyFormattedCitation":"&lt;sup&gt;21&lt;/sup&gt;"},"properties":{"noteIndex":0},"schema":"https://github.com/citation-style-language/schema/raw/master/csl-citation.json"}</w:instrText>
      </w:r>
      <w:r w:rsidR="008B5B1E">
        <w:rPr>
          <w:rFonts w:ascii="Garamond" w:hAnsi="Garamond"/>
        </w:rPr>
        <w:fldChar w:fldCharType="separate"/>
      </w:r>
      <w:r w:rsidR="00636985" w:rsidRPr="00636985">
        <w:rPr>
          <w:rFonts w:ascii="Garamond" w:hAnsi="Garamond"/>
          <w:noProof/>
          <w:vertAlign w:val="superscript"/>
        </w:rPr>
        <w:t>21</w:t>
      </w:r>
      <w:r w:rsidR="008B5B1E">
        <w:rPr>
          <w:rFonts w:ascii="Garamond" w:hAnsi="Garamond"/>
        </w:rPr>
        <w:fldChar w:fldCharType="end"/>
      </w:r>
      <w:r w:rsidR="00FB78DB">
        <w:rPr>
          <w:rFonts w:ascii="Garamond" w:hAnsi="Garamond"/>
        </w:rPr>
        <w:t xml:space="preserve">, as role-models </w:t>
      </w:r>
      <w:r w:rsidR="00F9632F">
        <w:rPr>
          <w:rFonts w:ascii="Garamond" w:hAnsi="Garamond"/>
        </w:rPr>
        <w:t xml:space="preserve">can </w:t>
      </w:r>
      <w:r w:rsidR="00FB78DB">
        <w:rPr>
          <w:rFonts w:ascii="Garamond" w:hAnsi="Garamond"/>
        </w:rPr>
        <w:t xml:space="preserve">provide not only infectious enthusiasm for their specialty, but practical advice on how to navigate the career ladder. </w:t>
      </w:r>
      <w:r>
        <w:rPr>
          <w:rFonts w:ascii="Garamond" w:hAnsi="Garamond"/>
        </w:rPr>
        <w:t>Effective mentorship and role-modelling, from early stages of medical school, through to postgraduate training, will likely be required</w:t>
      </w:r>
      <w:r w:rsidR="00FB78DB">
        <w:rPr>
          <w:rFonts w:ascii="Garamond" w:hAnsi="Garamond"/>
        </w:rPr>
        <w:t>, as s</w:t>
      </w:r>
      <w:r>
        <w:rPr>
          <w:rFonts w:ascii="Garamond" w:hAnsi="Garamond"/>
        </w:rPr>
        <w:t>pecialty decision making is complex and fluctuates throughout the early career continuum.</w:t>
      </w:r>
      <w:r w:rsidR="005E66EC">
        <w:rPr>
          <w:rFonts w:ascii="Garamond" w:hAnsi="Garamond"/>
        </w:rPr>
        <w:t xml:space="preserve"> Educational leaders of diverse career stages and backgrounds should be encouraged to ‘share their stories’, to provide positive examples for the emerging generation of medical educators to aspire to, as well as to encourage establishment of formal mentorship structures within their institutions. Local examples of such initiatives exist: it should be the duty of leading organisations to reward educators for excellence in educational mentorship and establish national support frameworks.</w:t>
      </w:r>
      <w:r w:rsidR="00475F7F">
        <w:rPr>
          <w:rFonts w:ascii="Garamond" w:hAnsi="Garamond"/>
        </w:rPr>
        <w:t xml:space="preserve">  The Association for the Study of Medical Education (ASME)’s mentoring </w:t>
      </w:r>
      <w:r w:rsidR="003735A9">
        <w:rPr>
          <w:rFonts w:ascii="Garamond" w:hAnsi="Garamond"/>
        </w:rPr>
        <w:t xml:space="preserve">scheme </w:t>
      </w:r>
      <w:r w:rsidR="004C207E">
        <w:rPr>
          <w:rFonts w:ascii="Garamond" w:hAnsi="Garamond"/>
        </w:rPr>
        <w:t xml:space="preserve">launching this year </w:t>
      </w:r>
      <w:r w:rsidR="009C26B9">
        <w:rPr>
          <w:rFonts w:ascii="Garamond" w:hAnsi="Garamond"/>
        </w:rPr>
        <w:t>will help to facilitate this.</w:t>
      </w:r>
    </w:p>
    <w:p w14:paraId="0FF46B9B" w14:textId="77777777" w:rsidR="00ED4D05" w:rsidRDefault="00ED4D05" w:rsidP="00307DE6">
      <w:pPr>
        <w:spacing w:after="120" w:line="480" w:lineRule="auto"/>
        <w:rPr>
          <w:rFonts w:ascii="Garamond" w:hAnsi="Garamond"/>
        </w:rPr>
      </w:pPr>
      <w:r>
        <w:rPr>
          <w:rFonts w:ascii="Garamond" w:hAnsi="Garamond"/>
          <w:b/>
          <w:bCs/>
        </w:rPr>
        <w:t>Conclusions</w:t>
      </w:r>
    </w:p>
    <w:p w14:paraId="53A88F07" w14:textId="26594D2A" w:rsidR="00345045" w:rsidRDefault="00080242" w:rsidP="00307DE6">
      <w:pPr>
        <w:spacing w:after="120" w:line="480" w:lineRule="auto"/>
        <w:rPr>
          <w:rFonts w:ascii="Garamond" w:hAnsi="Garamond"/>
        </w:rPr>
      </w:pPr>
      <w:r>
        <w:rPr>
          <w:rFonts w:ascii="Garamond" w:hAnsi="Garamond"/>
        </w:rPr>
        <w:t>The future excellence of medical education research depends on developing medical educationalists today.</w:t>
      </w:r>
      <w:r w:rsidR="003816BC">
        <w:rPr>
          <w:rFonts w:ascii="Garamond" w:hAnsi="Garamond"/>
        </w:rPr>
        <w:t xml:space="preserve"> </w:t>
      </w:r>
      <w:r w:rsidR="003462EF">
        <w:rPr>
          <w:rFonts w:ascii="Garamond" w:hAnsi="Garamond"/>
        </w:rPr>
        <w:t>To pave the way to excellence, we must lay down the correct career pathways and foster a supportive climate in our specialty.</w:t>
      </w:r>
      <w:r w:rsidR="003816BC">
        <w:rPr>
          <w:rFonts w:ascii="Garamond" w:hAnsi="Garamond"/>
        </w:rPr>
        <w:t xml:space="preserve"> </w:t>
      </w:r>
      <w:r w:rsidR="00345045">
        <w:rPr>
          <w:rFonts w:ascii="Garamond" w:hAnsi="Garamond"/>
        </w:rPr>
        <w:t xml:space="preserve">In order to attract and support tomorrow’s educationalists we </w:t>
      </w:r>
      <w:r w:rsidR="00FC6AEC">
        <w:rPr>
          <w:rFonts w:ascii="Garamond" w:hAnsi="Garamond"/>
        </w:rPr>
        <w:t xml:space="preserve">argue that we </w:t>
      </w:r>
      <w:r w:rsidR="00345045">
        <w:rPr>
          <w:rFonts w:ascii="Garamond" w:hAnsi="Garamond"/>
        </w:rPr>
        <w:t xml:space="preserve">need to </w:t>
      </w:r>
      <w:r w:rsidR="00A87DDF">
        <w:rPr>
          <w:rFonts w:ascii="Garamond" w:hAnsi="Garamond"/>
        </w:rPr>
        <w:t>champion</w:t>
      </w:r>
      <w:r w:rsidR="00B3125F">
        <w:rPr>
          <w:rFonts w:ascii="Garamond" w:hAnsi="Garamond"/>
        </w:rPr>
        <w:t xml:space="preserve"> the field, </w:t>
      </w:r>
      <w:r w:rsidR="00006A59">
        <w:rPr>
          <w:rFonts w:ascii="Garamond" w:hAnsi="Garamond"/>
        </w:rPr>
        <w:t xml:space="preserve">further </w:t>
      </w:r>
      <w:r w:rsidR="000E36D1">
        <w:rPr>
          <w:rFonts w:ascii="Garamond" w:hAnsi="Garamond"/>
        </w:rPr>
        <w:t xml:space="preserve">develop integrated </w:t>
      </w:r>
      <w:r w:rsidR="00A87DDF">
        <w:rPr>
          <w:rFonts w:ascii="Garamond" w:hAnsi="Garamond"/>
        </w:rPr>
        <w:t xml:space="preserve">clinical and </w:t>
      </w:r>
      <w:r w:rsidR="000E36D1">
        <w:rPr>
          <w:rFonts w:ascii="Garamond" w:hAnsi="Garamond"/>
        </w:rPr>
        <w:t xml:space="preserve">educational training </w:t>
      </w:r>
      <w:r w:rsidR="00A87DDF">
        <w:rPr>
          <w:rFonts w:ascii="Garamond" w:hAnsi="Garamond"/>
        </w:rPr>
        <w:t xml:space="preserve">programmes, and promote </w:t>
      </w:r>
      <w:r w:rsidR="00FC6AEC">
        <w:rPr>
          <w:rFonts w:ascii="Garamond" w:hAnsi="Garamond"/>
        </w:rPr>
        <w:t>role modelling and mentorship.</w:t>
      </w:r>
    </w:p>
    <w:p w14:paraId="29E2C4D5" w14:textId="15D3BD57" w:rsidR="00E7028C" w:rsidRPr="006C5760" w:rsidRDefault="00E7028C" w:rsidP="00307DE6">
      <w:pPr>
        <w:spacing w:after="120" w:line="480" w:lineRule="auto"/>
        <w:rPr>
          <w:rFonts w:ascii="Garamond" w:hAnsi="Garamond"/>
          <w:b/>
          <w:bCs/>
        </w:rPr>
      </w:pPr>
      <w:r w:rsidRPr="006C5760">
        <w:rPr>
          <w:rFonts w:ascii="Garamond" w:hAnsi="Garamond"/>
          <w:b/>
          <w:bCs/>
        </w:rPr>
        <w:t>Declaration</w:t>
      </w:r>
      <w:r w:rsidR="0033269C" w:rsidRPr="006C5760">
        <w:rPr>
          <w:rFonts w:ascii="Garamond" w:hAnsi="Garamond"/>
          <w:b/>
          <w:bCs/>
        </w:rPr>
        <w:t xml:space="preserve"> of interest</w:t>
      </w:r>
    </w:p>
    <w:p w14:paraId="77135D03" w14:textId="0C9871EB" w:rsidR="0033269C" w:rsidRDefault="00C7768A" w:rsidP="00307DE6">
      <w:pPr>
        <w:spacing w:after="120" w:line="480" w:lineRule="auto"/>
        <w:rPr>
          <w:rFonts w:ascii="Garamond" w:hAnsi="Garamond"/>
        </w:rPr>
      </w:pPr>
      <w:r>
        <w:rPr>
          <w:rFonts w:ascii="Garamond" w:hAnsi="Garamond"/>
        </w:rPr>
        <w:t>The authors have no conflict</w:t>
      </w:r>
      <w:r w:rsidR="007C1BB6">
        <w:rPr>
          <w:rFonts w:ascii="Garamond" w:hAnsi="Garamond"/>
        </w:rPr>
        <w:t>s</w:t>
      </w:r>
      <w:r>
        <w:rPr>
          <w:rFonts w:ascii="Garamond" w:hAnsi="Garamond"/>
        </w:rPr>
        <w:t xml:space="preserve"> of interes</w:t>
      </w:r>
      <w:r w:rsidR="007C1BB6">
        <w:rPr>
          <w:rFonts w:ascii="Garamond" w:hAnsi="Garamond"/>
        </w:rPr>
        <w:t>t to declare.</w:t>
      </w:r>
    </w:p>
    <w:p w14:paraId="3B9F2A33" w14:textId="7464C7D0" w:rsidR="00CE3310" w:rsidRDefault="00ED4D05" w:rsidP="00307DE6">
      <w:pPr>
        <w:spacing w:after="120" w:line="480" w:lineRule="auto"/>
        <w:rPr>
          <w:rFonts w:ascii="Garamond" w:hAnsi="Garamond"/>
        </w:rPr>
      </w:pPr>
      <w:r>
        <w:rPr>
          <w:rFonts w:ascii="Garamond" w:hAnsi="Garamond"/>
          <w:b/>
          <w:bCs/>
        </w:rPr>
        <w:lastRenderedPageBreak/>
        <w:t>References</w:t>
      </w:r>
    </w:p>
    <w:p w14:paraId="19709DB9" w14:textId="0D236B54" w:rsidR="009D1990" w:rsidRPr="009D1990" w:rsidRDefault="00ED4D05" w:rsidP="009D1990">
      <w:pPr>
        <w:widowControl w:val="0"/>
        <w:autoSpaceDE w:val="0"/>
        <w:autoSpaceDN w:val="0"/>
        <w:adjustRightInd w:val="0"/>
        <w:spacing w:after="120" w:line="480" w:lineRule="auto"/>
        <w:ind w:left="640" w:hanging="640"/>
        <w:rPr>
          <w:rFonts w:ascii="Garamond" w:hAnsi="Garamond" w:cs="Times New Roman"/>
          <w:noProof/>
        </w:rPr>
      </w:pPr>
      <w:r>
        <w:rPr>
          <w:rFonts w:ascii="Garamond" w:hAnsi="Garamond"/>
        </w:rPr>
        <w:fldChar w:fldCharType="begin" w:fldLock="1"/>
      </w:r>
      <w:r>
        <w:rPr>
          <w:rFonts w:ascii="Garamond" w:hAnsi="Garamond"/>
        </w:rPr>
        <w:instrText xml:space="preserve">ADDIN Mendeley Bibliography CSL_BIBLIOGRAPHY </w:instrText>
      </w:r>
      <w:r>
        <w:rPr>
          <w:rFonts w:ascii="Garamond" w:hAnsi="Garamond"/>
        </w:rPr>
        <w:fldChar w:fldCharType="separate"/>
      </w:r>
      <w:r w:rsidR="009D1990" w:rsidRPr="009D1990">
        <w:rPr>
          <w:rFonts w:ascii="Garamond" w:hAnsi="Garamond" w:cs="Times New Roman"/>
          <w:noProof/>
        </w:rPr>
        <w:t xml:space="preserve">1. </w:t>
      </w:r>
      <w:r w:rsidR="009D1990" w:rsidRPr="009D1990">
        <w:rPr>
          <w:rFonts w:ascii="Garamond" w:hAnsi="Garamond" w:cs="Times New Roman"/>
          <w:noProof/>
        </w:rPr>
        <w:tab/>
        <w:t xml:space="preserve">Sabel E, Archer J. Medical education is the ugly duckling of the medical world" and other challenges to medical educators’ identity construction: A qualitative study. </w:t>
      </w:r>
      <w:r w:rsidR="009D1990" w:rsidRPr="009D1990">
        <w:rPr>
          <w:rFonts w:ascii="Garamond" w:hAnsi="Garamond" w:cs="Times New Roman"/>
          <w:i/>
          <w:iCs/>
          <w:noProof/>
        </w:rPr>
        <w:t>Acad Med</w:t>
      </w:r>
      <w:r w:rsidR="009D1990" w:rsidRPr="009D1990">
        <w:rPr>
          <w:rFonts w:ascii="Garamond" w:hAnsi="Garamond" w:cs="Times New Roman"/>
          <w:noProof/>
        </w:rPr>
        <w:t>. 2014;89(11):1474-1480. doi:10.1097/ACM.0000000000000420</w:t>
      </w:r>
    </w:p>
    <w:p w14:paraId="105F710A"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2. </w:t>
      </w:r>
      <w:r w:rsidRPr="009D1990">
        <w:rPr>
          <w:rFonts w:ascii="Garamond" w:hAnsi="Garamond" w:cs="Times New Roman"/>
          <w:noProof/>
        </w:rPr>
        <w:tab/>
        <w:t xml:space="preserve">Sherbino J, Snell L, Dath D, Dojeiji S, Abbott C, Frank JR. A national clinician-educator program: a model of an effective community of practice. </w:t>
      </w:r>
      <w:r w:rsidRPr="009D1990">
        <w:rPr>
          <w:rFonts w:ascii="Garamond" w:hAnsi="Garamond" w:cs="Times New Roman"/>
          <w:i/>
          <w:iCs/>
          <w:noProof/>
        </w:rPr>
        <w:t>Med Educ Online</w:t>
      </w:r>
      <w:r w:rsidRPr="009D1990">
        <w:rPr>
          <w:rFonts w:ascii="Garamond" w:hAnsi="Garamond" w:cs="Times New Roman"/>
          <w:noProof/>
        </w:rPr>
        <w:t>. 2010;15:1-8. doi:10.3402/meo.v15i0.5356</w:t>
      </w:r>
    </w:p>
    <w:p w14:paraId="38805444"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3. </w:t>
      </w:r>
      <w:r w:rsidRPr="009D1990">
        <w:rPr>
          <w:rFonts w:ascii="Garamond" w:hAnsi="Garamond" w:cs="Times New Roman"/>
          <w:noProof/>
        </w:rPr>
        <w:tab/>
        <w:t xml:space="preserve">Clough S, Fenton J, Harris-Joseph H, et al. What impact has the NIHR Academic Clinical Fellowship (ACF) scheme had on clinical academic careers in England over the last 10 years? A retrospective study. </w:t>
      </w:r>
      <w:r w:rsidRPr="009D1990">
        <w:rPr>
          <w:rFonts w:ascii="Garamond" w:hAnsi="Garamond" w:cs="Times New Roman"/>
          <w:i/>
          <w:iCs/>
          <w:noProof/>
        </w:rPr>
        <w:t>BMJ Open</w:t>
      </w:r>
      <w:r w:rsidRPr="009D1990">
        <w:rPr>
          <w:rFonts w:ascii="Garamond" w:hAnsi="Garamond" w:cs="Times New Roman"/>
          <w:noProof/>
        </w:rPr>
        <w:t>. 2017;7(6):1-5. doi:10.1136/bmjopen-2016-015722</w:t>
      </w:r>
    </w:p>
    <w:p w14:paraId="2E2D810E"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4. </w:t>
      </w:r>
      <w:r w:rsidRPr="009D1990">
        <w:rPr>
          <w:rFonts w:ascii="Garamond" w:hAnsi="Garamond" w:cs="Times New Roman"/>
          <w:noProof/>
        </w:rPr>
        <w:tab/>
        <w:t>General Medical Council. Training environments 2017: Key findings from the national training surveys. 2018. doi:2018</w:t>
      </w:r>
    </w:p>
    <w:p w14:paraId="22BCD373"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5. </w:t>
      </w:r>
      <w:r w:rsidRPr="009D1990">
        <w:rPr>
          <w:rFonts w:ascii="Garamond" w:hAnsi="Garamond" w:cs="Times New Roman"/>
          <w:noProof/>
        </w:rPr>
        <w:tab/>
        <w:t>Archer J, Mcmanus C, Woolf K, et al. Without proper research funding , how can medical education be evidence based</w:t>
      </w:r>
      <w:r w:rsidRPr="009D1990">
        <w:rPr>
          <w:rFonts w:ascii="Times New Roman" w:hAnsi="Times New Roman" w:cs="Times New Roman"/>
          <w:noProof/>
        </w:rPr>
        <w:t> </w:t>
      </w:r>
      <w:r w:rsidRPr="009D1990">
        <w:rPr>
          <w:rFonts w:ascii="Garamond" w:hAnsi="Garamond" w:cs="Times New Roman"/>
          <w:noProof/>
        </w:rPr>
        <w:t>? 2015;3445(June):1-2. doi:10.1136/bmj.h3445</w:t>
      </w:r>
    </w:p>
    <w:p w14:paraId="4108A2B1"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6. </w:t>
      </w:r>
      <w:r w:rsidRPr="009D1990">
        <w:rPr>
          <w:rFonts w:ascii="Garamond" w:hAnsi="Garamond" w:cs="Times New Roman"/>
          <w:noProof/>
        </w:rPr>
        <w:tab/>
        <w:t>National Institute for Health Research. Academy NIHR Remit For Personal Awards.</w:t>
      </w:r>
    </w:p>
    <w:p w14:paraId="035637D2"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7. </w:t>
      </w:r>
      <w:r w:rsidRPr="009D1990">
        <w:rPr>
          <w:rFonts w:ascii="Garamond" w:hAnsi="Garamond" w:cs="Times New Roman"/>
          <w:noProof/>
        </w:rPr>
        <w:tab/>
        <w:t xml:space="preserve">Thomas LR, Roesch J, Haber L, et al. Becoming outstanding educators: What do they say contributed to success? </w:t>
      </w:r>
      <w:r w:rsidRPr="009D1990">
        <w:rPr>
          <w:rFonts w:ascii="Garamond" w:hAnsi="Garamond" w:cs="Times New Roman"/>
          <w:i/>
          <w:iCs/>
          <w:noProof/>
        </w:rPr>
        <w:t>Adv Heal Sci Educ</w:t>
      </w:r>
      <w:r w:rsidRPr="009D1990">
        <w:rPr>
          <w:rFonts w:ascii="Garamond" w:hAnsi="Garamond" w:cs="Times New Roman"/>
          <w:noProof/>
        </w:rPr>
        <w:t>. 2020;(March 2018). doi:10.1007/s10459-019-09949-7</w:t>
      </w:r>
    </w:p>
    <w:p w14:paraId="1DA82CC3"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8. </w:t>
      </w:r>
      <w:r w:rsidRPr="009D1990">
        <w:rPr>
          <w:rFonts w:ascii="Garamond" w:hAnsi="Garamond" w:cs="Times New Roman"/>
          <w:noProof/>
        </w:rPr>
        <w:tab/>
        <w:t xml:space="preserve">Steinert Y, Macdonald ME. Why physicians teach: giving back by paying it forward. </w:t>
      </w:r>
      <w:r w:rsidRPr="009D1990">
        <w:rPr>
          <w:rFonts w:ascii="Garamond" w:hAnsi="Garamond" w:cs="Times New Roman"/>
          <w:i/>
          <w:iCs/>
          <w:noProof/>
        </w:rPr>
        <w:t>Med Educ</w:t>
      </w:r>
      <w:r w:rsidRPr="009D1990">
        <w:rPr>
          <w:rFonts w:ascii="Garamond" w:hAnsi="Garamond" w:cs="Times New Roman"/>
          <w:noProof/>
        </w:rPr>
        <w:t>. 2015;49(8):773-782. doi:10.1111/medu.12782</w:t>
      </w:r>
    </w:p>
    <w:p w14:paraId="57C9F487"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9. </w:t>
      </w:r>
      <w:r w:rsidRPr="009D1990">
        <w:rPr>
          <w:rFonts w:ascii="Garamond" w:hAnsi="Garamond" w:cs="Times New Roman"/>
          <w:noProof/>
        </w:rPr>
        <w:tab/>
        <w:t xml:space="preserve">Hu WCY, Thistlethwaite JE, Weller J, Gallego G, Monteith J, McColl GJ. “It was serendipity”: a qualitative study of academic careers in medical education. </w:t>
      </w:r>
      <w:r w:rsidRPr="009D1990">
        <w:rPr>
          <w:rFonts w:ascii="Garamond" w:hAnsi="Garamond" w:cs="Times New Roman"/>
          <w:i/>
          <w:iCs/>
          <w:noProof/>
        </w:rPr>
        <w:t>Med Educ</w:t>
      </w:r>
      <w:r w:rsidRPr="009D1990">
        <w:rPr>
          <w:rFonts w:ascii="Garamond" w:hAnsi="Garamond" w:cs="Times New Roman"/>
          <w:noProof/>
        </w:rPr>
        <w:t>. 2015;49(11):1124-1136. doi:10.1111/medu.12822</w:t>
      </w:r>
    </w:p>
    <w:p w14:paraId="79B6C804"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10. </w:t>
      </w:r>
      <w:r w:rsidRPr="009D1990">
        <w:rPr>
          <w:rFonts w:ascii="Garamond" w:hAnsi="Garamond" w:cs="Times New Roman"/>
          <w:noProof/>
        </w:rPr>
        <w:tab/>
        <w:t xml:space="preserve">Wilson S, Denison AR, McKenzie H. A survey of clinical teaching fellowships in UK </w:t>
      </w:r>
      <w:r w:rsidRPr="009D1990">
        <w:rPr>
          <w:rFonts w:ascii="Garamond" w:hAnsi="Garamond" w:cs="Times New Roman"/>
          <w:noProof/>
        </w:rPr>
        <w:lastRenderedPageBreak/>
        <w:t xml:space="preserve">medical schools. </w:t>
      </w:r>
      <w:r w:rsidRPr="009D1990">
        <w:rPr>
          <w:rFonts w:ascii="Garamond" w:hAnsi="Garamond" w:cs="Times New Roman"/>
          <w:i/>
          <w:iCs/>
          <w:noProof/>
        </w:rPr>
        <w:t>Med Educ</w:t>
      </w:r>
      <w:r w:rsidRPr="009D1990">
        <w:rPr>
          <w:rFonts w:ascii="Garamond" w:hAnsi="Garamond" w:cs="Times New Roman"/>
          <w:noProof/>
        </w:rPr>
        <w:t>. 2008;42(2):170-175. doi:10.1111/j.1365-2923.2007.02933.x</w:t>
      </w:r>
    </w:p>
    <w:p w14:paraId="74242DA6"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11. </w:t>
      </w:r>
      <w:r w:rsidRPr="009D1990">
        <w:rPr>
          <w:rFonts w:ascii="Garamond" w:hAnsi="Garamond" w:cs="Times New Roman"/>
          <w:noProof/>
        </w:rPr>
        <w:tab/>
        <w:t xml:space="preserve">Brown C. Clinical teaching fellows: Best of both worlds? </w:t>
      </w:r>
      <w:r w:rsidRPr="009D1990">
        <w:rPr>
          <w:rFonts w:ascii="Garamond" w:hAnsi="Garamond" w:cs="Times New Roman"/>
          <w:i/>
          <w:iCs/>
          <w:noProof/>
        </w:rPr>
        <w:t>Clin Teach</w:t>
      </w:r>
      <w:r w:rsidRPr="009D1990">
        <w:rPr>
          <w:rFonts w:ascii="Garamond" w:hAnsi="Garamond" w:cs="Times New Roman"/>
          <w:noProof/>
        </w:rPr>
        <w:t>. 2015;12(2):136-137. doi:10.1111/tct.12275</w:t>
      </w:r>
    </w:p>
    <w:p w14:paraId="2AF81E3C"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12. </w:t>
      </w:r>
      <w:r w:rsidRPr="009D1990">
        <w:rPr>
          <w:rFonts w:ascii="Garamond" w:hAnsi="Garamond" w:cs="Times New Roman"/>
          <w:noProof/>
        </w:rPr>
        <w:tab/>
        <w:t xml:space="preserve">Ker R, Guckian J, Bowey AJ. ‘Just a year out’? – Challenges of the clinical teaching fellow. </w:t>
      </w:r>
      <w:r w:rsidRPr="009D1990">
        <w:rPr>
          <w:rFonts w:ascii="Garamond" w:hAnsi="Garamond" w:cs="Times New Roman"/>
          <w:i/>
          <w:iCs/>
          <w:noProof/>
        </w:rPr>
        <w:t>MedEdPublish</w:t>
      </w:r>
      <w:r w:rsidRPr="009D1990">
        <w:rPr>
          <w:rFonts w:ascii="Garamond" w:hAnsi="Garamond" w:cs="Times New Roman"/>
          <w:noProof/>
        </w:rPr>
        <w:t>. 2018;7(4):1-8. doi:10.15694/mep.2018.0000239.1</w:t>
      </w:r>
    </w:p>
    <w:p w14:paraId="0BACB10D"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13. </w:t>
      </w:r>
      <w:r w:rsidRPr="009D1990">
        <w:rPr>
          <w:rFonts w:ascii="Garamond" w:hAnsi="Garamond" w:cs="Times New Roman"/>
          <w:noProof/>
        </w:rPr>
        <w:tab/>
        <w:t xml:space="preserve">Hawkins RE, Welcher CM, Holmboe ES, et al. Implementation of competency-based medical education: are we addressing the concerns and challenges? </w:t>
      </w:r>
      <w:r w:rsidRPr="009D1990">
        <w:rPr>
          <w:rFonts w:ascii="Garamond" w:hAnsi="Garamond" w:cs="Times New Roman"/>
          <w:i/>
          <w:iCs/>
          <w:noProof/>
        </w:rPr>
        <w:t>Med Educ</w:t>
      </w:r>
      <w:r w:rsidRPr="009D1990">
        <w:rPr>
          <w:rFonts w:ascii="Garamond" w:hAnsi="Garamond" w:cs="Times New Roman"/>
          <w:noProof/>
        </w:rPr>
        <w:t>. 2015;49(11):1086-1102. doi:10.1111/medu.12831</w:t>
      </w:r>
    </w:p>
    <w:p w14:paraId="7B10FD9C"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14. </w:t>
      </w:r>
      <w:r w:rsidRPr="009D1990">
        <w:rPr>
          <w:rFonts w:ascii="Garamond" w:hAnsi="Garamond" w:cs="Times New Roman"/>
          <w:noProof/>
        </w:rPr>
        <w:tab/>
        <w:t xml:space="preserve">Friedman K, Lester J, Young JQ. Clinician-Educator Tracks for Trainees in Graduate Medical Education: A Scoping Review. </w:t>
      </w:r>
      <w:r w:rsidRPr="009D1990">
        <w:rPr>
          <w:rFonts w:ascii="Garamond" w:hAnsi="Garamond" w:cs="Times New Roman"/>
          <w:i/>
          <w:iCs/>
          <w:noProof/>
        </w:rPr>
        <w:t>Acad Med</w:t>
      </w:r>
      <w:r w:rsidRPr="009D1990">
        <w:rPr>
          <w:rFonts w:ascii="Garamond" w:hAnsi="Garamond" w:cs="Times New Roman"/>
          <w:noProof/>
        </w:rPr>
        <w:t>. 2019;94(10):1599-1609. doi:10.1097/ACM.0000000000002814</w:t>
      </w:r>
    </w:p>
    <w:p w14:paraId="55DE4B39"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15. </w:t>
      </w:r>
      <w:r w:rsidRPr="009D1990">
        <w:rPr>
          <w:rFonts w:ascii="Garamond" w:hAnsi="Garamond" w:cs="Times New Roman"/>
          <w:noProof/>
        </w:rPr>
        <w:tab/>
        <w:t xml:space="preserve">Cope S, Alberti H. Exploring educational integrated training posts in general practice: a phenomenological study of trainees’ perspectives. </w:t>
      </w:r>
      <w:r w:rsidRPr="009D1990">
        <w:rPr>
          <w:rFonts w:ascii="Garamond" w:hAnsi="Garamond" w:cs="Times New Roman"/>
          <w:i/>
          <w:iCs/>
          <w:noProof/>
        </w:rPr>
        <w:t>Educ Prim Care</w:t>
      </w:r>
      <w:r w:rsidRPr="009D1990">
        <w:rPr>
          <w:rFonts w:ascii="Garamond" w:hAnsi="Garamond" w:cs="Times New Roman"/>
          <w:noProof/>
        </w:rPr>
        <w:t>. 2020;00(00):1-8. doi:10.1080/14739879.2020.1787230</w:t>
      </w:r>
    </w:p>
    <w:p w14:paraId="4BF8A5CB"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16. </w:t>
      </w:r>
      <w:r w:rsidRPr="009D1990">
        <w:rPr>
          <w:rFonts w:ascii="Garamond" w:hAnsi="Garamond" w:cs="Times New Roman"/>
          <w:noProof/>
        </w:rPr>
        <w:tab/>
        <w:t>Health Education England. Flexible portfolio training.</w:t>
      </w:r>
    </w:p>
    <w:p w14:paraId="1CFD3FA7"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17. </w:t>
      </w:r>
      <w:r w:rsidRPr="009D1990">
        <w:rPr>
          <w:rFonts w:ascii="Garamond" w:hAnsi="Garamond" w:cs="Times New Roman"/>
          <w:noProof/>
        </w:rPr>
        <w:tab/>
        <w:t xml:space="preserve">Rimmer A. A new outlook for medical registrar training. </w:t>
      </w:r>
      <w:r w:rsidRPr="009D1990">
        <w:rPr>
          <w:rFonts w:ascii="Garamond" w:hAnsi="Garamond" w:cs="Times New Roman"/>
          <w:i/>
          <w:iCs/>
          <w:noProof/>
        </w:rPr>
        <w:t>BMJ</w:t>
      </w:r>
      <w:r w:rsidRPr="009D1990">
        <w:rPr>
          <w:rFonts w:ascii="Garamond" w:hAnsi="Garamond" w:cs="Times New Roman"/>
          <w:noProof/>
        </w:rPr>
        <w:t>. 2019;364. doi:10.1136/bmj.l424</w:t>
      </w:r>
    </w:p>
    <w:p w14:paraId="3A7FBA84"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18. </w:t>
      </w:r>
      <w:r w:rsidRPr="009D1990">
        <w:rPr>
          <w:rFonts w:ascii="Garamond" w:hAnsi="Garamond" w:cs="Times New Roman"/>
          <w:noProof/>
        </w:rPr>
        <w:tab/>
        <w:t xml:space="preserve">Cleland J, Prescott G, Walker K, Johnston P, Kumwenda B. Are there differences between those doctors who apply for a training post in Foundation Year 2 and those who take time out of the training pathway? A UK multicohort study. </w:t>
      </w:r>
      <w:r w:rsidRPr="009D1990">
        <w:rPr>
          <w:rFonts w:ascii="Garamond" w:hAnsi="Garamond" w:cs="Times New Roman"/>
          <w:i/>
          <w:iCs/>
          <w:noProof/>
        </w:rPr>
        <w:t>BMJ Open</w:t>
      </w:r>
      <w:r w:rsidRPr="009D1990">
        <w:rPr>
          <w:rFonts w:ascii="Garamond" w:hAnsi="Garamond" w:cs="Times New Roman"/>
          <w:noProof/>
        </w:rPr>
        <w:t>. 2019;9(11):1-12. doi:10.1136/bmjopen-2019-032021</w:t>
      </w:r>
    </w:p>
    <w:p w14:paraId="5123336B"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t xml:space="preserve">19. </w:t>
      </w:r>
      <w:r w:rsidRPr="009D1990">
        <w:rPr>
          <w:rFonts w:ascii="Garamond" w:hAnsi="Garamond" w:cs="Times New Roman"/>
          <w:noProof/>
        </w:rPr>
        <w:tab/>
        <w:t xml:space="preserve">Smith SE, Tallentire VR, Pope LM, Laidlaw AH, Morrison J. Foundation Year 2 doctors’ reasons for leaving UK medicine: An in-depth analysis of decision-making using semistructured interviews. </w:t>
      </w:r>
      <w:r w:rsidRPr="009D1990">
        <w:rPr>
          <w:rFonts w:ascii="Garamond" w:hAnsi="Garamond" w:cs="Times New Roman"/>
          <w:i/>
          <w:iCs/>
          <w:noProof/>
        </w:rPr>
        <w:t>BMJ Open</w:t>
      </w:r>
      <w:r w:rsidRPr="009D1990">
        <w:rPr>
          <w:rFonts w:ascii="Garamond" w:hAnsi="Garamond" w:cs="Times New Roman"/>
          <w:noProof/>
        </w:rPr>
        <w:t>. 2018;8(3):1-17. doi:10.1136/bmjopen-2017-019456</w:t>
      </w:r>
    </w:p>
    <w:p w14:paraId="4E786510"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cs="Times New Roman"/>
          <w:noProof/>
        </w:rPr>
      </w:pPr>
      <w:r w:rsidRPr="009D1990">
        <w:rPr>
          <w:rFonts w:ascii="Garamond" w:hAnsi="Garamond" w:cs="Times New Roman"/>
          <w:noProof/>
        </w:rPr>
        <w:lastRenderedPageBreak/>
        <w:t xml:space="preserve">20. </w:t>
      </w:r>
      <w:r w:rsidRPr="009D1990">
        <w:rPr>
          <w:rFonts w:ascii="Garamond" w:hAnsi="Garamond" w:cs="Times New Roman"/>
          <w:noProof/>
        </w:rPr>
        <w:tab/>
        <w:t xml:space="preserve">Conference of Postgraduate Medical Deans. </w:t>
      </w:r>
      <w:r w:rsidRPr="009D1990">
        <w:rPr>
          <w:rFonts w:ascii="Garamond" w:hAnsi="Garamond" w:cs="Times New Roman"/>
          <w:i/>
          <w:iCs/>
          <w:noProof/>
        </w:rPr>
        <w:t>The Gold Guide - 7th Edition</w:t>
      </w:r>
      <w:r w:rsidRPr="009D1990">
        <w:rPr>
          <w:rFonts w:ascii="Garamond" w:hAnsi="Garamond" w:cs="Times New Roman"/>
          <w:noProof/>
        </w:rPr>
        <w:t>.; 2017. doi:10.1136/bmj.a757</w:t>
      </w:r>
    </w:p>
    <w:p w14:paraId="7BCA04CE" w14:textId="77777777" w:rsidR="009D1990" w:rsidRPr="009D1990" w:rsidRDefault="009D1990" w:rsidP="009D1990">
      <w:pPr>
        <w:widowControl w:val="0"/>
        <w:autoSpaceDE w:val="0"/>
        <w:autoSpaceDN w:val="0"/>
        <w:adjustRightInd w:val="0"/>
        <w:spacing w:after="120" w:line="480" w:lineRule="auto"/>
        <w:ind w:left="640" w:hanging="640"/>
        <w:rPr>
          <w:rFonts w:ascii="Garamond" w:hAnsi="Garamond"/>
          <w:noProof/>
        </w:rPr>
      </w:pPr>
      <w:r w:rsidRPr="009D1990">
        <w:rPr>
          <w:rFonts w:ascii="Garamond" w:hAnsi="Garamond" w:cs="Times New Roman"/>
          <w:noProof/>
        </w:rPr>
        <w:t xml:space="preserve">21. </w:t>
      </w:r>
      <w:r w:rsidRPr="009D1990">
        <w:rPr>
          <w:rFonts w:ascii="Garamond" w:hAnsi="Garamond" w:cs="Times New Roman"/>
          <w:noProof/>
        </w:rPr>
        <w:tab/>
        <w:t xml:space="preserve">Curtis A, Eley L, Gray S, Irish B. Women in senior post-graduate medicine career roles in the UK: a qualitative study. </w:t>
      </w:r>
      <w:r w:rsidRPr="009D1990">
        <w:rPr>
          <w:rFonts w:ascii="Garamond" w:hAnsi="Garamond" w:cs="Times New Roman"/>
          <w:i/>
          <w:iCs/>
          <w:noProof/>
        </w:rPr>
        <w:t>JRSM Open</w:t>
      </w:r>
      <w:r w:rsidRPr="009D1990">
        <w:rPr>
          <w:rFonts w:ascii="Garamond" w:hAnsi="Garamond" w:cs="Times New Roman"/>
          <w:noProof/>
        </w:rPr>
        <w:t>. 2017;8(1):205427041666930. doi:10.1177/2054270416669305</w:t>
      </w:r>
    </w:p>
    <w:p w14:paraId="0FA11642" w14:textId="1F67F007" w:rsidR="00ED4D05" w:rsidRPr="00ED4D05" w:rsidRDefault="00ED4D05" w:rsidP="00FF62C3">
      <w:pPr>
        <w:widowControl w:val="0"/>
        <w:autoSpaceDE w:val="0"/>
        <w:autoSpaceDN w:val="0"/>
        <w:adjustRightInd w:val="0"/>
        <w:spacing w:after="120" w:line="480" w:lineRule="auto"/>
        <w:ind w:left="640" w:hanging="640"/>
        <w:rPr>
          <w:rFonts w:ascii="Garamond" w:hAnsi="Garamond"/>
        </w:rPr>
      </w:pPr>
      <w:r>
        <w:rPr>
          <w:rFonts w:ascii="Garamond" w:hAnsi="Garamond"/>
        </w:rPr>
        <w:fldChar w:fldCharType="end"/>
      </w:r>
    </w:p>
    <w:sectPr w:rsidR="00ED4D05" w:rsidRPr="00ED4D05" w:rsidSect="006255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018E2"/>
    <w:multiLevelType w:val="hybridMultilevel"/>
    <w:tmpl w:val="A1F0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81660"/>
    <w:multiLevelType w:val="hybridMultilevel"/>
    <w:tmpl w:val="DA962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96293F"/>
    <w:multiLevelType w:val="hybridMultilevel"/>
    <w:tmpl w:val="F3943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18"/>
    <w:rsid w:val="00006A59"/>
    <w:rsid w:val="0001761F"/>
    <w:rsid w:val="00031077"/>
    <w:rsid w:val="00043744"/>
    <w:rsid w:val="00051283"/>
    <w:rsid w:val="000537BD"/>
    <w:rsid w:val="00080242"/>
    <w:rsid w:val="000854D2"/>
    <w:rsid w:val="00085DEA"/>
    <w:rsid w:val="00092317"/>
    <w:rsid w:val="000E36D1"/>
    <w:rsid w:val="001367C1"/>
    <w:rsid w:val="00147415"/>
    <w:rsid w:val="00176E45"/>
    <w:rsid w:val="00191A55"/>
    <w:rsid w:val="001A288E"/>
    <w:rsid w:val="001A397C"/>
    <w:rsid w:val="001C205A"/>
    <w:rsid w:val="001D5AD7"/>
    <w:rsid w:val="001F0118"/>
    <w:rsid w:val="001F420E"/>
    <w:rsid w:val="001F4D29"/>
    <w:rsid w:val="002110DD"/>
    <w:rsid w:val="002206DD"/>
    <w:rsid w:val="00260175"/>
    <w:rsid w:val="00266B42"/>
    <w:rsid w:val="002C05C4"/>
    <w:rsid w:val="002D13C0"/>
    <w:rsid w:val="00307DE6"/>
    <w:rsid w:val="0031332A"/>
    <w:rsid w:val="00325317"/>
    <w:rsid w:val="0033269C"/>
    <w:rsid w:val="00332BF8"/>
    <w:rsid w:val="00344F34"/>
    <w:rsid w:val="00345045"/>
    <w:rsid w:val="003462EF"/>
    <w:rsid w:val="00347DE7"/>
    <w:rsid w:val="00352AC8"/>
    <w:rsid w:val="0035736A"/>
    <w:rsid w:val="0035777D"/>
    <w:rsid w:val="00362B6E"/>
    <w:rsid w:val="003735A9"/>
    <w:rsid w:val="003816BC"/>
    <w:rsid w:val="003A25AB"/>
    <w:rsid w:val="003C3D48"/>
    <w:rsid w:val="003D0D75"/>
    <w:rsid w:val="003E7265"/>
    <w:rsid w:val="003F030E"/>
    <w:rsid w:val="00402884"/>
    <w:rsid w:val="00410C93"/>
    <w:rsid w:val="00412542"/>
    <w:rsid w:val="00442D78"/>
    <w:rsid w:val="004711C6"/>
    <w:rsid w:val="00475F7F"/>
    <w:rsid w:val="004A5359"/>
    <w:rsid w:val="004C207E"/>
    <w:rsid w:val="004C586C"/>
    <w:rsid w:val="004D4224"/>
    <w:rsid w:val="005320E2"/>
    <w:rsid w:val="00540E05"/>
    <w:rsid w:val="00581677"/>
    <w:rsid w:val="005A55FA"/>
    <w:rsid w:val="005D1E16"/>
    <w:rsid w:val="005D2596"/>
    <w:rsid w:val="005D6FC6"/>
    <w:rsid w:val="005E66EC"/>
    <w:rsid w:val="005F40F8"/>
    <w:rsid w:val="0062419E"/>
    <w:rsid w:val="006255CB"/>
    <w:rsid w:val="00636985"/>
    <w:rsid w:val="006454FF"/>
    <w:rsid w:val="00660605"/>
    <w:rsid w:val="00666718"/>
    <w:rsid w:val="006723A5"/>
    <w:rsid w:val="00682AEC"/>
    <w:rsid w:val="006857ED"/>
    <w:rsid w:val="00692023"/>
    <w:rsid w:val="0069628E"/>
    <w:rsid w:val="006A6F7A"/>
    <w:rsid w:val="006C3202"/>
    <w:rsid w:val="006C5760"/>
    <w:rsid w:val="006D4ADE"/>
    <w:rsid w:val="007012EF"/>
    <w:rsid w:val="00706E55"/>
    <w:rsid w:val="007111FC"/>
    <w:rsid w:val="00756AF8"/>
    <w:rsid w:val="00764D8D"/>
    <w:rsid w:val="007930E3"/>
    <w:rsid w:val="00797CDB"/>
    <w:rsid w:val="007A65BF"/>
    <w:rsid w:val="007B55C1"/>
    <w:rsid w:val="007C1BB6"/>
    <w:rsid w:val="007F0113"/>
    <w:rsid w:val="00821637"/>
    <w:rsid w:val="00826DE7"/>
    <w:rsid w:val="00842B0F"/>
    <w:rsid w:val="00842CFB"/>
    <w:rsid w:val="00866FF9"/>
    <w:rsid w:val="008B5B1E"/>
    <w:rsid w:val="00900BDF"/>
    <w:rsid w:val="0093247F"/>
    <w:rsid w:val="0093499C"/>
    <w:rsid w:val="00937152"/>
    <w:rsid w:val="00954BD3"/>
    <w:rsid w:val="009614E8"/>
    <w:rsid w:val="0097716A"/>
    <w:rsid w:val="00982477"/>
    <w:rsid w:val="00991A34"/>
    <w:rsid w:val="00997AFF"/>
    <w:rsid w:val="009C26B9"/>
    <w:rsid w:val="009D1990"/>
    <w:rsid w:val="009D5B84"/>
    <w:rsid w:val="009E7182"/>
    <w:rsid w:val="00A10831"/>
    <w:rsid w:val="00A14963"/>
    <w:rsid w:val="00A51CEA"/>
    <w:rsid w:val="00A7339A"/>
    <w:rsid w:val="00A75444"/>
    <w:rsid w:val="00A87013"/>
    <w:rsid w:val="00A87DDF"/>
    <w:rsid w:val="00AA51FD"/>
    <w:rsid w:val="00AA55D4"/>
    <w:rsid w:val="00AB00DE"/>
    <w:rsid w:val="00AB3842"/>
    <w:rsid w:val="00B00036"/>
    <w:rsid w:val="00B03E5B"/>
    <w:rsid w:val="00B07AB2"/>
    <w:rsid w:val="00B3125F"/>
    <w:rsid w:val="00B324AA"/>
    <w:rsid w:val="00B3511C"/>
    <w:rsid w:val="00B649BA"/>
    <w:rsid w:val="00B729D3"/>
    <w:rsid w:val="00BE5757"/>
    <w:rsid w:val="00C25845"/>
    <w:rsid w:val="00C33A13"/>
    <w:rsid w:val="00C73053"/>
    <w:rsid w:val="00C7466D"/>
    <w:rsid w:val="00C7768A"/>
    <w:rsid w:val="00C82774"/>
    <w:rsid w:val="00C8647B"/>
    <w:rsid w:val="00C91889"/>
    <w:rsid w:val="00C960BB"/>
    <w:rsid w:val="00CC2350"/>
    <w:rsid w:val="00CD06DE"/>
    <w:rsid w:val="00CD13E3"/>
    <w:rsid w:val="00CE3310"/>
    <w:rsid w:val="00CE7C1D"/>
    <w:rsid w:val="00CF7E68"/>
    <w:rsid w:val="00D002EF"/>
    <w:rsid w:val="00D33076"/>
    <w:rsid w:val="00D4522B"/>
    <w:rsid w:val="00D505B7"/>
    <w:rsid w:val="00D7722A"/>
    <w:rsid w:val="00DA0032"/>
    <w:rsid w:val="00DC23A8"/>
    <w:rsid w:val="00DD170E"/>
    <w:rsid w:val="00DD2A5C"/>
    <w:rsid w:val="00DD7AC7"/>
    <w:rsid w:val="00E276C6"/>
    <w:rsid w:val="00E660D3"/>
    <w:rsid w:val="00E7028C"/>
    <w:rsid w:val="00E76BCB"/>
    <w:rsid w:val="00EB0631"/>
    <w:rsid w:val="00ED4D05"/>
    <w:rsid w:val="00EE202C"/>
    <w:rsid w:val="00EF756D"/>
    <w:rsid w:val="00F10A95"/>
    <w:rsid w:val="00F44C91"/>
    <w:rsid w:val="00F46F5D"/>
    <w:rsid w:val="00F9632F"/>
    <w:rsid w:val="00FA30B7"/>
    <w:rsid w:val="00FB5DBC"/>
    <w:rsid w:val="00FB78DB"/>
    <w:rsid w:val="00FC6AEC"/>
    <w:rsid w:val="00FD40FE"/>
    <w:rsid w:val="00FD5242"/>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D4C3"/>
  <w15:docId w15:val="{A99BA69F-61F8-064F-9AE4-6A196DFF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18"/>
    <w:pPr>
      <w:ind w:left="720"/>
      <w:contextualSpacing/>
    </w:pPr>
  </w:style>
  <w:style w:type="paragraph" w:styleId="Quote">
    <w:name w:val="Quote"/>
    <w:basedOn w:val="Normal"/>
    <w:next w:val="Normal"/>
    <w:link w:val="QuoteChar"/>
    <w:uiPriority w:val="29"/>
    <w:qFormat/>
    <w:rsid w:val="006667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6718"/>
    <w:rPr>
      <w:i/>
      <w:iCs/>
      <w:color w:val="404040" w:themeColor="text1" w:themeTint="BF"/>
    </w:rPr>
  </w:style>
  <w:style w:type="character" w:styleId="CommentReference">
    <w:name w:val="annotation reference"/>
    <w:basedOn w:val="DefaultParagraphFont"/>
    <w:uiPriority w:val="99"/>
    <w:semiHidden/>
    <w:unhideWhenUsed/>
    <w:rsid w:val="00DC23A8"/>
    <w:rPr>
      <w:sz w:val="16"/>
      <w:szCs w:val="16"/>
    </w:rPr>
  </w:style>
  <w:style w:type="paragraph" w:styleId="CommentText">
    <w:name w:val="annotation text"/>
    <w:basedOn w:val="Normal"/>
    <w:link w:val="CommentTextChar"/>
    <w:uiPriority w:val="99"/>
    <w:semiHidden/>
    <w:unhideWhenUsed/>
    <w:rsid w:val="00DC23A8"/>
    <w:rPr>
      <w:sz w:val="20"/>
      <w:szCs w:val="20"/>
    </w:rPr>
  </w:style>
  <w:style w:type="character" w:customStyle="1" w:styleId="CommentTextChar">
    <w:name w:val="Comment Text Char"/>
    <w:basedOn w:val="DefaultParagraphFont"/>
    <w:link w:val="CommentText"/>
    <w:uiPriority w:val="99"/>
    <w:semiHidden/>
    <w:rsid w:val="00DC23A8"/>
    <w:rPr>
      <w:sz w:val="20"/>
      <w:szCs w:val="20"/>
    </w:rPr>
  </w:style>
  <w:style w:type="paragraph" w:styleId="CommentSubject">
    <w:name w:val="annotation subject"/>
    <w:basedOn w:val="CommentText"/>
    <w:next w:val="CommentText"/>
    <w:link w:val="CommentSubjectChar"/>
    <w:uiPriority w:val="99"/>
    <w:semiHidden/>
    <w:unhideWhenUsed/>
    <w:rsid w:val="00DC23A8"/>
    <w:rPr>
      <w:b/>
      <w:bCs/>
    </w:rPr>
  </w:style>
  <w:style w:type="character" w:customStyle="1" w:styleId="CommentSubjectChar">
    <w:name w:val="Comment Subject Char"/>
    <w:basedOn w:val="CommentTextChar"/>
    <w:link w:val="CommentSubject"/>
    <w:uiPriority w:val="99"/>
    <w:semiHidden/>
    <w:rsid w:val="00DC23A8"/>
    <w:rPr>
      <w:b/>
      <w:bCs/>
      <w:sz w:val="20"/>
      <w:szCs w:val="20"/>
    </w:rPr>
  </w:style>
  <w:style w:type="paragraph" w:styleId="BalloonText">
    <w:name w:val="Balloon Text"/>
    <w:basedOn w:val="Normal"/>
    <w:link w:val="BalloonTextChar"/>
    <w:uiPriority w:val="99"/>
    <w:semiHidden/>
    <w:unhideWhenUsed/>
    <w:rsid w:val="00DC23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3A8"/>
    <w:rPr>
      <w:rFonts w:ascii="Times New Roman" w:hAnsi="Times New Roman" w:cs="Times New Roman"/>
      <w:sz w:val="18"/>
      <w:szCs w:val="18"/>
    </w:rPr>
  </w:style>
  <w:style w:type="table" w:styleId="TableGrid">
    <w:name w:val="Table Grid"/>
    <w:basedOn w:val="TableNormal"/>
    <w:uiPriority w:val="39"/>
    <w:rsid w:val="0030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07DE6"/>
    <w:pPr>
      <w:spacing w:after="200"/>
    </w:pPr>
    <w:rPr>
      <w:i/>
      <w:iCs/>
      <w:color w:val="44546A" w:themeColor="text2"/>
      <w:sz w:val="18"/>
      <w:szCs w:val="18"/>
    </w:rPr>
  </w:style>
  <w:style w:type="paragraph" w:styleId="Revision">
    <w:name w:val="Revision"/>
    <w:hidden/>
    <w:uiPriority w:val="99"/>
    <w:semiHidden/>
    <w:rsid w:val="00ED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87937">
      <w:bodyDiv w:val="1"/>
      <w:marLeft w:val="0"/>
      <w:marRight w:val="0"/>
      <w:marTop w:val="0"/>
      <w:marBottom w:val="0"/>
      <w:divBdr>
        <w:top w:val="none" w:sz="0" w:space="0" w:color="auto"/>
        <w:left w:val="none" w:sz="0" w:space="0" w:color="auto"/>
        <w:bottom w:val="none" w:sz="0" w:space="0" w:color="auto"/>
        <w:right w:val="none" w:sz="0" w:space="0" w:color="auto"/>
      </w:divBdr>
    </w:div>
    <w:div w:id="8268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95D1-B70F-7F45-8C4D-70D0FCF1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10333</Words>
  <Characters>58899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Rees</dc:creator>
  <cp:lastModifiedBy>Eliot Rees</cp:lastModifiedBy>
  <cp:revision>3</cp:revision>
  <dcterms:created xsi:type="dcterms:W3CDTF">2020-08-20T08:09:00Z</dcterms:created>
  <dcterms:modified xsi:type="dcterms:W3CDTF">2020-08-20T08:10:00Z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ba13b9f8-2287-35a7-8956-b6e00a8e5bd2</vt:lpwstr>
  </property>
  <property fmtid="{D5CDD505-2E9C-101B-9397-08002B2CF9AE}" pid="24" name="Mendeley Citation Style_1">
    <vt:lpwstr>http://www.zotero.org/styles/american-medical-association</vt:lpwstr>
  </property>
</Properties>
</file>