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7AB86" w14:textId="77777777" w:rsidR="002012DA" w:rsidRDefault="002012DA">
      <w:pPr>
        <w:pStyle w:val="Body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Letter to Editor, </w:t>
      </w:r>
    </w:p>
    <w:p w14:paraId="29317034" w14:textId="0127C9DC" w:rsidR="00A022BA" w:rsidRPr="00DA713A" w:rsidRDefault="005507EE">
      <w:pPr>
        <w:pStyle w:val="Body"/>
        <w:rPr>
          <w:rFonts w:ascii="Times New Roman" w:hAnsi="Times New Roman" w:cs="Times New Roman"/>
          <w:b/>
          <w:bCs/>
          <w:lang w:val="fr-FR"/>
        </w:rPr>
      </w:pPr>
      <w:r w:rsidRPr="00DA713A">
        <w:rPr>
          <w:rFonts w:ascii="Times New Roman" w:hAnsi="Times New Roman" w:cs="Times New Roman"/>
          <w:b/>
          <w:bCs/>
        </w:rPr>
        <w:t xml:space="preserve">GP perceptions on improving a secondary care-based </w:t>
      </w:r>
      <w:r w:rsidRPr="00DA713A">
        <w:rPr>
          <w:rFonts w:ascii="Times New Roman" w:hAnsi="Times New Roman" w:cs="Times New Roman"/>
          <w:b/>
          <w:bCs/>
          <w:lang w:val="fr-FR"/>
        </w:rPr>
        <w:t>Fracture Liaison Service (FLS)</w:t>
      </w:r>
    </w:p>
    <w:p w14:paraId="53F6E43C" w14:textId="419EBAD9" w:rsidR="002D5A77" w:rsidRPr="002D5A77" w:rsidRDefault="002D5A77">
      <w:pPr>
        <w:pStyle w:val="Body"/>
        <w:rPr>
          <w:rFonts w:ascii="Times New Roman" w:hAnsi="Times New Roman" w:cs="Times New Roman"/>
          <w:b/>
          <w:bCs/>
          <w:u w:val="single"/>
          <w:lang w:val="fr-FR"/>
        </w:rPr>
      </w:pPr>
    </w:p>
    <w:p w14:paraId="0A434585" w14:textId="77777777" w:rsidR="002D5A77" w:rsidRPr="002D5A77" w:rsidRDefault="002D5A77" w:rsidP="002D5A77">
      <w:pPr>
        <w:rPr>
          <w:sz w:val="22"/>
          <w:szCs w:val="22"/>
          <w:u w:val="single"/>
        </w:rPr>
      </w:pPr>
      <w:r w:rsidRPr="002D5A77">
        <w:rPr>
          <w:sz w:val="22"/>
          <w:szCs w:val="22"/>
          <w:u w:val="single"/>
        </w:rPr>
        <w:t xml:space="preserve">Authors: </w:t>
      </w:r>
    </w:p>
    <w:p w14:paraId="5669BFDE" w14:textId="788BDAC8" w:rsidR="002D5A77" w:rsidRPr="002D5A77" w:rsidRDefault="002D5A77" w:rsidP="002D5A77">
      <w:pPr>
        <w:rPr>
          <w:sz w:val="22"/>
          <w:szCs w:val="22"/>
        </w:rPr>
      </w:pPr>
      <w:r w:rsidRPr="002D5A77">
        <w:rPr>
          <w:sz w:val="22"/>
          <w:szCs w:val="22"/>
        </w:rPr>
        <w:t xml:space="preserve">Dr. Fay Crawford-Manning, School of </w:t>
      </w:r>
      <w:r w:rsidR="00E16852">
        <w:rPr>
          <w:sz w:val="22"/>
          <w:szCs w:val="22"/>
        </w:rPr>
        <w:t>Medicine</w:t>
      </w:r>
      <w:r w:rsidRPr="002D5A77">
        <w:rPr>
          <w:sz w:val="22"/>
          <w:szCs w:val="22"/>
        </w:rPr>
        <w:t>, Keele University &amp; Haywood Academic Rheumatology Centre, Stoke-on-Trent, UK</w:t>
      </w:r>
      <w:r w:rsidRPr="002D5A77">
        <w:rPr>
          <w:sz w:val="22"/>
          <w:szCs w:val="22"/>
        </w:rPr>
        <w:br/>
      </w:r>
    </w:p>
    <w:p w14:paraId="645DEED0" w14:textId="1E7D737A" w:rsidR="00AE0608" w:rsidRDefault="002D5A77" w:rsidP="002D5A77">
      <w:pPr>
        <w:rPr>
          <w:sz w:val="22"/>
          <w:szCs w:val="22"/>
        </w:rPr>
      </w:pPr>
      <w:r w:rsidRPr="002D5A77">
        <w:rPr>
          <w:sz w:val="22"/>
          <w:szCs w:val="22"/>
        </w:rPr>
        <w:t>Kerrie Gould, Haywood Academic Rheumatology Centre, Stoke-on-Trent, UK</w:t>
      </w:r>
    </w:p>
    <w:p w14:paraId="4DC3C844" w14:textId="77777777" w:rsidR="00AE0608" w:rsidRDefault="00AE0608" w:rsidP="002D5A77">
      <w:pPr>
        <w:rPr>
          <w:sz w:val="22"/>
          <w:szCs w:val="22"/>
        </w:rPr>
      </w:pPr>
    </w:p>
    <w:p w14:paraId="2FA14D11" w14:textId="77777777" w:rsidR="00AE0608" w:rsidRDefault="00AE0608" w:rsidP="002D5A77">
      <w:pPr>
        <w:rPr>
          <w:sz w:val="22"/>
          <w:szCs w:val="22"/>
        </w:rPr>
      </w:pPr>
      <w:r>
        <w:rPr>
          <w:sz w:val="22"/>
          <w:szCs w:val="22"/>
        </w:rPr>
        <w:t xml:space="preserve">Nicola Dale, </w:t>
      </w:r>
      <w:r w:rsidRPr="002D5A77">
        <w:rPr>
          <w:sz w:val="22"/>
          <w:szCs w:val="22"/>
        </w:rPr>
        <w:t>Haywood Academic Rheumatology Centre, Stoke-on-Trent, UK</w:t>
      </w:r>
    </w:p>
    <w:p w14:paraId="23E994ED" w14:textId="77777777" w:rsidR="00AE0608" w:rsidRDefault="00AE0608" w:rsidP="002D5A77">
      <w:pPr>
        <w:rPr>
          <w:sz w:val="22"/>
          <w:szCs w:val="22"/>
        </w:rPr>
      </w:pPr>
    </w:p>
    <w:p w14:paraId="5C5ADADB" w14:textId="3D67C216" w:rsidR="002D5A77" w:rsidRPr="002D5A77" w:rsidRDefault="00AE0608" w:rsidP="002D5A77">
      <w:pPr>
        <w:rPr>
          <w:sz w:val="22"/>
          <w:szCs w:val="22"/>
        </w:rPr>
      </w:pPr>
      <w:r>
        <w:rPr>
          <w:sz w:val="22"/>
          <w:szCs w:val="22"/>
        </w:rPr>
        <w:t xml:space="preserve">Dr. Caitlyn Dowson, </w:t>
      </w:r>
      <w:r w:rsidRPr="002D5A77">
        <w:rPr>
          <w:sz w:val="22"/>
          <w:szCs w:val="22"/>
        </w:rPr>
        <w:t xml:space="preserve">School of </w:t>
      </w:r>
      <w:r w:rsidR="00E16852">
        <w:rPr>
          <w:sz w:val="22"/>
          <w:szCs w:val="22"/>
        </w:rPr>
        <w:t>Medicine</w:t>
      </w:r>
      <w:r w:rsidRPr="002D5A77">
        <w:rPr>
          <w:sz w:val="22"/>
          <w:szCs w:val="22"/>
        </w:rPr>
        <w:t>, Keele University &amp; Haywood Academic Rheumatology Centre, Stoke-on-Trent, UK</w:t>
      </w:r>
      <w:r w:rsidR="002D5A77" w:rsidRPr="002D5A77">
        <w:rPr>
          <w:sz w:val="22"/>
          <w:szCs w:val="22"/>
        </w:rPr>
        <w:br/>
      </w:r>
    </w:p>
    <w:p w14:paraId="51CEAF32" w14:textId="62D23037" w:rsidR="002D5A77" w:rsidRPr="002D5A77" w:rsidRDefault="002D5A77" w:rsidP="002D5A77">
      <w:pPr>
        <w:rPr>
          <w:sz w:val="22"/>
          <w:szCs w:val="22"/>
        </w:rPr>
      </w:pPr>
      <w:r w:rsidRPr="002D5A77">
        <w:rPr>
          <w:sz w:val="22"/>
          <w:szCs w:val="22"/>
        </w:rPr>
        <w:t xml:space="preserve">Dr. Zoe Paskins, School </w:t>
      </w:r>
      <w:r w:rsidR="00E16852" w:rsidRPr="002D5A77">
        <w:rPr>
          <w:sz w:val="22"/>
          <w:szCs w:val="22"/>
        </w:rPr>
        <w:t xml:space="preserve">of </w:t>
      </w:r>
      <w:r w:rsidR="00E16852">
        <w:rPr>
          <w:sz w:val="22"/>
          <w:szCs w:val="22"/>
        </w:rPr>
        <w:t>Medicine</w:t>
      </w:r>
      <w:r w:rsidRPr="002D5A77">
        <w:rPr>
          <w:sz w:val="22"/>
          <w:szCs w:val="22"/>
        </w:rPr>
        <w:t>, Keele University &amp; Haywood Academic Rheumatology Centre, Stoke-on-Trent, UK</w:t>
      </w:r>
    </w:p>
    <w:p w14:paraId="0172E3A3" w14:textId="094283AF" w:rsidR="002D5A77" w:rsidRPr="00DA713A" w:rsidRDefault="002D5A77">
      <w:pPr>
        <w:pStyle w:val="Body"/>
        <w:rPr>
          <w:rFonts w:ascii="Times New Roman" w:hAnsi="Times New Roman" w:cs="Times New Roman"/>
          <w:b/>
          <w:bCs/>
        </w:rPr>
      </w:pPr>
    </w:p>
    <w:p w14:paraId="7780F571" w14:textId="77777777" w:rsidR="002012DA" w:rsidRPr="00DA713A" w:rsidRDefault="002012DA" w:rsidP="002012DA">
      <w:pPr>
        <w:pStyle w:val="Body"/>
        <w:rPr>
          <w:rFonts w:ascii="Times New Roman" w:hAnsi="Times New Roman" w:cs="Times New Roman"/>
          <w:b/>
          <w:bCs/>
        </w:rPr>
      </w:pPr>
      <w:r w:rsidRPr="00DA713A">
        <w:rPr>
          <w:rFonts w:ascii="Times New Roman" w:hAnsi="Times New Roman" w:cs="Times New Roman"/>
          <w:b/>
          <w:bCs/>
        </w:rPr>
        <w:t xml:space="preserve">Declarations </w:t>
      </w:r>
    </w:p>
    <w:p w14:paraId="2954E5FD" w14:textId="77777777" w:rsidR="002012DA" w:rsidRPr="00DA713A" w:rsidRDefault="002012DA" w:rsidP="002012DA">
      <w:pPr>
        <w:pStyle w:val="Body"/>
        <w:rPr>
          <w:rFonts w:ascii="Times New Roman" w:hAnsi="Times New Roman" w:cs="Times New Roman"/>
        </w:rPr>
      </w:pPr>
      <w:r w:rsidRPr="00DA713A">
        <w:rPr>
          <w:rFonts w:ascii="Times New Roman" w:hAnsi="Times New Roman" w:cs="Times New Roman"/>
        </w:rPr>
        <w:t>The views expressed are those of the author(s) and not necessarily those of the National Health Service, the National Institute for Health Research, or the Department of Health &amp; Social Care.</w:t>
      </w:r>
    </w:p>
    <w:p w14:paraId="3907F127" w14:textId="77777777" w:rsidR="002012DA" w:rsidRPr="00DA713A" w:rsidRDefault="002012DA" w:rsidP="002012DA">
      <w:pPr>
        <w:pStyle w:val="Body"/>
        <w:rPr>
          <w:rFonts w:ascii="Times New Roman" w:hAnsi="Times New Roman" w:cs="Times New Roman"/>
          <w:u w:val="single"/>
        </w:rPr>
      </w:pPr>
      <w:r w:rsidRPr="00DA713A">
        <w:rPr>
          <w:rFonts w:ascii="Times New Roman" w:hAnsi="Times New Roman" w:cs="Times New Roman"/>
          <w:u w:val="single"/>
        </w:rPr>
        <w:t xml:space="preserve">Funding </w:t>
      </w:r>
    </w:p>
    <w:p w14:paraId="00BB41A2" w14:textId="3E2B0DE7" w:rsidR="002012DA" w:rsidRPr="00DA713A" w:rsidRDefault="002012DA" w:rsidP="002012DA">
      <w:pPr>
        <w:pStyle w:val="Body"/>
        <w:rPr>
          <w:rFonts w:ascii="Times New Roman" w:hAnsi="Times New Roman" w:cs="Times New Roman"/>
        </w:rPr>
      </w:pPr>
      <w:r w:rsidRPr="00DA713A">
        <w:rPr>
          <w:rFonts w:ascii="Times New Roman" w:hAnsi="Times New Roman" w:cs="Times New Roman"/>
        </w:rPr>
        <w:t xml:space="preserve">ZP is funded by the National Institute for Health Research (NIHR) Clinician Scientist Award (CS-2018-18-ST2-010)/NIHR Academy. FCM is part funded by the NIHR Clinical Research Scholar Programme. </w:t>
      </w:r>
    </w:p>
    <w:p w14:paraId="2AD19CE0" w14:textId="77777777" w:rsidR="002012DA" w:rsidRPr="00DA713A" w:rsidRDefault="002012DA" w:rsidP="002012DA">
      <w:pPr>
        <w:pStyle w:val="Body"/>
        <w:rPr>
          <w:rFonts w:ascii="Times New Roman" w:hAnsi="Times New Roman" w:cs="Times New Roman"/>
          <w:u w:val="single"/>
        </w:rPr>
      </w:pPr>
      <w:r w:rsidRPr="00DA713A">
        <w:rPr>
          <w:rFonts w:ascii="Times New Roman" w:hAnsi="Times New Roman" w:cs="Times New Roman"/>
          <w:u w:val="single"/>
        </w:rPr>
        <w:t>Conflicts of interest/Competing interests</w:t>
      </w:r>
    </w:p>
    <w:p w14:paraId="467BF99E" w14:textId="4B301421" w:rsidR="002012DA" w:rsidRPr="00DA713A" w:rsidRDefault="00511278" w:rsidP="002012DA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Fay Crawford-Manning, Kerrie Gould, Nicola Dale, Caitlyn Dowson and Zoe Paskins </w:t>
      </w:r>
      <w:r w:rsidRPr="00511278">
        <w:rPr>
          <w:rFonts w:ascii="Times New Roman" w:hAnsi="Times New Roman" w:cs="Times New Roman"/>
        </w:rPr>
        <w:t>declare that they have no conflict of interest</w:t>
      </w:r>
    </w:p>
    <w:p w14:paraId="1D24093D" w14:textId="77777777" w:rsidR="002012DA" w:rsidRPr="00DA713A" w:rsidRDefault="002012DA" w:rsidP="002012DA">
      <w:pPr>
        <w:pStyle w:val="Body"/>
        <w:rPr>
          <w:rFonts w:ascii="Times New Roman" w:hAnsi="Times New Roman" w:cs="Times New Roman"/>
          <w:u w:val="single"/>
        </w:rPr>
      </w:pPr>
      <w:r w:rsidRPr="00DA713A">
        <w:rPr>
          <w:rFonts w:ascii="Times New Roman" w:hAnsi="Times New Roman" w:cs="Times New Roman"/>
          <w:u w:val="single"/>
        </w:rPr>
        <w:t>Availability of data and material</w:t>
      </w:r>
    </w:p>
    <w:p w14:paraId="0A833B6F" w14:textId="77777777" w:rsidR="002012DA" w:rsidRPr="00DA713A" w:rsidRDefault="002012DA" w:rsidP="002012DA">
      <w:pPr>
        <w:pStyle w:val="Body"/>
        <w:rPr>
          <w:rFonts w:ascii="Times New Roman" w:hAnsi="Times New Roman" w:cs="Times New Roman"/>
        </w:rPr>
      </w:pPr>
      <w:r w:rsidRPr="00DA713A">
        <w:rPr>
          <w:rFonts w:ascii="Times New Roman" w:hAnsi="Times New Roman" w:cs="Times New Roman"/>
        </w:rPr>
        <w:t>Not applicable</w:t>
      </w:r>
    </w:p>
    <w:p w14:paraId="678BD5BB" w14:textId="77777777" w:rsidR="002012DA" w:rsidRPr="00DA713A" w:rsidRDefault="002012DA" w:rsidP="002012DA">
      <w:pPr>
        <w:pStyle w:val="Body"/>
        <w:rPr>
          <w:rFonts w:ascii="Times New Roman" w:hAnsi="Times New Roman" w:cs="Times New Roman"/>
          <w:u w:val="single"/>
        </w:rPr>
      </w:pPr>
      <w:r w:rsidRPr="00DA713A">
        <w:rPr>
          <w:rFonts w:ascii="Times New Roman" w:hAnsi="Times New Roman" w:cs="Times New Roman"/>
          <w:u w:val="single"/>
        </w:rPr>
        <w:t>Code availability</w:t>
      </w:r>
    </w:p>
    <w:p w14:paraId="57C28C71" w14:textId="7A9360EA" w:rsidR="002012DA" w:rsidRPr="00DA713A" w:rsidRDefault="002012DA" w:rsidP="002012DA">
      <w:pPr>
        <w:pStyle w:val="Body"/>
        <w:rPr>
          <w:rFonts w:ascii="Times New Roman" w:hAnsi="Times New Roman" w:cs="Times New Roman"/>
        </w:rPr>
      </w:pPr>
      <w:r w:rsidRPr="00DA713A">
        <w:rPr>
          <w:rFonts w:ascii="Times New Roman" w:hAnsi="Times New Roman" w:cs="Times New Roman"/>
        </w:rPr>
        <w:t>Not applicable</w:t>
      </w:r>
    </w:p>
    <w:p w14:paraId="47FE0981" w14:textId="77777777" w:rsidR="002012DA" w:rsidRDefault="002012DA">
      <w:pPr>
        <w:rPr>
          <w:color w:val="000000"/>
          <w:sz w:val="22"/>
          <w:szCs w:val="22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68AA3FE6" w14:textId="16BB0876" w:rsidR="00A022BA" w:rsidRPr="002D5A77" w:rsidRDefault="005507EE">
      <w:pPr>
        <w:pStyle w:val="Body"/>
        <w:rPr>
          <w:rFonts w:ascii="Times New Roman" w:hAnsi="Times New Roman" w:cs="Times New Roman"/>
        </w:rPr>
      </w:pPr>
      <w:r w:rsidRPr="002D5A77">
        <w:rPr>
          <w:rFonts w:ascii="Times New Roman" w:hAnsi="Times New Roman" w:cs="Times New Roman"/>
        </w:rPr>
        <w:lastRenderedPageBreak/>
        <w:t>Sir, Evidence has highlighted a care gap between evidence-based recommendations and actual clinical practice for post-fracture management</w:t>
      </w:r>
      <w:r w:rsidR="002012DA">
        <w:rPr>
          <w:rFonts w:ascii="Times New Roman" w:hAnsi="Times New Roman" w:cs="Times New Roman"/>
        </w:rPr>
        <w:t xml:space="preserve"> [1]</w:t>
      </w:r>
      <w:r w:rsidRPr="002D5A77">
        <w:rPr>
          <w:rFonts w:ascii="Times New Roman" w:hAnsi="Times New Roman" w:cs="Times New Roman"/>
        </w:rPr>
        <w:t>.  F</w:t>
      </w:r>
      <w:r w:rsidR="00DA713A">
        <w:rPr>
          <w:rFonts w:ascii="Times New Roman" w:hAnsi="Times New Roman" w:cs="Times New Roman"/>
        </w:rPr>
        <w:t xml:space="preserve">racture </w:t>
      </w:r>
      <w:r w:rsidRPr="002D5A77">
        <w:rPr>
          <w:rFonts w:ascii="Times New Roman" w:hAnsi="Times New Roman" w:cs="Times New Roman"/>
        </w:rPr>
        <w:t>L</w:t>
      </w:r>
      <w:r w:rsidR="00DA713A">
        <w:rPr>
          <w:rFonts w:ascii="Times New Roman" w:hAnsi="Times New Roman" w:cs="Times New Roman"/>
        </w:rPr>
        <w:t xml:space="preserve">iaison </w:t>
      </w:r>
      <w:r w:rsidRPr="002D5A77">
        <w:rPr>
          <w:rFonts w:ascii="Times New Roman" w:hAnsi="Times New Roman" w:cs="Times New Roman"/>
        </w:rPr>
        <w:t>S</w:t>
      </w:r>
      <w:r w:rsidR="00DA713A">
        <w:rPr>
          <w:rFonts w:ascii="Times New Roman" w:hAnsi="Times New Roman" w:cs="Times New Roman"/>
        </w:rPr>
        <w:t>ervice (FLS)</w:t>
      </w:r>
      <w:r w:rsidRPr="002D5A77">
        <w:rPr>
          <w:rFonts w:ascii="Times New Roman" w:hAnsi="Times New Roman" w:cs="Times New Roman"/>
        </w:rPr>
        <w:t xml:space="preserve"> implementation is</w:t>
      </w:r>
      <w:r w:rsidRPr="002D5A77">
        <w:rPr>
          <w:rFonts w:ascii="Times New Roman" w:hAnsi="Times New Roman" w:cs="Times New Roman"/>
          <w:lang w:val="it-IT"/>
        </w:rPr>
        <w:t xml:space="preserve"> a cost</w:t>
      </w:r>
      <w:r w:rsidRPr="002D5A77">
        <w:rPr>
          <w:rFonts w:ascii="Times New Roman" w:hAnsi="Times New Roman" w:cs="Times New Roman"/>
        </w:rPr>
        <w:t xml:space="preserve"> and clinically effective approach in decreasing the risk of secondary</w:t>
      </w:r>
      <w:r w:rsidR="00DA713A">
        <w:rPr>
          <w:rFonts w:ascii="Times New Roman" w:hAnsi="Times New Roman" w:cs="Times New Roman"/>
        </w:rPr>
        <w:t xml:space="preserve"> </w:t>
      </w:r>
      <w:r w:rsidRPr="002D5A77">
        <w:rPr>
          <w:rFonts w:ascii="Times New Roman" w:hAnsi="Times New Roman" w:cs="Times New Roman"/>
        </w:rPr>
        <w:t>fracture and associated mortality</w:t>
      </w:r>
      <w:r w:rsidR="002012DA">
        <w:rPr>
          <w:rFonts w:ascii="Times New Roman" w:hAnsi="Times New Roman" w:cs="Times New Roman"/>
        </w:rPr>
        <w:t xml:space="preserve"> [2,3]</w:t>
      </w:r>
      <w:r w:rsidRPr="002D5A77">
        <w:rPr>
          <w:rFonts w:ascii="Times New Roman" w:hAnsi="Times New Roman" w:cs="Times New Roman"/>
        </w:rPr>
        <w:t xml:space="preserve">. However, national audit data </w:t>
      </w:r>
      <w:r w:rsidR="00DA713A">
        <w:rPr>
          <w:rFonts w:ascii="Times New Roman" w:hAnsi="Times New Roman" w:cs="Times New Roman"/>
        </w:rPr>
        <w:t xml:space="preserve">of FLS performance </w:t>
      </w:r>
      <w:r w:rsidRPr="002D5A77">
        <w:rPr>
          <w:rFonts w:ascii="Times New Roman" w:hAnsi="Times New Roman" w:cs="Times New Roman"/>
        </w:rPr>
        <w:t xml:space="preserve">still shows poor </w:t>
      </w:r>
      <w:r w:rsidR="00DA713A">
        <w:rPr>
          <w:rFonts w:ascii="Times New Roman" w:hAnsi="Times New Roman" w:cs="Times New Roman"/>
        </w:rPr>
        <w:t>uptake of</w:t>
      </w:r>
      <w:r w:rsidRPr="002D5A77">
        <w:rPr>
          <w:rFonts w:ascii="Times New Roman" w:hAnsi="Times New Roman" w:cs="Times New Roman"/>
        </w:rPr>
        <w:t xml:space="preserve"> osteoporosis drugs </w:t>
      </w:r>
      <w:r w:rsidR="00DA713A">
        <w:rPr>
          <w:rFonts w:ascii="Times New Roman" w:hAnsi="Times New Roman" w:cs="Times New Roman"/>
        </w:rPr>
        <w:t>1 year after FLS assessment</w:t>
      </w:r>
      <w:r w:rsidR="002012DA">
        <w:rPr>
          <w:rFonts w:ascii="Times New Roman" w:hAnsi="Times New Roman" w:cs="Times New Roman"/>
        </w:rPr>
        <w:t xml:space="preserve"> [4]</w:t>
      </w:r>
      <w:r w:rsidRPr="002D5A77">
        <w:rPr>
          <w:rFonts w:ascii="Times New Roman" w:hAnsi="Times New Roman" w:cs="Times New Roman"/>
        </w:rPr>
        <w:t>. We aimed to seek GP views on how a secondary care FLS (with an FLS coordinator who undertakes all aspects of assessment and management</w:t>
      </w:r>
      <w:r w:rsidR="0097071E">
        <w:rPr>
          <w:rFonts w:ascii="Times New Roman" w:hAnsi="Times New Roman" w:cs="Times New Roman"/>
        </w:rPr>
        <w:t>, including follow-up</w:t>
      </w:r>
      <w:r w:rsidRPr="002D5A77">
        <w:rPr>
          <w:rFonts w:ascii="Times New Roman" w:hAnsi="Times New Roman" w:cs="Times New Roman"/>
        </w:rPr>
        <w:t>, apart from issuing prescription</w:t>
      </w:r>
      <w:r w:rsidR="00DA713A">
        <w:rPr>
          <w:rFonts w:ascii="Times New Roman" w:hAnsi="Times New Roman" w:cs="Times New Roman"/>
        </w:rPr>
        <w:t>s</w:t>
      </w:r>
      <w:r w:rsidRPr="002D5A77">
        <w:rPr>
          <w:rFonts w:ascii="Times New Roman" w:hAnsi="Times New Roman" w:cs="Times New Roman"/>
        </w:rPr>
        <w:t xml:space="preserve">) could be improved. </w:t>
      </w:r>
    </w:p>
    <w:p w14:paraId="5169BD2D" w14:textId="677A8070" w:rsidR="00DA713A" w:rsidRDefault="00DA713A" w:rsidP="005507EE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electronic survey was disseminated to</w:t>
      </w:r>
      <w:r w:rsidR="005507EE" w:rsidRPr="002D5A77">
        <w:rPr>
          <w:rFonts w:ascii="Times New Roman" w:hAnsi="Times New Roman" w:cs="Times New Roman"/>
        </w:rPr>
        <w:t xml:space="preserve"> general practitioners (GP), local to our NHS Trust</w:t>
      </w:r>
      <w:r>
        <w:rPr>
          <w:rFonts w:ascii="Times New Roman" w:hAnsi="Times New Roman" w:cs="Times New Roman"/>
        </w:rPr>
        <w:t xml:space="preserve">. </w:t>
      </w:r>
      <w:r w:rsidR="00277982" w:rsidRPr="002D5A77">
        <w:rPr>
          <w:rFonts w:ascii="Times New Roman" w:hAnsi="Times New Roman" w:cs="Times New Roman"/>
        </w:rPr>
        <w:t>T</w:t>
      </w:r>
      <w:r w:rsidR="00CC1C5F" w:rsidRPr="002D5A77">
        <w:rPr>
          <w:rFonts w:ascii="Times New Roman" w:hAnsi="Times New Roman" w:cs="Times New Roman"/>
        </w:rPr>
        <w:t xml:space="preserve">o explore reasons for poor </w:t>
      </w:r>
      <w:r>
        <w:rPr>
          <w:rFonts w:ascii="Times New Roman" w:hAnsi="Times New Roman" w:cs="Times New Roman"/>
        </w:rPr>
        <w:t>treatment uptake</w:t>
      </w:r>
      <w:r w:rsidRPr="002D5A77">
        <w:rPr>
          <w:rFonts w:ascii="Times New Roman" w:hAnsi="Times New Roman" w:cs="Times New Roman"/>
        </w:rPr>
        <w:t xml:space="preserve"> </w:t>
      </w:r>
      <w:r w:rsidR="00CC1C5F" w:rsidRPr="002D5A77">
        <w:rPr>
          <w:rFonts w:ascii="Times New Roman" w:hAnsi="Times New Roman" w:cs="Times New Roman"/>
        </w:rPr>
        <w:t xml:space="preserve">we asked for their agreement with 5 </w:t>
      </w:r>
      <w:r>
        <w:rPr>
          <w:rFonts w:ascii="Times New Roman" w:hAnsi="Times New Roman" w:cs="Times New Roman"/>
        </w:rPr>
        <w:t>hypothetical reasons using a</w:t>
      </w:r>
      <w:r w:rsidR="00CC1C5F" w:rsidRPr="002D5A77">
        <w:rPr>
          <w:rFonts w:ascii="Times New Roman" w:hAnsi="Times New Roman" w:cs="Times New Roman"/>
        </w:rPr>
        <w:t xml:space="preserve"> </w:t>
      </w:r>
      <w:r w:rsidR="00122FAD" w:rsidRPr="002D5A77">
        <w:rPr>
          <w:rFonts w:ascii="Times New Roman" w:hAnsi="Times New Roman" w:cs="Times New Roman"/>
        </w:rPr>
        <w:t>Likert</w:t>
      </w:r>
      <w:r w:rsidR="00CC1C5F" w:rsidRPr="002D5A77">
        <w:rPr>
          <w:rFonts w:ascii="Times New Roman" w:hAnsi="Times New Roman" w:cs="Times New Roman"/>
        </w:rPr>
        <w:t xml:space="preserve"> scale</w:t>
      </w:r>
      <w:r>
        <w:rPr>
          <w:rFonts w:ascii="Times New Roman" w:hAnsi="Times New Roman" w:cs="Times New Roman"/>
        </w:rPr>
        <w:t xml:space="preserve"> and sought free text re</w:t>
      </w:r>
      <w:r w:rsidR="000F22E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ponses</w:t>
      </w:r>
      <w:r w:rsidR="00CC1C5F" w:rsidRPr="002D5A77">
        <w:rPr>
          <w:rFonts w:ascii="Times New Roman" w:hAnsi="Times New Roman" w:cs="Times New Roman"/>
        </w:rPr>
        <w:t>. T</w:t>
      </w:r>
      <w:r w:rsidR="00277982" w:rsidRPr="002D5A77">
        <w:rPr>
          <w:rFonts w:ascii="Times New Roman" w:hAnsi="Times New Roman" w:cs="Times New Roman"/>
        </w:rPr>
        <w:t xml:space="preserve">o understand prescribing preferences </w:t>
      </w:r>
      <w:r>
        <w:rPr>
          <w:rFonts w:ascii="Times New Roman" w:hAnsi="Times New Roman" w:cs="Times New Roman"/>
        </w:rPr>
        <w:t xml:space="preserve">we asked a </w:t>
      </w:r>
      <w:r w:rsidR="00CC1C5F" w:rsidRPr="002D5A77">
        <w:rPr>
          <w:rFonts w:ascii="Times New Roman" w:hAnsi="Times New Roman" w:cs="Times New Roman"/>
        </w:rPr>
        <w:t xml:space="preserve">yes/no </w:t>
      </w:r>
      <w:r w:rsidR="00CC1C5F" w:rsidRPr="002D5A77">
        <w:rPr>
          <w:rFonts w:ascii="Times New Roman" w:hAnsi="Times New Roman" w:cs="Times New Roman"/>
          <w:lang w:val="fr-FR"/>
        </w:rPr>
        <w:t>question</w:t>
      </w:r>
      <w:r>
        <w:rPr>
          <w:rFonts w:ascii="Times New Roman" w:hAnsi="Times New Roman" w:cs="Times New Roman"/>
        </w:rPr>
        <w:t>:</w:t>
      </w:r>
      <w:r w:rsidR="00CC1C5F" w:rsidRPr="002D5A77">
        <w:rPr>
          <w:rFonts w:ascii="Times New Roman" w:hAnsi="Times New Roman" w:cs="Times New Roman"/>
        </w:rPr>
        <w:t xml:space="preserve"> ‘Would you prefer FLS to issue the first prescription for oral bisphosphonates?’</w:t>
      </w:r>
      <w:r>
        <w:rPr>
          <w:rFonts w:ascii="Times New Roman" w:hAnsi="Times New Roman" w:cs="Times New Roman"/>
        </w:rPr>
        <w:t xml:space="preserve"> and also sought free text responses</w:t>
      </w:r>
      <w:r w:rsidR="00277982" w:rsidRPr="002D5A77">
        <w:rPr>
          <w:rFonts w:ascii="Times New Roman" w:hAnsi="Times New Roman" w:cs="Times New Roman"/>
        </w:rPr>
        <w:t xml:space="preserve">. </w:t>
      </w:r>
    </w:p>
    <w:p w14:paraId="608B4468" w14:textId="2AB34CE1" w:rsidR="00DA713A" w:rsidRPr="002D5A77" w:rsidRDefault="00DA713A" w:rsidP="00DA713A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survey was emailed to approximately 83 GPs in 2 local commissioning groups</w:t>
      </w:r>
      <w:r w:rsidRPr="002D5A77">
        <w:rPr>
          <w:rFonts w:ascii="Times New Roman" w:hAnsi="Times New Roman" w:cs="Times New Roman"/>
        </w:rPr>
        <w:t xml:space="preserve"> </w:t>
      </w:r>
      <w:r w:rsidR="00F11384">
        <w:rPr>
          <w:rFonts w:ascii="Times New Roman" w:hAnsi="Times New Roman" w:cs="Times New Roman"/>
        </w:rPr>
        <w:t xml:space="preserve">in December 2018 </w:t>
      </w:r>
      <w:r w:rsidRPr="002D5A77">
        <w:rPr>
          <w:rFonts w:ascii="Times New Roman" w:hAnsi="Times New Roman" w:cs="Times New Roman"/>
        </w:rPr>
        <w:t>and was completed by 42 (</w:t>
      </w:r>
      <w:r>
        <w:rPr>
          <w:rFonts w:ascii="Times New Roman" w:hAnsi="Times New Roman" w:cs="Times New Roman"/>
        </w:rPr>
        <w:t>52</w:t>
      </w:r>
      <w:r w:rsidRPr="002D5A77">
        <w:rPr>
          <w:rFonts w:ascii="Times New Roman" w:hAnsi="Times New Roman" w:cs="Times New Roman"/>
        </w:rPr>
        <w:t xml:space="preserve">%). GPs indicated that they understood and agreed with treatment recommendations from FLS nurses (84.2 and 93.9% respectively). Patients were seen to sometimes (48%) and often (44%) not get in contact with GPs to initiate treatment, </w:t>
      </w:r>
      <w:r w:rsidR="001E17AD" w:rsidRPr="002D5A77">
        <w:rPr>
          <w:rFonts w:ascii="Times New Roman" w:hAnsi="Times New Roman" w:cs="Times New Roman"/>
        </w:rPr>
        <w:t>however, sometimes</w:t>
      </w:r>
      <w:r w:rsidR="00F11384">
        <w:rPr>
          <w:rFonts w:ascii="Times New Roman" w:hAnsi="Times New Roman" w:cs="Times New Roman"/>
        </w:rPr>
        <w:t xml:space="preserve"> (3%) or often (3%) dd not understand the need for treatment</w:t>
      </w:r>
      <w:r w:rsidR="00182D46">
        <w:rPr>
          <w:rFonts w:ascii="Times New Roman" w:hAnsi="Times New Roman" w:cs="Times New Roman"/>
        </w:rPr>
        <w:t xml:space="preserve"> (</w:t>
      </w:r>
      <w:r w:rsidRPr="002D5A77">
        <w:rPr>
          <w:rFonts w:ascii="Times New Roman" w:hAnsi="Times New Roman" w:cs="Times New Roman"/>
        </w:rPr>
        <w:t xml:space="preserve">Table 1). </w:t>
      </w:r>
    </w:p>
    <w:p w14:paraId="622D2518" w14:textId="55BA3A58" w:rsidR="00A022BA" w:rsidRPr="002D5A77" w:rsidRDefault="00A022BA" w:rsidP="005507EE">
      <w:pPr>
        <w:pStyle w:val="Body"/>
        <w:rPr>
          <w:rFonts w:ascii="Times New Roman" w:hAnsi="Times New Roman" w:cs="Times New Roman"/>
        </w:rPr>
      </w:pPr>
    </w:p>
    <w:p w14:paraId="65B0D7C8" w14:textId="6440172D" w:rsidR="00A022BA" w:rsidRPr="002D5A77" w:rsidRDefault="005507EE">
      <w:pPr>
        <w:pStyle w:val="Body"/>
        <w:rPr>
          <w:rFonts w:ascii="Times New Roman" w:hAnsi="Times New Roman" w:cs="Times New Roman"/>
        </w:rPr>
      </w:pPr>
      <w:r w:rsidRPr="002D5A77">
        <w:rPr>
          <w:rFonts w:ascii="Times New Roman" w:hAnsi="Times New Roman" w:cs="Times New Roman"/>
        </w:rPr>
        <w:t xml:space="preserve">Table 1. Summary of </w:t>
      </w:r>
      <w:r w:rsidR="00DA713A">
        <w:rPr>
          <w:rFonts w:ascii="Times New Roman" w:hAnsi="Times New Roman" w:cs="Times New Roman"/>
        </w:rPr>
        <w:t>agreement with statements relating to reasons for porr treatment uptake</w:t>
      </w:r>
      <w:r w:rsidR="00122FAD" w:rsidRPr="002D5A77">
        <w:rPr>
          <w:rFonts w:ascii="Times New Roman" w:hAnsi="Times New Roman" w:cs="Times New Roman"/>
        </w:rPr>
        <w:t>’</w:t>
      </w:r>
    </w:p>
    <w:tbl>
      <w:tblPr>
        <w:tblW w:w="87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84"/>
        <w:gridCol w:w="1027"/>
        <w:gridCol w:w="1030"/>
        <w:gridCol w:w="1327"/>
        <w:gridCol w:w="1025"/>
        <w:gridCol w:w="1040"/>
      </w:tblGrid>
      <w:tr w:rsidR="00A022BA" w:rsidRPr="002D5A77" w14:paraId="3BCF7704" w14:textId="77777777">
        <w:trPr>
          <w:trHeight w:val="216"/>
        </w:trPr>
        <w:tc>
          <w:tcPr>
            <w:tcW w:w="32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31236" w14:textId="77777777" w:rsidR="00A022BA" w:rsidRPr="002D5A77" w:rsidRDefault="005507EE">
            <w:pPr>
              <w:pStyle w:val="Body"/>
              <w:rPr>
                <w:rFonts w:ascii="Times New Roman" w:hAnsi="Times New Roman" w:cs="Times New Roman"/>
              </w:rPr>
            </w:pPr>
            <w:r w:rsidRPr="002D5A77">
              <w:rPr>
                <w:rFonts w:ascii="Times New Roman" w:hAnsi="Times New Roman" w:cs="Times New Roman"/>
                <w:b/>
                <w:bCs/>
              </w:rPr>
              <w:t>Statement</w:t>
            </w:r>
          </w:p>
        </w:tc>
        <w:tc>
          <w:tcPr>
            <w:tcW w:w="54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E7371" w14:textId="7B57C96D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 (percentage)</w:t>
            </w:r>
          </w:p>
        </w:tc>
      </w:tr>
      <w:tr w:rsidR="00A022BA" w:rsidRPr="002D5A77" w14:paraId="6D0A14B6" w14:textId="77777777">
        <w:trPr>
          <w:trHeight w:val="216"/>
        </w:trPr>
        <w:tc>
          <w:tcPr>
            <w:tcW w:w="32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9A70" w14:textId="77777777" w:rsidR="00A022BA" w:rsidRPr="002D5A77" w:rsidRDefault="00A022BA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28730" w14:textId="77777777" w:rsidR="00A022BA" w:rsidRPr="002D5A77" w:rsidRDefault="005507E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D5A77">
              <w:rPr>
                <w:rFonts w:ascii="Times New Roman" w:hAnsi="Times New Roman" w:cs="Times New Roman"/>
                <w:b/>
                <w:bCs/>
              </w:rPr>
              <w:t>Never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27BD" w14:textId="77777777" w:rsidR="00A022BA" w:rsidRPr="002D5A77" w:rsidRDefault="005507E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D5A77">
              <w:rPr>
                <w:rFonts w:ascii="Times New Roman" w:hAnsi="Times New Roman" w:cs="Times New Roman"/>
                <w:b/>
                <w:bCs/>
              </w:rPr>
              <w:t>Rarely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3555" w14:textId="77777777" w:rsidR="00A022BA" w:rsidRPr="002D5A77" w:rsidRDefault="005507E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D5A77">
              <w:rPr>
                <w:rFonts w:ascii="Times New Roman" w:hAnsi="Times New Roman" w:cs="Times New Roman"/>
                <w:b/>
                <w:bCs/>
              </w:rPr>
              <w:t>Sometimes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D624" w14:textId="77777777" w:rsidR="00A022BA" w:rsidRPr="002D5A77" w:rsidRDefault="005507E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D5A77">
              <w:rPr>
                <w:rFonts w:ascii="Times New Roman" w:hAnsi="Times New Roman" w:cs="Times New Roman"/>
                <w:b/>
                <w:bCs/>
              </w:rPr>
              <w:t>Often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C223A" w14:textId="77777777" w:rsidR="00A022BA" w:rsidRPr="002D5A77" w:rsidRDefault="005507E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D5A77">
              <w:rPr>
                <w:rFonts w:ascii="Times New Roman" w:hAnsi="Times New Roman" w:cs="Times New Roman"/>
                <w:b/>
                <w:bCs/>
              </w:rPr>
              <w:t>Always</w:t>
            </w:r>
          </w:p>
        </w:tc>
      </w:tr>
      <w:tr w:rsidR="00A022BA" w:rsidRPr="002D5A77" w14:paraId="61B648DF" w14:textId="77777777">
        <w:trPr>
          <w:trHeight w:val="502"/>
        </w:trPr>
        <w:tc>
          <w:tcPr>
            <w:tcW w:w="3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97DE2" w14:textId="77777777" w:rsidR="00A022BA" w:rsidRPr="002D5A77" w:rsidRDefault="005507E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D5A77">
              <w:rPr>
                <w:rFonts w:ascii="Times New Roman" w:hAnsi="Times New Roman" w:cs="Times New Roman"/>
              </w:rPr>
              <w:t>I do not agree with treatment recommendations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F1300" w14:textId="71D75BFF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</w:t>
            </w:r>
            <w:r w:rsidR="005507EE" w:rsidRPr="002D5A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8E746" w14:textId="6DF13A26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</w:t>
            </w:r>
            <w:r w:rsidR="005507EE" w:rsidRPr="002D5A77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D6770" w14:textId="5A50AF07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(11)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5E2AB" w14:textId="645776AF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58FB2" w14:textId="0A70FAEF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(5)</w:t>
            </w:r>
          </w:p>
        </w:tc>
      </w:tr>
      <w:tr w:rsidR="00A022BA" w:rsidRPr="002D5A77" w14:paraId="114D4D53" w14:textId="77777777">
        <w:trPr>
          <w:trHeight w:val="492"/>
        </w:trPr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68F78" w14:textId="77777777" w:rsidR="00A022BA" w:rsidRPr="002D5A77" w:rsidRDefault="005507E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D5A77">
              <w:rPr>
                <w:rFonts w:ascii="Times New Roman" w:hAnsi="Times New Roman" w:cs="Times New Roman"/>
              </w:rPr>
              <w:t>I do not understand treatment recommendations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AC895" w14:textId="2B5750C2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(61)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DDBBD" w14:textId="4FC1E337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(33)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B2CE" w14:textId="5C368C6C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F7E2D" w14:textId="33B5E41A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84935" w14:textId="63FC7D41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</w:tr>
      <w:tr w:rsidR="00A022BA" w:rsidRPr="002D5A77" w14:paraId="2BBB2939" w14:textId="77777777">
        <w:trPr>
          <w:trHeight w:val="492"/>
        </w:trPr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C1F2D" w14:textId="77777777" w:rsidR="00A022BA" w:rsidRPr="002D5A77" w:rsidRDefault="005507E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D5A77">
              <w:rPr>
                <w:rFonts w:ascii="Times New Roman" w:hAnsi="Times New Roman" w:cs="Times New Roman"/>
              </w:rPr>
              <w:t>Patients do not make contact to get treatment started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4D9C3" w14:textId="685E0F36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2F491" w14:textId="7B7A7A55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D39A4" w14:textId="24B4086A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(48)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90FB0" w14:textId="29B395F6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(44)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B94E0" w14:textId="698CD4D5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(4)</w:t>
            </w:r>
          </w:p>
        </w:tc>
      </w:tr>
      <w:tr w:rsidR="00A022BA" w:rsidRPr="002D5A77" w14:paraId="2976FC12" w14:textId="77777777">
        <w:trPr>
          <w:trHeight w:val="492"/>
        </w:trPr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92D00" w14:textId="77777777" w:rsidR="00A022BA" w:rsidRPr="002D5A77" w:rsidRDefault="005507E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D5A77">
              <w:rPr>
                <w:rFonts w:ascii="Times New Roman" w:hAnsi="Times New Roman" w:cs="Times New Roman"/>
              </w:rPr>
              <w:t>Patients are unwilling to start treatment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022CE" w14:textId="5ACDE0BE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40F73" w14:textId="2733D269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(26)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1AE15" w14:textId="0A1BC384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(47)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02668" w14:textId="6628495C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(21)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E4842" w14:textId="32934748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</w:tr>
      <w:tr w:rsidR="00A022BA" w:rsidRPr="002D5A77" w14:paraId="684C24B6" w14:textId="77777777">
        <w:trPr>
          <w:trHeight w:val="492"/>
        </w:trPr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10E30" w14:textId="77777777" w:rsidR="00A022BA" w:rsidRPr="002D5A77" w:rsidRDefault="005507E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D5A77">
              <w:rPr>
                <w:rFonts w:ascii="Times New Roman" w:hAnsi="Times New Roman" w:cs="Times New Roman"/>
              </w:rPr>
              <w:t>Patients do not understand the need for treatment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A2480" w14:textId="57226E78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70CE8" w14:textId="5EF4DF36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(19)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6E1EB" w14:textId="732410DA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(52)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5D2B4" w14:textId="49A76D29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(26)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13788" w14:textId="3713A260" w:rsidR="00A022BA" w:rsidRPr="002D5A77" w:rsidRDefault="00F1138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</w:tr>
    </w:tbl>
    <w:p w14:paraId="4C293ED2" w14:textId="77777777" w:rsidR="00A022BA" w:rsidRPr="002D5A77" w:rsidRDefault="00A022BA">
      <w:pPr>
        <w:pStyle w:val="Body"/>
        <w:widowControl w:val="0"/>
        <w:spacing w:line="240" w:lineRule="auto"/>
        <w:rPr>
          <w:rFonts w:ascii="Times New Roman" w:hAnsi="Times New Roman" w:cs="Times New Roman"/>
        </w:rPr>
      </w:pPr>
    </w:p>
    <w:p w14:paraId="655BDCEC" w14:textId="77777777" w:rsidR="00A022BA" w:rsidRPr="002D5A77" w:rsidRDefault="00A022BA">
      <w:pPr>
        <w:pStyle w:val="Body"/>
        <w:rPr>
          <w:rFonts w:ascii="Times New Roman" w:hAnsi="Times New Roman" w:cs="Times New Roman"/>
        </w:rPr>
      </w:pPr>
    </w:p>
    <w:p w14:paraId="4F13D3E3" w14:textId="596A7B41" w:rsidR="00760E2C" w:rsidRPr="002D5A77" w:rsidRDefault="005C367F">
      <w:pPr>
        <w:pStyle w:val="Body"/>
        <w:rPr>
          <w:rFonts w:ascii="Times New Roman" w:hAnsi="Times New Roman" w:cs="Times New Roman"/>
        </w:rPr>
      </w:pPr>
      <w:r w:rsidRPr="002D5A77">
        <w:rPr>
          <w:rFonts w:ascii="Times New Roman" w:hAnsi="Times New Roman" w:cs="Times New Roman"/>
          <w:lang w:val="en-GB"/>
        </w:rPr>
        <w:t>Tw</w:t>
      </w:r>
      <w:r w:rsidR="00277982" w:rsidRPr="002D5A77">
        <w:rPr>
          <w:rFonts w:ascii="Times New Roman" w:hAnsi="Times New Roman" w:cs="Times New Roman"/>
          <w:lang w:val="en-GB"/>
        </w:rPr>
        <w:t>enty</w:t>
      </w:r>
      <w:r w:rsidRPr="002D5A77">
        <w:rPr>
          <w:rFonts w:ascii="Times New Roman" w:hAnsi="Times New Roman" w:cs="Times New Roman"/>
        </w:rPr>
        <w:t xml:space="preserve"> </w:t>
      </w:r>
      <w:r w:rsidR="0097071E">
        <w:rPr>
          <w:rFonts w:ascii="Times New Roman" w:hAnsi="Times New Roman" w:cs="Times New Roman"/>
        </w:rPr>
        <w:t xml:space="preserve">free text </w:t>
      </w:r>
      <w:r w:rsidRPr="002D5A77">
        <w:rPr>
          <w:rFonts w:ascii="Times New Roman" w:hAnsi="Times New Roman" w:cs="Times New Roman"/>
        </w:rPr>
        <w:t xml:space="preserve">comments </w:t>
      </w:r>
      <w:r w:rsidR="0097071E">
        <w:rPr>
          <w:rFonts w:ascii="Times New Roman" w:hAnsi="Times New Roman" w:cs="Times New Roman"/>
        </w:rPr>
        <w:t>were received</w:t>
      </w:r>
      <w:r w:rsidRPr="002D5A77">
        <w:rPr>
          <w:rFonts w:ascii="Times New Roman" w:hAnsi="Times New Roman" w:cs="Times New Roman"/>
        </w:rPr>
        <w:t xml:space="preserve">. </w:t>
      </w:r>
      <w:r w:rsidR="005507EE" w:rsidRPr="002D5A77">
        <w:rPr>
          <w:rFonts w:ascii="Times New Roman" w:hAnsi="Times New Roman" w:cs="Times New Roman"/>
        </w:rPr>
        <w:t xml:space="preserve">GPs </w:t>
      </w:r>
      <w:r w:rsidR="00F761A1" w:rsidRPr="002D5A77">
        <w:rPr>
          <w:rFonts w:ascii="Times New Roman" w:hAnsi="Times New Roman" w:cs="Times New Roman"/>
        </w:rPr>
        <w:t>desired</w:t>
      </w:r>
      <w:r w:rsidR="005507EE" w:rsidRPr="002D5A77">
        <w:rPr>
          <w:rFonts w:ascii="Times New Roman" w:hAnsi="Times New Roman" w:cs="Times New Roman"/>
        </w:rPr>
        <w:t xml:space="preserve"> more communication from FLS on treatment decisions</w:t>
      </w:r>
      <w:r w:rsidR="00277982" w:rsidRPr="002D5A77">
        <w:rPr>
          <w:rFonts w:ascii="Times New Roman" w:hAnsi="Times New Roman" w:cs="Times New Roman"/>
        </w:rPr>
        <w:t>,</w:t>
      </w:r>
      <w:r w:rsidR="005507EE" w:rsidRPr="002D5A77">
        <w:rPr>
          <w:rFonts w:ascii="Times New Roman" w:hAnsi="Times New Roman" w:cs="Times New Roman"/>
        </w:rPr>
        <w:t xml:space="preserve"> </w:t>
      </w:r>
      <w:r w:rsidR="007204F9" w:rsidRPr="002D5A77">
        <w:rPr>
          <w:rFonts w:ascii="Times New Roman" w:hAnsi="Times New Roman" w:cs="Times New Roman"/>
          <w:lang w:val="fr-FR"/>
        </w:rPr>
        <w:t>explantations</w:t>
      </w:r>
      <w:r w:rsidR="005507EE" w:rsidRPr="002D5A77">
        <w:rPr>
          <w:rFonts w:ascii="Times New Roman" w:hAnsi="Times New Roman" w:cs="Times New Roman"/>
          <w:lang w:val="fr-FR"/>
        </w:rPr>
        <w:t xml:space="preserve"> </w:t>
      </w:r>
      <w:r w:rsidR="00277982" w:rsidRPr="002D5A77">
        <w:rPr>
          <w:rFonts w:ascii="Times New Roman" w:hAnsi="Times New Roman" w:cs="Times New Roman"/>
          <w:lang w:val="fr-FR"/>
        </w:rPr>
        <w:t>of</w:t>
      </w:r>
      <w:r w:rsidR="005507EE" w:rsidRPr="002D5A77">
        <w:rPr>
          <w:rFonts w:ascii="Times New Roman" w:hAnsi="Times New Roman" w:cs="Times New Roman"/>
        </w:rPr>
        <w:t xml:space="preserve"> recommend</w:t>
      </w:r>
      <w:r w:rsidR="00277982" w:rsidRPr="002D5A77">
        <w:rPr>
          <w:rFonts w:ascii="Times New Roman" w:hAnsi="Times New Roman" w:cs="Times New Roman"/>
        </w:rPr>
        <w:t>ations</w:t>
      </w:r>
      <w:r w:rsidR="005507EE" w:rsidRPr="002D5A77">
        <w:rPr>
          <w:rFonts w:ascii="Times New Roman" w:hAnsi="Times New Roman" w:cs="Times New Roman"/>
        </w:rPr>
        <w:t xml:space="preserve">, </w:t>
      </w:r>
      <w:r w:rsidR="00277982" w:rsidRPr="002D5A77">
        <w:rPr>
          <w:rFonts w:ascii="Times New Roman" w:hAnsi="Times New Roman" w:cs="Times New Roman"/>
        </w:rPr>
        <w:t xml:space="preserve">to enable </w:t>
      </w:r>
      <w:r w:rsidR="00F761A1" w:rsidRPr="002D5A77">
        <w:rPr>
          <w:rFonts w:ascii="Times New Roman" w:hAnsi="Times New Roman" w:cs="Times New Roman"/>
        </w:rPr>
        <w:t xml:space="preserve">the ‘best chance of your [FLS] message being reinforced’ </w:t>
      </w:r>
      <w:r w:rsidR="00AE7894" w:rsidRPr="002D5A77">
        <w:rPr>
          <w:rFonts w:ascii="Times New Roman" w:hAnsi="Times New Roman" w:cs="Times New Roman"/>
        </w:rPr>
        <w:t xml:space="preserve">(3 comments). </w:t>
      </w:r>
      <w:r w:rsidR="0097071E">
        <w:rPr>
          <w:rFonts w:ascii="Times New Roman" w:hAnsi="Times New Roman" w:cs="Times New Roman"/>
        </w:rPr>
        <w:t>A</w:t>
      </w:r>
      <w:r w:rsidR="00AE7894" w:rsidRPr="002D5A77">
        <w:rPr>
          <w:rFonts w:ascii="Times New Roman" w:hAnsi="Times New Roman" w:cs="Times New Roman"/>
        </w:rPr>
        <w:t xml:space="preserve"> ‘lack of clarity’ regarding staff roles (3 comments)</w:t>
      </w:r>
      <w:r w:rsidR="0097071E">
        <w:rPr>
          <w:rFonts w:ascii="Times New Roman" w:hAnsi="Times New Roman" w:cs="Times New Roman"/>
        </w:rPr>
        <w:t xml:space="preserve"> across primary and secondary care roles was described resulting in a</w:t>
      </w:r>
      <w:r w:rsidR="00AE7894" w:rsidRPr="002D5A77">
        <w:rPr>
          <w:rFonts w:ascii="Times New Roman" w:hAnsi="Times New Roman" w:cs="Times New Roman"/>
        </w:rPr>
        <w:t xml:space="preserve"> reliance on patients to bridge the </w:t>
      </w:r>
      <w:r w:rsidR="0097071E">
        <w:rPr>
          <w:rFonts w:ascii="Times New Roman" w:hAnsi="Times New Roman" w:cs="Times New Roman"/>
        </w:rPr>
        <w:t xml:space="preserve">gap. 4 comments related to </w:t>
      </w:r>
      <w:r w:rsidR="00AE7894" w:rsidRPr="002D5A77">
        <w:rPr>
          <w:rFonts w:ascii="Times New Roman" w:hAnsi="Times New Roman" w:cs="Times New Roman"/>
        </w:rPr>
        <w:t xml:space="preserve">patients lack of understanding </w:t>
      </w:r>
      <w:r w:rsidR="0097071E">
        <w:rPr>
          <w:rFonts w:ascii="Times New Roman" w:hAnsi="Times New Roman" w:cs="Times New Roman"/>
        </w:rPr>
        <w:t>with suggestions for more information on DXA scans,</w:t>
      </w:r>
      <w:r w:rsidR="005507EE" w:rsidRPr="002D5A77">
        <w:rPr>
          <w:rFonts w:ascii="Times New Roman" w:hAnsi="Times New Roman" w:cs="Times New Roman"/>
        </w:rPr>
        <w:t xml:space="preserve"> </w:t>
      </w:r>
      <w:r w:rsidR="0097071E">
        <w:rPr>
          <w:rFonts w:ascii="Times New Roman" w:hAnsi="Times New Roman" w:cs="Times New Roman"/>
        </w:rPr>
        <w:t>‘</w:t>
      </w:r>
      <w:r w:rsidR="005507EE" w:rsidRPr="002D5A77">
        <w:rPr>
          <w:rFonts w:ascii="Times New Roman" w:hAnsi="Times New Roman" w:cs="Times New Roman"/>
        </w:rPr>
        <w:t xml:space="preserve">the benefits/risks of the proposed </w:t>
      </w:r>
      <w:r w:rsidR="002D5A77" w:rsidRPr="002D5A77">
        <w:rPr>
          <w:rFonts w:ascii="Times New Roman" w:hAnsi="Times New Roman" w:cs="Times New Roman"/>
        </w:rPr>
        <w:t>treatments</w:t>
      </w:r>
      <w:r w:rsidR="002D5A77">
        <w:rPr>
          <w:rFonts w:ascii="Times New Roman" w:hAnsi="Times New Roman" w:cs="Times New Roman"/>
        </w:rPr>
        <w:t>’</w:t>
      </w:r>
      <w:r w:rsidR="0097071E">
        <w:rPr>
          <w:rFonts w:ascii="Times New Roman" w:hAnsi="Times New Roman" w:cs="Times New Roman"/>
        </w:rPr>
        <w:t>,</w:t>
      </w:r>
      <w:r w:rsidR="00AE7894" w:rsidRPr="002D5A77">
        <w:rPr>
          <w:rFonts w:ascii="Times New Roman" w:hAnsi="Times New Roman" w:cs="Times New Roman"/>
        </w:rPr>
        <w:t xml:space="preserve"> </w:t>
      </w:r>
      <w:r w:rsidR="0097071E">
        <w:rPr>
          <w:rFonts w:ascii="Times New Roman" w:hAnsi="Times New Roman" w:cs="Times New Roman"/>
        </w:rPr>
        <w:t xml:space="preserve">and </w:t>
      </w:r>
      <w:r w:rsidR="00AE7894" w:rsidRPr="002D5A77">
        <w:rPr>
          <w:rFonts w:ascii="Times New Roman" w:hAnsi="Times New Roman" w:cs="Times New Roman"/>
        </w:rPr>
        <w:t>patient reminders/follow up such as reminder calls or letter</w:t>
      </w:r>
      <w:r w:rsidR="0097071E">
        <w:rPr>
          <w:rFonts w:ascii="Times New Roman" w:hAnsi="Times New Roman" w:cs="Times New Roman"/>
        </w:rPr>
        <w:t>s</w:t>
      </w:r>
      <w:r w:rsidR="005507EE" w:rsidRPr="002D5A77">
        <w:rPr>
          <w:rFonts w:ascii="Times New Roman" w:hAnsi="Times New Roman" w:cs="Times New Roman"/>
        </w:rPr>
        <w:t xml:space="preserve">. </w:t>
      </w:r>
    </w:p>
    <w:p w14:paraId="46B496B0" w14:textId="5B1138E8" w:rsidR="00760E2C" w:rsidRPr="002D5A77" w:rsidRDefault="00760E2C" w:rsidP="00760E2C">
      <w:pPr>
        <w:pStyle w:val="Body"/>
        <w:rPr>
          <w:rFonts w:ascii="Times New Roman" w:hAnsi="Times New Roman" w:cs="Times New Roman"/>
        </w:rPr>
      </w:pPr>
      <w:r w:rsidRPr="002D5A77">
        <w:rPr>
          <w:rFonts w:ascii="Times New Roman" w:hAnsi="Times New Roman" w:cs="Times New Roman"/>
        </w:rPr>
        <w:t xml:space="preserve">57.1% of GPs indicated a preference for FLS </w:t>
      </w:r>
      <w:r w:rsidR="00F761A1" w:rsidRPr="002D5A77">
        <w:rPr>
          <w:rFonts w:ascii="Times New Roman" w:hAnsi="Times New Roman" w:cs="Times New Roman"/>
        </w:rPr>
        <w:t>issuing</w:t>
      </w:r>
      <w:r w:rsidRPr="002D5A77">
        <w:rPr>
          <w:rFonts w:ascii="Times New Roman" w:hAnsi="Times New Roman" w:cs="Times New Roman"/>
        </w:rPr>
        <w:t xml:space="preserve"> prescriptions for oral bisphosphonates. 23.8% indicated </w:t>
      </w:r>
      <w:r w:rsidR="002012DA">
        <w:rPr>
          <w:rFonts w:ascii="Times New Roman" w:hAnsi="Times New Roman" w:cs="Times New Roman"/>
        </w:rPr>
        <w:t>the opposite</w:t>
      </w:r>
      <w:r w:rsidRPr="002D5A77">
        <w:rPr>
          <w:rFonts w:ascii="Times New Roman" w:hAnsi="Times New Roman" w:cs="Times New Roman"/>
        </w:rPr>
        <w:t>, whilst 19.05% did not answer. Comments indicated that participants thought</w:t>
      </w:r>
      <w:r w:rsidR="00A501C3">
        <w:rPr>
          <w:rFonts w:ascii="Times New Roman" w:hAnsi="Times New Roman" w:cs="Times New Roman"/>
        </w:rPr>
        <w:t xml:space="preserve"> FLS prescribing</w:t>
      </w:r>
      <w:r w:rsidRPr="002D5A77">
        <w:rPr>
          <w:rFonts w:ascii="Times New Roman" w:hAnsi="Times New Roman" w:cs="Times New Roman"/>
        </w:rPr>
        <w:t xml:space="preserve"> would help GPs </w:t>
      </w:r>
      <w:r w:rsidR="00F761A1" w:rsidRPr="002D5A77">
        <w:rPr>
          <w:rFonts w:ascii="Times New Roman" w:hAnsi="Times New Roman" w:cs="Times New Roman"/>
        </w:rPr>
        <w:t>to</w:t>
      </w:r>
      <w:r w:rsidRPr="002D5A77">
        <w:rPr>
          <w:rFonts w:ascii="Times New Roman" w:hAnsi="Times New Roman" w:cs="Times New Roman"/>
        </w:rPr>
        <w:t xml:space="preserve"> </w:t>
      </w:r>
      <w:r w:rsidRPr="002D5A77">
        <w:rPr>
          <w:rFonts w:ascii="Times New Roman" w:hAnsi="Times New Roman" w:cs="Times New Roman"/>
          <w:rtl/>
        </w:rPr>
        <w:t>‘</w:t>
      </w:r>
      <w:r w:rsidRPr="002D5A77">
        <w:rPr>
          <w:rFonts w:ascii="Times New Roman" w:hAnsi="Times New Roman" w:cs="Times New Roman"/>
        </w:rPr>
        <w:t xml:space="preserve">know that the patient has had the full </w:t>
      </w:r>
      <w:r w:rsidR="00492A8D" w:rsidRPr="002D5A77">
        <w:rPr>
          <w:rFonts w:ascii="Times New Roman" w:hAnsi="Times New Roman" w:cs="Times New Roman"/>
        </w:rPr>
        <w:t>counselling</w:t>
      </w:r>
      <w:r w:rsidR="00F761A1" w:rsidRPr="002D5A77">
        <w:rPr>
          <w:rFonts w:ascii="Times New Roman" w:hAnsi="Times New Roman" w:cs="Times New Roman"/>
        </w:rPr>
        <w:t>’</w:t>
      </w:r>
      <w:r w:rsidR="00492A8D" w:rsidRPr="002D5A77">
        <w:rPr>
          <w:rFonts w:ascii="Times New Roman" w:hAnsi="Times New Roman" w:cs="Times New Roman"/>
          <w:rtl/>
        </w:rPr>
        <w:t xml:space="preserve"> </w:t>
      </w:r>
      <w:r w:rsidR="00492A8D" w:rsidRPr="002D5A77">
        <w:rPr>
          <w:rFonts w:ascii="Times New Roman" w:hAnsi="Times New Roman" w:cs="Times New Roman"/>
        </w:rPr>
        <w:t>and</w:t>
      </w:r>
      <w:r w:rsidRPr="002D5A77">
        <w:rPr>
          <w:rFonts w:ascii="Times New Roman" w:hAnsi="Times New Roman" w:cs="Times New Roman"/>
        </w:rPr>
        <w:t xml:space="preserve"> would </w:t>
      </w:r>
      <w:r w:rsidRPr="002D5A77">
        <w:rPr>
          <w:rFonts w:ascii="Times New Roman" w:hAnsi="Times New Roman" w:cs="Times New Roman"/>
        </w:rPr>
        <w:lastRenderedPageBreak/>
        <w:t xml:space="preserve">therefore not require a second visit to general practice. Another GP commented that </w:t>
      </w:r>
      <w:r w:rsidR="00122FAD" w:rsidRPr="002D5A77">
        <w:rPr>
          <w:rFonts w:ascii="Times New Roman" w:hAnsi="Times New Roman" w:cs="Times New Roman"/>
        </w:rPr>
        <w:t>t</w:t>
      </w:r>
      <w:r w:rsidRPr="002D5A77">
        <w:rPr>
          <w:rFonts w:ascii="Times New Roman" w:hAnsi="Times New Roman" w:cs="Times New Roman"/>
        </w:rPr>
        <w:t>his could feed into a</w:t>
      </w:r>
      <w:r w:rsidR="0097071E">
        <w:rPr>
          <w:rFonts w:ascii="Times New Roman" w:hAnsi="Times New Roman" w:cs="Times New Roman"/>
        </w:rPr>
        <w:t xml:space="preserve"> primary care</w:t>
      </w:r>
      <w:r w:rsidRPr="002D5A77">
        <w:rPr>
          <w:rFonts w:ascii="Times New Roman" w:hAnsi="Times New Roman" w:cs="Times New Roman"/>
        </w:rPr>
        <w:t xml:space="preserve"> </w:t>
      </w:r>
      <w:r w:rsidR="00182D46" w:rsidRPr="002D5A77">
        <w:rPr>
          <w:rFonts w:ascii="Times New Roman" w:hAnsi="Times New Roman" w:cs="Times New Roman"/>
        </w:rPr>
        <w:t xml:space="preserve">GP/practice pharmacist </w:t>
      </w:r>
      <w:r w:rsidRPr="002D5A77">
        <w:rPr>
          <w:rFonts w:ascii="Times New Roman" w:hAnsi="Times New Roman" w:cs="Times New Roman"/>
        </w:rPr>
        <w:t xml:space="preserve">review at 3 months </w:t>
      </w:r>
      <w:r w:rsidR="0097071E">
        <w:rPr>
          <w:rFonts w:ascii="Times New Roman" w:hAnsi="Times New Roman" w:cs="Times New Roman"/>
        </w:rPr>
        <w:t>although others</w:t>
      </w:r>
      <w:r w:rsidRPr="002D5A77">
        <w:rPr>
          <w:rFonts w:ascii="Times New Roman" w:hAnsi="Times New Roman" w:cs="Times New Roman"/>
        </w:rPr>
        <w:t xml:space="preserve"> advocated the FLS service taking a larger role as they </w:t>
      </w:r>
      <w:r w:rsidRPr="002D5A77">
        <w:rPr>
          <w:rFonts w:ascii="Times New Roman" w:hAnsi="Times New Roman" w:cs="Times New Roman"/>
          <w:rtl/>
        </w:rPr>
        <w:t>‘</w:t>
      </w:r>
      <w:r w:rsidRPr="002D5A77">
        <w:rPr>
          <w:rFonts w:ascii="Times New Roman" w:hAnsi="Times New Roman" w:cs="Times New Roman"/>
        </w:rPr>
        <w:t>are best placed</w:t>
      </w:r>
      <w:r w:rsidR="002012DA">
        <w:rPr>
          <w:rFonts w:ascii="Times New Roman" w:hAnsi="Times New Roman" w:cs="Times New Roman"/>
        </w:rPr>
        <w:t xml:space="preserve">’ to offer </w:t>
      </w:r>
      <w:r w:rsidR="0097071E">
        <w:rPr>
          <w:rFonts w:ascii="Times New Roman" w:hAnsi="Times New Roman" w:cs="Times New Roman"/>
        </w:rPr>
        <w:t xml:space="preserve">specialist </w:t>
      </w:r>
      <w:r w:rsidR="002012DA">
        <w:rPr>
          <w:rFonts w:ascii="Times New Roman" w:hAnsi="Times New Roman" w:cs="Times New Roman"/>
        </w:rPr>
        <w:t xml:space="preserve">management advice. </w:t>
      </w:r>
    </w:p>
    <w:p w14:paraId="19DA02E4" w14:textId="4FB0BC7F" w:rsidR="0097071E" w:rsidRPr="002D5A77" w:rsidRDefault="0097071E" w:rsidP="0097071E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summary, t</w:t>
      </w:r>
      <w:r w:rsidR="005507EE" w:rsidRPr="002D5A77">
        <w:rPr>
          <w:rFonts w:ascii="Times New Roman" w:hAnsi="Times New Roman" w:cs="Times New Roman"/>
        </w:rPr>
        <w:t xml:space="preserve">his </w:t>
      </w:r>
      <w:r>
        <w:rPr>
          <w:rFonts w:ascii="Times New Roman" w:hAnsi="Times New Roman" w:cs="Times New Roman"/>
        </w:rPr>
        <w:t>survey</w:t>
      </w:r>
      <w:r w:rsidRPr="002D5A77">
        <w:rPr>
          <w:rFonts w:ascii="Times New Roman" w:hAnsi="Times New Roman" w:cs="Times New Roman"/>
        </w:rPr>
        <w:t xml:space="preserve"> </w:t>
      </w:r>
      <w:r w:rsidR="005507EE" w:rsidRPr="002D5A77">
        <w:rPr>
          <w:rFonts w:ascii="Times New Roman" w:hAnsi="Times New Roman" w:cs="Times New Roman"/>
        </w:rPr>
        <w:t xml:space="preserve">demonstrates most GP responders </w:t>
      </w:r>
      <w:r w:rsidR="00A501C3">
        <w:rPr>
          <w:rFonts w:ascii="Times New Roman" w:hAnsi="Times New Roman" w:cs="Times New Roman"/>
        </w:rPr>
        <w:t>f</w:t>
      </w:r>
      <w:r w:rsidR="005507EE" w:rsidRPr="002D5A77">
        <w:rPr>
          <w:rFonts w:ascii="Times New Roman" w:hAnsi="Times New Roman" w:cs="Times New Roman"/>
        </w:rPr>
        <w:t xml:space="preserve">elt that </w:t>
      </w:r>
      <w:r>
        <w:rPr>
          <w:rFonts w:ascii="Times New Roman" w:hAnsi="Times New Roman" w:cs="Times New Roman"/>
        </w:rPr>
        <w:t>p</w:t>
      </w:r>
      <w:r w:rsidRPr="002D5A77">
        <w:rPr>
          <w:rFonts w:ascii="Times New Roman" w:hAnsi="Times New Roman" w:cs="Times New Roman"/>
        </w:rPr>
        <w:t xml:space="preserve">atient factors were generally viewed as causes of the </w:t>
      </w:r>
      <w:r w:rsidRPr="002D5A77">
        <w:rPr>
          <w:rFonts w:ascii="Times New Roman" w:hAnsi="Times New Roman" w:cs="Times New Roman"/>
          <w:rtl/>
        </w:rPr>
        <w:t>‘</w:t>
      </w:r>
      <w:r w:rsidRPr="002D5A77">
        <w:rPr>
          <w:rFonts w:ascii="Times New Roman" w:hAnsi="Times New Roman" w:cs="Times New Roman"/>
        </w:rPr>
        <w:t>treatment gap</w:t>
      </w:r>
      <w:r w:rsidRPr="002D5A77">
        <w:rPr>
          <w:rFonts w:ascii="Times New Roman" w:hAnsi="Times New Roman" w:cs="Times New Roman"/>
          <w:rtl/>
        </w:rPr>
        <w:t>’</w:t>
      </w:r>
      <w:r w:rsidRPr="002D5A77">
        <w:rPr>
          <w:rFonts w:ascii="Times New Roman" w:hAnsi="Times New Roman" w:cs="Times New Roman"/>
        </w:rPr>
        <w:t xml:space="preserve">, and it was considered that improving information provision and administering prescriptions within FLS could address this. </w:t>
      </w:r>
    </w:p>
    <w:p w14:paraId="291AE042" w14:textId="01427507" w:rsidR="00A022BA" w:rsidRPr="002D5A77" w:rsidRDefault="001E17AD">
      <w:pPr>
        <w:pStyle w:val="Body"/>
        <w:rPr>
          <w:rFonts w:ascii="Times New Roman" w:hAnsi="Times New Roman" w:cs="Times New Roman"/>
          <w:b/>
          <w:bCs/>
        </w:rPr>
      </w:pPr>
      <w:r w:rsidRPr="001E17AD">
        <w:rPr>
          <w:rFonts w:ascii="Times New Roman" w:hAnsi="Times New Roman" w:cs="Times New Roman"/>
          <w:b/>
          <w:bCs/>
          <w:color w:val="auto"/>
        </w:rPr>
        <w:t>449</w:t>
      </w:r>
      <w:r w:rsidR="005507EE" w:rsidRPr="002D5A77">
        <w:rPr>
          <w:rFonts w:ascii="Times New Roman" w:hAnsi="Times New Roman" w:cs="Times New Roman"/>
          <w:b/>
          <w:bCs/>
        </w:rPr>
        <w:t>/500 words excluding table</w:t>
      </w:r>
    </w:p>
    <w:p w14:paraId="3ABD7E88" w14:textId="77777777" w:rsidR="00277982" w:rsidRPr="002D5A77" w:rsidRDefault="00277982">
      <w:pPr>
        <w:pStyle w:val="Body"/>
        <w:rPr>
          <w:rFonts w:ascii="Times New Roman" w:hAnsi="Times New Roman" w:cs="Times New Roman"/>
          <w:b/>
          <w:bCs/>
        </w:rPr>
      </w:pPr>
    </w:p>
    <w:p w14:paraId="6CD532C1" w14:textId="77777777" w:rsidR="00277982" w:rsidRPr="002D5A77" w:rsidRDefault="00277982">
      <w:pPr>
        <w:pStyle w:val="Body"/>
        <w:rPr>
          <w:rFonts w:ascii="Times New Roman" w:hAnsi="Times New Roman" w:cs="Times New Roman"/>
          <w:b/>
          <w:bCs/>
        </w:rPr>
      </w:pPr>
    </w:p>
    <w:p w14:paraId="55F27DE7" w14:textId="77777777" w:rsidR="00277982" w:rsidRPr="002D5A77" w:rsidRDefault="00277982">
      <w:pPr>
        <w:pStyle w:val="Body"/>
        <w:rPr>
          <w:rFonts w:ascii="Times New Roman" w:hAnsi="Times New Roman" w:cs="Times New Roman"/>
          <w:b/>
          <w:bCs/>
        </w:rPr>
      </w:pPr>
    </w:p>
    <w:p w14:paraId="4EE14011" w14:textId="77777777" w:rsidR="00277982" w:rsidRPr="002D5A77" w:rsidRDefault="00277982">
      <w:pPr>
        <w:pStyle w:val="Body"/>
        <w:rPr>
          <w:rFonts w:ascii="Times New Roman" w:hAnsi="Times New Roman" w:cs="Times New Roman"/>
          <w:b/>
          <w:bCs/>
        </w:rPr>
      </w:pPr>
    </w:p>
    <w:p w14:paraId="33FE97F6" w14:textId="77777777" w:rsidR="00277982" w:rsidRPr="002D5A77" w:rsidRDefault="00277982">
      <w:pPr>
        <w:pStyle w:val="Body"/>
        <w:rPr>
          <w:rFonts w:ascii="Times New Roman" w:hAnsi="Times New Roman" w:cs="Times New Roman"/>
          <w:b/>
          <w:bCs/>
        </w:rPr>
      </w:pPr>
    </w:p>
    <w:p w14:paraId="4ECD6B81" w14:textId="77777777" w:rsidR="00277982" w:rsidRPr="002D5A77" w:rsidRDefault="00277982">
      <w:pPr>
        <w:pStyle w:val="Body"/>
        <w:rPr>
          <w:rFonts w:ascii="Times New Roman" w:hAnsi="Times New Roman" w:cs="Times New Roman"/>
          <w:b/>
          <w:bCs/>
        </w:rPr>
      </w:pPr>
    </w:p>
    <w:p w14:paraId="17D7F0DE" w14:textId="77777777" w:rsidR="00277982" w:rsidRPr="002D5A77" w:rsidRDefault="00277982">
      <w:pPr>
        <w:pStyle w:val="Body"/>
        <w:rPr>
          <w:rFonts w:ascii="Times New Roman" w:hAnsi="Times New Roman" w:cs="Times New Roman"/>
          <w:b/>
          <w:bCs/>
        </w:rPr>
      </w:pPr>
    </w:p>
    <w:p w14:paraId="05E51C0C" w14:textId="77777777" w:rsidR="00277982" w:rsidRPr="002D5A77" w:rsidRDefault="00277982">
      <w:pPr>
        <w:pStyle w:val="Body"/>
        <w:rPr>
          <w:rFonts w:ascii="Times New Roman" w:hAnsi="Times New Roman" w:cs="Times New Roman"/>
          <w:b/>
          <w:bCs/>
        </w:rPr>
      </w:pPr>
    </w:p>
    <w:p w14:paraId="0A71875C" w14:textId="77777777" w:rsidR="002012DA" w:rsidRDefault="002012DA">
      <w:pPr>
        <w:rPr>
          <w:b/>
          <w:bCs/>
          <w:color w:val="000000"/>
          <w:sz w:val="22"/>
          <w:szCs w:val="22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</w:rPr>
        <w:br w:type="page"/>
      </w:r>
    </w:p>
    <w:p w14:paraId="108C42FB" w14:textId="5FFD1091" w:rsidR="00277982" w:rsidRPr="002D5A77" w:rsidRDefault="00277982">
      <w:pPr>
        <w:pStyle w:val="Body"/>
        <w:rPr>
          <w:rFonts w:ascii="Times New Roman" w:hAnsi="Times New Roman" w:cs="Times New Roman"/>
          <w:b/>
          <w:bCs/>
        </w:rPr>
      </w:pPr>
      <w:r w:rsidRPr="002D5A77">
        <w:rPr>
          <w:rFonts w:ascii="Times New Roman" w:hAnsi="Times New Roman" w:cs="Times New Roman"/>
          <w:b/>
          <w:bCs/>
        </w:rPr>
        <w:lastRenderedPageBreak/>
        <w:t>References</w:t>
      </w:r>
    </w:p>
    <w:p w14:paraId="1A89E966" w14:textId="34D01E3B" w:rsidR="00B254E1" w:rsidRPr="002D5A77" w:rsidRDefault="00B254E1" w:rsidP="005507EE">
      <w:pPr>
        <w:pStyle w:val="NormalWeb"/>
        <w:spacing w:line="480" w:lineRule="auto"/>
        <w:rPr>
          <w:sz w:val="22"/>
          <w:szCs w:val="22"/>
        </w:rPr>
      </w:pPr>
      <w:r w:rsidRPr="002D5A77">
        <w:rPr>
          <w:sz w:val="22"/>
          <w:szCs w:val="22"/>
          <w:lang w:val="fr-FR"/>
        </w:rPr>
        <w:fldChar w:fldCharType="begin"/>
      </w:r>
      <w:r w:rsidRPr="002D5A77">
        <w:rPr>
          <w:sz w:val="22"/>
          <w:szCs w:val="22"/>
          <w:lang w:val="fr-FR"/>
        </w:rPr>
        <w:instrText>ADDIN RW.BIB</w:instrText>
      </w:r>
      <w:r w:rsidRPr="002D5A77">
        <w:rPr>
          <w:sz w:val="22"/>
          <w:szCs w:val="22"/>
          <w:lang w:val="fr-FR"/>
        </w:rPr>
        <w:fldChar w:fldCharType="separate"/>
      </w:r>
      <w:r w:rsidRPr="002D5A77">
        <w:rPr>
          <w:sz w:val="22"/>
          <w:szCs w:val="22"/>
        </w:rPr>
        <w:t xml:space="preserve">1. Feldstein AC, Nichols GA, Elmer PJ, Smith DH, Aickin M, Herson M. Older women with fractures: Patients falling through the cracks of guideline-recommended osteoporosis screening and treatment. </w:t>
      </w:r>
      <w:r w:rsidRPr="002D5A77">
        <w:rPr>
          <w:i/>
          <w:iCs/>
          <w:sz w:val="22"/>
          <w:szCs w:val="22"/>
        </w:rPr>
        <w:t>JBJS</w:t>
      </w:r>
      <w:r w:rsidRPr="002D5A77">
        <w:rPr>
          <w:sz w:val="22"/>
          <w:szCs w:val="22"/>
        </w:rPr>
        <w:t xml:space="preserve">. 2003;85(12):2294–2302. </w:t>
      </w:r>
    </w:p>
    <w:p w14:paraId="37CBBEE7" w14:textId="0C2C64B9" w:rsidR="00B254E1" w:rsidRPr="002D5A77" w:rsidRDefault="00B254E1" w:rsidP="005507EE">
      <w:pPr>
        <w:pStyle w:val="NormalWeb"/>
        <w:spacing w:line="480" w:lineRule="auto"/>
        <w:rPr>
          <w:sz w:val="22"/>
          <w:szCs w:val="22"/>
        </w:rPr>
      </w:pPr>
      <w:r w:rsidRPr="002D5A77">
        <w:rPr>
          <w:sz w:val="22"/>
          <w:szCs w:val="22"/>
        </w:rPr>
        <w:t xml:space="preserve">2. Akesson K, Marsh D, Mitchell PJ, et al. Capture the fracture: A best practice framework and global campaign to break the fragility fracture cycle. </w:t>
      </w:r>
      <w:r w:rsidRPr="002D5A77">
        <w:rPr>
          <w:i/>
          <w:iCs/>
          <w:sz w:val="22"/>
          <w:szCs w:val="22"/>
        </w:rPr>
        <w:t>Osteoporos Int</w:t>
      </w:r>
      <w:r w:rsidRPr="002D5A77">
        <w:rPr>
          <w:sz w:val="22"/>
          <w:szCs w:val="22"/>
        </w:rPr>
        <w:t>. 2013;24(8):2135-2152. doi: 10.1007/s00198-013-2348-z.</w:t>
      </w:r>
    </w:p>
    <w:p w14:paraId="1E677D62" w14:textId="6D464F88" w:rsidR="00B254E1" w:rsidRPr="002D5A77" w:rsidRDefault="00B254E1" w:rsidP="005507EE">
      <w:pPr>
        <w:pStyle w:val="NormalWeb"/>
        <w:spacing w:line="480" w:lineRule="auto"/>
        <w:rPr>
          <w:sz w:val="22"/>
          <w:szCs w:val="22"/>
        </w:rPr>
      </w:pPr>
      <w:r w:rsidRPr="002D5A77">
        <w:rPr>
          <w:sz w:val="22"/>
          <w:szCs w:val="22"/>
        </w:rPr>
        <w:t xml:space="preserve">3. Nakayama A, Major G, Holliday E, Attia J, Bogduk N. Evidence of effectiveness of a fracture liaison service to reduce the re-fracture rate. </w:t>
      </w:r>
      <w:r w:rsidRPr="002D5A77">
        <w:rPr>
          <w:i/>
          <w:iCs/>
          <w:sz w:val="22"/>
          <w:szCs w:val="22"/>
        </w:rPr>
        <w:t>Osteoporos Int</w:t>
      </w:r>
      <w:r w:rsidRPr="002D5A77">
        <w:rPr>
          <w:sz w:val="22"/>
          <w:szCs w:val="22"/>
        </w:rPr>
        <w:t>. 2016;27(3):873-879. doi: 10.1007/s00198-015-3443-0.</w:t>
      </w:r>
    </w:p>
    <w:p w14:paraId="0341EDCD" w14:textId="77777777" w:rsidR="00B254E1" w:rsidRPr="002D5A77" w:rsidRDefault="00B254E1" w:rsidP="005507EE">
      <w:pPr>
        <w:pStyle w:val="NormalWeb"/>
        <w:spacing w:line="480" w:lineRule="auto"/>
        <w:rPr>
          <w:sz w:val="22"/>
          <w:szCs w:val="22"/>
        </w:rPr>
      </w:pPr>
      <w:r w:rsidRPr="002D5A77">
        <w:rPr>
          <w:sz w:val="22"/>
          <w:szCs w:val="22"/>
        </w:rPr>
        <w:t xml:space="preserve">4. Fracture liaison service database annual report. </w:t>
      </w:r>
      <w:r w:rsidRPr="002D5A77">
        <w:rPr>
          <w:i/>
          <w:iCs/>
          <w:sz w:val="22"/>
          <w:szCs w:val="22"/>
        </w:rPr>
        <w:t>Royal College of Physicians</w:t>
      </w:r>
      <w:r w:rsidRPr="002D5A77">
        <w:rPr>
          <w:sz w:val="22"/>
          <w:szCs w:val="22"/>
        </w:rPr>
        <w:t>. 2020.</w:t>
      </w:r>
    </w:p>
    <w:p w14:paraId="64DBFC3D" w14:textId="5F0F6D41" w:rsidR="00A022BA" w:rsidRPr="002D5A77" w:rsidRDefault="00B254E1" w:rsidP="005507EE">
      <w:pPr>
        <w:pStyle w:val="Body"/>
        <w:widowControl w:val="0"/>
        <w:spacing w:line="240" w:lineRule="auto"/>
        <w:ind w:left="640" w:hanging="640"/>
        <w:rPr>
          <w:rFonts w:ascii="Times New Roman" w:hAnsi="Times New Roman" w:cs="Times New Roman"/>
        </w:rPr>
      </w:pPr>
      <w:r w:rsidRPr="002D5A77">
        <w:rPr>
          <w:rFonts w:ascii="Times New Roman" w:eastAsia="Times New Roman" w:hAnsi="Times New Roman" w:cs="Times New Roman"/>
        </w:rPr>
        <w:t> </w:t>
      </w:r>
      <w:r w:rsidRPr="002D5A77">
        <w:rPr>
          <w:rFonts w:ascii="Times New Roman" w:hAnsi="Times New Roman" w:cs="Times New Roman"/>
          <w:lang w:val="fr-FR"/>
        </w:rPr>
        <w:fldChar w:fldCharType="end"/>
      </w:r>
    </w:p>
    <w:p w14:paraId="54E483C4" w14:textId="6DDF3B8A" w:rsidR="00A022BA" w:rsidRPr="002D5A77" w:rsidRDefault="00A022BA">
      <w:pPr>
        <w:pStyle w:val="Body"/>
        <w:rPr>
          <w:rFonts w:ascii="Times New Roman" w:hAnsi="Times New Roman" w:cs="Times New Roman"/>
        </w:rPr>
      </w:pPr>
    </w:p>
    <w:p w14:paraId="62CBD926" w14:textId="77777777" w:rsidR="00A022BA" w:rsidRPr="002D5A77" w:rsidRDefault="00A022BA">
      <w:pPr>
        <w:pStyle w:val="Body"/>
        <w:widowControl w:val="0"/>
        <w:spacing w:line="240" w:lineRule="auto"/>
        <w:jc w:val="center"/>
        <w:rPr>
          <w:rFonts w:ascii="Times New Roman" w:hAnsi="Times New Roman" w:cs="Times New Roman"/>
        </w:rPr>
      </w:pPr>
    </w:p>
    <w:sectPr w:rsidR="00A022BA" w:rsidRPr="002D5A77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CEBCC" w14:textId="77777777" w:rsidR="00043D1E" w:rsidRDefault="00043D1E">
      <w:r>
        <w:separator/>
      </w:r>
    </w:p>
  </w:endnote>
  <w:endnote w:type="continuationSeparator" w:id="0">
    <w:p w14:paraId="480396EA" w14:textId="77777777" w:rsidR="00043D1E" w:rsidRDefault="0004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Malgun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8EF8" w14:textId="77777777" w:rsidR="00A022BA" w:rsidRDefault="00A022B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0E266" w14:textId="77777777" w:rsidR="00043D1E" w:rsidRDefault="00043D1E">
      <w:r>
        <w:separator/>
      </w:r>
    </w:p>
  </w:footnote>
  <w:footnote w:type="continuationSeparator" w:id="0">
    <w:p w14:paraId="7605A135" w14:textId="77777777" w:rsidR="00043D1E" w:rsidRDefault="0004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CEAC" w14:textId="77777777" w:rsidR="00A022BA" w:rsidRDefault="00A022B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BA"/>
    <w:rsid w:val="00043D1E"/>
    <w:rsid w:val="000F22E6"/>
    <w:rsid w:val="00122FAD"/>
    <w:rsid w:val="00182D46"/>
    <w:rsid w:val="001E17AD"/>
    <w:rsid w:val="002012DA"/>
    <w:rsid w:val="00277982"/>
    <w:rsid w:val="002D5A77"/>
    <w:rsid w:val="00492A8D"/>
    <w:rsid w:val="00511278"/>
    <w:rsid w:val="005507EE"/>
    <w:rsid w:val="005C367F"/>
    <w:rsid w:val="006805A0"/>
    <w:rsid w:val="007204F9"/>
    <w:rsid w:val="00760E2C"/>
    <w:rsid w:val="0097071E"/>
    <w:rsid w:val="00A022BA"/>
    <w:rsid w:val="00A501C3"/>
    <w:rsid w:val="00A511C4"/>
    <w:rsid w:val="00AE0608"/>
    <w:rsid w:val="00AE7894"/>
    <w:rsid w:val="00B254E1"/>
    <w:rsid w:val="00CC1C5F"/>
    <w:rsid w:val="00DA713A"/>
    <w:rsid w:val="00E16852"/>
    <w:rsid w:val="00EE740F"/>
    <w:rsid w:val="00F11384"/>
    <w:rsid w:val="00F7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EFED"/>
  <w15:docId w15:val="{6B535506-A29C-4F53-A27C-74BDD719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5F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254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A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manning</dc:creator>
  <cp:lastModifiedBy>fay manning</cp:lastModifiedBy>
  <cp:revision>5</cp:revision>
  <dcterms:created xsi:type="dcterms:W3CDTF">2020-07-27T11:48:00Z</dcterms:created>
  <dcterms:modified xsi:type="dcterms:W3CDTF">2020-09-01T07:06:00Z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user:5e9f055fe4b026ebb6cd99bc</vt:lpwstr>
  </property>
  <property fmtid="{D5CDD505-2E9C-101B-9397-08002B2CF9AE}" pid="3" name="WnCSubscriberId">
    <vt:lpwstr>0</vt:lpwstr>
  </property>
  <property fmtid="{D5CDD505-2E9C-101B-9397-08002B2CF9AE}" pid="4" name="WnCOutputStyleId">
    <vt:lpwstr>1004</vt:lpwstr>
  </property>
  <property fmtid="{D5CDD505-2E9C-101B-9397-08002B2CF9AE}" pid="5" name="RWProductId">
    <vt:lpwstr>Flow</vt:lpwstr>
  </property>
  <property fmtid="{D5CDD505-2E9C-101B-9397-08002B2CF9AE}" pid="6" name="RWProjectId">
    <vt:lpwstr>ap:5e9f055fe4b026ebb6cd99bd</vt:lpwstr>
  </property>
  <property fmtid="{D5CDD505-2E9C-101B-9397-08002B2CF9AE}" pid="7" name="WnC4Folder">
    <vt:lpwstr/>
  </property>
</Properties>
</file>