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7214" w14:textId="44FAA717" w:rsidR="007E49DB" w:rsidRPr="00E90400" w:rsidRDefault="007E49DB" w:rsidP="00E90400">
      <w:pPr>
        <w:pStyle w:val="Heading1"/>
        <w:spacing w:line="480" w:lineRule="auto"/>
      </w:pPr>
      <w:r w:rsidRPr="00E90400">
        <w:t>Trainees are human too</w:t>
      </w:r>
    </w:p>
    <w:p w14:paraId="5EE8E49C" w14:textId="35E98F8B" w:rsidR="007E49DB" w:rsidRDefault="007E49DB" w:rsidP="00E90400">
      <w:pPr>
        <w:spacing w:line="480" w:lineRule="auto"/>
      </w:pPr>
      <w:r>
        <w:t>Eliot L Rees</w:t>
      </w:r>
      <w:r w:rsidR="00E90400" w:rsidRPr="00E90400">
        <w:rPr>
          <w:vertAlign w:val="superscript"/>
        </w:rPr>
        <w:t>1,2</w:t>
      </w:r>
    </w:p>
    <w:p w14:paraId="347FFCC4" w14:textId="721965B0" w:rsidR="007E49DB" w:rsidRDefault="007E49DB" w:rsidP="00E90400">
      <w:pPr>
        <w:pStyle w:val="ListParagraph"/>
        <w:numPr>
          <w:ilvl w:val="0"/>
          <w:numId w:val="1"/>
        </w:numPr>
        <w:spacing w:line="480" w:lineRule="auto"/>
      </w:pPr>
      <w:r>
        <w:t xml:space="preserve">School of Medicine, </w:t>
      </w:r>
      <w:proofErr w:type="spellStart"/>
      <w:r>
        <w:t>Keele</w:t>
      </w:r>
      <w:proofErr w:type="spellEnd"/>
      <w:r>
        <w:t xml:space="preserve"> University, U</w:t>
      </w:r>
      <w:r w:rsidR="00E90400">
        <w:t>K</w:t>
      </w:r>
    </w:p>
    <w:p w14:paraId="7AA0B922" w14:textId="0AB6DFEF" w:rsidR="00E90400" w:rsidRDefault="00E90400" w:rsidP="00E90400">
      <w:pPr>
        <w:pStyle w:val="ListParagraph"/>
        <w:numPr>
          <w:ilvl w:val="0"/>
          <w:numId w:val="1"/>
        </w:numPr>
        <w:spacing w:line="480" w:lineRule="auto"/>
      </w:pPr>
      <w:r>
        <w:t>Research Department of Primary Care and Population Health, University College London</w:t>
      </w:r>
    </w:p>
    <w:p w14:paraId="70AF786C" w14:textId="6E55795E" w:rsidR="00E90400" w:rsidRPr="00E90400" w:rsidRDefault="00E90400" w:rsidP="00E90400">
      <w:pPr>
        <w:spacing w:line="480" w:lineRule="auto"/>
        <w:rPr>
          <w:b/>
          <w:bCs/>
        </w:rPr>
      </w:pPr>
      <w:r w:rsidRPr="00E90400">
        <w:rPr>
          <w:b/>
          <w:bCs/>
        </w:rPr>
        <w:t>Correspondence:</w:t>
      </w:r>
    </w:p>
    <w:p w14:paraId="728E3A46" w14:textId="1CD98CE0" w:rsidR="00E90400" w:rsidRDefault="00E90400" w:rsidP="00E90400">
      <w:pPr>
        <w:spacing w:line="480" w:lineRule="auto"/>
      </w:pPr>
      <w:r>
        <w:t>Eliot L Rees</w:t>
      </w:r>
    </w:p>
    <w:p w14:paraId="60FE2259" w14:textId="61CFB5BA" w:rsidR="00E90400" w:rsidRDefault="00E90400" w:rsidP="00E90400">
      <w:pPr>
        <w:spacing w:line="480" w:lineRule="auto"/>
      </w:pPr>
      <w:r>
        <w:t>KH77</w:t>
      </w:r>
    </w:p>
    <w:p w14:paraId="787B869F" w14:textId="01FA7C9D" w:rsidR="00E90400" w:rsidRDefault="00E90400" w:rsidP="00E90400">
      <w:pPr>
        <w:spacing w:line="480" w:lineRule="auto"/>
      </w:pPr>
      <w:proofErr w:type="spellStart"/>
      <w:r>
        <w:t>Keele</w:t>
      </w:r>
      <w:proofErr w:type="spellEnd"/>
      <w:r>
        <w:t xml:space="preserve"> Hall</w:t>
      </w:r>
    </w:p>
    <w:p w14:paraId="018B31E9" w14:textId="4D61111B" w:rsidR="00E90400" w:rsidRDefault="00E90400" w:rsidP="00E90400">
      <w:pPr>
        <w:spacing w:line="480" w:lineRule="auto"/>
      </w:pPr>
      <w:proofErr w:type="spellStart"/>
      <w:r>
        <w:t>Keele</w:t>
      </w:r>
      <w:proofErr w:type="spellEnd"/>
      <w:r>
        <w:t xml:space="preserve"> University</w:t>
      </w:r>
    </w:p>
    <w:p w14:paraId="1FDA1712" w14:textId="4AFBCF58" w:rsidR="00E90400" w:rsidRDefault="00E90400" w:rsidP="00E90400">
      <w:pPr>
        <w:spacing w:line="480" w:lineRule="auto"/>
      </w:pPr>
      <w:r>
        <w:t>ST5 5BG</w:t>
      </w:r>
    </w:p>
    <w:p w14:paraId="394E3970" w14:textId="3FE4D147" w:rsidR="00E90400" w:rsidRDefault="00E90400" w:rsidP="00E90400">
      <w:pPr>
        <w:spacing w:line="480" w:lineRule="auto"/>
      </w:pPr>
      <w:hyperlink r:id="rId8" w:history="1">
        <w:r w:rsidRPr="001C6D8A">
          <w:rPr>
            <w:rStyle w:val="Hyperlink"/>
          </w:rPr>
          <w:t>e.rees@keele.a.cuk</w:t>
        </w:r>
      </w:hyperlink>
    </w:p>
    <w:p w14:paraId="39478F52" w14:textId="17B8EF4E" w:rsidR="00E90400" w:rsidRDefault="00E90400" w:rsidP="00E90400">
      <w:pPr>
        <w:spacing w:line="480" w:lineRule="auto"/>
      </w:pPr>
      <w:r>
        <w:t>+44 1782 734939</w:t>
      </w:r>
    </w:p>
    <w:p w14:paraId="2CC13264" w14:textId="0AB702DE" w:rsidR="00E90400" w:rsidRDefault="00E90400" w:rsidP="00E90400">
      <w:pPr>
        <w:spacing w:line="480" w:lineRule="auto"/>
      </w:pPr>
    </w:p>
    <w:p w14:paraId="29F5BEA4" w14:textId="3C52CAAE" w:rsidR="00E90400" w:rsidRDefault="00E90400" w:rsidP="00E90400">
      <w:pPr>
        <w:spacing w:line="480" w:lineRule="auto"/>
      </w:pPr>
      <w:r>
        <w:t>Word count: 292</w:t>
      </w:r>
      <w:r>
        <w:br w:type="page"/>
      </w:r>
    </w:p>
    <w:p w14:paraId="07A1FDD7" w14:textId="39FF4D3A" w:rsidR="00334DCF" w:rsidRDefault="006C0770" w:rsidP="00E90400">
      <w:pPr>
        <w:spacing w:line="480" w:lineRule="auto"/>
      </w:pPr>
      <w:r>
        <w:t>Dear Editor,</w:t>
      </w:r>
    </w:p>
    <w:p w14:paraId="6721C7CD" w14:textId="038FE44F" w:rsidR="006C0770" w:rsidRDefault="006C0770" w:rsidP="00E90400">
      <w:pPr>
        <w:spacing w:line="480" w:lineRule="auto"/>
      </w:pPr>
      <w:r>
        <w:t xml:space="preserve">I read with interest the article </w:t>
      </w:r>
      <w:r w:rsidR="00BB3843">
        <w:t xml:space="preserve">by </w:t>
      </w:r>
      <w:proofErr w:type="spellStart"/>
      <w:r>
        <w:t>Laloo</w:t>
      </w:r>
      <w:proofErr w:type="spellEnd"/>
      <w:r>
        <w:t xml:space="preserve"> et al</w:t>
      </w:r>
      <w:r w:rsidR="00BB3843">
        <w:fldChar w:fldCharType="begin" w:fldLock="1"/>
      </w:r>
      <w:r w:rsidR="00F84CC1">
        <w:instrText>ADDIN CSL_CITATION {"citationItems":[{"id":"ITEM-1","itemData":{"DOI":"10.1177/0036933020951927","ISSN":"20456441","abstract":"Background and Aims: An online teaching programme for Core Surgical Trainees (CSTs) was designed and delivered during the COVID-19 pandemic. The aim of this study is to assess the feasibility and the reception of a fully online teaching programme. Methods: Twenty teaching sessions were delivered either via Zoom™ or were pre-recorded and uploaded onto a Google Classroom™ and YouTube™ website. Online feedback, delivered via Google Forms™, were completed by CSTs following each teaching session. YouTube Studio™ analytics were used to understand patterns in viewing content. Results: 89.9% of trainees were satisfied with the teaching series. Trainees preferred short, weekly sessions (79%), delivered by senior surgeons, in the form of both didactical and interactive teaching. YouTube analytics revealed that the highest peak in views was documented on the weekend before the deadline for evidence upload on the Intercollegiate Surgical Collegiate Programme (ISCP) portfolio. Conclusion: An entirely online teaching programme is feasible and well-received by CSTs. Trainees preferred live, interactive, procedure-based, consultant-led sessions lasting approximately thirty minutes to one hour and covering a myriad of surgical specialties. This feedback can be used to improve future online surgical teaching regionally and nationally in order to gain training opportunities lost during the pandemic.","author":[{"dropping-particle":"","family":"Laloo","given":"Ryan","non-dropping-particle":"","parse-names":false,"suffix":""},{"dropping-particle":"","family":"Giorga","given":"Andrea","non-dropping-particle":"","parse-names":false,"suffix":""},{"dropping-particle":"","family":"Williams","given":"Andrew","non-dropping-particle":"","parse-names":false,"suffix":""},{"dropping-particle":"","family":"Biyani","given":"Chandra Shekhar","non-dropping-particle":"","parse-names":false,"suffix":""},{"dropping-particle":"","family":"Yiasemidou","given":"Marina","non-dropping-particle":"","parse-names":false,"suffix":""}],"container-title":"Scottish Medical Journal","id":"ITEM-1","issued":{"date-parts":[["2020"]]},"title":"Virtual surgical education for core surgical trainees in the Yorkshire deanery during the COVID-19 pandemic","type":"article-journal"},"uris":["http://www.mendeley.com/documents/?uuid=bca6b46e-4c79-420c-96a1-4820c2838cac"]}],"mendeley":{"formattedCitation":"&lt;sup&gt;1&lt;/sup&gt;","plainTextFormattedCitation":"1","previouslyFormattedCitation":"&lt;sup&gt;1&lt;/sup&gt;"},"properties":{"noteIndex":0},"schema":"https://github.com/citation-style-language/schema/raw/master/csl-citation.json"}</w:instrText>
      </w:r>
      <w:r w:rsidR="00BB3843">
        <w:fldChar w:fldCharType="separate"/>
      </w:r>
      <w:r w:rsidR="00BB3843" w:rsidRPr="00BB3843">
        <w:rPr>
          <w:noProof/>
          <w:vertAlign w:val="superscript"/>
        </w:rPr>
        <w:t>1</w:t>
      </w:r>
      <w:r w:rsidR="00BB3843">
        <w:fldChar w:fldCharType="end"/>
      </w:r>
      <w:r w:rsidR="00BB3843">
        <w:t xml:space="preserve"> and commend them on their efforts to preserve educational provision for core surgical trainees.  However, I was concerned with their statement that “as the study involved trainees and not patients, ethical approval was not necessary”</w:t>
      </w:r>
      <w:r w:rsidR="00BB3843">
        <w:fldChar w:fldCharType="begin" w:fldLock="1"/>
      </w:r>
      <w:r w:rsidR="00F84CC1">
        <w:instrText>ADDIN CSL_CITATION {"citationItems":[{"id":"ITEM-1","itemData":{"DOI":"10.1177/0036933020951927","ISSN":"20456441","abstract":"Background and Aims: An online teaching programme for Core Surgical Trainees (CSTs) was designed and delivered during the COVID-19 pandemic. The aim of this study is to assess the feasibility and the reception of a fully online teaching programme. Methods: Twenty teaching sessions were delivered either via Zoom™ or were pre-recorded and uploaded onto a Google Classroom™ and YouTube™ website. Online feedback, delivered via Google Forms™, were completed by CSTs following each teaching session. YouTube Studio™ analytics were used to understand patterns in viewing content. Results: 89.9% of trainees were satisfied with the teaching series. Trainees preferred short, weekly sessions (79%), delivered by senior surgeons, in the form of both didactical and interactive teaching. YouTube analytics revealed that the highest peak in views was documented on the weekend before the deadline for evidence upload on the Intercollegiate Surgical Collegiate Programme (ISCP) portfolio. Conclusion: An entirely online teaching programme is feasible and well-received by CSTs. Trainees preferred live, interactive, procedure-based, consultant-led sessions lasting approximately thirty minutes to one hour and covering a myriad of surgical specialties. This feedback can be used to improve future online surgical teaching regionally and nationally in order to gain training opportunities lost during the pandemic.","author":[{"dropping-particle":"","family":"Laloo","given":"Ryan","non-dropping-particle":"","parse-names":false,"suffix":""},{"dropping-particle":"","family":"Giorga","given":"Andrea","non-dropping-particle":"","parse-names":false,"suffix":""},{"dropping-particle":"","family":"Williams","given":"Andrew","non-dropping-particle":"","parse-names":false,"suffix":""},{"dropping-particle":"","family":"Biyani","given":"Chandra Shekhar","non-dropping-particle":"","parse-names":false,"suffix":""},{"dropping-particle":"","family":"Yiasemidou","given":"Marina","non-dropping-particle":"","parse-names":false,"suffix":""}],"container-title":"Scottish Medical Journal","id":"ITEM-1","issued":{"date-parts":[["2020"]]},"title":"Virtual surgical education for core surgical trainees in the Yorkshire deanery during the COVID-19 pandemic","type":"article-journal"},"uris":["http://www.mendeley.com/documents/?uuid=bca6b46e-4c79-420c-96a1-4820c2838cac"]}],"mendeley":{"formattedCitation":"&lt;sup&gt;1&lt;/sup&gt;","plainTextFormattedCitation":"1","previouslyFormattedCitation":"&lt;sup&gt;1&lt;/sup&gt;"},"properties":{"noteIndex":0},"schema":"https://github.com/citation-style-language/schema/raw/master/csl-citation.json"}</w:instrText>
      </w:r>
      <w:r w:rsidR="00BB3843">
        <w:fldChar w:fldCharType="separate"/>
      </w:r>
      <w:r w:rsidR="00BB3843" w:rsidRPr="00BB3843">
        <w:rPr>
          <w:noProof/>
          <w:vertAlign w:val="superscript"/>
        </w:rPr>
        <w:t>1</w:t>
      </w:r>
      <w:r w:rsidR="00BB3843">
        <w:fldChar w:fldCharType="end"/>
      </w:r>
      <w:r w:rsidR="00BB3843">
        <w:t>.</w:t>
      </w:r>
    </w:p>
    <w:p w14:paraId="30A7CB49" w14:textId="6958A928" w:rsidR="009C56D7" w:rsidRDefault="009C56D7" w:rsidP="00E90400">
      <w:pPr>
        <w:spacing w:line="480" w:lineRule="auto"/>
      </w:pPr>
      <w:r>
        <w:t>The declaration of Helsinki states that research involving human subjects should be reviewed by an ethics committee.  I urge authors, reviewers, and editors to remember that while students and trainees are not patients, they are still human.</w:t>
      </w:r>
      <w:r w:rsidR="00AF7730">
        <w:t xml:space="preserve">  Consequently, if they are involved as participants in research studies that research should have had received either a favourable opinion or exemption from a research ethics committee.  </w:t>
      </w:r>
    </w:p>
    <w:p w14:paraId="70096E0E" w14:textId="75703D95" w:rsidR="009C56D7" w:rsidRDefault="00AF7730" w:rsidP="00E90400">
      <w:pPr>
        <w:spacing w:line="480" w:lineRule="auto"/>
      </w:pPr>
      <w:r>
        <w:t xml:space="preserve">That is not to say that all manuscripts including data collected from learners require ethical approval.  It is widely accepted that evaluation reports </w:t>
      </w:r>
      <w:r w:rsidR="00F84CC1">
        <w:t xml:space="preserve">are exempt.  However, the lines between educational evaluation and medical education research are sometimes blurred.  Guidance from the editors of </w:t>
      </w:r>
      <w:r w:rsidR="00F84CC1" w:rsidRPr="00CC13DD">
        <w:rPr>
          <w:i/>
          <w:iCs/>
        </w:rPr>
        <w:t>The Clinical Teacher</w:t>
      </w:r>
      <w:r w:rsidR="00F84CC1">
        <w:t xml:space="preserve"> </w:t>
      </w:r>
      <w:r w:rsidR="006F790E">
        <w:t>may be</w:t>
      </w:r>
      <w:r w:rsidR="00F84CC1">
        <w:t xml:space="preserve"> useful in distinguishing between the two</w:t>
      </w:r>
      <w:r w:rsidR="00F84CC1">
        <w:fldChar w:fldCharType="begin" w:fldLock="1"/>
      </w:r>
      <w:r w:rsidR="00CC13DD">
        <w:instrText>ADDIN CSL_CITATION {"citationItems":[{"id":"ITEM-1","itemData":{"DOI":"10.1111/tct.12009","ISSN":"17434971","PMID":"23167874","author":[{"dropping-particle":"","family":"Thistlethwaite","given":"Jill","non-dropping-particle":"","parse-names":false,"suffix":""},{"dropping-particle":"","family":"Trumble","given":"Steve","non-dropping-particle":"","parse-names":false,"suffix":""}],"container-title":"Clinical Teacher","id":"ITEM-1","issue":"6","issued":{"date-parts":[["2012"]]},"page":"353-355","title":"Ethics, publication and The Clinical Teacher","type":"article-journal","volume":"9"},"uris":["http://www.mendeley.com/documents/?uuid=cce99963-b2da-40b3-8fe6-adae2b89747c"]}],"mendeley":{"formattedCitation":"&lt;sup&gt;2&lt;/sup&gt;","plainTextFormattedCitation":"2","previouslyFormattedCitation":"&lt;sup&gt;2&lt;/sup&gt;"},"properties":{"noteIndex":0},"schema":"https://github.com/citation-style-language/schema/raw/master/csl-citation.json"}</w:instrText>
      </w:r>
      <w:r w:rsidR="00F84CC1">
        <w:fldChar w:fldCharType="separate"/>
      </w:r>
      <w:r w:rsidR="00F84CC1" w:rsidRPr="00F84CC1">
        <w:rPr>
          <w:noProof/>
          <w:vertAlign w:val="superscript"/>
        </w:rPr>
        <w:t>2</w:t>
      </w:r>
      <w:r w:rsidR="00F84CC1">
        <w:fldChar w:fldCharType="end"/>
      </w:r>
      <w:r w:rsidR="00F84CC1">
        <w:t>.  According to their definitions</w:t>
      </w:r>
      <w:r w:rsidR="006F790E">
        <w:t>,</w:t>
      </w:r>
      <w:r w:rsidR="00F84CC1">
        <w:t xml:space="preserve"> </w:t>
      </w:r>
      <w:proofErr w:type="spellStart"/>
      <w:r w:rsidR="00F84CC1">
        <w:t>Laloo’s</w:t>
      </w:r>
      <w:proofErr w:type="spellEnd"/>
      <w:r w:rsidR="00F84CC1">
        <w:t xml:space="preserve"> article would be considered evaluation.  </w:t>
      </w:r>
      <w:r w:rsidR="007E49DB">
        <w:t>Still</w:t>
      </w:r>
      <w:r w:rsidR="00F84CC1">
        <w:t xml:space="preserve">, </w:t>
      </w:r>
      <w:r w:rsidR="00CC13DD">
        <w:t>it is important to ensure there was informed consent, and a</w:t>
      </w:r>
      <w:r w:rsidR="006F790E">
        <w:t>n</w:t>
      </w:r>
      <w:r w:rsidR="00CC13DD">
        <w:t xml:space="preserve"> expedited review or exemption from a research ethics committee should have been obtained</w:t>
      </w:r>
      <w:r w:rsidR="00CC13DD">
        <w:fldChar w:fldCharType="begin" w:fldLock="1"/>
      </w:r>
      <w:r w:rsidR="00ED5D1D">
        <w:instrText>ADDIN CSL_CITATION {"citationItems":[{"id":"ITEM-1","itemData":{"DOI":"10.1111/j.1365-2923.2012.04293.x","ISSN":"1365-2923","author":[{"dropping-particle":"","family":"Eikelboom","given":"Jonneke I","non-dropping-particle":"","parse-names":false,"suffix":""},{"dropping-particle":"","family":"Cate","given":"Olle Th J","non-dropping-particle":"ten","parse-names":false,"suffix":""},{"dropping-particle":"","family":"Jaarsma","given":"Debbie","non-dropping-particle":"","parse-names":false,"suffix":""},{"dropping-particle":"","family":"Raat","given":"Janet A N","non-dropping-particle":"","parse-names":false,"suffix":""},{"dropping-particle":"","family":"Schuwirth","given":"Lambert","non-dropping-particle":"","parse-names":false,"suffix":""},{"dropping-particle":"","family":"Delden","given":"Johannes J M","non-dropping-particle":"van","parse-names":false,"suffix":""}],"container-title":"Medical Education","id":"ITEM-1","issue":"8","issued":{"date-parts":[["2012","8"]]},"note":"Accession Number: 22803748. Language: English. Date Revised: 20120718. Date Created: 20120718. Date Completed: 20121130. Update Code: 20161213. Publication Type: Journal Article. Journal ID: 7605655. Publication Model: Print. Cited Medium: Internet. NLM ISO Abbr: Med Educ. Linking ISSN: 03080110. Subset: IM; Date of Electronic Publication: 20120801. Current Imprints: Publication: Oxford : Wiley-Blackwell; Original Imprints: Publication: Oxford, Blackwell Scientific Publications.","page":"731-733","publisher":"Wiley-Blackwell","publisher-place":"University Medical Centre Utrecht, Julius Centre for Medical Ethics, Universiteitsweg 100, 3584 CG Utrecht, the Netherlands. j.i.dankerlui-eikelboom-2@umcutrecht.nl","title":"A framework for the ethics review of education research.","type":"article-journal","volume":"46"},"uris":["http://www.mendeley.com/documents/?uuid=fef26454-de2a-4223-b047-0cedc4387684"]}],"mendeley":{"formattedCitation":"&lt;sup&gt;3&lt;/sup&gt;","plainTextFormattedCitation":"3","previouslyFormattedCitation":"&lt;sup&gt;3&lt;/sup&gt;"},"properties":{"noteIndex":0},"schema":"https://github.com/citation-style-language/schema/raw/master/csl-citation.json"}</w:instrText>
      </w:r>
      <w:r w:rsidR="00CC13DD">
        <w:fldChar w:fldCharType="separate"/>
      </w:r>
      <w:r w:rsidR="00CC13DD" w:rsidRPr="00CC13DD">
        <w:rPr>
          <w:noProof/>
          <w:vertAlign w:val="superscript"/>
        </w:rPr>
        <w:t>3</w:t>
      </w:r>
      <w:r w:rsidR="00CC13DD">
        <w:fldChar w:fldCharType="end"/>
      </w:r>
      <w:r w:rsidR="00CC13DD">
        <w:t>.</w:t>
      </w:r>
    </w:p>
    <w:p w14:paraId="18F6585D" w14:textId="70ABE117" w:rsidR="00ED5D1D" w:rsidRDefault="00ED5D1D" w:rsidP="00E90400">
      <w:pPr>
        <w:spacing w:line="480" w:lineRule="auto"/>
      </w:pPr>
      <w:r>
        <w:t>I recognise the difficulty inherent in suggesti</w:t>
      </w:r>
      <w:r w:rsidR="007E49DB">
        <w:t>ng</w:t>
      </w:r>
      <w:r>
        <w:t xml:space="preserve"> all educational evaluations should be reviewed by a research ethics committee.  </w:t>
      </w:r>
      <w:proofErr w:type="spellStart"/>
      <w:r>
        <w:t>Schuwirth</w:t>
      </w:r>
      <w:proofErr w:type="spellEnd"/>
      <w:r>
        <w:t xml:space="preserve"> and </w:t>
      </w:r>
      <w:proofErr w:type="spellStart"/>
      <w:r>
        <w:t>Durning</w:t>
      </w:r>
      <w:proofErr w:type="spellEnd"/>
      <w:r>
        <w:t xml:space="preserve"> argue that the effort expended on the preparation and review of ethics proposal can be disproportionate to the risk posed</w:t>
      </w:r>
      <w:r>
        <w:fldChar w:fldCharType="begin" w:fldLock="1"/>
      </w:r>
      <w:r w:rsidR="00E90400">
        <w:instrText>ADDIN CSL_CITATION {"citationItems":[{"id":"ITEM-1","itemData":{"DOI":"10.1111/medu.13942","ISSN":"13652923","PMID":"31456214","author":[{"dropping-particle":"","family":"Schuwirth","given":"Lambert W.T.","non-dropping-particle":"","parse-names":false,"suffix":""},{"dropping-particle":"","family":"Durning","given":"Steven J.","non-dropping-particle":"","parse-names":false,"suffix":""}],"container-title":"Medical Education","id":"ITEM-1","issue":"10","issued":{"date-parts":[["2019"]]},"page":"956-958","title":"Ethics approval for health professions education research: are we going too far down the barrel?","type":"article-journal","volume":"53"},"uris":["http://www.mendeley.com/documents/?uuid=b5049d07-ed6d-4fe0-b36a-b2b32ab3ad3d"]}],"mendeley":{"formattedCitation":"&lt;sup&gt;4&lt;/sup&gt;","plainTextFormattedCitation":"4","previouslyFormattedCitation":"&lt;sup&gt;4&lt;/sup&gt;"},"properties":{"noteIndex":0},"schema":"https://github.com/citation-style-language/schema/raw/master/csl-citation.json"}</w:instrText>
      </w:r>
      <w:r>
        <w:fldChar w:fldCharType="separate"/>
      </w:r>
      <w:r w:rsidRPr="00ED5D1D">
        <w:rPr>
          <w:noProof/>
          <w:vertAlign w:val="superscript"/>
        </w:rPr>
        <w:t>4</w:t>
      </w:r>
      <w:r>
        <w:fldChar w:fldCharType="end"/>
      </w:r>
      <w:r>
        <w:t>.</w:t>
      </w:r>
      <w:r w:rsidR="007E49DB">
        <w:t xml:space="preserve">  This concern is particularly appropriate at present when there is an imperative to disseminate educational innovations in response to the disruption caused by the COVID-19 pandemic.  Nevertheless, we have a duty to our learners to ensure that research and evaluation </w:t>
      </w:r>
      <w:r w:rsidR="00E90400">
        <w:t>on these innovations are conducted and reported in an ethical manner.</w:t>
      </w:r>
    </w:p>
    <w:p w14:paraId="0CE73149" w14:textId="6377F8F3" w:rsidR="00E90400" w:rsidRPr="00E90400" w:rsidRDefault="00E90400" w:rsidP="00E90400">
      <w:pPr>
        <w:spacing w:line="480" w:lineRule="auto"/>
        <w:rPr>
          <w:b/>
          <w:bCs/>
        </w:rPr>
      </w:pPr>
      <w:r w:rsidRPr="00E90400">
        <w:rPr>
          <w:b/>
          <w:bCs/>
        </w:rPr>
        <w:t>References</w:t>
      </w:r>
    </w:p>
    <w:p w14:paraId="30303D58" w14:textId="4F16716F" w:rsidR="00E90400" w:rsidRPr="00E90400" w:rsidRDefault="00E90400" w:rsidP="00E90400">
      <w:pPr>
        <w:widowControl w:val="0"/>
        <w:autoSpaceDE w:val="0"/>
        <w:autoSpaceDN w:val="0"/>
        <w:adjustRightInd w:val="0"/>
        <w:spacing w:line="480" w:lineRule="auto"/>
        <w:ind w:left="640" w:hanging="640"/>
        <w:rPr>
          <w:rFonts w:cs="Times New Roman"/>
          <w:noProof/>
        </w:rPr>
      </w:pPr>
      <w:r>
        <w:fldChar w:fldCharType="begin" w:fldLock="1"/>
      </w:r>
      <w:r>
        <w:instrText xml:space="preserve">ADDIN Mendeley Bibliography CSL_BIBLIOGRAPHY </w:instrText>
      </w:r>
      <w:r>
        <w:fldChar w:fldCharType="separate"/>
      </w:r>
      <w:r w:rsidRPr="00E90400">
        <w:rPr>
          <w:rFonts w:cs="Times New Roman"/>
          <w:noProof/>
        </w:rPr>
        <w:t xml:space="preserve">1. </w:t>
      </w:r>
      <w:r w:rsidRPr="00E90400">
        <w:rPr>
          <w:rFonts w:cs="Times New Roman"/>
          <w:noProof/>
        </w:rPr>
        <w:tab/>
        <w:t xml:space="preserve">Laloo R, Giorga A, Williams A, Biyani CS, Yiasemidou M. Virtual surgical education for core surgical trainees in the Yorkshire deanery during the COVID-19 pandemic. </w:t>
      </w:r>
      <w:r w:rsidRPr="00E90400">
        <w:rPr>
          <w:rFonts w:cs="Times New Roman"/>
          <w:i/>
          <w:iCs/>
          <w:noProof/>
        </w:rPr>
        <w:t>Scott Med J</w:t>
      </w:r>
      <w:r w:rsidRPr="00E90400">
        <w:rPr>
          <w:rFonts w:cs="Times New Roman"/>
          <w:noProof/>
        </w:rPr>
        <w:t>. Published online 2020. doi:10.1177/0036933020951927</w:t>
      </w:r>
    </w:p>
    <w:p w14:paraId="45AE2BC4" w14:textId="77777777" w:rsidR="00E90400" w:rsidRPr="00E90400" w:rsidRDefault="00E90400" w:rsidP="00E90400">
      <w:pPr>
        <w:widowControl w:val="0"/>
        <w:autoSpaceDE w:val="0"/>
        <w:autoSpaceDN w:val="0"/>
        <w:adjustRightInd w:val="0"/>
        <w:spacing w:line="480" w:lineRule="auto"/>
        <w:ind w:left="640" w:hanging="640"/>
        <w:rPr>
          <w:rFonts w:cs="Times New Roman"/>
          <w:noProof/>
        </w:rPr>
      </w:pPr>
      <w:r w:rsidRPr="00E90400">
        <w:rPr>
          <w:rFonts w:cs="Times New Roman"/>
          <w:noProof/>
        </w:rPr>
        <w:t xml:space="preserve">2. </w:t>
      </w:r>
      <w:r w:rsidRPr="00E90400">
        <w:rPr>
          <w:rFonts w:cs="Times New Roman"/>
          <w:noProof/>
        </w:rPr>
        <w:tab/>
        <w:t xml:space="preserve">Thistlethwaite J, Trumble S. Ethics, publication and The Clinical Teacher. </w:t>
      </w:r>
      <w:r w:rsidRPr="00E90400">
        <w:rPr>
          <w:rFonts w:cs="Times New Roman"/>
          <w:i/>
          <w:iCs/>
          <w:noProof/>
        </w:rPr>
        <w:t>Clin Teach</w:t>
      </w:r>
      <w:r w:rsidRPr="00E90400">
        <w:rPr>
          <w:rFonts w:cs="Times New Roman"/>
          <w:noProof/>
        </w:rPr>
        <w:t>. 2012;9(6):353-355. doi:10.1111/tct.12009</w:t>
      </w:r>
    </w:p>
    <w:p w14:paraId="45D1CD07" w14:textId="77777777" w:rsidR="00E90400" w:rsidRPr="00E90400" w:rsidRDefault="00E90400" w:rsidP="00E90400">
      <w:pPr>
        <w:widowControl w:val="0"/>
        <w:autoSpaceDE w:val="0"/>
        <w:autoSpaceDN w:val="0"/>
        <w:adjustRightInd w:val="0"/>
        <w:spacing w:line="480" w:lineRule="auto"/>
        <w:ind w:left="640" w:hanging="640"/>
        <w:rPr>
          <w:rFonts w:cs="Times New Roman"/>
          <w:noProof/>
        </w:rPr>
      </w:pPr>
      <w:r w:rsidRPr="00E90400">
        <w:rPr>
          <w:rFonts w:cs="Times New Roman"/>
          <w:noProof/>
        </w:rPr>
        <w:lastRenderedPageBreak/>
        <w:t xml:space="preserve">3. </w:t>
      </w:r>
      <w:r w:rsidRPr="00E90400">
        <w:rPr>
          <w:rFonts w:cs="Times New Roman"/>
          <w:noProof/>
        </w:rPr>
        <w:tab/>
        <w:t xml:space="preserve">Eikelboom JI, ten Cate OTJ, Jaarsma D, Raat JAN, Schuwirth L, van Delden JJM. A framework for the ethics review of education research. </w:t>
      </w:r>
      <w:r w:rsidRPr="00E90400">
        <w:rPr>
          <w:rFonts w:cs="Times New Roman"/>
          <w:i/>
          <w:iCs/>
          <w:noProof/>
        </w:rPr>
        <w:t>Med Educ</w:t>
      </w:r>
      <w:r w:rsidRPr="00E90400">
        <w:rPr>
          <w:rFonts w:cs="Times New Roman"/>
          <w:noProof/>
        </w:rPr>
        <w:t>. 2012;46(8):731-733. doi:10.1111/j.1365-2923.2012.04293.x</w:t>
      </w:r>
    </w:p>
    <w:p w14:paraId="1CB362AE" w14:textId="77777777" w:rsidR="00E90400" w:rsidRPr="00E90400" w:rsidRDefault="00E90400" w:rsidP="00E90400">
      <w:pPr>
        <w:widowControl w:val="0"/>
        <w:autoSpaceDE w:val="0"/>
        <w:autoSpaceDN w:val="0"/>
        <w:adjustRightInd w:val="0"/>
        <w:spacing w:line="480" w:lineRule="auto"/>
        <w:ind w:left="640" w:hanging="640"/>
        <w:rPr>
          <w:noProof/>
        </w:rPr>
      </w:pPr>
      <w:r w:rsidRPr="00E90400">
        <w:rPr>
          <w:rFonts w:cs="Times New Roman"/>
          <w:noProof/>
        </w:rPr>
        <w:t xml:space="preserve">4. </w:t>
      </w:r>
      <w:r w:rsidRPr="00E90400">
        <w:rPr>
          <w:rFonts w:cs="Times New Roman"/>
          <w:noProof/>
        </w:rPr>
        <w:tab/>
        <w:t xml:space="preserve">Schuwirth LWT, Durning SJ. Ethics approval for health professions education research: are we going too far down the barrel? </w:t>
      </w:r>
      <w:r w:rsidRPr="00E90400">
        <w:rPr>
          <w:rFonts w:cs="Times New Roman"/>
          <w:i/>
          <w:iCs/>
          <w:noProof/>
        </w:rPr>
        <w:t>Med Educ</w:t>
      </w:r>
      <w:r w:rsidRPr="00E90400">
        <w:rPr>
          <w:rFonts w:cs="Times New Roman"/>
          <w:noProof/>
        </w:rPr>
        <w:t>. 2019;53(10):956-958. doi:10.1111/medu.13942</w:t>
      </w:r>
    </w:p>
    <w:p w14:paraId="7536E871" w14:textId="28DD7E96" w:rsidR="00E90400" w:rsidRDefault="00E90400" w:rsidP="00E90400">
      <w:pPr>
        <w:spacing w:line="480" w:lineRule="auto"/>
      </w:pPr>
      <w:r>
        <w:fldChar w:fldCharType="end"/>
      </w:r>
    </w:p>
    <w:p w14:paraId="218B4AF6" w14:textId="77777777" w:rsidR="006F790E" w:rsidRDefault="006F790E" w:rsidP="00E90400">
      <w:pPr>
        <w:spacing w:line="480" w:lineRule="auto"/>
      </w:pPr>
    </w:p>
    <w:p w14:paraId="482F02B2" w14:textId="77777777" w:rsidR="00CC13DD" w:rsidRDefault="00CC13DD" w:rsidP="00E90400">
      <w:pPr>
        <w:spacing w:line="480" w:lineRule="auto"/>
      </w:pPr>
    </w:p>
    <w:sectPr w:rsidR="00CC13DD" w:rsidSect="0052429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58B29" w14:textId="77777777" w:rsidR="00E90400" w:rsidRDefault="00E90400" w:rsidP="00E90400">
      <w:pPr>
        <w:spacing w:after="0" w:line="240" w:lineRule="auto"/>
      </w:pPr>
      <w:r>
        <w:separator/>
      </w:r>
    </w:p>
  </w:endnote>
  <w:endnote w:type="continuationSeparator" w:id="0">
    <w:p w14:paraId="225CD854" w14:textId="77777777" w:rsidR="00E90400" w:rsidRDefault="00E90400" w:rsidP="00E9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41EB3" w14:textId="77777777" w:rsidR="00E90400" w:rsidRDefault="00E90400" w:rsidP="00E90400">
      <w:pPr>
        <w:spacing w:after="0" w:line="240" w:lineRule="auto"/>
      </w:pPr>
      <w:r>
        <w:separator/>
      </w:r>
    </w:p>
  </w:footnote>
  <w:footnote w:type="continuationSeparator" w:id="0">
    <w:p w14:paraId="1DAD92EA" w14:textId="77777777" w:rsidR="00E90400" w:rsidRDefault="00E90400" w:rsidP="00E90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E7EB0"/>
    <w:multiLevelType w:val="hybridMultilevel"/>
    <w:tmpl w:val="DF3A6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70"/>
    <w:rsid w:val="00187A92"/>
    <w:rsid w:val="00524297"/>
    <w:rsid w:val="00571C1D"/>
    <w:rsid w:val="006C0770"/>
    <w:rsid w:val="006D2BE2"/>
    <w:rsid w:val="006F790E"/>
    <w:rsid w:val="007E49DB"/>
    <w:rsid w:val="009C56D7"/>
    <w:rsid w:val="009F18AD"/>
    <w:rsid w:val="00AF7730"/>
    <w:rsid w:val="00BB3843"/>
    <w:rsid w:val="00CC13DD"/>
    <w:rsid w:val="00E90400"/>
    <w:rsid w:val="00ED5D1D"/>
    <w:rsid w:val="00F81C38"/>
    <w:rsid w:val="00F8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A189"/>
  <w15:chartTrackingRefBased/>
  <w15:docId w15:val="{4BB0CF33-07D7-3A4A-9D9F-5A216FF3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38"/>
    <w:pPr>
      <w:spacing w:after="120" w:line="360" w:lineRule="auto"/>
    </w:pPr>
    <w:rPr>
      <w:rFonts w:ascii="Garamond" w:hAnsi="Garamond"/>
    </w:rPr>
  </w:style>
  <w:style w:type="paragraph" w:styleId="Heading1">
    <w:name w:val="heading 1"/>
    <w:basedOn w:val="Normal"/>
    <w:next w:val="Normal"/>
    <w:link w:val="Heading1Char"/>
    <w:autoRedefine/>
    <w:uiPriority w:val="9"/>
    <w:qFormat/>
    <w:rsid w:val="00E90400"/>
    <w:pPr>
      <w:keepNext/>
      <w:keepLines/>
      <w:spacing w:before="240" w:after="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autoRedefine/>
    <w:uiPriority w:val="9"/>
    <w:unhideWhenUsed/>
    <w:qFormat/>
    <w:rsid w:val="00571C1D"/>
    <w:pPr>
      <w:keepNext/>
      <w:keepLines/>
      <w:spacing w:before="40" w:after="0"/>
      <w:outlineLvl w:val="1"/>
    </w:pPr>
    <w:rPr>
      <w:rFonts w:eastAsiaTheme="majorEastAsia" w:cstheme="majorBidi"/>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400"/>
    <w:rPr>
      <w:rFonts w:ascii="Garamond" w:eastAsiaTheme="majorEastAsia" w:hAnsi="Garamond" w:cstheme="majorBidi"/>
      <w:b/>
      <w:bCs/>
      <w:color w:val="000000" w:themeColor="text1"/>
      <w:sz w:val="32"/>
      <w:szCs w:val="32"/>
    </w:rPr>
  </w:style>
  <w:style w:type="character" w:customStyle="1" w:styleId="Heading2Char">
    <w:name w:val="Heading 2 Char"/>
    <w:basedOn w:val="DefaultParagraphFont"/>
    <w:link w:val="Heading2"/>
    <w:uiPriority w:val="9"/>
    <w:rsid w:val="00571C1D"/>
    <w:rPr>
      <w:rFonts w:ascii="Garamond" w:eastAsiaTheme="majorEastAsia" w:hAnsi="Garamond" w:cstheme="majorBidi"/>
      <w:color w:val="808080" w:themeColor="background1" w:themeShade="80"/>
      <w:sz w:val="26"/>
      <w:szCs w:val="26"/>
    </w:rPr>
  </w:style>
  <w:style w:type="paragraph" w:styleId="Title">
    <w:name w:val="Title"/>
    <w:basedOn w:val="Normal"/>
    <w:next w:val="Normal"/>
    <w:link w:val="TitleChar"/>
    <w:uiPriority w:val="10"/>
    <w:qFormat/>
    <w:rsid w:val="006D2BE2"/>
    <w:pPr>
      <w:spacing w:after="0" w:line="240" w:lineRule="auto"/>
      <w:contextualSpacing/>
    </w:pPr>
    <w:rPr>
      <w:rFonts w:ascii="Palatino Linotype" w:eastAsiaTheme="majorEastAsia" w:hAnsi="Palatino Linotype" w:cs="Times New Roman (Headings CS)"/>
      <w:smallCaps/>
      <w:spacing w:val="-10"/>
      <w:kern w:val="28"/>
      <w:sz w:val="56"/>
      <w:szCs w:val="56"/>
    </w:rPr>
  </w:style>
  <w:style w:type="character" w:customStyle="1" w:styleId="TitleChar">
    <w:name w:val="Title Char"/>
    <w:basedOn w:val="DefaultParagraphFont"/>
    <w:link w:val="Title"/>
    <w:uiPriority w:val="10"/>
    <w:rsid w:val="006D2BE2"/>
    <w:rPr>
      <w:rFonts w:ascii="Palatino Linotype" w:eastAsiaTheme="majorEastAsia" w:hAnsi="Palatino Linotype" w:cs="Times New Roman (Headings CS)"/>
      <w:smallCaps/>
      <w:spacing w:val="-10"/>
      <w:kern w:val="28"/>
      <w:sz w:val="56"/>
      <w:szCs w:val="56"/>
    </w:rPr>
  </w:style>
  <w:style w:type="paragraph" w:styleId="BalloonText">
    <w:name w:val="Balloon Text"/>
    <w:basedOn w:val="Normal"/>
    <w:link w:val="BalloonTextChar"/>
    <w:uiPriority w:val="99"/>
    <w:semiHidden/>
    <w:unhideWhenUsed/>
    <w:rsid w:val="006C07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770"/>
    <w:rPr>
      <w:rFonts w:ascii="Times New Roman" w:hAnsi="Times New Roman" w:cs="Times New Roman"/>
      <w:sz w:val="18"/>
      <w:szCs w:val="18"/>
    </w:rPr>
  </w:style>
  <w:style w:type="paragraph" w:styleId="ListParagraph">
    <w:name w:val="List Paragraph"/>
    <w:basedOn w:val="Normal"/>
    <w:uiPriority w:val="34"/>
    <w:qFormat/>
    <w:rsid w:val="00E90400"/>
    <w:pPr>
      <w:ind w:left="720"/>
      <w:contextualSpacing/>
    </w:pPr>
  </w:style>
  <w:style w:type="paragraph" w:styleId="FootnoteText">
    <w:name w:val="footnote text"/>
    <w:basedOn w:val="Normal"/>
    <w:link w:val="FootnoteTextChar"/>
    <w:uiPriority w:val="99"/>
    <w:semiHidden/>
    <w:unhideWhenUsed/>
    <w:rsid w:val="00E9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400"/>
    <w:rPr>
      <w:rFonts w:ascii="Garamond" w:hAnsi="Garamond"/>
      <w:sz w:val="20"/>
      <w:szCs w:val="20"/>
    </w:rPr>
  </w:style>
  <w:style w:type="character" w:styleId="FootnoteReference">
    <w:name w:val="footnote reference"/>
    <w:basedOn w:val="DefaultParagraphFont"/>
    <w:uiPriority w:val="99"/>
    <w:semiHidden/>
    <w:unhideWhenUsed/>
    <w:rsid w:val="00E90400"/>
    <w:rPr>
      <w:vertAlign w:val="superscript"/>
    </w:rPr>
  </w:style>
  <w:style w:type="character" w:styleId="Hyperlink">
    <w:name w:val="Hyperlink"/>
    <w:basedOn w:val="DefaultParagraphFont"/>
    <w:uiPriority w:val="99"/>
    <w:unhideWhenUsed/>
    <w:rsid w:val="00E90400"/>
    <w:rPr>
      <w:color w:val="0563C1" w:themeColor="hyperlink"/>
      <w:u w:val="single"/>
    </w:rPr>
  </w:style>
  <w:style w:type="character" w:styleId="UnresolvedMention">
    <w:name w:val="Unresolved Mention"/>
    <w:basedOn w:val="DefaultParagraphFont"/>
    <w:uiPriority w:val="99"/>
    <w:semiHidden/>
    <w:unhideWhenUsed/>
    <w:rsid w:val="00E90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es@keel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9FFD-E13A-1D4C-97EC-9F4E96ED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Rees</dc:creator>
  <cp:keywords/>
  <dc:description/>
  <cp:lastModifiedBy>Eliot Rees</cp:lastModifiedBy>
  <cp:revision>1</cp:revision>
  <dcterms:created xsi:type="dcterms:W3CDTF">2020-10-17T18:29:00Z</dcterms:created>
  <dcterms:modified xsi:type="dcterms:W3CDTF">2020-10-17T22:02:00Z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ba13b9f8-2287-35a7-8956-b6e00a8e5bd2</vt:lpwstr>
  </property>
  <property fmtid="{D5CDD505-2E9C-101B-9397-08002B2CF9AE}" pid="24" name="Mendeley Citation Style_1">
    <vt:lpwstr>http://www.zotero.org/styles/american-medical-association</vt:lpwstr>
  </property>
</Properties>
</file>