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F6" w:rsidRPr="003C64AE" w:rsidRDefault="00BE5BF6" w:rsidP="00BE5BF6">
      <w:pPr>
        <w:rPr>
          <w:rFonts w:ascii="Times New Roman" w:hAnsi="Times New Roman" w:cs="Times New Roman"/>
          <w:sz w:val="28"/>
          <w:szCs w:val="28"/>
        </w:rPr>
      </w:pPr>
      <w:r w:rsidRPr="003C64AE">
        <w:rPr>
          <w:rFonts w:ascii="Times New Roman" w:hAnsi="Times New Roman" w:cs="Times New Roman"/>
          <w:sz w:val="28"/>
          <w:szCs w:val="28"/>
        </w:rPr>
        <w:t xml:space="preserve">Trial of the State: Law and the Decline of Politics </w:t>
      </w:r>
    </w:p>
    <w:p w:rsidR="00BE5BF6" w:rsidRPr="003C64AE" w:rsidRDefault="00BE5BF6" w:rsidP="00BE5BF6">
      <w:pPr>
        <w:rPr>
          <w:rFonts w:ascii="Times New Roman" w:hAnsi="Times New Roman" w:cs="Times New Roman"/>
          <w:sz w:val="28"/>
          <w:szCs w:val="28"/>
        </w:rPr>
      </w:pPr>
      <w:r w:rsidRPr="003C64AE">
        <w:rPr>
          <w:rFonts w:ascii="Times New Roman" w:hAnsi="Times New Roman" w:cs="Times New Roman"/>
          <w:sz w:val="28"/>
          <w:szCs w:val="28"/>
        </w:rPr>
        <w:t>Jonathan Sumption. London: Profile Books Limited, 2019, 112pp (£8.99 Softback) ISBN 9781788163736</w:t>
      </w:r>
    </w:p>
    <w:p w:rsidR="00BE5BF6" w:rsidRPr="003C64AE" w:rsidRDefault="00BE5BF6" w:rsidP="00BE5BF6">
      <w:pPr>
        <w:rPr>
          <w:rFonts w:ascii="Times New Roman" w:hAnsi="Times New Roman" w:cs="Times New Roman"/>
        </w:rPr>
      </w:pPr>
    </w:p>
    <w:p w:rsidR="00BE5BF6" w:rsidRPr="003C64AE" w:rsidRDefault="00085F7E" w:rsidP="00AF7D6D">
      <w:pPr>
        <w:spacing w:line="480" w:lineRule="auto"/>
        <w:rPr>
          <w:rFonts w:ascii="Times New Roman" w:hAnsi="Times New Roman" w:cs="Times New Roman"/>
        </w:rPr>
      </w:pPr>
      <w:r w:rsidRPr="003C64AE">
        <w:rPr>
          <w:rFonts w:ascii="Times New Roman" w:hAnsi="Times New Roman" w:cs="Times New Roman"/>
        </w:rPr>
        <w:br/>
      </w:r>
      <w:r w:rsidR="00BE5BF6" w:rsidRPr="003C64AE">
        <w:rPr>
          <w:rFonts w:ascii="Times New Roman" w:hAnsi="Times New Roman" w:cs="Times New Roman"/>
        </w:rPr>
        <w:t xml:space="preserve">The United Kingdom is currently experiencing what can only be described as a political </w:t>
      </w:r>
      <w:r w:rsidR="00777DBA" w:rsidRPr="003C64AE">
        <w:rPr>
          <w:rFonts w:ascii="Times New Roman" w:hAnsi="Times New Roman" w:cs="Times New Roman"/>
        </w:rPr>
        <w:t>crisis</w:t>
      </w:r>
      <w:r w:rsidR="007C4E3C" w:rsidRPr="003C64AE">
        <w:rPr>
          <w:rFonts w:ascii="Times New Roman" w:hAnsi="Times New Roman" w:cs="Times New Roman"/>
        </w:rPr>
        <w:t xml:space="preserve">. As faith </w:t>
      </w:r>
      <w:r w:rsidR="00BE5BF6" w:rsidRPr="003C64AE">
        <w:rPr>
          <w:rFonts w:ascii="Times New Roman" w:hAnsi="Times New Roman" w:cs="Times New Roman"/>
        </w:rPr>
        <w:t>in politics declines amongst citizens, there is an increasing trend to turn to the courts for answers</w:t>
      </w:r>
      <w:r w:rsidR="00686718" w:rsidRPr="003C64AE">
        <w:rPr>
          <w:rFonts w:ascii="Times New Roman" w:hAnsi="Times New Roman" w:cs="Times New Roman"/>
        </w:rPr>
        <w:t>:</w:t>
      </w:r>
      <w:r w:rsidR="007C4E3C" w:rsidRPr="003C64AE">
        <w:rPr>
          <w:rFonts w:ascii="Times New Roman" w:hAnsi="Times New Roman" w:cs="Times New Roman"/>
        </w:rPr>
        <w:t xml:space="preserve"> – this is</w:t>
      </w:r>
      <w:r w:rsidR="00BE5BF6" w:rsidRPr="003C64AE">
        <w:rPr>
          <w:rFonts w:ascii="Times New Roman" w:hAnsi="Times New Roman" w:cs="Times New Roman"/>
        </w:rPr>
        <w:t xml:space="preserve"> the </w:t>
      </w:r>
      <w:r w:rsidR="00353B42" w:rsidRPr="003C64AE">
        <w:rPr>
          <w:rFonts w:ascii="Times New Roman" w:hAnsi="Times New Roman" w:cs="Times New Roman"/>
        </w:rPr>
        <w:t>thesis</w:t>
      </w:r>
      <w:r w:rsidR="000116CE" w:rsidRPr="003C64AE">
        <w:rPr>
          <w:rFonts w:ascii="Times New Roman" w:hAnsi="Times New Roman" w:cs="Times New Roman"/>
        </w:rPr>
        <w:t xml:space="preserve"> of</w:t>
      </w:r>
      <w:r w:rsidR="00BE5BF6" w:rsidRPr="003C64AE">
        <w:rPr>
          <w:rFonts w:ascii="Times New Roman" w:hAnsi="Times New Roman" w:cs="Times New Roman"/>
        </w:rPr>
        <w:t xml:space="preserve"> Jonathan Sumption’s </w:t>
      </w:r>
      <w:r w:rsidR="00943078" w:rsidRPr="003C64AE">
        <w:rPr>
          <w:rFonts w:ascii="Times New Roman" w:hAnsi="Times New Roman" w:cs="Times New Roman"/>
          <w:i/>
        </w:rPr>
        <w:t xml:space="preserve">Trial </w:t>
      </w:r>
      <w:r w:rsidR="00BE5BF6" w:rsidRPr="003C64AE">
        <w:rPr>
          <w:rFonts w:ascii="Times New Roman" w:hAnsi="Times New Roman" w:cs="Times New Roman"/>
          <w:i/>
        </w:rPr>
        <w:t>of the State: Law and the Decline of Politics</w:t>
      </w:r>
      <w:r w:rsidR="00BE5BF6" w:rsidRPr="003C64AE">
        <w:rPr>
          <w:rFonts w:ascii="Times New Roman" w:hAnsi="Times New Roman" w:cs="Times New Roman"/>
        </w:rPr>
        <w:t xml:space="preserve">. </w:t>
      </w:r>
      <w:r w:rsidR="009865BE" w:rsidRPr="003C64AE">
        <w:rPr>
          <w:rFonts w:ascii="Times New Roman" w:hAnsi="Times New Roman" w:cs="Times New Roman"/>
        </w:rPr>
        <w:t>B</w:t>
      </w:r>
      <w:r w:rsidR="00F60D47" w:rsidRPr="003C64AE">
        <w:rPr>
          <w:rFonts w:ascii="Times New Roman" w:hAnsi="Times New Roman" w:cs="Times New Roman"/>
        </w:rPr>
        <w:t>ased on the 2019 Reith Lectures</w:t>
      </w:r>
      <w:r w:rsidR="009865BE" w:rsidRPr="003C64AE">
        <w:rPr>
          <w:rFonts w:ascii="Times New Roman" w:hAnsi="Times New Roman" w:cs="Times New Roman"/>
        </w:rPr>
        <w:t>,</w:t>
      </w:r>
      <w:r w:rsidR="009865BE" w:rsidRPr="003C64AE">
        <w:rPr>
          <w:rStyle w:val="FootnoteReference"/>
          <w:rFonts w:ascii="Times New Roman" w:hAnsi="Times New Roman" w:cs="Times New Roman"/>
        </w:rPr>
        <w:footnoteReference w:id="1"/>
      </w:r>
      <w:r w:rsidR="009865BE" w:rsidRPr="003C64AE">
        <w:rPr>
          <w:rFonts w:ascii="Times New Roman" w:hAnsi="Times New Roman" w:cs="Times New Roman"/>
        </w:rPr>
        <w:t xml:space="preserve"> </w:t>
      </w:r>
      <w:r w:rsidR="00BE5BF6" w:rsidRPr="003C64AE">
        <w:rPr>
          <w:rFonts w:ascii="Times New Roman" w:hAnsi="Times New Roman" w:cs="Times New Roman"/>
        </w:rPr>
        <w:t xml:space="preserve">two recurring themes </w:t>
      </w:r>
      <w:r w:rsidR="00CD23D7" w:rsidRPr="003C64AE">
        <w:rPr>
          <w:rFonts w:ascii="Times New Roman" w:hAnsi="Times New Roman" w:cs="Times New Roman"/>
        </w:rPr>
        <w:t>emerge</w:t>
      </w:r>
      <w:r w:rsidR="00BE5BF6" w:rsidRPr="003C64AE">
        <w:rPr>
          <w:rFonts w:ascii="Times New Roman" w:hAnsi="Times New Roman" w:cs="Times New Roman"/>
        </w:rPr>
        <w:t xml:space="preserve"> throughout the book</w:t>
      </w:r>
      <w:r w:rsidR="007C4E3C" w:rsidRPr="003C64AE">
        <w:rPr>
          <w:rFonts w:ascii="Times New Roman" w:hAnsi="Times New Roman" w:cs="Times New Roman"/>
        </w:rPr>
        <w:t>:</w:t>
      </w:r>
      <w:r w:rsidR="00D7658E" w:rsidRPr="003C64AE">
        <w:rPr>
          <w:rFonts w:ascii="Times New Roman" w:hAnsi="Times New Roman" w:cs="Times New Roman"/>
        </w:rPr>
        <w:t xml:space="preserve"> – t</w:t>
      </w:r>
      <w:r w:rsidR="00BE5BF6" w:rsidRPr="003C64AE">
        <w:rPr>
          <w:rFonts w:ascii="Times New Roman" w:hAnsi="Times New Roman" w:cs="Times New Roman"/>
        </w:rPr>
        <w:t>he decline of politics and the rise of law</w:t>
      </w:r>
      <w:r w:rsidR="003D1D68" w:rsidRPr="003C64AE">
        <w:rPr>
          <w:rFonts w:ascii="Times New Roman" w:hAnsi="Times New Roman" w:cs="Times New Roman"/>
        </w:rPr>
        <w:t xml:space="preserve"> to compensate</w:t>
      </w:r>
      <w:r w:rsidR="00BE5BF6" w:rsidRPr="003C64AE">
        <w:rPr>
          <w:rFonts w:ascii="Times New Roman" w:hAnsi="Times New Roman" w:cs="Times New Roman"/>
        </w:rPr>
        <w:t>.</w:t>
      </w:r>
      <w:r w:rsidR="0078424D" w:rsidRPr="003C64AE">
        <w:rPr>
          <w:rFonts w:ascii="Times New Roman" w:hAnsi="Times New Roman" w:cs="Times New Roman"/>
        </w:rPr>
        <w:t xml:space="preserve"> </w:t>
      </w:r>
    </w:p>
    <w:p w:rsidR="003D1D68" w:rsidRPr="003C64AE" w:rsidRDefault="00CD23D7" w:rsidP="00AF7D6D">
      <w:pPr>
        <w:spacing w:line="480" w:lineRule="auto"/>
        <w:rPr>
          <w:rFonts w:ascii="Times New Roman" w:hAnsi="Times New Roman" w:cs="Times New Roman"/>
        </w:rPr>
      </w:pPr>
      <w:r w:rsidRPr="003C64AE">
        <w:rPr>
          <w:rFonts w:ascii="Times New Roman" w:hAnsi="Times New Roman" w:cs="Times New Roman"/>
        </w:rPr>
        <w:br/>
      </w:r>
      <w:r w:rsidR="003D1D68" w:rsidRPr="003C64AE">
        <w:rPr>
          <w:rFonts w:ascii="Times New Roman" w:hAnsi="Times New Roman" w:cs="Times New Roman"/>
        </w:rPr>
        <w:t xml:space="preserve">In </w:t>
      </w:r>
      <w:r w:rsidR="007C4E3C" w:rsidRPr="003C64AE">
        <w:rPr>
          <w:rFonts w:ascii="Times New Roman" w:hAnsi="Times New Roman" w:cs="Times New Roman"/>
        </w:rPr>
        <w:t>the</w:t>
      </w:r>
      <w:r w:rsidR="003D1D68" w:rsidRPr="003C64AE">
        <w:rPr>
          <w:rFonts w:ascii="Times New Roman" w:hAnsi="Times New Roman" w:cs="Times New Roman"/>
        </w:rPr>
        <w:t xml:space="preserve"> first chapter</w:t>
      </w:r>
      <w:r w:rsidR="007C4E3C" w:rsidRPr="003C64AE">
        <w:rPr>
          <w:rFonts w:ascii="Times New Roman" w:hAnsi="Times New Roman" w:cs="Times New Roman"/>
        </w:rPr>
        <w:t xml:space="preserve"> of the book, Sumption </w:t>
      </w:r>
      <w:r w:rsidR="003D1D68" w:rsidRPr="003C64AE">
        <w:rPr>
          <w:rFonts w:ascii="Times New Roman" w:hAnsi="Times New Roman" w:cs="Times New Roman"/>
        </w:rPr>
        <w:t xml:space="preserve">explores how the law has expanded to fill the voids </w:t>
      </w:r>
      <w:r w:rsidR="00844E14">
        <w:rPr>
          <w:rFonts w:ascii="Times New Roman" w:hAnsi="Times New Roman" w:cs="Times New Roman"/>
        </w:rPr>
        <w:t>created by</w:t>
      </w:r>
      <w:r w:rsidR="003D1D68" w:rsidRPr="003C64AE">
        <w:rPr>
          <w:rFonts w:ascii="Times New Roman" w:hAnsi="Times New Roman" w:cs="Times New Roman"/>
        </w:rPr>
        <w:t xml:space="preserve"> an ever-growing decline in politics. For him, the </w:t>
      </w:r>
      <w:r w:rsidR="00B848D4" w:rsidRPr="003C64AE">
        <w:rPr>
          <w:rFonts w:ascii="Times New Roman" w:hAnsi="Times New Roman" w:cs="Times New Roman"/>
        </w:rPr>
        <w:t>judiciary</w:t>
      </w:r>
      <w:r w:rsidR="003D1D68" w:rsidRPr="003C64AE">
        <w:rPr>
          <w:rFonts w:ascii="Times New Roman" w:hAnsi="Times New Roman" w:cs="Times New Roman"/>
        </w:rPr>
        <w:t xml:space="preserve">, using the rule of law, </w:t>
      </w:r>
      <w:r w:rsidR="008E55CA" w:rsidRPr="003C64AE">
        <w:rPr>
          <w:rFonts w:ascii="Times New Roman" w:hAnsi="Times New Roman" w:cs="Times New Roman"/>
        </w:rPr>
        <w:t>has</w:t>
      </w:r>
      <w:r w:rsidR="003D1D68" w:rsidRPr="003C64AE">
        <w:rPr>
          <w:rFonts w:ascii="Times New Roman" w:hAnsi="Times New Roman" w:cs="Times New Roman"/>
        </w:rPr>
        <w:t xml:space="preserve"> blurred the boundaries between the </w:t>
      </w:r>
      <w:r w:rsidR="006615ED" w:rsidRPr="003C64AE">
        <w:rPr>
          <w:rFonts w:ascii="Times New Roman" w:hAnsi="Times New Roman" w:cs="Times New Roman"/>
        </w:rPr>
        <w:t>courts</w:t>
      </w:r>
      <w:r w:rsidR="003D1D68" w:rsidRPr="003C64AE">
        <w:rPr>
          <w:rFonts w:ascii="Times New Roman" w:hAnsi="Times New Roman" w:cs="Times New Roman"/>
        </w:rPr>
        <w:t xml:space="preserve"> and the legislature</w:t>
      </w:r>
      <w:r w:rsidR="00FA0688" w:rsidRPr="003C64AE">
        <w:rPr>
          <w:rFonts w:ascii="Times New Roman" w:hAnsi="Times New Roman" w:cs="Times New Roman"/>
        </w:rPr>
        <w:t xml:space="preserve">. </w:t>
      </w:r>
      <w:r w:rsidR="003D1D68" w:rsidRPr="003C64AE">
        <w:rPr>
          <w:rFonts w:ascii="Times New Roman" w:hAnsi="Times New Roman" w:cs="Times New Roman"/>
        </w:rPr>
        <w:t xml:space="preserve">The rule of law, as </w:t>
      </w:r>
      <w:r w:rsidR="00B848D4" w:rsidRPr="003C64AE">
        <w:rPr>
          <w:rFonts w:ascii="Times New Roman" w:hAnsi="Times New Roman" w:cs="Times New Roman"/>
        </w:rPr>
        <w:t>articulated</w:t>
      </w:r>
      <w:r w:rsidR="003D1D68" w:rsidRPr="003C64AE">
        <w:rPr>
          <w:rFonts w:ascii="Times New Roman" w:hAnsi="Times New Roman" w:cs="Times New Roman"/>
        </w:rPr>
        <w:t xml:space="preserve"> by Sumption</w:t>
      </w:r>
      <w:r w:rsidR="00B848D4" w:rsidRPr="003C64AE">
        <w:rPr>
          <w:rFonts w:ascii="Times New Roman" w:hAnsi="Times New Roman" w:cs="Times New Roman"/>
        </w:rPr>
        <w:t>,</w:t>
      </w:r>
      <w:r w:rsidR="003D1D68" w:rsidRPr="003C64AE">
        <w:rPr>
          <w:rFonts w:ascii="Times New Roman" w:hAnsi="Times New Roman" w:cs="Times New Roman"/>
        </w:rPr>
        <w:t xml:space="preserve"> encompasses three principles: first, public aut</w:t>
      </w:r>
      <w:r w:rsidR="00B848D4" w:rsidRPr="003C64AE">
        <w:rPr>
          <w:rFonts w:ascii="Times New Roman" w:hAnsi="Times New Roman" w:cs="Times New Roman"/>
        </w:rPr>
        <w:t>horities must adhere to the law; s</w:t>
      </w:r>
      <w:r w:rsidR="003D1D68" w:rsidRPr="003C64AE">
        <w:rPr>
          <w:rFonts w:ascii="Times New Roman" w:hAnsi="Times New Roman" w:cs="Times New Roman"/>
        </w:rPr>
        <w:t>econd, all citize</w:t>
      </w:r>
      <w:r w:rsidR="000116CE" w:rsidRPr="003C64AE">
        <w:rPr>
          <w:rFonts w:ascii="Times New Roman" w:hAnsi="Times New Roman" w:cs="Times New Roman"/>
        </w:rPr>
        <w:t>ns are entitled to basic rights</w:t>
      </w:r>
      <w:r w:rsidR="00B848D4" w:rsidRPr="003C64AE">
        <w:rPr>
          <w:rFonts w:ascii="Times New Roman" w:hAnsi="Times New Roman" w:cs="Times New Roman"/>
        </w:rPr>
        <w:t>; t</w:t>
      </w:r>
      <w:r w:rsidR="003D1D68" w:rsidRPr="003C64AE">
        <w:rPr>
          <w:rFonts w:ascii="Times New Roman" w:hAnsi="Times New Roman" w:cs="Times New Roman"/>
        </w:rPr>
        <w:t xml:space="preserve">hird, </w:t>
      </w:r>
      <w:r w:rsidR="00B848D4" w:rsidRPr="003C64AE">
        <w:rPr>
          <w:rFonts w:ascii="Times New Roman" w:hAnsi="Times New Roman" w:cs="Times New Roman"/>
        </w:rPr>
        <w:t xml:space="preserve">everyone should have </w:t>
      </w:r>
      <w:r w:rsidR="003D1D68" w:rsidRPr="003C64AE">
        <w:rPr>
          <w:rFonts w:ascii="Times New Roman" w:hAnsi="Times New Roman" w:cs="Times New Roman"/>
        </w:rPr>
        <w:t>access to an independent judiciary. However, for Sumption</w:t>
      </w:r>
      <w:r w:rsidR="005B0F34" w:rsidRPr="003C64AE">
        <w:rPr>
          <w:rFonts w:ascii="Times New Roman" w:hAnsi="Times New Roman" w:cs="Times New Roman"/>
        </w:rPr>
        <w:t>,</w:t>
      </w:r>
      <w:r w:rsidR="00B848D4" w:rsidRPr="003C64AE">
        <w:rPr>
          <w:rFonts w:ascii="Times New Roman" w:hAnsi="Times New Roman" w:cs="Times New Roman"/>
        </w:rPr>
        <w:t xml:space="preserve"> the rule of law</w:t>
      </w:r>
      <w:r w:rsidR="003D1D68" w:rsidRPr="003C64AE">
        <w:rPr>
          <w:rFonts w:ascii="Times New Roman" w:hAnsi="Times New Roman" w:cs="Times New Roman"/>
        </w:rPr>
        <w:t xml:space="preserve"> </w:t>
      </w:r>
      <w:r w:rsidR="00B31BC2" w:rsidRPr="003C64AE">
        <w:rPr>
          <w:rFonts w:ascii="Times New Roman" w:hAnsi="Times New Roman" w:cs="Times New Roman"/>
        </w:rPr>
        <w:t>‘</w:t>
      </w:r>
      <w:r w:rsidR="00B848D4" w:rsidRPr="003C64AE">
        <w:rPr>
          <w:rFonts w:ascii="Times New Roman" w:hAnsi="Times New Roman" w:cs="Times New Roman"/>
        </w:rPr>
        <w:t>…</w:t>
      </w:r>
      <w:r w:rsidR="003D1D68" w:rsidRPr="003C64AE">
        <w:rPr>
          <w:rFonts w:ascii="Times New Roman" w:hAnsi="Times New Roman" w:cs="Times New Roman"/>
        </w:rPr>
        <w:t xml:space="preserve"> does not mean that every human problem and every moral dile</w:t>
      </w:r>
      <w:r w:rsidR="00B31BC2" w:rsidRPr="003C64AE">
        <w:rPr>
          <w:rFonts w:ascii="Times New Roman" w:hAnsi="Times New Roman" w:cs="Times New Roman"/>
        </w:rPr>
        <w:t>mma calls for a legal solution.’</w:t>
      </w:r>
      <w:r w:rsidR="003D1D68" w:rsidRPr="003C64AE">
        <w:rPr>
          <w:rStyle w:val="FootnoteReference"/>
          <w:rFonts w:ascii="Times New Roman" w:hAnsi="Times New Roman" w:cs="Times New Roman"/>
        </w:rPr>
        <w:footnoteReference w:id="2"/>
      </w:r>
      <w:r w:rsidR="003D1D68" w:rsidRPr="003C64AE">
        <w:rPr>
          <w:rFonts w:ascii="Times New Roman" w:hAnsi="Times New Roman" w:cs="Times New Roman"/>
        </w:rPr>
        <w:t xml:space="preserve"> </w:t>
      </w:r>
      <w:r w:rsidR="00B848D4" w:rsidRPr="003C64AE">
        <w:rPr>
          <w:rFonts w:ascii="Times New Roman" w:hAnsi="Times New Roman" w:cs="Times New Roman"/>
        </w:rPr>
        <w:t>Herein</w:t>
      </w:r>
      <w:r w:rsidR="00AD0FD5" w:rsidRPr="003C64AE">
        <w:rPr>
          <w:rFonts w:ascii="Times New Roman" w:hAnsi="Times New Roman" w:cs="Times New Roman"/>
        </w:rPr>
        <w:t xml:space="preserve"> lies the problem</w:t>
      </w:r>
      <w:r w:rsidR="003D1D68" w:rsidRPr="003C64AE">
        <w:rPr>
          <w:rFonts w:ascii="Times New Roman" w:hAnsi="Times New Roman" w:cs="Times New Roman"/>
        </w:rPr>
        <w:t xml:space="preserve"> </w:t>
      </w:r>
      <w:r w:rsidR="00B848D4" w:rsidRPr="003C64AE">
        <w:rPr>
          <w:rFonts w:ascii="Times New Roman" w:hAnsi="Times New Roman" w:cs="Times New Roman"/>
        </w:rPr>
        <w:t xml:space="preserve">for Sumption – he </w:t>
      </w:r>
      <w:r w:rsidR="003D1D68" w:rsidRPr="003C64AE">
        <w:rPr>
          <w:rFonts w:ascii="Times New Roman" w:hAnsi="Times New Roman" w:cs="Times New Roman"/>
        </w:rPr>
        <w:t xml:space="preserve">argues that society </w:t>
      </w:r>
      <w:r w:rsidR="00D07E79" w:rsidRPr="003C64AE">
        <w:rPr>
          <w:rFonts w:ascii="Times New Roman" w:hAnsi="Times New Roman" w:cs="Times New Roman"/>
        </w:rPr>
        <w:t>turn</w:t>
      </w:r>
      <w:r w:rsidR="000760DE" w:rsidRPr="003C64AE">
        <w:rPr>
          <w:rFonts w:ascii="Times New Roman" w:hAnsi="Times New Roman" w:cs="Times New Roman"/>
        </w:rPr>
        <w:t>s</w:t>
      </w:r>
      <w:r w:rsidR="00D07E79" w:rsidRPr="003C64AE">
        <w:rPr>
          <w:rFonts w:ascii="Times New Roman" w:hAnsi="Times New Roman" w:cs="Times New Roman"/>
        </w:rPr>
        <w:t xml:space="preserve"> too </w:t>
      </w:r>
      <w:r w:rsidR="007A684A" w:rsidRPr="003C64AE">
        <w:rPr>
          <w:rFonts w:ascii="Times New Roman" w:hAnsi="Times New Roman" w:cs="Times New Roman"/>
        </w:rPr>
        <w:t>readily</w:t>
      </w:r>
      <w:r w:rsidR="00D07E79" w:rsidRPr="003C64AE">
        <w:rPr>
          <w:rFonts w:ascii="Times New Roman" w:hAnsi="Times New Roman" w:cs="Times New Roman"/>
        </w:rPr>
        <w:t xml:space="preserve"> towards </w:t>
      </w:r>
      <w:r w:rsidR="001C43CF" w:rsidRPr="003C64AE">
        <w:rPr>
          <w:rFonts w:ascii="Times New Roman" w:hAnsi="Times New Roman" w:cs="Times New Roman"/>
        </w:rPr>
        <w:t>the court</w:t>
      </w:r>
      <w:r w:rsidR="00E978A9" w:rsidRPr="003C64AE">
        <w:rPr>
          <w:rFonts w:ascii="Times New Roman" w:hAnsi="Times New Roman" w:cs="Times New Roman"/>
        </w:rPr>
        <w:t>s</w:t>
      </w:r>
      <w:r w:rsidR="009544FB" w:rsidRPr="003C64AE">
        <w:rPr>
          <w:rFonts w:ascii="Times New Roman" w:hAnsi="Times New Roman" w:cs="Times New Roman"/>
        </w:rPr>
        <w:t xml:space="preserve"> for solutions</w:t>
      </w:r>
      <w:r w:rsidR="00B848D4" w:rsidRPr="003C64AE">
        <w:rPr>
          <w:rFonts w:ascii="Times New Roman" w:hAnsi="Times New Roman" w:cs="Times New Roman"/>
        </w:rPr>
        <w:t xml:space="preserve"> to dilemmas that are ill-suited to judicial resolution</w:t>
      </w:r>
      <w:r w:rsidR="009544FB" w:rsidRPr="003C64AE">
        <w:rPr>
          <w:rFonts w:ascii="Times New Roman" w:hAnsi="Times New Roman" w:cs="Times New Roman"/>
        </w:rPr>
        <w:t xml:space="preserve">. </w:t>
      </w:r>
    </w:p>
    <w:p w:rsidR="00F71ACF" w:rsidRPr="003C64AE" w:rsidRDefault="00F71ACF" w:rsidP="00AF7D6D">
      <w:pPr>
        <w:spacing w:line="480" w:lineRule="auto"/>
        <w:rPr>
          <w:rFonts w:ascii="Times New Roman" w:hAnsi="Times New Roman" w:cs="Times New Roman"/>
        </w:rPr>
      </w:pPr>
    </w:p>
    <w:p w:rsidR="00190C69" w:rsidRPr="003C64AE" w:rsidRDefault="003D1D68" w:rsidP="00AF7D6D">
      <w:pPr>
        <w:spacing w:line="480" w:lineRule="auto"/>
        <w:rPr>
          <w:rFonts w:ascii="Times New Roman" w:hAnsi="Times New Roman" w:cs="Times New Roman"/>
        </w:rPr>
      </w:pPr>
      <w:r w:rsidRPr="003C64AE">
        <w:rPr>
          <w:rFonts w:ascii="Times New Roman" w:hAnsi="Times New Roman" w:cs="Times New Roman"/>
        </w:rPr>
        <w:t xml:space="preserve">Using </w:t>
      </w:r>
      <w:r w:rsidRPr="003C64AE">
        <w:rPr>
          <w:rFonts w:ascii="Times New Roman" w:hAnsi="Times New Roman" w:cs="Times New Roman"/>
          <w:i/>
        </w:rPr>
        <w:t>Great Ormond Street Hospital for Children NHS Foundation Trust v Yates</w:t>
      </w:r>
      <w:r w:rsidRPr="003C64AE">
        <w:rPr>
          <w:rStyle w:val="FootnoteReference"/>
          <w:rFonts w:ascii="Times New Roman" w:hAnsi="Times New Roman" w:cs="Times New Roman"/>
        </w:rPr>
        <w:footnoteReference w:id="3"/>
      </w:r>
      <w:r w:rsidRPr="003C64AE">
        <w:rPr>
          <w:rFonts w:ascii="Times New Roman" w:hAnsi="Times New Roman" w:cs="Times New Roman"/>
        </w:rPr>
        <w:t xml:space="preserve"> as an example, Sumption attempts to demonstrate how the law has expanded into areas of public </w:t>
      </w:r>
      <w:r w:rsidRPr="003C64AE">
        <w:rPr>
          <w:rFonts w:ascii="Times New Roman" w:hAnsi="Times New Roman" w:cs="Times New Roman"/>
        </w:rPr>
        <w:lastRenderedPageBreak/>
        <w:t>and private life, that a decade ago, in his opinion, would not have made it before the courts</w:t>
      </w:r>
      <w:r w:rsidR="000116CE" w:rsidRPr="003C64AE">
        <w:rPr>
          <w:rFonts w:ascii="Times New Roman" w:hAnsi="Times New Roman" w:cs="Times New Roman"/>
        </w:rPr>
        <w:t>.</w:t>
      </w:r>
      <w:r w:rsidR="000116CE" w:rsidRPr="003C64AE">
        <w:rPr>
          <w:rStyle w:val="FootnoteReference"/>
          <w:rFonts w:ascii="Times New Roman" w:hAnsi="Times New Roman" w:cs="Times New Roman"/>
        </w:rPr>
        <w:footnoteReference w:id="4"/>
      </w:r>
      <w:r w:rsidR="00190C69" w:rsidRPr="003C64AE">
        <w:rPr>
          <w:rFonts w:ascii="Times New Roman" w:hAnsi="Times New Roman" w:cs="Times New Roman"/>
        </w:rPr>
        <w:t xml:space="preserve"> For him, the decision of d</w:t>
      </w:r>
      <w:r w:rsidRPr="003C64AE">
        <w:rPr>
          <w:rFonts w:ascii="Times New Roman" w:hAnsi="Times New Roman" w:cs="Times New Roman"/>
        </w:rPr>
        <w:t xml:space="preserve">octors to seek judicial </w:t>
      </w:r>
      <w:r w:rsidR="00190C69" w:rsidRPr="003C64AE">
        <w:rPr>
          <w:rFonts w:ascii="Times New Roman" w:hAnsi="Times New Roman" w:cs="Times New Roman"/>
        </w:rPr>
        <w:t>authorisation</w:t>
      </w:r>
      <w:r w:rsidRPr="003C64AE">
        <w:rPr>
          <w:rFonts w:ascii="Times New Roman" w:hAnsi="Times New Roman" w:cs="Times New Roman"/>
        </w:rPr>
        <w:t xml:space="preserve"> before withdrawing treatment from a sick child, for </w:t>
      </w:r>
      <w:r w:rsidR="00F71ACF" w:rsidRPr="003C64AE">
        <w:rPr>
          <w:rFonts w:ascii="Times New Roman" w:hAnsi="Times New Roman" w:cs="Times New Roman"/>
        </w:rPr>
        <w:t>fear of being sued, demonstrates</w:t>
      </w:r>
      <w:r w:rsidR="00B31BC2" w:rsidRPr="003C64AE">
        <w:rPr>
          <w:rFonts w:ascii="Times New Roman" w:hAnsi="Times New Roman" w:cs="Times New Roman"/>
        </w:rPr>
        <w:t xml:space="preserve"> how </w:t>
      </w:r>
      <w:r w:rsidR="00190C69" w:rsidRPr="003C64AE">
        <w:rPr>
          <w:rFonts w:ascii="Times New Roman" w:hAnsi="Times New Roman" w:cs="Times New Roman"/>
        </w:rPr>
        <w:t>society</w:t>
      </w:r>
      <w:r w:rsidR="00B31BC2" w:rsidRPr="003C64AE">
        <w:rPr>
          <w:rFonts w:ascii="Times New Roman" w:hAnsi="Times New Roman" w:cs="Times New Roman"/>
        </w:rPr>
        <w:t xml:space="preserve"> has evolved to ‘</w:t>
      </w:r>
      <w:r w:rsidRPr="003C64AE">
        <w:rPr>
          <w:rFonts w:ascii="Times New Roman" w:hAnsi="Times New Roman" w:cs="Times New Roman"/>
        </w:rPr>
        <w:t>… regard these terrible human dilemmas a</w:t>
      </w:r>
      <w:r w:rsidR="00B31BC2" w:rsidRPr="003C64AE">
        <w:rPr>
          <w:rFonts w:ascii="Times New Roman" w:hAnsi="Times New Roman" w:cs="Times New Roman"/>
        </w:rPr>
        <w:t>s the proper domain of the law.’</w:t>
      </w:r>
      <w:r w:rsidRPr="003C64AE">
        <w:rPr>
          <w:rStyle w:val="FootnoteReference"/>
          <w:rFonts w:ascii="Times New Roman" w:hAnsi="Times New Roman" w:cs="Times New Roman"/>
        </w:rPr>
        <w:footnoteReference w:id="5"/>
      </w:r>
      <w:r w:rsidRPr="003C64AE">
        <w:rPr>
          <w:rFonts w:ascii="Times New Roman" w:hAnsi="Times New Roman" w:cs="Times New Roman"/>
        </w:rPr>
        <w:t xml:space="preserve"> He goes on to illustrate how this case demonstrates the erosion of individual responsibility, in favour of collective moral judgments.</w:t>
      </w:r>
      <w:r w:rsidR="00C753EE" w:rsidRPr="003C64AE">
        <w:rPr>
          <w:rFonts w:ascii="Times New Roman" w:hAnsi="Times New Roman" w:cs="Times New Roman"/>
        </w:rPr>
        <w:t xml:space="preserve"> </w:t>
      </w:r>
    </w:p>
    <w:p w:rsidR="00190C69" w:rsidRPr="003C64AE" w:rsidRDefault="00190C69" w:rsidP="00AF7D6D">
      <w:pPr>
        <w:spacing w:line="480" w:lineRule="auto"/>
        <w:rPr>
          <w:rFonts w:ascii="Times New Roman" w:hAnsi="Times New Roman" w:cs="Times New Roman"/>
        </w:rPr>
      </w:pPr>
    </w:p>
    <w:p w:rsidR="003D1D68" w:rsidRPr="003C64AE" w:rsidRDefault="00AC014B" w:rsidP="00AF7D6D">
      <w:pPr>
        <w:spacing w:line="480" w:lineRule="auto"/>
        <w:rPr>
          <w:rFonts w:ascii="Times New Roman" w:hAnsi="Times New Roman" w:cs="Times New Roman"/>
        </w:rPr>
      </w:pPr>
      <w:r w:rsidRPr="003C64AE">
        <w:rPr>
          <w:rFonts w:ascii="Times New Roman" w:hAnsi="Times New Roman" w:cs="Times New Roman"/>
        </w:rPr>
        <w:t xml:space="preserve">Sumption </w:t>
      </w:r>
      <w:r w:rsidR="00D07E79" w:rsidRPr="003C64AE">
        <w:rPr>
          <w:rFonts w:ascii="Times New Roman" w:hAnsi="Times New Roman" w:cs="Times New Roman"/>
        </w:rPr>
        <w:t>suggest</w:t>
      </w:r>
      <w:r w:rsidR="00AB44D5" w:rsidRPr="003C64AE">
        <w:rPr>
          <w:rFonts w:ascii="Times New Roman" w:hAnsi="Times New Roman" w:cs="Times New Roman"/>
        </w:rPr>
        <w:t>s</w:t>
      </w:r>
      <w:r w:rsidR="00D07E79" w:rsidRPr="003C64AE">
        <w:rPr>
          <w:rFonts w:ascii="Times New Roman" w:hAnsi="Times New Roman" w:cs="Times New Roman"/>
        </w:rPr>
        <w:t xml:space="preserve"> that the outcome of </w:t>
      </w:r>
      <w:r w:rsidR="00AD0FD5" w:rsidRPr="003C64AE">
        <w:rPr>
          <w:rFonts w:ascii="Times New Roman" w:hAnsi="Times New Roman" w:cs="Times New Roman"/>
          <w:i/>
        </w:rPr>
        <w:t>Yates</w:t>
      </w:r>
      <w:r w:rsidR="00C753EE" w:rsidRPr="003C64AE">
        <w:rPr>
          <w:rFonts w:ascii="Times New Roman" w:hAnsi="Times New Roman" w:cs="Times New Roman"/>
        </w:rPr>
        <w:t xml:space="preserve"> had been nationalised, i.e. the decision to withdraw treatment from the child was taken away from the parents and instead, placed in the hands of the state. </w:t>
      </w:r>
      <w:r w:rsidRPr="003C64AE">
        <w:rPr>
          <w:rFonts w:ascii="Times New Roman" w:hAnsi="Times New Roman" w:cs="Times New Roman"/>
        </w:rPr>
        <w:t xml:space="preserve">However, if </w:t>
      </w:r>
      <w:r w:rsidR="00787065" w:rsidRPr="003C64AE">
        <w:rPr>
          <w:rFonts w:ascii="Times New Roman" w:hAnsi="Times New Roman" w:cs="Times New Roman"/>
        </w:rPr>
        <w:t>the medical team</w:t>
      </w:r>
      <w:r w:rsidRPr="003C64AE">
        <w:rPr>
          <w:rFonts w:ascii="Times New Roman" w:hAnsi="Times New Roman" w:cs="Times New Roman"/>
        </w:rPr>
        <w:t xml:space="preserve"> had withdrawn treatment without the parents’ consent, the decision would have still been </w:t>
      </w:r>
      <w:r w:rsidR="00D07E79" w:rsidRPr="003C64AE">
        <w:rPr>
          <w:rFonts w:ascii="Times New Roman" w:hAnsi="Times New Roman" w:cs="Times New Roman"/>
        </w:rPr>
        <w:t>removed from the parents</w:t>
      </w:r>
      <w:r w:rsidRPr="003C64AE">
        <w:rPr>
          <w:rFonts w:ascii="Times New Roman" w:hAnsi="Times New Roman" w:cs="Times New Roman"/>
        </w:rPr>
        <w:t>, though be it b</w:t>
      </w:r>
      <w:r w:rsidR="00D07E79" w:rsidRPr="003C64AE">
        <w:rPr>
          <w:rFonts w:ascii="Times New Roman" w:hAnsi="Times New Roman" w:cs="Times New Roman"/>
        </w:rPr>
        <w:t xml:space="preserve">y </w:t>
      </w:r>
      <w:r w:rsidR="00C753EE" w:rsidRPr="003C64AE">
        <w:rPr>
          <w:rFonts w:ascii="Times New Roman" w:hAnsi="Times New Roman" w:cs="Times New Roman"/>
        </w:rPr>
        <w:t>medical practitioners</w:t>
      </w:r>
      <w:r w:rsidR="00D07E79" w:rsidRPr="003C64AE">
        <w:rPr>
          <w:rFonts w:ascii="Times New Roman" w:hAnsi="Times New Roman" w:cs="Times New Roman"/>
        </w:rPr>
        <w:t xml:space="preserve"> rather than the court</w:t>
      </w:r>
      <w:r w:rsidR="0029582A" w:rsidRPr="003C64AE">
        <w:rPr>
          <w:rFonts w:ascii="Times New Roman" w:hAnsi="Times New Roman" w:cs="Times New Roman"/>
        </w:rPr>
        <w:t>s’</w:t>
      </w:r>
      <w:r w:rsidRPr="003C64AE">
        <w:rPr>
          <w:rFonts w:ascii="Times New Roman" w:hAnsi="Times New Roman" w:cs="Times New Roman"/>
        </w:rPr>
        <w:t>.</w:t>
      </w:r>
      <w:r w:rsidR="006777C2" w:rsidRPr="003C64AE">
        <w:rPr>
          <w:rFonts w:ascii="Times New Roman" w:hAnsi="Times New Roman" w:cs="Times New Roman"/>
        </w:rPr>
        <w:t xml:space="preserve"> Though Sumption does not directly address who should make these decisions, he uses </w:t>
      </w:r>
      <w:r w:rsidR="006777C2" w:rsidRPr="003C64AE">
        <w:rPr>
          <w:rFonts w:ascii="Times New Roman" w:hAnsi="Times New Roman" w:cs="Times New Roman"/>
          <w:i/>
        </w:rPr>
        <w:t>Yates</w:t>
      </w:r>
      <w:r w:rsidR="006777C2" w:rsidRPr="003C64AE">
        <w:rPr>
          <w:rFonts w:ascii="Times New Roman" w:hAnsi="Times New Roman" w:cs="Times New Roman"/>
        </w:rPr>
        <w:t xml:space="preserve"> to illustrate the continued erosion of ‘… autonomous decision-making by individuals.’</w:t>
      </w:r>
      <w:r w:rsidR="006777C2" w:rsidRPr="003C64AE">
        <w:rPr>
          <w:rStyle w:val="FootnoteReference"/>
          <w:rFonts w:ascii="Times New Roman" w:hAnsi="Times New Roman" w:cs="Times New Roman"/>
        </w:rPr>
        <w:footnoteReference w:id="6"/>
      </w:r>
      <w:r w:rsidR="006777C2" w:rsidRPr="003C64AE">
        <w:rPr>
          <w:rFonts w:ascii="Times New Roman" w:hAnsi="Times New Roman" w:cs="Times New Roman"/>
        </w:rPr>
        <w:t xml:space="preserve"> </w:t>
      </w:r>
      <w:r w:rsidR="00634742" w:rsidRPr="003C64AE">
        <w:rPr>
          <w:rFonts w:ascii="Times New Roman" w:hAnsi="Times New Roman" w:cs="Times New Roman"/>
        </w:rPr>
        <w:t xml:space="preserve">Indeed, for Sumption, cases like </w:t>
      </w:r>
      <w:r w:rsidR="00634742" w:rsidRPr="003C64AE">
        <w:rPr>
          <w:rFonts w:ascii="Times New Roman" w:hAnsi="Times New Roman" w:cs="Times New Roman"/>
          <w:i/>
        </w:rPr>
        <w:t>Yates</w:t>
      </w:r>
      <w:r w:rsidR="00634742" w:rsidRPr="003C64AE">
        <w:rPr>
          <w:rFonts w:ascii="Times New Roman" w:hAnsi="Times New Roman" w:cs="Times New Roman"/>
        </w:rPr>
        <w:t xml:space="preserve"> ‘… marks the expansion of the public space at the expense of the private space that was on</w:t>
      </w:r>
      <w:r w:rsidR="004F3D84" w:rsidRPr="003C64AE">
        <w:rPr>
          <w:rFonts w:ascii="Times New Roman" w:hAnsi="Times New Roman" w:cs="Times New Roman"/>
        </w:rPr>
        <w:t>c</w:t>
      </w:r>
      <w:r w:rsidR="00634742" w:rsidRPr="003C64AE">
        <w:rPr>
          <w:rFonts w:ascii="Times New Roman" w:hAnsi="Times New Roman" w:cs="Times New Roman"/>
        </w:rPr>
        <w:t>e thought sacrosanct.’</w:t>
      </w:r>
      <w:r w:rsidR="00634742" w:rsidRPr="003C64AE">
        <w:rPr>
          <w:rStyle w:val="FootnoteReference"/>
          <w:rFonts w:ascii="Times New Roman" w:hAnsi="Times New Roman" w:cs="Times New Roman"/>
        </w:rPr>
        <w:footnoteReference w:id="7"/>
      </w:r>
      <w:r w:rsidR="00634742" w:rsidRPr="003C64AE">
        <w:rPr>
          <w:rFonts w:ascii="Times New Roman" w:hAnsi="Times New Roman" w:cs="Times New Roman"/>
        </w:rPr>
        <w:t xml:space="preserve"> </w:t>
      </w:r>
      <w:r w:rsidR="006777C2" w:rsidRPr="003C64AE">
        <w:rPr>
          <w:rFonts w:ascii="Times New Roman" w:hAnsi="Times New Roman" w:cs="Times New Roman"/>
        </w:rPr>
        <w:t>However</w:t>
      </w:r>
      <w:r w:rsidR="00351261" w:rsidRPr="003C64AE">
        <w:rPr>
          <w:rFonts w:ascii="Times New Roman" w:hAnsi="Times New Roman" w:cs="Times New Roman"/>
        </w:rPr>
        <w:t>, he</w:t>
      </w:r>
      <w:r w:rsidRPr="003C64AE">
        <w:rPr>
          <w:rFonts w:ascii="Times New Roman" w:hAnsi="Times New Roman" w:cs="Times New Roman"/>
        </w:rPr>
        <w:t xml:space="preserve"> fails to acknowledge</w:t>
      </w:r>
      <w:r w:rsidR="000116CE" w:rsidRPr="003C64AE">
        <w:rPr>
          <w:rFonts w:ascii="Times New Roman" w:hAnsi="Times New Roman" w:cs="Times New Roman"/>
        </w:rPr>
        <w:t xml:space="preserve"> the</w:t>
      </w:r>
      <w:r w:rsidRPr="003C64AE">
        <w:rPr>
          <w:rFonts w:ascii="Times New Roman" w:hAnsi="Times New Roman" w:cs="Times New Roman"/>
        </w:rPr>
        <w:t xml:space="preserve"> main issue in </w:t>
      </w:r>
      <w:r w:rsidRPr="003C64AE">
        <w:rPr>
          <w:rFonts w:ascii="Times New Roman" w:hAnsi="Times New Roman" w:cs="Times New Roman"/>
          <w:i/>
        </w:rPr>
        <w:t>Yates</w:t>
      </w:r>
      <w:r w:rsidR="00086547" w:rsidRPr="003C64AE">
        <w:rPr>
          <w:rFonts w:ascii="Times New Roman" w:hAnsi="Times New Roman" w:cs="Times New Roman"/>
        </w:rPr>
        <w:t xml:space="preserve"> – </w:t>
      </w:r>
      <w:r w:rsidRPr="003C64AE">
        <w:rPr>
          <w:rFonts w:ascii="Times New Roman" w:hAnsi="Times New Roman" w:cs="Times New Roman"/>
        </w:rPr>
        <w:t xml:space="preserve">the </w:t>
      </w:r>
      <w:r w:rsidR="000760DE" w:rsidRPr="003C64AE">
        <w:rPr>
          <w:rFonts w:ascii="Times New Roman" w:hAnsi="Times New Roman" w:cs="Times New Roman"/>
        </w:rPr>
        <w:t>medical team</w:t>
      </w:r>
      <w:r w:rsidRPr="003C64AE">
        <w:rPr>
          <w:rFonts w:ascii="Times New Roman" w:hAnsi="Times New Roman" w:cs="Times New Roman"/>
        </w:rPr>
        <w:t xml:space="preserve"> and </w:t>
      </w:r>
      <w:r w:rsidR="000760DE" w:rsidRPr="003C64AE">
        <w:rPr>
          <w:rFonts w:ascii="Times New Roman" w:hAnsi="Times New Roman" w:cs="Times New Roman"/>
        </w:rPr>
        <w:t xml:space="preserve">the </w:t>
      </w:r>
      <w:r w:rsidR="00E978A9" w:rsidRPr="003C64AE">
        <w:rPr>
          <w:rFonts w:ascii="Times New Roman" w:hAnsi="Times New Roman" w:cs="Times New Roman"/>
        </w:rPr>
        <w:t>p</w:t>
      </w:r>
      <w:r w:rsidRPr="003C64AE">
        <w:rPr>
          <w:rFonts w:ascii="Times New Roman" w:hAnsi="Times New Roman" w:cs="Times New Roman"/>
        </w:rPr>
        <w:t xml:space="preserve">arents could not reach an agreement and needed an impartial </w:t>
      </w:r>
      <w:r w:rsidR="00351261" w:rsidRPr="003C64AE">
        <w:rPr>
          <w:rFonts w:ascii="Times New Roman" w:hAnsi="Times New Roman" w:cs="Times New Roman"/>
        </w:rPr>
        <w:t>arbiter</w:t>
      </w:r>
      <w:r w:rsidRPr="003C64AE">
        <w:rPr>
          <w:rFonts w:ascii="Times New Roman" w:hAnsi="Times New Roman" w:cs="Times New Roman"/>
        </w:rPr>
        <w:t xml:space="preserve"> to rectify the </w:t>
      </w:r>
      <w:r w:rsidR="00E978A9" w:rsidRPr="003C64AE">
        <w:rPr>
          <w:rFonts w:ascii="Times New Roman" w:hAnsi="Times New Roman" w:cs="Times New Roman"/>
        </w:rPr>
        <w:t>situation</w:t>
      </w:r>
      <w:r w:rsidRPr="003C64AE">
        <w:rPr>
          <w:rFonts w:ascii="Times New Roman" w:hAnsi="Times New Roman" w:cs="Times New Roman"/>
        </w:rPr>
        <w:t>.</w:t>
      </w:r>
      <w:r w:rsidR="00351261" w:rsidRPr="003C64AE">
        <w:rPr>
          <w:rFonts w:ascii="Times New Roman" w:hAnsi="Times New Roman" w:cs="Times New Roman"/>
        </w:rPr>
        <w:t xml:space="preserve"> </w:t>
      </w:r>
      <w:r w:rsidR="00F44684" w:rsidRPr="00F44684">
        <w:rPr>
          <w:rFonts w:ascii="Times New Roman" w:hAnsi="Times New Roman" w:cs="Times New Roman"/>
        </w:rPr>
        <w:t xml:space="preserve">Indeed, the main function of the court is dispute resolution, so it is difficult to understand how the decision of </w:t>
      </w:r>
      <w:r w:rsidR="00F44684" w:rsidRPr="00F44684">
        <w:rPr>
          <w:rFonts w:ascii="Times New Roman" w:hAnsi="Times New Roman" w:cs="Times New Roman"/>
          <w:i/>
        </w:rPr>
        <w:t>Yates</w:t>
      </w:r>
      <w:r w:rsidR="00F44684" w:rsidRPr="00F44684">
        <w:rPr>
          <w:rFonts w:ascii="Times New Roman" w:hAnsi="Times New Roman" w:cs="Times New Roman"/>
        </w:rPr>
        <w:t xml:space="preserve"> illustrates Sumption’s thesis.  </w:t>
      </w:r>
    </w:p>
    <w:p w:rsidR="00EE5925" w:rsidRPr="003C64AE" w:rsidRDefault="00EE5925" w:rsidP="00AF7D6D">
      <w:pPr>
        <w:spacing w:line="480" w:lineRule="auto"/>
        <w:rPr>
          <w:rFonts w:ascii="Times New Roman" w:hAnsi="Times New Roman" w:cs="Times New Roman"/>
        </w:rPr>
      </w:pPr>
    </w:p>
    <w:p w:rsidR="00F22298" w:rsidRPr="003C64AE" w:rsidRDefault="00F44684" w:rsidP="00AF7D6D">
      <w:pPr>
        <w:spacing w:line="480" w:lineRule="auto"/>
        <w:rPr>
          <w:rFonts w:ascii="Times New Roman" w:hAnsi="Times New Roman" w:cs="Times New Roman"/>
        </w:rPr>
      </w:pPr>
      <w:r>
        <w:rPr>
          <w:rFonts w:ascii="Times New Roman" w:hAnsi="Times New Roman" w:cs="Times New Roman"/>
        </w:rPr>
        <w:t xml:space="preserve">Sumption </w:t>
      </w:r>
      <w:r w:rsidR="00F71ACF" w:rsidRPr="003C64AE">
        <w:rPr>
          <w:rFonts w:ascii="Times New Roman" w:hAnsi="Times New Roman" w:cs="Times New Roman"/>
        </w:rPr>
        <w:t>is not just</w:t>
      </w:r>
      <w:r w:rsidR="00AB44D5" w:rsidRPr="003C64AE">
        <w:rPr>
          <w:rFonts w:ascii="Times New Roman" w:hAnsi="Times New Roman" w:cs="Times New Roman"/>
        </w:rPr>
        <w:t xml:space="preserve"> concerned with the rise</w:t>
      </w:r>
      <w:r w:rsidR="00F71ACF" w:rsidRPr="003C64AE">
        <w:rPr>
          <w:rFonts w:ascii="Times New Roman" w:hAnsi="Times New Roman" w:cs="Times New Roman"/>
        </w:rPr>
        <w:t xml:space="preserve"> in domestic law</w:t>
      </w:r>
      <w:r w:rsidR="00AD0FD5" w:rsidRPr="003C64AE">
        <w:rPr>
          <w:rFonts w:ascii="Times New Roman" w:hAnsi="Times New Roman" w:cs="Times New Roman"/>
        </w:rPr>
        <w:t xml:space="preserve"> to fill political</w:t>
      </w:r>
      <w:r w:rsidR="000604E2" w:rsidRPr="003C64AE">
        <w:rPr>
          <w:rFonts w:ascii="Times New Roman" w:hAnsi="Times New Roman" w:cs="Times New Roman"/>
        </w:rPr>
        <w:t xml:space="preserve"> voids</w:t>
      </w:r>
      <w:r w:rsidR="008E57F2" w:rsidRPr="003C64AE">
        <w:rPr>
          <w:rFonts w:ascii="Times New Roman" w:hAnsi="Times New Roman" w:cs="Times New Roman"/>
        </w:rPr>
        <w:t>,</w:t>
      </w:r>
      <w:r w:rsidR="00F71ACF" w:rsidRPr="003C64AE">
        <w:rPr>
          <w:rFonts w:ascii="Times New Roman" w:hAnsi="Times New Roman" w:cs="Times New Roman"/>
        </w:rPr>
        <w:t xml:space="preserve"> </w:t>
      </w:r>
      <w:r w:rsidR="00D07E79" w:rsidRPr="003C64AE">
        <w:rPr>
          <w:rFonts w:ascii="Times New Roman" w:hAnsi="Times New Roman" w:cs="Times New Roman"/>
        </w:rPr>
        <w:t>he</w:t>
      </w:r>
      <w:r w:rsidR="00AB44D5" w:rsidRPr="003C64AE">
        <w:rPr>
          <w:rFonts w:ascii="Times New Roman" w:hAnsi="Times New Roman" w:cs="Times New Roman"/>
        </w:rPr>
        <w:t xml:space="preserve"> is</w:t>
      </w:r>
      <w:r w:rsidR="00D07E79" w:rsidRPr="003C64AE">
        <w:rPr>
          <w:rFonts w:ascii="Times New Roman" w:hAnsi="Times New Roman" w:cs="Times New Roman"/>
        </w:rPr>
        <w:t xml:space="preserve"> also</w:t>
      </w:r>
      <w:r w:rsidR="00F71ACF" w:rsidRPr="003C64AE">
        <w:rPr>
          <w:rFonts w:ascii="Times New Roman" w:hAnsi="Times New Roman" w:cs="Times New Roman"/>
        </w:rPr>
        <w:t xml:space="preserve"> </w:t>
      </w:r>
      <w:r w:rsidR="00AB44D5" w:rsidRPr="003C64AE">
        <w:rPr>
          <w:rFonts w:ascii="Times New Roman" w:hAnsi="Times New Roman" w:cs="Times New Roman"/>
        </w:rPr>
        <w:t>apprehensive</w:t>
      </w:r>
      <w:r w:rsidR="00F71ACF" w:rsidRPr="003C64AE">
        <w:rPr>
          <w:rFonts w:ascii="Times New Roman" w:hAnsi="Times New Roman" w:cs="Times New Roman"/>
        </w:rPr>
        <w:t xml:space="preserve"> about the expanding rights contained within the European Con</w:t>
      </w:r>
      <w:r w:rsidR="00B31BC2" w:rsidRPr="003C64AE">
        <w:rPr>
          <w:rFonts w:ascii="Times New Roman" w:hAnsi="Times New Roman" w:cs="Times New Roman"/>
        </w:rPr>
        <w:t xml:space="preserve">vention on </w:t>
      </w:r>
      <w:r w:rsidR="00B31BC2" w:rsidRPr="003C64AE">
        <w:rPr>
          <w:rFonts w:ascii="Times New Roman" w:hAnsi="Times New Roman" w:cs="Times New Roman"/>
        </w:rPr>
        <w:lastRenderedPageBreak/>
        <w:t xml:space="preserve">Human Rights (ECHR). </w:t>
      </w:r>
      <w:r w:rsidR="00E555B5" w:rsidRPr="003C64AE">
        <w:rPr>
          <w:rFonts w:ascii="Times New Roman" w:hAnsi="Times New Roman" w:cs="Times New Roman"/>
        </w:rPr>
        <w:t xml:space="preserve">Sumption is </w:t>
      </w:r>
      <w:r w:rsidR="00AD0FD5" w:rsidRPr="003C64AE">
        <w:rPr>
          <w:rFonts w:ascii="Times New Roman" w:hAnsi="Times New Roman" w:cs="Times New Roman"/>
        </w:rPr>
        <w:t>critical</w:t>
      </w:r>
      <w:r w:rsidR="00F71ACF" w:rsidRPr="003C64AE">
        <w:rPr>
          <w:rFonts w:ascii="Times New Roman" w:hAnsi="Times New Roman" w:cs="Times New Roman"/>
        </w:rPr>
        <w:t xml:space="preserve"> of the approach undertaken by the European Court of Human Rights (</w:t>
      </w:r>
      <w:proofErr w:type="spellStart"/>
      <w:r w:rsidR="00F71ACF" w:rsidRPr="003C64AE">
        <w:rPr>
          <w:rFonts w:ascii="Times New Roman" w:hAnsi="Times New Roman" w:cs="Times New Roman"/>
        </w:rPr>
        <w:t>ECtHR</w:t>
      </w:r>
      <w:proofErr w:type="spellEnd"/>
      <w:r w:rsidR="00F71ACF" w:rsidRPr="003C64AE">
        <w:rPr>
          <w:rFonts w:ascii="Times New Roman" w:hAnsi="Times New Roman" w:cs="Times New Roman"/>
        </w:rPr>
        <w:t xml:space="preserve">) and its interpretation of the </w:t>
      </w:r>
      <w:r w:rsidR="007A684A" w:rsidRPr="003C64AE">
        <w:rPr>
          <w:rFonts w:ascii="Times New Roman" w:hAnsi="Times New Roman" w:cs="Times New Roman"/>
        </w:rPr>
        <w:t>C</w:t>
      </w:r>
      <w:r w:rsidR="009544FB" w:rsidRPr="003C64AE">
        <w:rPr>
          <w:rFonts w:ascii="Times New Roman" w:hAnsi="Times New Roman" w:cs="Times New Roman"/>
        </w:rPr>
        <w:t>onvention</w:t>
      </w:r>
      <w:r w:rsidR="00F71ACF" w:rsidRPr="003C64AE">
        <w:rPr>
          <w:rFonts w:ascii="Times New Roman" w:hAnsi="Times New Roman" w:cs="Times New Roman"/>
        </w:rPr>
        <w:t xml:space="preserve"> and i</w:t>
      </w:r>
      <w:r w:rsidR="001C43CF" w:rsidRPr="003C64AE">
        <w:rPr>
          <w:rFonts w:ascii="Times New Roman" w:hAnsi="Times New Roman" w:cs="Times New Roman"/>
        </w:rPr>
        <w:t>n</w:t>
      </w:r>
      <w:r w:rsidR="00F71ACF" w:rsidRPr="003C64AE">
        <w:rPr>
          <w:rFonts w:ascii="Times New Roman" w:hAnsi="Times New Roman" w:cs="Times New Roman"/>
        </w:rPr>
        <w:t xml:space="preserve"> turn, the case law application of these decisions </w:t>
      </w:r>
      <w:r w:rsidR="00E555B5" w:rsidRPr="003C64AE">
        <w:rPr>
          <w:rFonts w:ascii="Times New Roman" w:hAnsi="Times New Roman" w:cs="Times New Roman"/>
        </w:rPr>
        <w:t xml:space="preserve">by </w:t>
      </w:r>
      <w:r w:rsidR="008E57F2" w:rsidRPr="003C64AE">
        <w:rPr>
          <w:rFonts w:ascii="Times New Roman" w:hAnsi="Times New Roman" w:cs="Times New Roman"/>
        </w:rPr>
        <w:t xml:space="preserve">the </w:t>
      </w:r>
      <w:r w:rsidR="00AB44D5" w:rsidRPr="003C64AE">
        <w:rPr>
          <w:rFonts w:ascii="Times New Roman" w:hAnsi="Times New Roman" w:cs="Times New Roman"/>
        </w:rPr>
        <w:t>judiciary</w:t>
      </w:r>
      <w:r w:rsidR="00E555B5" w:rsidRPr="003C64AE">
        <w:rPr>
          <w:rFonts w:ascii="Times New Roman" w:hAnsi="Times New Roman" w:cs="Times New Roman"/>
        </w:rPr>
        <w:t xml:space="preserve"> here in the UK</w:t>
      </w:r>
      <w:r w:rsidR="00F71ACF" w:rsidRPr="003C64AE">
        <w:rPr>
          <w:rFonts w:ascii="Times New Roman" w:hAnsi="Times New Roman" w:cs="Times New Roman"/>
        </w:rPr>
        <w:t>.</w:t>
      </w:r>
      <w:r w:rsidR="00E555B5" w:rsidRPr="003C64AE">
        <w:rPr>
          <w:rFonts w:ascii="Times New Roman" w:hAnsi="Times New Roman" w:cs="Times New Roman"/>
        </w:rPr>
        <w:t xml:space="preserve"> </w:t>
      </w:r>
      <w:r w:rsidR="00F71ACF" w:rsidRPr="003C64AE">
        <w:rPr>
          <w:rFonts w:ascii="Times New Roman" w:hAnsi="Times New Roman" w:cs="Times New Roman"/>
        </w:rPr>
        <w:t xml:space="preserve">The </w:t>
      </w:r>
      <w:r w:rsidR="007A684A" w:rsidRPr="003C64AE">
        <w:rPr>
          <w:rFonts w:ascii="Times New Roman" w:hAnsi="Times New Roman" w:cs="Times New Roman"/>
        </w:rPr>
        <w:t>C</w:t>
      </w:r>
      <w:r w:rsidR="00E555B5" w:rsidRPr="003C64AE">
        <w:rPr>
          <w:rFonts w:ascii="Times New Roman" w:hAnsi="Times New Roman" w:cs="Times New Roman"/>
        </w:rPr>
        <w:t>onvention</w:t>
      </w:r>
      <w:r w:rsidR="00F71ACF" w:rsidRPr="003C64AE">
        <w:rPr>
          <w:rFonts w:ascii="Times New Roman" w:hAnsi="Times New Roman" w:cs="Times New Roman"/>
        </w:rPr>
        <w:t xml:space="preserve"> has been int</w:t>
      </w:r>
      <w:r w:rsidR="008744D3" w:rsidRPr="003C64AE">
        <w:rPr>
          <w:rFonts w:ascii="Times New Roman" w:hAnsi="Times New Roman" w:cs="Times New Roman"/>
        </w:rPr>
        <w:t xml:space="preserve">erpreted as a living instrument and though </w:t>
      </w:r>
      <w:r w:rsidR="00F71ACF" w:rsidRPr="003C64AE">
        <w:rPr>
          <w:rFonts w:ascii="Times New Roman" w:hAnsi="Times New Roman" w:cs="Times New Roman"/>
        </w:rPr>
        <w:t xml:space="preserve">Sumption maintains that it is </w:t>
      </w:r>
      <w:r w:rsidR="00E01C18" w:rsidRPr="003C64AE">
        <w:rPr>
          <w:rFonts w:ascii="Times New Roman" w:hAnsi="Times New Roman" w:cs="Times New Roman"/>
        </w:rPr>
        <w:t xml:space="preserve">inevitable </w:t>
      </w:r>
      <w:r w:rsidR="00F71ACF" w:rsidRPr="003C64AE">
        <w:rPr>
          <w:rFonts w:ascii="Times New Roman" w:hAnsi="Times New Roman" w:cs="Times New Roman"/>
        </w:rPr>
        <w:t xml:space="preserve">that the </w:t>
      </w:r>
      <w:r w:rsidR="00E555B5" w:rsidRPr="003C64AE">
        <w:rPr>
          <w:rFonts w:ascii="Times New Roman" w:hAnsi="Times New Roman" w:cs="Times New Roman"/>
        </w:rPr>
        <w:t xml:space="preserve">ECHR will develop as </w:t>
      </w:r>
      <w:r w:rsidR="008744D3" w:rsidRPr="003C64AE">
        <w:rPr>
          <w:rFonts w:ascii="Times New Roman" w:hAnsi="Times New Roman" w:cs="Times New Roman"/>
        </w:rPr>
        <w:t xml:space="preserve">democracies change over time, he is critical of the </w:t>
      </w:r>
      <w:r w:rsidR="001448A5" w:rsidRPr="003C64AE">
        <w:rPr>
          <w:rFonts w:ascii="Times New Roman" w:hAnsi="Times New Roman" w:cs="Times New Roman"/>
        </w:rPr>
        <w:t>‘mission creep’</w:t>
      </w:r>
      <w:r w:rsidR="008744D3" w:rsidRPr="003C64AE">
        <w:rPr>
          <w:rFonts w:ascii="Times New Roman" w:hAnsi="Times New Roman" w:cs="Times New Roman"/>
        </w:rPr>
        <w:t xml:space="preserve"> nature of the Convention.</w:t>
      </w:r>
      <w:r w:rsidR="00A91408" w:rsidRPr="003C64AE">
        <w:rPr>
          <w:rStyle w:val="FootnoteReference"/>
          <w:rFonts w:ascii="Times New Roman" w:hAnsi="Times New Roman" w:cs="Times New Roman"/>
        </w:rPr>
        <w:footnoteReference w:id="8"/>
      </w:r>
      <w:r w:rsidR="008744D3" w:rsidRPr="003C64AE">
        <w:rPr>
          <w:rFonts w:ascii="Times New Roman" w:hAnsi="Times New Roman" w:cs="Times New Roman"/>
        </w:rPr>
        <w:t xml:space="preserve"> Sumption </w:t>
      </w:r>
      <w:r w:rsidR="00F25BE4" w:rsidRPr="003C64AE">
        <w:rPr>
          <w:rFonts w:ascii="Times New Roman" w:hAnsi="Times New Roman" w:cs="Times New Roman"/>
        </w:rPr>
        <w:t>acknowledges</w:t>
      </w:r>
      <w:r w:rsidR="008744D3" w:rsidRPr="003C64AE">
        <w:rPr>
          <w:rFonts w:ascii="Times New Roman" w:hAnsi="Times New Roman" w:cs="Times New Roman"/>
        </w:rPr>
        <w:t xml:space="preserve"> that in some instances, interpretation is necessary</w:t>
      </w:r>
      <w:r w:rsidR="00A91408" w:rsidRPr="003C64AE">
        <w:rPr>
          <w:rFonts w:ascii="Times New Roman" w:hAnsi="Times New Roman" w:cs="Times New Roman"/>
        </w:rPr>
        <w:t>, in fact</w:t>
      </w:r>
      <w:r w:rsidR="006D4A7E" w:rsidRPr="003C64AE">
        <w:rPr>
          <w:rFonts w:ascii="Times New Roman" w:hAnsi="Times New Roman" w:cs="Times New Roman"/>
        </w:rPr>
        <w:t>,</w:t>
      </w:r>
      <w:r w:rsidR="00A91408" w:rsidRPr="003C64AE">
        <w:rPr>
          <w:rFonts w:ascii="Times New Roman" w:hAnsi="Times New Roman" w:cs="Times New Roman"/>
        </w:rPr>
        <w:t xml:space="preserve"> inevitable at points, yet he fails to clarify the boundary as to when the act of interpretation infringes </w:t>
      </w:r>
      <w:r w:rsidR="000604E2" w:rsidRPr="003C64AE">
        <w:rPr>
          <w:rFonts w:ascii="Times New Roman" w:hAnsi="Times New Roman" w:cs="Times New Roman"/>
        </w:rPr>
        <w:t>upon</w:t>
      </w:r>
      <w:r w:rsidR="00A91408" w:rsidRPr="003C64AE">
        <w:rPr>
          <w:rFonts w:ascii="Times New Roman" w:hAnsi="Times New Roman" w:cs="Times New Roman"/>
        </w:rPr>
        <w:t xml:space="preserve"> politics. Here, </w:t>
      </w:r>
      <w:r w:rsidR="008744D3" w:rsidRPr="003C64AE">
        <w:rPr>
          <w:rFonts w:ascii="Times New Roman" w:hAnsi="Times New Roman" w:cs="Times New Roman"/>
        </w:rPr>
        <w:t>he neglects to articulate a</w:t>
      </w:r>
      <w:r w:rsidR="00BE7174" w:rsidRPr="003C64AE">
        <w:rPr>
          <w:rFonts w:ascii="Times New Roman" w:hAnsi="Times New Roman" w:cs="Times New Roman"/>
        </w:rPr>
        <w:t xml:space="preserve"> clear argument</w:t>
      </w:r>
      <w:r w:rsidR="000604E2" w:rsidRPr="003C64AE">
        <w:rPr>
          <w:rFonts w:ascii="Times New Roman" w:hAnsi="Times New Roman" w:cs="Times New Roman"/>
        </w:rPr>
        <w:t xml:space="preserve"> that</w:t>
      </w:r>
      <w:r w:rsidR="008744D3" w:rsidRPr="003C64AE">
        <w:rPr>
          <w:rFonts w:ascii="Times New Roman" w:hAnsi="Times New Roman" w:cs="Times New Roman"/>
        </w:rPr>
        <w:t xml:space="preserve"> there </w:t>
      </w:r>
      <w:r w:rsidR="008744D3" w:rsidRPr="003C64AE">
        <w:rPr>
          <w:rFonts w:ascii="Times New Roman" w:hAnsi="Times New Roman" w:cs="Times New Roman"/>
          <w:i/>
        </w:rPr>
        <w:t>is</w:t>
      </w:r>
      <w:r w:rsidR="008744D3" w:rsidRPr="003C64AE">
        <w:rPr>
          <w:rFonts w:ascii="Times New Roman" w:hAnsi="Times New Roman" w:cs="Times New Roman"/>
        </w:rPr>
        <w:t xml:space="preserve"> a distinction between law and politics. </w:t>
      </w:r>
      <w:r w:rsidR="00825F96" w:rsidRPr="003C64AE">
        <w:rPr>
          <w:rFonts w:ascii="Times New Roman" w:hAnsi="Times New Roman" w:cs="Times New Roman"/>
        </w:rPr>
        <w:t>Indeed, political constitutionalists argue that there is no distinction between law and politics.</w:t>
      </w:r>
      <w:r w:rsidR="00DB35D4" w:rsidRPr="003C64AE">
        <w:rPr>
          <w:rStyle w:val="FootnoteReference"/>
          <w:rFonts w:ascii="Times New Roman" w:hAnsi="Times New Roman" w:cs="Times New Roman"/>
        </w:rPr>
        <w:footnoteReference w:id="9"/>
      </w:r>
      <w:r w:rsidR="00A91408" w:rsidRPr="003C64AE">
        <w:rPr>
          <w:rFonts w:ascii="Times New Roman" w:hAnsi="Times New Roman" w:cs="Times New Roman"/>
        </w:rPr>
        <w:t xml:space="preserve"> Yet, at varies points within the book, Sumption seems to endorse a political constitutionalist approach.</w:t>
      </w:r>
      <w:r w:rsidR="00BE7174" w:rsidRPr="003C64AE">
        <w:rPr>
          <w:rStyle w:val="FootnoteReference"/>
          <w:rFonts w:ascii="Times New Roman" w:hAnsi="Times New Roman" w:cs="Times New Roman"/>
        </w:rPr>
        <w:footnoteReference w:id="10"/>
      </w:r>
      <w:r w:rsidR="00957BF3" w:rsidRPr="003C64AE">
        <w:rPr>
          <w:rFonts w:ascii="Times New Roman" w:hAnsi="Times New Roman" w:cs="Times New Roman"/>
        </w:rPr>
        <w:t xml:space="preserve"> </w:t>
      </w:r>
    </w:p>
    <w:p w:rsidR="00F22298" w:rsidRPr="003C64AE" w:rsidRDefault="00F22298" w:rsidP="00AF7D6D">
      <w:pPr>
        <w:spacing w:line="480" w:lineRule="auto"/>
        <w:rPr>
          <w:rFonts w:ascii="Times New Roman" w:hAnsi="Times New Roman" w:cs="Times New Roman"/>
        </w:rPr>
      </w:pPr>
    </w:p>
    <w:p w:rsidR="00042FED" w:rsidRPr="003C64AE" w:rsidRDefault="00F22298" w:rsidP="00AF7D6D">
      <w:pPr>
        <w:spacing w:line="480" w:lineRule="auto"/>
        <w:rPr>
          <w:rFonts w:ascii="Times New Roman" w:hAnsi="Times New Roman" w:cs="Times New Roman"/>
        </w:rPr>
      </w:pPr>
      <w:r w:rsidRPr="003C64AE">
        <w:rPr>
          <w:rFonts w:ascii="Times New Roman" w:hAnsi="Times New Roman" w:cs="Times New Roman"/>
        </w:rPr>
        <w:t>For Sumption, ‘[r]</w:t>
      </w:r>
      <w:proofErr w:type="spellStart"/>
      <w:r w:rsidRPr="003C64AE">
        <w:rPr>
          <w:rFonts w:ascii="Times New Roman" w:hAnsi="Times New Roman" w:cs="Times New Roman"/>
        </w:rPr>
        <w:t>ights</w:t>
      </w:r>
      <w:proofErr w:type="spellEnd"/>
      <w:r w:rsidRPr="003C64AE">
        <w:rPr>
          <w:rFonts w:ascii="Times New Roman" w:hAnsi="Times New Roman" w:cs="Times New Roman"/>
        </w:rPr>
        <w:t xml:space="preserve"> do not exist in a vacuum. They are the creation of law, which is a product of social organisation, and therefore necessarily a matter of political choice.’</w:t>
      </w:r>
      <w:r w:rsidRPr="003C64AE">
        <w:rPr>
          <w:rStyle w:val="FootnoteReference"/>
          <w:rFonts w:ascii="Times New Roman" w:hAnsi="Times New Roman" w:cs="Times New Roman"/>
        </w:rPr>
        <w:footnoteReference w:id="11"/>
      </w:r>
      <w:r w:rsidRPr="003C64AE">
        <w:rPr>
          <w:rFonts w:ascii="Times New Roman" w:hAnsi="Times New Roman" w:cs="Times New Roman"/>
        </w:rPr>
        <w:t xml:space="preserve"> Indeed, he goes on to suggest that some rights are ‘… inherent in our humanity’.</w:t>
      </w:r>
      <w:r w:rsidRPr="003C64AE">
        <w:rPr>
          <w:rStyle w:val="FootnoteReference"/>
          <w:rFonts w:ascii="Times New Roman" w:hAnsi="Times New Roman" w:cs="Times New Roman"/>
        </w:rPr>
        <w:footnoteReference w:id="12"/>
      </w:r>
      <w:r w:rsidRPr="003C64AE">
        <w:rPr>
          <w:rFonts w:ascii="Times New Roman" w:hAnsi="Times New Roman" w:cs="Times New Roman"/>
        </w:rPr>
        <w:t xml:space="preserve"> If some rights are inherent, how can </w:t>
      </w:r>
      <w:r w:rsidR="006D4DD1" w:rsidRPr="003C64AE">
        <w:rPr>
          <w:rFonts w:ascii="Times New Roman" w:hAnsi="Times New Roman" w:cs="Times New Roman"/>
        </w:rPr>
        <w:t xml:space="preserve">law be separated from </w:t>
      </w:r>
      <w:r w:rsidRPr="003C64AE">
        <w:rPr>
          <w:rFonts w:ascii="Times New Roman" w:hAnsi="Times New Roman" w:cs="Times New Roman"/>
        </w:rPr>
        <w:t xml:space="preserve">politics? </w:t>
      </w:r>
      <w:r w:rsidR="00042FED" w:rsidRPr="003C64AE">
        <w:rPr>
          <w:rFonts w:ascii="Times New Roman" w:hAnsi="Times New Roman" w:cs="Times New Roman"/>
        </w:rPr>
        <w:t>Here</w:t>
      </w:r>
      <w:r w:rsidR="00957BF3" w:rsidRPr="003C64AE">
        <w:rPr>
          <w:rFonts w:ascii="Times New Roman" w:hAnsi="Times New Roman" w:cs="Times New Roman"/>
        </w:rPr>
        <w:t xml:space="preserve">, </w:t>
      </w:r>
      <w:r w:rsidRPr="003C64AE">
        <w:rPr>
          <w:rFonts w:ascii="Times New Roman" w:hAnsi="Times New Roman" w:cs="Times New Roman"/>
        </w:rPr>
        <w:t>Sumption</w:t>
      </w:r>
      <w:r w:rsidR="00957BF3" w:rsidRPr="003C64AE">
        <w:rPr>
          <w:rFonts w:ascii="Times New Roman" w:hAnsi="Times New Roman" w:cs="Times New Roman"/>
        </w:rPr>
        <w:t xml:space="preserve"> seems to acknowledge the evolution of the </w:t>
      </w:r>
      <w:r w:rsidR="00B62DAA" w:rsidRPr="003C64AE">
        <w:rPr>
          <w:rFonts w:ascii="Times New Roman" w:hAnsi="Times New Roman" w:cs="Times New Roman"/>
        </w:rPr>
        <w:t>Convention</w:t>
      </w:r>
      <w:r w:rsidR="00957BF3" w:rsidRPr="003C64AE">
        <w:rPr>
          <w:rFonts w:ascii="Times New Roman" w:hAnsi="Times New Roman" w:cs="Times New Roman"/>
        </w:rPr>
        <w:t xml:space="preserve">, as democracies </w:t>
      </w:r>
      <w:r w:rsidR="00285D1B" w:rsidRPr="003C64AE">
        <w:rPr>
          <w:rFonts w:ascii="Times New Roman" w:hAnsi="Times New Roman" w:cs="Times New Roman"/>
        </w:rPr>
        <w:t>evolve,</w:t>
      </w:r>
      <w:r w:rsidR="00957BF3" w:rsidRPr="003C64AE">
        <w:rPr>
          <w:rFonts w:ascii="Times New Roman" w:hAnsi="Times New Roman" w:cs="Times New Roman"/>
        </w:rPr>
        <w:t xml:space="preserve"> whilst </w:t>
      </w:r>
      <w:r w:rsidR="00042FED" w:rsidRPr="003C64AE">
        <w:rPr>
          <w:rFonts w:ascii="Times New Roman" w:hAnsi="Times New Roman" w:cs="Times New Roman"/>
        </w:rPr>
        <w:t>at the same time</w:t>
      </w:r>
      <w:r w:rsidR="00957BF3" w:rsidRPr="003C64AE">
        <w:rPr>
          <w:rFonts w:ascii="Times New Roman" w:hAnsi="Times New Roman" w:cs="Times New Roman"/>
        </w:rPr>
        <w:t>, critic</w:t>
      </w:r>
      <w:r w:rsidR="00042FED" w:rsidRPr="003C64AE">
        <w:rPr>
          <w:rFonts w:ascii="Times New Roman" w:hAnsi="Times New Roman" w:cs="Times New Roman"/>
        </w:rPr>
        <w:t xml:space="preserve">ising the expansion of the ECHR. For example, </w:t>
      </w:r>
      <w:r w:rsidR="00B62DAA" w:rsidRPr="003C64AE">
        <w:rPr>
          <w:rFonts w:ascii="Times New Roman" w:hAnsi="Times New Roman" w:cs="Times New Roman"/>
        </w:rPr>
        <w:t>Sumption argues that t</w:t>
      </w:r>
      <w:r w:rsidR="00825F96" w:rsidRPr="003C64AE">
        <w:rPr>
          <w:rFonts w:ascii="Times New Roman" w:hAnsi="Times New Roman" w:cs="Times New Roman"/>
        </w:rPr>
        <w:t xml:space="preserve">here are </w:t>
      </w:r>
      <w:r w:rsidR="00F71ACF" w:rsidRPr="003C64AE">
        <w:rPr>
          <w:rFonts w:ascii="Times New Roman" w:hAnsi="Times New Roman" w:cs="Times New Roman"/>
        </w:rPr>
        <w:t>some instances</w:t>
      </w:r>
      <w:r w:rsidR="00B62DAA" w:rsidRPr="003C64AE">
        <w:rPr>
          <w:rFonts w:ascii="Times New Roman" w:hAnsi="Times New Roman" w:cs="Times New Roman"/>
        </w:rPr>
        <w:t xml:space="preserve"> </w:t>
      </w:r>
      <w:r w:rsidR="000604E2" w:rsidRPr="003C64AE">
        <w:rPr>
          <w:rFonts w:ascii="Times New Roman" w:hAnsi="Times New Roman" w:cs="Times New Roman"/>
        </w:rPr>
        <w:t xml:space="preserve">where </w:t>
      </w:r>
      <w:r w:rsidR="00F71ACF" w:rsidRPr="003C64AE">
        <w:rPr>
          <w:rFonts w:ascii="Times New Roman" w:hAnsi="Times New Roman" w:cs="Times New Roman"/>
        </w:rPr>
        <w:t xml:space="preserve">the </w:t>
      </w:r>
      <w:proofErr w:type="spellStart"/>
      <w:r w:rsidR="00F71ACF" w:rsidRPr="003C64AE">
        <w:rPr>
          <w:rFonts w:ascii="Times New Roman" w:hAnsi="Times New Roman" w:cs="Times New Roman"/>
        </w:rPr>
        <w:t>ECtHR</w:t>
      </w:r>
      <w:proofErr w:type="spellEnd"/>
      <w:r w:rsidR="00F71ACF" w:rsidRPr="003C64AE">
        <w:rPr>
          <w:rFonts w:ascii="Times New Roman" w:hAnsi="Times New Roman" w:cs="Times New Roman"/>
        </w:rPr>
        <w:t xml:space="preserve"> has</w:t>
      </w:r>
      <w:r w:rsidR="00E555B5" w:rsidRPr="003C64AE">
        <w:rPr>
          <w:rFonts w:ascii="Times New Roman" w:hAnsi="Times New Roman" w:cs="Times New Roman"/>
        </w:rPr>
        <w:t xml:space="preserve"> expanded the </w:t>
      </w:r>
      <w:r w:rsidR="00042FED" w:rsidRPr="003C64AE">
        <w:rPr>
          <w:rFonts w:ascii="Times New Roman" w:hAnsi="Times New Roman" w:cs="Times New Roman"/>
        </w:rPr>
        <w:t>Convention</w:t>
      </w:r>
      <w:r w:rsidR="00E555B5" w:rsidRPr="003C64AE">
        <w:rPr>
          <w:rFonts w:ascii="Times New Roman" w:hAnsi="Times New Roman" w:cs="Times New Roman"/>
        </w:rPr>
        <w:t xml:space="preserve"> beyond what </w:t>
      </w:r>
      <w:r w:rsidR="00012FF6" w:rsidRPr="003C64AE">
        <w:rPr>
          <w:rFonts w:ascii="Times New Roman" w:hAnsi="Times New Roman" w:cs="Times New Roman"/>
        </w:rPr>
        <w:t>it</w:t>
      </w:r>
      <w:r w:rsidR="00E555B5" w:rsidRPr="003C64AE">
        <w:rPr>
          <w:rFonts w:ascii="Times New Roman" w:hAnsi="Times New Roman" w:cs="Times New Roman"/>
        </w:rPr>
        <w:t xml:space="preserve"> or</w:t>
      </w:r>
      <w:r w:rsidR="000760DE" w:rsidRPr="003C64AE">
        <w:rPr>
          <w:rFonts w:ascii="Times New Roman" w:hAnsi="Times New Roman" w:cs="Times New Roman"/>
        </w:rPr>
        <w:t xml:space="preserve">iginally entailed; essentially </w:t>
      </w:r>
      <w:r w:rsidR="00E555B5" w:rsidRPr="003C64AE">
        <w:rPr>
          <w:rFonts w:ascii="Times New Roman" w:hAnsi="Times New Roman" w:cs="Times New Roman"/>
        </w:rPr>
        <w:t xml:space="preserve">taking on the role of the legislature. </w:t>
      </w:r>
    </w:p>
    <w:p w:rsidR="00042FED" w:rsidRPr="003C64AE" w:rsidRDefault="00042FED" w:rsidP="00AF7D6D">
      <w:pPr>
        <w:spacing w:line="480" w:lineRule="auto"/>
        <w:rPr>
          <w:rFonts w:ascii="Times New Roman" w:hAnsi="Times New Roman" w:cs="Times New Roman"/>
        </w:rPr>
      </w:pPr>
    </w:p>
    <w:p w:rsidR="00F71ACF" w:rsidRPr="003C64AE" w:rsidRDefault="00F84D11" w:rsidP="00AF7D6D">
      <w:pPr>
        <w:spacing w:line="480" w:lineRule="auto"/>
        <w:rPr>
          <w:rFonts w:ascii="Times New Roman" w:hAnsi="Times New Roman" w:cs="Times New Roman"/>
        </w:rPr>
      </w:pPr>
      <w:r w:rsidRPr="00F84D11">
        <w:rPr>
          <w:rFonts w:ascii="Times New Roman" w:hAnsi="Times New Roman" w:cs="Times New Roman"/>
        </w:rPr>
        <w:lastRenderedPageBreak/>
        <w:t xml:space="preserve">Using Article 8 of the ECHR as an example, Sumption attempts to demonstrate how the </w:t>
      </w:r>
      <w:proofErr w:type="spellStart"/>
      <w:r w:rsidRPr="00F84D11">
        <w:rPr>
          <w:rFonts w:ascii="Times New Roman" w:hAnsi="Times New Roman" w:cs="Times New Roman"/>
        </w:rPr>
        <w:t>ECtHR</w:t>
      </w:r>
      <w:proofErr w:type="spellEnd"/>
      <w:r w:rsidRPr="00F84D11">
        <w:rPr>
          <w:rFonts w:ascii="Times New Roman" w:hAnsi="Times New Roman" w:cs="Times New Roman"/>
        </w:rPr>
        <w:t xml:space="preserve"> has overstepped its role from arbitrator to legislature</w:t>
      </w:r>
      <w:r w:rsidR="00290327">
        <w:rPr>
          <w:rFonts w:ascii="Times New Roman" w:hAnsi="Times New Roman" w:cs="Times New Roman"/>
        </w:rPr>
        <w:t xml:space="preserve">. </w:t>
      </w:r>
      <w:r w:rsidRPr="00F84D11">
        <w:rPr>
          <w:rFonts w:ascii="Times New Roman" w:hAnsi="Times New Roman" w:cs="Times New Roman"/>
        </w:rPr>
        <w:t xml:space="preserve">Here, the principle of personal autonomy has been read into Article 8 by the </w:t>
      </w:r>
      <w:proofErr w:type="spellStart"/>
      <w:r w:rsidRPr="00F84D11">
        <w:rPr>
          <w:rFonts w:ascii="Times New Roman" w:hAnsi="Times New Roman" w:cs="Times New Roman"/>
        </w:rPr>
        <w:t>ECtHR</w:t>
      </w:r>
      <w:proofErr w:type="spellEnd"/>
      <w:r w:rsidRPr="00F84D11">
        <w:rPr>
          <w:rFonts w:ascii="Times New Roman" w:hAnsi="Times New Roman" w:cs="Times New Roman"/>
        </w:rPr>
        <w:t xml:space="preserve"> to include things such as homosexuality, immigration and the policing of demonstrations; none of which can ‘… be found in the language of the Convention.’</w:t>
      </w:r>
      <w:r w:rsidRPr="00F84D11">
        <w:rPr>
          <w:rStyle w:val="FootnoteReference"/>
          <w:rFonts w:ascii="Times New Roman" w:hAnsi="Times New Roman" w:cs="Times New Roman"/>
        </w:rPr>
        <w:footnoteReference w:id="13"/>
      </w:r>
      <w:r w:rsidR="00E51ABA" w:rsidRPr="003C64AE">
        <w:rPr>
          <w:rFonts w:ascii="Times New Roman" w:hAnsi="Times New Roman" w:cs="Times New Roman"/>
        </w:rPr>
        <w:t xml:space="preserve"> </w:t>
      </w:r>
      <w:r w:rsidR="00D50690">
        <w:rPr>
          <w:rFonts w:ascii="Times New Roman" w:hAnsi="Times New Roman" w:cs="Times New Roman"/>
        </w:rPr>
        <w:t>O</w:t>
      </w:r>
      <w:r w:rsidR="00BE7174" w:rsidRPr="003C64AE">
        <w:rPr>
          <w:rFonts w:ascii="Times New Roman" w:hAnsi="Times New Roman" w:cs="Times New Roman"/>
        </w:rPr>
        <w:t xml:space="preserve">nce again, we see </w:t>
      </w:r>
      <w:r w:rsidR="002E7833" w:rsidRPr="003C64AE">
        <w:rPr>
          <w:rFonts w:ascii="Times New Roman" w:hAnsi="Times New Roman" w:cs="Times New Roman"/>
        </w:rPr>
        <w:t xml:space="preserve">a </w:t>
      </w:r>
      <w:r w:rsidR="00D50690">
        <w:rPr>
          <w:rFonts w:ascii="Times New Roman" w:hAnsi="Times New Roman" w:cs="Times New Roman"/>
        </w:rPr>
        <w:t>flaw</w:t>
      </w:r>
      <w:r w:rsidR="00BE7174" w:rsidRPr="003C64AE">
        <w:rPr>
          <w:rFonts w:ascii="Times New Roman" w:hAnsi="Times New Roman" w:cs="Times New Roman"/>
        </w:rPr>
        <w:t xml:space="preserve"> in Sumption’s thesis. O</w:t>
      </w:r>
      <w:r w:rsidR="008F63CF" w:rsidRPr="003C64AE">
        <w:rPr>
          <w:rFonts w:ascii="Times New Roman" w:hAnsi="Times New Roman" w:cs="Times New Roman"/>
        </w:rPr>
        <w:t>n the one hand</w:t>
      </w:r>
      <w:r w:rsidR="005B0F34" w:rsidRPr="003C64AE">
        <w:rPr>
          <w:rFonts w:ascii="Times New Roman" w:hAnsi="Times New Roman" w:cs="Times New Roman"/>
        </w:rPr>
        <w:t>,</w:t>
      </w:r>
      <w:r w:rsidR="008F63CF" w:rsidRPr="003C64AE">
        <w:rPr>
          <w:rFonts w:ascii="Times New Roman" w:hAnsi="Times New Roman" w:cs="Times New Roman"/>
        </w:rPr>
        <w:t xml:space="preserve"> Sumption seems to accept that it is </w:t>
      </w:r>
      <w:r w:rsidR="007251DD" w:rsidRPr="003C64AE">
        <w:rPr>
          <w:rFonts w:ascii="Times New Roman" w:hAnsi="Times New Roman" w:cs="Times New Roman"/>
        </w:rPr>
        <w:t xml:space="preserve">inevitable </w:t>
      </w:r>
      <w:r w:rsidR="008F63CF" w:rsidRPr="003C64AE">
        <w:rPr>
          <w:rFonts w:ascii="Times New Roman" w:hAnsi="Times New Roman" w:cs="Times New Roman"/>
        </w:rPr>
        <w:t>that personal autonomy will be read into the law, whilst on the other</w:t>
      </w:r>
      <w:r w:rsidR="006615ED" w:rsidRPr="003C64AE">
        <w:rPr>
          <w:rFonts w:ascii="Times New Roman" w:hAnsi="Times New Roman" w:cs="Times New Roman"/>
        </w:rPr>
        <w:t xml:space="preserve"> hand,</w:t>
      </w:r>
      <w:r w:rsidR="008F63CF" w:rsidRPr="003C64AE">
        <w:rPr>
          <w:rFonts w:ascii="Times New Roman" w:hAnsi="Times New Roman" w:cs="Times New Roman"/>
        </w:rPr>
        <w:t xml:space="preserve"> criticising the ‘mission creep</w:t>
      </w:r>
      <w:r w:rsidR="000F7743" w:rsidRPr="003C64AE">
        <w:rPr>
          <w:rFonts w:ascii="Times New Roman" w:hAnsi="Times New Roman" w:cs="Times New Roman"/>
        </w:rPr>
        <w:t>[</w:t>
      </w:r>
      <w:proofErr w:type="spellStart"/>
      <w:r w:rsidR="000F7743" w:rsidRPr="003C64AE">
        <w:rPr>
          <w:rFonts w:ascii="Times New Roman" w:hAnsi="Times New Roman" w:cs="Times New Roman"/>
        </w:rPr>
        <w:t>ing</w:t>
      </w:r>
      <w:proofErr w:type="spellEnd"/>
      <w:r w:rsidR="000F7743" w:rsidRPr="003C64AE">
        <w:rPr>
          <w:rFonts w:ascii="Times New Roman" w:hAnsi="Times New Roman" w:cs="Times New Roman"/>
        </w:rPr>
        <w:t>]</w:t>
      </w:r>
      <w:r w:rsidR="008F63CF" w:rsidRPr="003C64AE">
        <w:rPr>
          <w:rFonts w:ascii="Times New Roman" w:hAnsi="Times New Roman" w:cs="Times New Roman"/>
        </w:rPr>
        <w:t>’ nature of the law.</w:t>
      </w:r>
      <w:r w:rsidR="008F1F0B" w:rsidRPr="003C64AE">
        <w:rPr>
          <w:rStyle w:val="FootnoteReference"/>
          <w:rFonts w:ascii="Times New Roman" w:hAnsi="Times New Roman" w:cs="Times New Roman"/>
        </w:rPr>
        <w:footnoteReference w:id="14"/>
      </w:r>
      <w:r w:rsidR="00F35C2C" w:rsidRPr="003C64AE">
        <w:rPr>
          <w:rFonts w:ascii="Times New Roman" w:hAnsi="Times New Roman" w:cs="Times New Roman"/>
        </w:rPr>
        <w:t xml:space="preserve"> H</w:t>
      </w:r>
      <w:r w:rsidR="000F7743" w:rsidRPr="003C64AE">
        <w:rPr>
          <w:rFonts w:ascii="Times New Roman" w:hAnsi="Times New Roman" w:cs="Times New Roman"/>
        </w:rPr>
        <w:t>e</w:t>
      </w:r>
      <w:r w:rsidR="00F35C2C" w:rsidRPr="003C64AE">
        <w:rPr>
          <w:rFonts w:ascii="Times New Roman" w:hAnsi="Times New Roman" w:cs="Times New Roman"/>
        </w:rPr>
        <w:t>re, he</w:t>
      </w:r>
      <w:r w:rsidR="000F7743" w:rsidRPr="003C64AE">
        <w:rPr>
          <w:rFonts w:ascii="Times New Roman" w:hAnsi="Times New Roman" w:cs="Times New Roman"/>
        </w:rPr>
        <w:t xml:space="preserve"> fails to justify when</w:t>
      </w:r>
      <w:r w:rsidR="00BE7174" w:rsidRPr="003C64AE">
        <w:rPr>
          <w:rFonts w:ascii="Times New Roman" w:hAnsi="Times New Roman" w:cs="Times New Roman"/>
        </w:rPr>
        <w:t>, for him,</w:t>
      </w:r>
      <w:r w:rsidR="000F7743" w:rsidRPr="003C64AE">
        <w:rPr>
          <w:rFonts w:ascii="Times New Roman" w:hAnsi="Times New Roman" w:cs="Times New Roman"/>
        </w:rPr>
        <w:t xml:space="preserve"> it is </w:t>
      </w:r>
      <w:r w:rsidR="00BE7174" w:rsidRPr="003C64AE">
        <w:rPr>
          <w:rFonts w:ascii="Times New Roman" w:hAnsi="Times New Roman" w:cs="Times New Roman"/>
        </w:rPr>
        <w:t>acceptable</w:t>
      </w:r>
      <w:r w:rsidR="000F7743" w:rsidRPr="003C64AE">
        <w:rPr>
          <w:rFonts w:ascii="Times New Roman" w:hAnsi="Times New Roman" w:cs="Times New Roman"/>
        </w:rPr>
        <w:t xml:space="preserve"> for the </w:t>
      </w:r>
      <w:proofErr w:type="spellStart"/>
      <w:r w:rsidR="000F7743" w:rsidRPr="003C64AE">
        <w:rPr>
          <w:rFonts w:ascii="Times New Roman" w:hAnsi="Times New Roman" w:cs="Times New Roman"/>
        </w:rPr>
        <w:t>ECtHR</w:t>
      </w:r>
      <w:proofErr w:type="spellEnd"/>
      <w:r w:rsidR="000F7743" w:rsidRPr="003C64AE">
        <w:rPr>
          <w:rFonts w:ascii="Times New Roman" w:hAnsi="Times New Roman" w:cs="Times New Roman"/>
        </w:rPr>
        <w:t xml:space="preserve"> to expand the scope of the Convention</w:t>
      </w:r>
      <w:r w:rsidR="00431E6B" w:rsidRPr="003C64AE">
        <w:rPr>
          <w:rFonts w:ascii="Times New Roman" w:hAnsi="Times New Roman" w:cs="Times New Roman"/>
        </w:rPr>
        <w:t>,</w:t>
      </w:r>
      <w:r w:rsidR="000F7743" w:rsidRPr="003C64AE">
        <w:rPr>
          <w:rFonts w:ascii="Times New Roman" w:hAnsi="Times New Roman" w:cs="Times New Roman"/>
        </w:rPr>
        <w:t xml:space="preserve"> and when it will be considered </w:t>
      </w:r>
      <w:r w:rsidR="00BE7174" w:rsidRPr="003C64AE">
        <w:rPr>
          <w:rFonts w:ascii="Times New Roman" w:hAnsi="Times New Roman" w:cs="Times New Roman"/>
        </w:rPr>
        <w:t>as encroaching on the role of</w:t>
      </w:r>
      <w:r w:rsidR="005B0F34" w:rsidRPr="003C64AE">
        <w:rPr>
          <w:rFonts w:ascii="Times New Roman" w:hAnsi="Times New Roman" w:cs="Times New Roman"/>
        </w:rPr>
        <w:t xml:space="preserve"> the</w:t>
      </w:r>
      <w:r w:rsidR="000F7743" w:rsidRPr="003C64AE">
        <w:rPr>
          <w:rFonts w:ascii="Times New Roman" w:hAnsi="Times New Roman" w:cs="Times New Roman"/>
        </w:rPr>
        <w:t xml:space="preserve"> legislature. </w:t>
      </w:r>
      <w:r w:rsidR="00F71ACF" w:rsidRPr="003C64AE">
        <w:rPr>
          <w:rFonts w:ascii="Times New Roman" w:hAnsi="Times New Roman" w:cs="Times New Roman"/>
        </w:rPr>
        <w:t xml:space="preserve">In theory, Sumption does not have an issue </w:t>
      </w:r>
      <w:r w:rsidR="00777DBA" w:rsidRPr="003C64AE">
        <w:rPr>
          <w:rFonts w:ascii="Times New Roman" w:hAnsi="Times New Roman" w:cs="Times New Roman"/>
        </w:rPr>
        <w:t>per se</w:t>
      </w:r>
      <w:r w:rsidR="00F71ACF" w:rsidRPr="003C64AE">
        <w:rPr>
          <w:rFonts w:ascii="Times New Roman" w:hAnsi="Times New Roman" w:cs="Times New Roman"/>
        </w:rPr>
        <w:t xml:space="preserve"> with an external court acting as a check </w:t>
      </w:r>
      <w:r w:rsidR="00EE5925" w:rsidRPr="003C64AE">
        <w:rPr>
          <w:rFonts w:ascii="Times New Roman" w:hAnsi="Times New Roman" w:cs="Times New Roman"/>
        </w:rPr>
        <w:t>in</w:t>
      </w:r>
      <w:r w:rsidR="007010E6" w:rsidRPr="003C64AE">
        <w:rPr>
          <w:rFonts w:ascii="Times New Roman" w:hAnsi="Times New Roman" w:cs="Times New Roman"/>
        </w:rPr>
        <w:t xml:space="preserve"> respect of </w:t>
      </w:r>
      <w:r w:rsidR="00EE5925" w:rsidRPr="003C64AE">
        <w:rPr>
          <w:rFonts w:ascii="Times New Roman" w:hAnsi="Times New Roman" w:cs="Times New Roman"/>
        </w:rPr>
        <w:t>a state’s</w:t>
      </w:r>
      <w:r w:rsidR="00F71ACF" w:rsidRPr="003C64AE">
        <w:rPr>
          <w:rFonts w:ascii="Times New Roman" w:hAnsi="Times New Roman" w:cs="Times New Roman"/>
        </w:rPr>
        <w:t xml:space="preserve"> compliance with human rights. Instead, his </w:t>
      </w:r>
      <w:r w:rsidR="00EE5925" w:rsidRPr="003C64AE">
        <w:rPr>
          <w:rFonts w:ascii="Times New Roman" w:hAnsi="Times New Roman" w:cs="Times New Roman"/>
        </w:rPr>
        <w:t>concern</w:t>
      </w:r>
      <w:r w:rsidR="00F71ACF" w:rsidRPr="003C64AE">
        <w:rPr>
          <w:rFonts w:ascii="Times New Roman" w:hAnsi="Times New Roman" w:cs="Times New Roman"/>
        </w:rPr>
        <w:t xml:space="preserve"> </w:t>
      </w:r>
      <w:r w:rsidR="00EE5925" w:rsidRPr="003C64AE">
        <w:rPr>
          <w:rFonts w:ascii="Times New Roman" w:hAnsi="Times New Roman" w:cs="Times New Roman"/>
        </w:rPr>
        <w:t xml:space="preserve">focuses on the </w:t>
      </w:r>
      <w:proofErr w:type="spellStart"/>
      <w:r w:rsidR="00EE5925" w:rsidRPr="003C64AE">
        <w:rPr>
          <w:rFonts w:ascii="Times New Roman" w:hAnsi="Times New Roman" w:cs="Times New Roman"/>
        </w:rPr>
        <w:t>ECtHR</w:t>
      </w:r>
      <w:proofErr w:type="spellEnd"/>
      <w:r w:rsidR="00EE5925" w:rsidRPr="003C64AE">
        <w:rPr>
          <w:rFonts w:ascii="Times New Roman" w:hAnsi="Times New Roman" w:cs="Times New Roman"/>
        </w:rPr>
        <w:t xml:space="preserve"> acting as </w:t>
      </w:r>
      <w:r w:rsidR="007010E6" w:rsidRPr="003C64AE">
        <w:rPr>
          <w:rFonts w:ascii="Times New Roman" w:hAnsi="Times New Roman" w:cs="Times New Roman"/>
        </w:rPr>
        <w:t>law-maker</w:t>
      </w:r>
      <w:r w:rsidR="00EE5925" w:rsidRPr="003C64AE">
        <w:rPr>
          <w:rFonts w:ascii="Times New Roman" w:hAnsi="Times New Roman" w:cs="Times New Roman"/>
        </w:rPr>
        <w:t xml:space="preserve">. </w:t>
      </w:r>
      <w:r w:rsidR="00F71ACF" w:rsidRPr="003C64AE">
        <w:rPr>
          <w:rFonts w:ascii="Times New Roman" w:hAnsi="Times New Roman" w:cs="Times New Roman"/>
        </w:rPr>
        <w:t xml:space="preserve">For Sumption, this is further proof of the creeping nature of the law </w:t>
      </w:r>
      <w:r w:rsidR="008220F1" w:rsidRPr="003C64AE">
        <w:rPr>
          <w:rFonts w:ascii="Times New Roman" w:hAnsi="Times New Roman" w:cs="Times New Roman"/>
        </w:rPr>
        <w:t xml:space="preserve">as we witness a decline in politics. </w:t>
      </w:r>
      <w:r w:rsidR="00F71ACF" w:rsidRPr="003C64AE">
        <w:rPr>
          <w:rFonts w:ascii="Times New Roman" w:hAnsi="Times New Roman" w:cs="Times New Roman"/>
        </w:rPr>
        <w:t xml:space="preserve">       </w:t>
      </w:r>
    </w:p>
    <w:p w:rsidR="000604E2" w:rsidRPr="003C64AE" w:rsidRDefault="00B94D80" w:rsidP="00AF7D6D">
      <w:pPr>
        <w:spacing w:line="480" w:lineRule="auto"/>
        <w:rPr>
          <w:rFonts w:ascii="Times New Roman" w:hAnsi="Times New Roman" w:cs="Times New Roman"/>
        </w:rPr>
      </w:pPr>
      <w:r w:rsidRPr="003C64AE">
        <w:rPr>
          <w:rFonts w:ascii="Times New Roman" w:hAnsi="Times New Roman" w:cs="Times New Roman"/>
        </w:rPr>
        <w:br/>
      </w:r>
      <w:r w:rsidR="000604E2" w:rsidRPr="003C64AE">
        <w:rPr>
          <w:rFonts w:ascii="Times New Roman" w:hAnsi="Times New Roman" w:cs="Times New Roman"/>
        </w:rPr>
        <w:t>The book’s second</w:t>
      </w:r>
      <w:r w:rsidRPr="003C64AE">
        <w:rPr>
          <w:rFonts w:ascii="Times New Roman" w:hAnsi="Times New Roman" w:cs="Times New Roman"/>
        </w:rPr>
        <w:t xml:space="preserve"> chapter acts as </w:t>
      </w:r>
      <w:r w:rsidR="00777DBA" w:rsidRPr="003C64AE">
        <w:rPr>
          <w:rFonts w:ascii="Times New Roman" w:hAnsi="Times New Roman" w:cs="Times New Roman"/>
        </w:rPr>
        <w:t xml:space="preserve">a </w:t>
      </w:r>
      <w:r w:rsidRPr="003C64AE">
        <w:rPr>
          <w:rFonts w:ascii="Times New Roman" w:hAnsi="Times New Roman" w:cs="Times New Roman"/>
        </w:rPr>
        <w:t xml:space="preserve">provocative discussion in which </w:t>
      </w:r>
      <w:r w:rsidR="00B570CD" w:rsidRPr="003C64AE">
        <w:rPr>
          <w:rFonts w:ascii="Times New Roman" w:hAnsi="Times New Roman" w:cs="Times New Roman"/>
        </w:rPr>
        <w:t>Sumption’s</w:t>
      </w:r>
      <w:r w:rsidRPr="003C64AE">
        <w:rPr>
          <w:rFonts w:ascii="Times New Roman" w:hAnsi="Times New Roman" w:cs="Times New Roman"/>
        </w:rPr>
        <w:t xml:space="preserve"> overarching </w:t>
      </w:r>
      <w:r w:rsidR="00ED2315" w:rsidRPr="003C64AE">
        <w:rPr>
          <w:rFonts w:ascii="Times New Roman" w:hAnsi="Times New Roman" w:cs="Times New Roman"/>
        </w:rPr>
        <w:t>argument</w:t>
      </w:r>
      <w:r w:rsidRPr="003C64AE">
        <w:rPr>
          <w:rFonts w:ascii="Times New Roman" w:hAnsi="Times New Roman" w:cs="Times New Roman"/>
        </w:rPr>
        <w:t xml:space="preserve"> is politics </w:t>
      </w:r>
      <w:r w:rsidR="000604E2" w:rsidRPr="003C64AE">
        <w:rPr>
          <w:rFonts w:ascii="Times New Roman" w:hAnsi="Times New Roman" w:cs="Times New Roman"/>
        </w:rPr>
        <w:t>in favour of law</w:t>
      </w:r>
      <w:r w:rsidRPr="003C64AE">
        <w:rPr>
          <w:rFonts w:ascii="Times New Roman" w:hAnsi="Times New Roman" w:cs="Times New Roman"/>
        </w:rPr>
        <w:t>.</w:t>
      </w:r>
      <w:r w:rsidR="00E51ABA" w:rsidRPr="003C64AE">
        <w:rPr>
          <w:rFonts w:ascii="Times New Roman" w:hAnsi="Times New Roman" w:cs="Times New Roman"/>
        </w:rPr>
        <w:t xml:space="preserve"> For Sumption, political </w:t>
      </w:r>
      <w:r w:rsidR="00D50690">
        <w:rPr>
          <w:rFonts w:ascii="Times New Roman" w:hAnsi="Times New Roman" w:cs="Times New Roman"/>
        </w:rPr>
        <w:t>problems</w:t>
      </w:r>
      <w:r w:rsidR="00E51ABA" w:rsidRPr="003C64AE">
        <w:rPr>
          <w:rFonts w:ascii="Times New Roman" w:hAnsi="Times New Roman" w:cs="Times New Roman"/>
        </w:rPr>
        <w:t xml:space="preserve"> should be solved by politics</w:t>
      </w:r>
      <w:r w:rsidR="00412D5F" w:rsidRPr="003C64AE">
        <w:rPr>
          <w:rFonts w:ascii="Times New Roman" w:hAnsi="Times New Roman" w:cs="Times New Roman"/>
        </w:rPr>
        <w:t xml:space="preserve"> alone</w:t>
      </w:r>
      <w:r w:rsidR="00E51ABA" w:rsidRPr="003C64AE">
        <w:rPr>
          <w:rFonts w:ascii="Times New Roman" w:hAnsi="Times New Roman" w:cs="Times New Roman"/>
        </w:rPr>
        <w:t>, not law.</w:t>
      </w:r>
      <w:r w:rsidRPr="003C64AE">
        <w:rPr>
          <w:rFonts w:ascii="Times New Roman" w:hAnsi="Times New Roman" w:cs="Times New Roman"/>
        </w:rPr>
        <w:t xml:space="preserve"> Acknowledging the decline in trust and involvement amongst cit</w:t>
      </w:r>
      <w:r w:rsidR="008619EA" w:rsidRPr="003C64AE">
        <w:rPr>
          <w:rFonts w:ascii="Times New Roman" w:hAnsi="Times New Roman" w:cs="Times New Roman"/>
        </w:rPr>
        <w:t>izens in the w</w:t>
      </w:r>
      <w:r w:rsidR="000760DE" w:rsidRPr="003C64AE">
        <w:rPr>
          <w:rFonts w:ascii="Times New Roman" w:hAnsi="Times New Roman" w:cs="Times New Roman"/>
        </w:rPr>
        <w:t xml:space="preserve">orld of politics, </w:t>
      </w:r>
      <w:r w:rsidRPr="003C64AE">
        <w:rPr>
          <w:rFonts w:ascii="Times New Roman" w:hAnsi="Times New Roman" w:cs="Times New Roman"/>
        </w:rPr>
        <w:t xml:space="preserve">he argues that </w:t>
      </w:r>
      <w:r w:rsidR="00034C5C" w:rsidRPr="003C64AE">
        <w:rPr>
          <w:rFonts w:ascii="Times New Roman" w:hAnsi="Times New Roman" w:cs="Times New Roman"/>
        </w:rPr>
        <w:t>individuals</w:t>
      </w:r>
      <w:r w:rsidRPr="003C64AE">
        <w:rPr>
          <w:rFonts w:ascii="Times New Roman" w:hAnsi="Times New Roman" w:cs="Times New Roman"/>
        </w:rPr>
        <w:t xml:space="preserve"> have t</w:t>
      </w:r>
      <w:r w:rsidR="00B570CD" w:rsidRPr="003C64AE">
        <w:rPr>
          <w:rFonts w:ascii="Times New Roman" w:hAnsi="Times New Roman" w:cs="Times New Roman"/>
        </w:rPr>
        <w:t>urned too readily to the courts to fill political voids.</w:t>
      </w:r>
      <w:r w:rsidR="008619EA" w:rsidRPr="003C64AE">
        <w:rPr>
          <w:rStyle w:val="FootnoteReference"/>
          <w:rFonts w:ascii="Times New Roman" w:hAnsi="Times New Roman" w:cs="Times New Roman"/>
        </w:rPr>
        <w:footnoteReference w:id="15"/>
      </w:r>
      <w:r w:rsidRPr="003C64AE">
        <w:rPr>
          <w:rFonts w:ascii="Times New Roman" w:hAnsi="Times New Roman" w:cs="Times New Roman"/>
        </w:rPr>
        <w:t xml:space="preserve"> But for </w:t>
      </w:r>
      <w:r w:rsidR="00B570CD" w:rsidRPr="003C64AE">
        <w:rPr>
          <w:rFonts w:ascii="Times New Roman" w:hAnsi="Times New Roman" w:cs="Times New Roman"/>
        </w:rPr>
        <w:t>Sumption</w:t>
      </w:r>
      <w:r w:rsidR="00865566" w:rsidRPr="003C64AE">
        <w:rPr>
          <w:rFonts w:ascii="Times New Roman" w:hAnsi="Times New Roman" w:cs="Times New Roman"/>
        </w:rPr>
        <w:t>,</w:t>
      </w:r>
      <w:r w:rsidRPr="003C64AE">
        <w:rPr>
          <w:rFonts w:ascii="Times New Roman" w:hAnsi="Times New Roman" w:cs="Times New Roman"/>
        </w:rPr>
        <w:t xml:space="preserve"> this does not mean that judges should </w:t>
      </w:r>
      <w:r w:rsidR="000604E2" w:rsidRPr="003C64AE">
        <w:rPr>
          <w:rFonts w:ascii="Times New Roman" w:hAnsi="Times New Roman" w:cs="Times New Roman"/>
        </w:rPr>
        <w:t>make</w:t>
      </w:r>
      <w:r w:rsidRPr="003C64AE">
        <w:rPr>
          <w:rFonts w:ascii="Times New Roman" w:hAnsi="Times New Roman" w:cs="Times New Roman"/>
        </w:rPr>
        <w:t xml:space="preserve"> the ultimate decision in all cases.</w:t>
      </w:r>
      <w:r w:rsidR="000604E2" w:rsidRPr="003C64AE">
        <w:rPr>
          <w:rFonts w:ascii="Times New Roman" w:hAnsi="Times New Roman" w:cs="Times New Roman"/>
        </w:rPr>
        <w:t xml:space="preserve"> There are some matters, which are wholly political and therefore outside the realm of judicial intervention.</w:t>
      </w:r>
      <w:r w:rsidR="00431E6B" w:rsidRPr="003C64AE">
        <w:rPr>
          <w:rStyle w:val="FootnoteReference"/>
          <w:rFonts w:ascii="Times New Roman" w:hAnsi="Times New Roman" w:cs="Times New Roman"/>
        </w:rPr>
        <w:footnoteReference w:id="16"/>
      </w:r>
      <w:r w:rsidR="00431E6B" w:rsidRPr="003C64AE">
        <w:rPr>
          <w:rFonts w:ascii="Times New Roman" w:hAnsi="Times New Roman" w:cs="Times New Roman"/>
        </w:rPr>
        <w:t xml:space="preserve">   </w:t>
      </w:r>
      <w:r w:rsidR="000604E2" w:rsidRPr="003C64AE">
        <w:rPr>
          <w:rFonts w:ascii="Times New Roman" w:hAnsi="Times New Roman" w:cs="Times New Roman"/>
        </w:rPr>
        <w:t xml:space="preserve"> </w:t>
      </w:r>
    </w:p>
    <w:p w:rsidR="000604E2" w:rsidRPr="003C64AE" w:rsidRDefault="000604E2" w:rsidP="00AF7D6D">
      <w:pPr>
        <w:spacing w:line="480" w:lineRule="auto"/>
        <w:rPr>
          <w:rFonts w:ascii="Times New Roman" w:hAnsi="Times New Roman" w:cs="Times New Roman"/>
        </w:rPr>
      </w:pPr>
    </w:p>
    <w:p w:rsidR="00B570CD" w:rsidRPr="003C64AE" w:rsidRDefault="00B94D80" w:rsidP="00AF7D6D">
      <w:pPr>
        <w:spacing w:line="480" w:lineRule="auto"/>
        <w:rPr>
          <w:rFonts w:ascii="Times New Roman" w:hAnsi="Times New Roman" w:cs="Times New Roman"/>
        </w:rPr>
      </w:pPr>
      <w:r w:rsidRPr="003C64AE">
        <w:rPr>
          <w:rFonts w:ascii="Times New Roman" w:hAnsi="Times New Roman" w:cs="Times New Roman"/>
        </w:rPr>
        <w:lastRenderedPageBreak/>
        <w:t xml:space="preserve">With </w:t>
      </w:r>
      <w:r w:rsidR="00D07E79" w:rsidRPr="003C64AE">
        <w:rPr>
          <w:rFonts w:ascii="Times New Roman" w:hAnsi="Times New Roman" w:cs="Times New Roman"/>
        </w:rPr>
        <w:t>a</w:t>
      </w:r>
      <w:r w:rsidRPr="003C64AE">
        <w:rPr>
          <w:rFonts w:ascii="Times New Roman" w:hAnsi="Times New Roman" w:cs="Times New Roman"/>
        </w:rPr>
        <w:t xml:space="preserve"> decline in </w:t>
      </w:r>
      <w:r w:rsidR="008619EA" w:rsidRPr="003C64AE">
        <w:rPr>
          <w:rFonts w:ascii="Times New Roman" w:hAnsi="Times New Roman" w:cs="Times New Roman"/>
        </w:rPr>
        <w:t>individuals</w:t>
      </w:r>
      <w:r w:rsidRPr="003C64AE">
        <w:rPr>
          <w:rFonts w:ascii="Times New Roman" w:hAnsi="Times New Roman" w:cs="Times New Roman"/>
        </w:rPr>
        <w:t xml:space="preserve"> becoming involved in politi</w:t>
      </w:r>
      <w:r w:rsidR="00777DBA" w:rsidRPr="003C64AE">
        <w:rPr>
          <w:rFonts w:ascii="Times New Roman" w:hAnsi="Times New Roman" w:cs="Times New Roman"/>
        </w:rPr>
        <w:t>cs and in</w:t>
      </w:r>
      <w:r w:rsidR="00B570CD" w:rsidRPr="003C64AE">
        <w:rPr>
          <w:rFonts w:ascii="Times New Roman" w:hAnsi="Times New Roman" w:cs="Times New Roman"/>
        </w:rPr>
        <w:t xml:space="preserve"> turn politics losing ‘… its prestige’</w:t>
      </w:r>
      <w:r w:rsidRPr="003C64AE">
        <w:rPr>
          <w:rFonts w:ascii="Times New Roman" w:hAnsi="Times New Roman" w:cs="Times New Roman"/>
        </w:rPr>
        <w:t>,</w:t>
      </w:r>
      <w:r w:rsidR="0072724B" w:rsidRPr="003C64AE">
        <w:rPr>
          <w:rStyle w:val="FootnoteReference"/>
          <w:rFonts w:ascii="Times New Roman" w:hAnsi="Times New Roman" w:cs="Times New Roman"/>
        </w:rPr>
        <w:footnoteReference w:id="17"/>
      </w:r>
      <w:r w:rsidRPr="003C64AE">
        <w:rPr>
          <w:rFonts w:ascii="Times New Roman" w:hAnsi="Times New Roman" w:cs="Times New Roman"/>
        </w:rPr>
        <w:t xml:space="preserve"> Sumption suggests that judges have been more</w:t>
      </w:r>
      <w:r w:rsidR="00A84D93" w:rsidRPr="003C64AE">
        <w:rPr>
          <w:rFonts w:ascii="Times New Roman" w:hAnsi="Times New Roman" w:cs="Times New Roman"/>
        </w:rPr>
        <w:t xml:space="preserve"> than willing to fill this gap</w:t>
      </w:r>
      <w:r w:rsidR="00B570CD" w:rsidRPr="003C64AE">
        <w:rPr>
          <w:rFonts w:ascii="Times New Roman" w:hAnsi="Times New Roman" w:cs="Times New Roman"/>
        </w:rPr>
        <w:t xml:space="preserve"> under the cover of the rule of law.</w:t>
      </w:r>
      <w:r w:rsidR="000604E2" w:rsidRPr="003C64AE">
        <w:rPr>
          <w:rFonts w:ascii="Times New Roman" w:hAnsi="Times New Roman" w:cs="Times New Roman"/>
        </w:rPr>
        <w:t xml:space="preserve"> </w:t>
      </w:r>
      <w:r w:rsidR="00B570CD" w:rsidRPr="003C64AE">
        <w:rPr>
          <w:rFonts w:ascii="Times New Roman" w:hAnsi="Times New Roman" w:cs="Times New Roman"/>
        </w:rPr>
        <w:t>For Sumption, t</w:t>
      </w:r>
      <w:r w:rsidRPr="003C64AE">
        <w:rPr>
          <w:rFonts w:ascii="Times New Roman" w:hAnsi="Times New Roman" w:cs="Times New Roman"/>
        </w:rPr>
        <w:t xml:space="preserve">hough judges have always made law, their </w:t>
      </w:r>
      <w:r w:rsidR="00E51ABA" w:rsidRPr="003C64AE">
        <w:rPr>
          <w:rFonts w:ascii="Times New Roman" w:hAnsi="Times New Roman" w:cs="Times New Roman"/>
        </w:rPr>
        <w:t xml:space="preserve">current </w:t>
      </w:r>
      <w:r w:rsidRPr="003C64AE">
        <w:rPr>
          <w:rFonts w:ascii="Times New Roman" w:hAnsi="Times New Roman" w:cs="Times New Roman"/>
        </w:rPr>
        <w:t xml:space="preserve">understanding and conception of the rule of law, has allowed them to take on the role of </w:t>
      </w:r>
      <w:r w:rsidR="00B570CD" w:rsidRPr="003C64AE">
        <w:rPr>
          <w:rFonts w:ascii="Times New Roman" w:hAnsi="Times New Roman" w:cs="Times New Roman"/>
        </w:rPr>
        <w:t>the legislature.</w:t>
      </w:r>
      <w:r w:rsidRPr="003C64AE">
        <w:rPr>
          <w:rFonts w:ascii="Times New Roman" w:hAnsi="Times New Roman" w:cs="Times New Roman"/>
        </w:rPr>
        <w:t xml:space="preserve"> </w:t>
      </w:r>
      <w:r w:rsidR="00134497" w:rsidRPr="003C64AE">
        <w:rPr>
          <w:rFonts w:ascii="Times New Roman" w:hAnsi="Times New Roman" w:cs="Times New Roman"/>
        </w:rPr>
        <w:t>According to Sumption, t</w:t>
      </w:r>
      <w:r w:rsidR="00B570CD" w:rsidRPr="003C64AE">
        <w:rPr>
          <w:rFonts w:ascii="Times New Roman" w:hAnsi="Times New Roman" w:cs="Times New Roman"/>
        </w:rPr>
        <w:t>he courts</w:t>
      </w:r>
      <w:r w:rsidR="00134497" w:rsidRPr="003C64AE">
        <w:rPr>
          <w:rFonts w:ascii="Times New Roman" w:hAnsi="Times New Roman" w:cs="Times New Roman"/>
        </w:rPr>
        <w:t>’</w:t>
      </w:r>
      <w:r w:rsidRPr="003C64AE">
        <w:rPr>
          <w:rFonts w:ascii="Times New Roman" w:hAnsi="Times New Roman" w:cs="Times New Roman"/>
        </w:rPr>
        <w:t xml:space="preserve"> approach to what constitutes the rule of law has expanded </w:t>
      </w:r>
      <w:r w:rsidR="00B570CD" w:rsidRPr="003C64AE">
        <w:rPr>
          <w:rFonts w:ascii="Times New Roman" w:hAnsi="Times New Roman" w:cs="Times New Roman"/>
        </w:rPr>
        <w:t xml:space="preserve">to allow </w:t>
      </w:r>
      <w:r w:rsidR="00924D76" w:rsidRPr="003C64AE">
        <w:rPr>
          <w:rFonts w:ascii="Times New Roman" w:hAnsi="Times New Roman" w:cs="Times New Roman"/>
        </w:rPr>
        <w:t>the judiciary</w:t>
      </w:r>
      <w:r w:rsidR="00B570CD" w:rsidRPr="003C64AE">
        <w:rPr>
          <w:rFonts w:ascii="Times New Roman" w:hAnsi="Times New Roman" w:cs="Times New Roman"/>
        </w:rPr>
        <w:t xml:space="preserve"> to make judgments on matters which can be considered as </w:t>
      </w:r>
      <w:r w:rsidR="00134497" w:rsidRPr="003C64AE">
        <w:rPr>
          <w:rFonts w:ascii="Times New Roman" w:hAnsi="Times New Roman" w:cs="Times New Roman"/>
        </w:rPr>
        <w:t>‘</w:t>
      </w:r>
      <w:r w:rsidR="00B570CD" w:rsidRPr="003C64AE">
        <w:rPr>
          <w:rFonts w:ascii="Times New Roman" w:hAnsi="Times New Roman" w:cs="Times New Roman"/>
        </w:rPr>
        <w:t>wholly political</w:t>
      </w:r>
      <w:r w:rsidRPr="003C64AE">
        <w:rPr>
          <w:rFonts w:ascii="Times New Roman" w:hAnsi="Times New Roman" w:cs="Times New Roman"/>
        </w:rPr>
        <w:t>.</w:t>
      </w:r>
      <w:r w:rsidR="00134497" w:rsidRPr="003C64AE">
        <w:rPr>
          <w:rFonts w:ascii="Times New Roman" w:hAnsi="Times New Roman" w:cs="Times New Roman"/>
        </w:rPr>
        <w:t>’</w:t>
      </w:r>
      <w:r w:rsidR="00367186" w:rsidRPr="003C64AE">
        <w:rPr>
          <w:rStyle w:val="FootnoteReference"/>
          <w:rFonts w:ascii="Times New Roman" w:hAnsi="Times New Roman" w:cs="Times New Roman"/>
        </w:rPr>
        <w:footnoteReference w:id="18"/>
      </w:r>
      <w:r w:rsidR="00B570CD" w:rsidRPr="003C64AE">
        <w:rPr>
          <w:rFonts w:ascii="Times New Roman" w:hAnsi="Times New Roman" w:cs="Times New Roman"/>
        </w:rPr>
        <w:t xml:space="preserve"> </w:t>
      </w:r>
      <w:r w:rsidRPr="003C64AE">
        <w:rPr>
          <w:rFonts w:ascii="Times New Roman" w:hAnsi="Times New Roman" w:cs="Times New Roman"/>
        </w:rPr>
        <w:t xml:space="preserve">Here, by utilising the principle of legality, or as Sumption terms it legitimacy, </w:t>
      </w:r>
      <w:proofErr w:type="gramStart"/>
      <w:r w:rsidRPr="003C64AE">
        <w:rPr>
          <w:rFonts w:ascii="Times New Roman" w:hAnsi="Times New Roman" w:cs="Times New Roman"/>
        </w:rPr>
        <w:t>judges</w:t>
      </w:r>
      <w:proofErr w:type="gramEnd"/>
      <w:r w:rsidRPr="003C64AE">
        <w:rPr>
          <w:rFonts w:ascii="Times New Roman" w:hAnsi="Times New Roman" w:cs="Times New Roman"/>
        </w:rPr>
        <w:t xml:space="preserve"> inch their way into </w:t>
      </w:r>
      <w:r w:rsidR="00ED2315" w:rsidRPr="003C64AE">
        <w:rPr>
          <w:rFonts w:ascii="Times New Roman" w:hAnsi="Times New Roman" w:cs="Times New Roman"/>
        </w:rPr>
        <w:t xml:space="preserve">the </w:t>
      </w:r>
      <w:r w:rsidRPr="003C64AE">
        <w:rPr>
          <w:rFonts w:ascii="Times New Roman" w:hAnsi="Times New Roman" w:cs="Times New Roman"/>
        </w:rPr>
        <w:t xml:space="preserve">political domain, by deciding on </w:t>
      </w:r>
      <w:r w:rsidR="00012FF6" w:rsidRPr="003C64AE">
        <w:rPr>
          <w:rFonts w:ascii="Times New Roman" w:hAnsi="Times New Roman" w:cs="Times New Roman"/>
        </w:rPr>
        <w:t xml:space="preserve">the </w:t>
      </w:r>
      <w:r w:rsidRPr="003C64AE">
        <w:rPr>
          <w:rFonts w:ascii="Times New Roman" w:hAnsi="Times New Roman" w:cs="Times New Roman"/>
        </w:rPr>
        <w:t>norms or the clarity of la</w:t>
      </w:r>
      <w:r w:rsidR="00134497" w:rsidRPr="003C64AE">
        <w:rPr>
          <w:rFonts w:ascii="Times New Roman" w:hAnsi="Times New Roman" w:cs="Times New Roman"/>
        </w:rPr>
        <w:t>nguage within a legal provision. To make this point, Sumption utilises</w:t>
      </w:r>
      <w:r w:rsidR="00B570CD" w:rsidRPr="003C64AE">
        <w:rPr>
          <w:rFonts w:ascii="Times New Roman" w:hAnsi="Times New Roman" w:cs="Times New Roman"/>
        </w:rPr>
        <w:t xml:space="preserve"> </w:t>
      </w:r>
      <w:r w:rsidR="00B570CD" w:rsidRPr="003C64AE">
        <w:rPr>
          <w:rFonts w:ascii="Times New Roman" w:hAnsi="Times New Roman" w:cs="Times New Roman"/>
          <w:i/>
        </w:rPr>
        <w:t>R (on the application of Evans) v Attorney-General</w:t>
      </w:r>
      <w:r w:rsidR="00F025E1" w:rsidRPr="003C64AE">
        <w:rPr>
          <w:rStyle w:val="FootnoteReference"/>
          <w:rFonts w:ascii="Times New Roman" w:hAnsi="Times New Roman" w:cs="Times New Roman"/>
        </w:rPr>
        <w:footnoteReference w:id="19"/>
      </w:r>
      <w:r w:rsidR="00012FF6" w:rsidRPr="003C64AE">
        <w:rPr>
          <w:rFonts w:ascii="Times New Roman" w:hAnsi="Times New Roman" w:cs="Times New Roman"/>
        </w:rPr>
        <w:t xml:space="preserve"> as an example.</w:t>
      </w:r>
      <w:r w:rsidR="00B570CD" w:rsidRPr="003C64AE">
        <w:rPr>
          <w:rFonts w:ascii="Times New Roman" w:hAnsi="Times New Roman" w:cs="Times New Roman"/>
        </w:rPr>
        <w:t xml:space="preserve"> </w:t>
      </w:r>
    </w:p>
    <w:p w:rsidR="00B570CD" w:rsidRPr="003C64AE" w:rsidRDefault="00B570CD" w:rsidP="00AF7D6D">
      <w:pPr>
        <w:spacing w:line="480" w:lineRule="auto"/>
        <w:rPr>
          <w:rFonts w:ascii="Times New Roman" w:hAnsi="Times New Roman" w:cs="Times New Roman"/>
        </w:rPr>
      </w:pPr>
    </w:p>
    <w:p w:rsidR="003D7C45" w:rsidRPr="003C64AE" w:rsidRDefault="00B94D80" w:rsidP="00AF7D6D">
      <w:pPr>
        <w:spacing w:line="480" w:lineRule="auto"/>
        <w:rPr>
          <w:rFonts w:ascii="Times New Roman" w:hAnsi="Times New Roman" w:cs="Times New Roman"/>
        </w:rPr>
      </w:pPr>
      <w:r w:rsidRPr="003C64AE">
        <w:rPr>
          <w:rFonts w:ascii="Times New Roman" w:hAnsi="Times New Roman" w:cs="Times New Roman"/>
        </w:rPr>
        <w:t xml:space="preserve">In </w:t>
      </w:r>
      <w:r w:rsidR="00A56AB7" w:rsidRPr="003C64AE">
        <w:rPr>
          <w:rFonts w:ascii="Times New Roman" w:hAnsi="Times New Roman" w:cs="Times New Roman"/>
          <w:i/>
        </w:rPr>
        <w:t>Evans</w:t>
      </w:r>
      <w:r w:rsidRPr="003C64AE">
        <w:rPr>
          <w:rFonts w:ascii="Times New Roman" w:hAnsi="Times New Roman" w:cs="Times New Roman"/>
        </w:rPr>
        <w:t>, the Supreme Court overruled the Attorney General</w:t>
      </w:r>
      <w:r w:rsidR="00F0676C" w:rsidRPr="003C64AE">
        <w:rPr>
          <w:rFonts w:ascii="Times New Roman" w:hAnsi="Times New Roman" w:cs="Times New Roman"/>
        </w:rPr>
        <w:t xml:space="preserve"> (AG)</w:t>
      </w:r>
      <w:r w:rsidRPr="003C64AE">
        <w:rPr>
          <w:rFonts w:ascii="Times New Roman" w:hAnsi="Times New Roman" w:cs="Times New Roman"/>
        </w:rPr>
        <w:t xml:space="preserve"> who had declared it was not in the public interest for letters between the Prince of Wales and Min</w:t>
      </w:r>
      <w:r w:rsidR="00A56AB7" w:rsidRPr="003C64AE">
        <w:rPr>
          <w:rFonts w:ascii="Times New Roman" w:hAnsi="Times New Roman" w:cs="Times New Roman"/>
        </w:rPr>
        <w:t>i</w:t>
      </w:r>
      <w:r w:rsidRPr="003C64AE">
        <w:rPr>
          <w:rFonts w:ascii="Times New Roman" w:hAnsi="Times New Roman" w:cs="Times New Roman"/>
        </w:rPr>
        <w:t xml:space="preserve">sters to be published, despite an Act of Parliament </w:t>
      </w:r>
      <w:r w:rsidR="00A56AB7" w:rsidRPr="003C64AE">
        <w:rPr>
          <w:rFonts w:ascii="Times New Roman" w:hAnsi="Times New Roman" w:cs="Times New Roman"/>
        </w:rPr>
        <w:t>conferring</w:t>
      </w:r>
      <w:r w:rsidRPr="003C64AE">
        <w:rPr>
          <w:rFonts w:ascii="Times New Roman" w:hAnsi="Times New Roman" w:cs="Times New Roman"/>
        </w:rPr>
        <w:t xml:space="preserve"> this power upon </w:t>
      </w:r>
      <w:r w:rsidR="00F0676C" w:rsidRPr="003C64AE">
        <w:rPr>
          <w:rFonts w:ascii="Times New Roman" w:hAnsi="Times New Roman" w:cs="Times New Roman"/>
        </w:rPr>
        <w:t>the AG</w:t>
      </w:r>
      <w:r w:rsidR="00912823" w:rsidRPr="003C64AE">
        <w:rPr>
          <w:rFonts w:ascii="Times New Roman" w:hAnsi="Times New Roman" w:cs="Times New Roman"/>
        </w:rPr>
        <w:t>.</w:t>
      </w:r>
      <w:r w:rsidR="00367186" w:rsidRPr="003C64AE">
        <w:rPr>
          <w:rStyle w:val="FootnoteReference"/>
          <w:rFonts w:ascii="Times New Roman" w:hAnsi="Times New Roman" w:cs="Times New Roman"/>
        </w:rPr>
        <w:footnoteReference w:id="20"/>
      </w:r>
      <w:r w:rsidR="00912823" w:rsidRPr="003C64AE">
        <w:rPr>
          <w:rFonts w:ascii="Times New Roman" w:hAnsi="Times New Roman" w:cs="Times New Roman"/>
        </w:rPr>
        <w:t xml:space="preserve"> </w:t>
      </w:r>
      <w:r w:rsidR="00D50690" w:rsidRPr="00D50690">
        <w:rPr>
          <w:rFonts w:ascii="Times New Roman" w:hAnsi="Times New Roman" w:cs="Times New Roman"/>
        </w:rPr>
        <w:t>For the majority of the Court, Parliament could not have intended for the AG to have such power – ultimately, for Sumption, impinging on parliamentary sovereignty.</w:t>
      </w:r>
      <w:r w:rsidR="00D50690" w:rsidRPr="00D50690">
        <w:rPr>
          <w:rStyle w:val="FootnoteReference"/>
          <w:rFonts w:ascii="Times New Roman" w:hAnsi="Times New Roman" w:cs="Times New Roman"/>
        </w:rPr>
        <w:footnoteReference w:id="21"/>
      </w:r>
      <w:r w:rsidR="00D50690" w:rsidRPr="00D50690">
        <w:rPr>
          <w:rFonts w:ascii="Times New Roman" w:hAnsi="Times New Roman" w:cs="Times New Roman"/>
        </w:rPr>
        <w:t xml:space="preserve"> This is one of several examples given by Sumption as further evidence of law supplanting politics</w:t>
      </w:r>
      <w:r w:rsidR="00D50690" w:rsidRPr="002746EB">
        <w:rPr>
          <w:rFonts w:ascii="Times New Roman" w:hAnsi="Times New Roman" w:cs="Times New Roman"/>
        </w:rPr>
        <w:t>.</w:t>
      </w:r>
      <w:r w:rsidR="00D50690">
        <w:rPr>
          <w:rFonts w:ascii="Times New Roman" w:hAnsi="Times New Roman" w:cs="Times New Roman"/>
        </w:rPr>
        <w:t xml:space="preserve"> </w:t>
      </w:r>
      <w:r w:rsidR="003D7C45" w:rsidRPr="003C64AE">
        <w:rPr>
          <w:rFonts w:ascii="Times New Roman" w:hAnsi="Times New Roman" w:cs="Times New Roman"/>
        </w:rPr>
        <w:t xml:space="preserve">However, </w:t>
      </w:r>
      <w:r w:rsidR="00265A7F" w:rsidRPr="003C64AE">
        <w:rPr>
          <w:rFonts w:ascii="Times New Roman" w:hAnsi="Times New Roman" w:cs="Times New Roman"/>
        </w:rPr>
        <w:t>Sumption</w:t>
      </w:r>
      <w:r w:rsidR="003D7C45" w:rsidRPr="003C64AE">
        <w:rPr>
          <w:rFonts w:ascii="Times New Roman" w:hAnsi="Times New Roman" w:cs="Times New Roman"/>
        </w:rPr>
        <w:t xml:space="preserve"> fails to </w:t>
      </w:r>
      <w:r w:rsidR="00265A7F" w:rsidRPr="003C64AE">
        <w:rPr>
          <w:rFonts w:ascii="Times New Roman" w:hAnsi="Times New Roman" w:cs="Times New Roman"/>
        </w:rPr>
        <w:t>give due acknowledg</w:t>
      </w:r>
      <w:r w:rsidR="005B0F34" w:rsidRPr="003C64AE">
        <w:rPr>
          <w:rFonts w:ascii="Times New Roman" w:hAnsi="Times New Roman" w:cs="Times New Roman"/>
        </w:rPr>
        <w:t>e</w:t>
      </w:r>
      <w:r w:rsidR="00265A7F" w:rsidRPr="003C64AE">
        <w:rPr>
          <w:rFonts w:ascii="Times New Roman" w:hAnsi="Times New Roman" w:cs="Times New Roman"/>
        </w:rPr>
        <w:t xml:space="preserve">ment to </w:t>
      </w:r>
      <w:r w:rsidR="005C03B3" w:rsidRPr="003C64AE">
        <w:rPr>
          <w:rFonts w:ascii="Times New Roman" w:hAnsi="Times New Roman" w:cs="Times New Roman"/>
        </w:rPr>
        <w:t>the</w:t>
      </w:r>
      <w:r w:rsidR="00265A7F" w:rsidRPr="003C64AE">
        <w:rPr>
          <w:rFonts w:ascii="Times New Roman" w:hAnsi="Times New Roman" w:cs="Times New Roman"/>
        </w:rPr>
        <w:t xml:space="preserve"> fact that</w:t>
      </w:r>
      <w:r w:rsidR="003D7C45" w:rsidRPr="003C64AE">
        <w:rPr>
          <w:rFonts w:ascii="Times New Roman" w:hAnsi="Times New Roman" w:cs="Times New Roman"/>
        </w:rPr>
        <w:t xml:space="preserve"> statutory interpre</w:t>
      </w:r>
      <w:r w:rsidR="00FA0688" w:rsidRPr="003C64AE">
        <w:rPr>
          <w:rFonts w:ascii="Times New Roman" w:hAnsi="Times New Roman" w:cs="Times New Roman"/>
        </w:rPr>
        <w:t xml:space="preserve">tation is not a new phenomenon. </w:t>
      </w:r>
      <w:r w:rsidR="00924D76" w:rsidRPr="003C64AE">
        <w:rPr>
          <w:rFonts w:ascii="Times New Roman" w:hAnsi="Times New Roman" w:cs="Times New Roman"/>
        </w:rPr>
        <w:t>L</w:t>
      </w:r>
      <w:r w:rsidR="00265A7F" w:rsidRPr="003C64AE">
        <w:rPr>
          <w:rFonts w:ascii="Times New Roman" w:hAnsi="Times New Roman" w:cs="Times New Roman"/>
        </w:rPr>
        <w:t xml:space="preserve">ike that of dispute resolution, discussed above, </w:t>
      </w:r>
      <w:r w:rsidR="00431E6B" w:rsidRPr="003C64AE">
        <w:rPr>
          <w:rFonts w:ascii="Times New Roman" w:hAnsi="Times New Roman" w:cs="Times New Roman"/>
        </w:rPr>
        <w:t>a further</w:t>
      </w:r>
      <w:r w:rsidR="00265A7F" w:rsidRPr="003C64AE">
        <w:rPr>
          <w:rFonts w:ascii="Times New Roman" w:hAnsi="Times New Roman" w:cs="Times New Roman"/>
        </w:rPr>
        <w:t xml:space="preserve"> function of the court is to interpret legislation. Perhaps in </w:t>
      </w:r>
      <w:r w:rsidR="00265A7F" w:rsidRPr="003C64AE">
        <w:rPr>
          <w:rFonts w:ascii="Times New Roman" w:hAnsi="Times New Roman" w:cs="Times New Roman"/>
          <w:i/>
        </w:rPr>
        <w:t>Evans</w:t>
      </w:r>
      <w:r w:rsidR="00265A7F" w:rsidRPr="003C64AE">
        <w:rPr>
          <w:rFonts w:ascii="Times New Roman" w:hAnsi="Times New Roman" w:cs="Times New Roman"/>
        </w:rPr>
        <w:t xml:space="preserve"> the court went too</w:t>
      </w:r>
      <w:r w:rsidR="00367186" w:rsidRPr="003C64AE">
        <w:rPr>
          <w:rFonts w:ascii="Times New Roman" w:hAnsi="Times New Roman" w:cs="Times New Roman"/>
        </w:rPr>
        <w:t xml:space="preserve"> far in interpreting t</w:t>
      </w:r>
      <w:r w:rsidR="00265A7F" w:rsidRPr="003C64AE">
        <w:rPr>
          <w:rFonts w:ascii="Times New Roman" w:hAnsi="Times New Roman" w:cs="Times New Roman"/>
        </w:rPr>
        <w:t xml:space="preserve">he Freedom of Information Act 2000, as suggested by Sumption, but </w:t>
      </w:r>
      <w:r w:rsidR="003C5E34" w:rsidRPr="003C64AE">
        <w:rPr>
          <w:rFonts w:ascii="Times New Roman" w:hAnsi="Times New Roman" w:cs="Times New Roman"/>
        </w:rPr>
        <w:t>Parli</w:t>
      </w:r>
      <w:r w:rsidR="00912823" w:rsidRPr="003C64AE">
        <w:rPr>
          <w:rFonts w:ascii="Times New Roman" w:hAnsi="Times New Roman" w:cs="Times New Roman"/>
        </w:rPr>
        <w:t xml:space="preserve">ament could have </w:t>
      </w:r>
      <w:r w:rsidR="00265A7F" w:rsidRPr="003C64AE">
        <w:rPr>
          <w:rFonts w:ascii="Times New Roman" w:hAnsi="Times New Roman" w:cs="Times New Roman"/>
        </w:rPr>
        <w:t xml:space="preserve">overridden the judgment, </w:t>
      </w:r>
      <w:r w:rsidR="003C5E34" w:rsidRPr="003C64AE">
        <w:rPr>
          <w:rFonts w:ascii="Times New Roman" w:hAnsi="Times New Roman" w:cs="Times New Roman"/>
        </w:rPr>
        <w:t>b</w:t>
      </w:r>
      <w:r w:rsidR="00A84D93" w:rsidRPr="003C64AE">
        <w:rPr>
          <w:rFonts w:ascii="Times New Roman" w:hAnsi="Times New Roman" w:cs="Times New Roman"/>
        </w:rPr>
        <w:t>y implementing new legislation</w:t>
      </w:r>
      <w:r w:rsidR="00265A7F" w:rsidRPr="003C64AE">
        <w:rPr>
          <w:rFonts w:ascii="Times New Roman" w:hAnsi="Times New Roman" w:cs="Times New Roman"/>
        </w:rPr>
        <w:t>,</w:t>
      </w:r>
      <w:r w:rsidR="00A84D93" w:rsidRPr="003C64AE">
        <w:rPr>
          <w:rFonts w:ascii="Times New Roman" w:hAnsi="Times New Roman" w:cs="Times New Roman"/>
        </w:rPr>
        <w:t xml:space="preserve"> </w:t>
      </w:r>
      <w:r w:rsidR="003C5E34" w:rsidRPr="003C64AE">
        <w:rPr>
          <w:rFonts w:ascii="Times New Roman" w:hAnsi="Times New Roman" w:cs="Times New Roman"/>
        </w:rPr>
        <w:t xml:space="preserve">as was done in </w:t>
      </w:r>
      <w:r w:rsidR="003C5E34" w:rsidRPr="003C64AE">
        <w:rPr>
          <w:rFonts w:ascii="Times New Roman" w:hAnsi="Times New Roman" w:cs="Times New Roman"/>
          <w:i/>
        </w:rPr>
        <w:t xml:space="preserve">Burma Oil </w:t>
      </w:r>
      <w:r w:rsidR="003C5E34" w:rsidRPr="003C64AE">
        <w:rPr>
          <w:rFonts w:ascii="Times New Roman" w:hAnsi="Times New Roman" w:cs="Times New Roman"/>
          <w:i/>
        </w:rPr>
        <w:lastRenderedPageBreak/>
        <w:t>Company v Lord Advocate</w:t>
      </w:r>
      <w:r w:rsidR="006D4A7E" w:rsidRPr="003C64AE">
        <w:rPr>
          <w:rFonts w:ascii="Times New Roman" w:hAnsi="Times New Roman" w:cs="Times New Roman"/>
        </w:rPr>
        <w:t>.</w:t>
      </w:r>
      <w:r w:rsidR="003C5E34" w:rsidRPr="003C64AE">
        <w:rPr>
          <w:rStyle w:val="FootnoteReference"/>
          <w:rFonts w:ascii="Times New Roman" w:hAnsi="Times New Roman" w:cs="Times New Roman"/>
        </w:rPr>
        <w:footnoteReference w:id="22"/>
      </w:r>
      <w:r w:rsidR="00D94B5F" w:rsidRPr="003C64AE">
        <w:rPr>
          <w:rFonts w:ascii="Times New Roman" w:hAnsi="Times New Roman" w:cs="Times New Roman"/>
        </w:rPr>
        <w:t xml:space="preserve"> </w:t>
      </w:r>
      <w:r w:rsidR="006D4A7E" w:rsidRPr="003C64AE">
        <w:rPr>
          <w:rFonts w:ascii="Times New Roman" w:hAnsi="Times New Roman" w:cs="Times New Roman"/>
        </w:rPr>
        <w:t xml:space="preserve">Consequently, </w:t>
      </w:r>
      <w:r w:rsidR="00D94B5F" w:rsidRPr="003C64AE">
        <w:rPr>
          <w:rFonts w:ascii="Times New Roman" w:hAnsi="Times New Roman" w:cs="Times New Roman"/>
        </w:rPr>
        <w:t xml:space="preserve">Sumption’s </w:t>
      </w:r>
      <w:r w:rsidR="006D4A7E" w:rsidRPr="003C64AE">
        <w:rPr>
          <w:rFonts w:ascii="Times New Roman" w:hAnsi="Times New Roman" w:cs="Times New Roman"/>
        </w:rPr>
        <w:t>argument</w:t>
      </w:r>
      <w:r w:rsidR="00D94B5F" w:rsidRPr="003C64AE">
        <w:rPr>
          <w:rFonts w:ascii="Times New Roman" w:hAnsi="Times New Roman" w:cs="Times New Roman"/>
        </w:rPr>
        <w:t xml:space="preserve"> that the court overstepped its </w:t>
      </w:r>
      <w:r w:rsidR="0043481F" w:rsidRPr="003C64AE">
        <w:rPr>
          <w:rFonts w:ascii="Times New Roman" w:hAnsi="Times New Roman" w:cs="Times New Roman"/>
        </w:rPr>
        <w:t xml:space="preserve">constitutional </w:t>
      </w:r>
      <w:r w:rsidR="00D94B5F" w:rsidRPr="003C64AE">
        <w:rPr>
          <w:rFonts w:ascii="Times New Roman" w:hAnsi="Times New Roman" w:cs="Times New Roman"/>
        </w:rPr>
        <w:t>boundaries</w:t>
      </w:r>
      <w:r w:rsidR="006D4A7E" w:rsidRPr="003C64AE">
        <w:rPr>
          <w:rFonts w:ascii="Times New Roman" w:hAnsi="Times New Roman" w:cs="Times New Roman"/>
        </w:rPr>
        <w:t xml:space="preserve"> in </w:t>
      </w:r>
      <w:r w:rsidR="006D4A7E" w:rsidRPr="003C64AE">
        <w:rPr>
          <w:rFonts w:ascii="Times New Roman" w:hAnsi="Times New Roman" w:cs="Times New Roman"/>
          <w:i/>
        </w:rPr>
        <w:t>Evans</w:t>
      </w:r>
      <w:r w:rsidR="006D4A7E" w:rsidRPr="003C64AE">
        <w:rPr>
          <w:rFonts w:ascii="Times New Roman" w:hAnsi="Times New Roman" w:cs="Times New Roman"/>
        </w:rPr>
        <w:t xml:space="preserve">, </w:t>
      </w:r>
      <w:r w:rsidR="00FF2771">
        <w:rPr>
          <w:rFonts w:ascii="Times New Roman" w:hAnsi="Times New Roman" w:cs="Times New Roman"/>
        </w:rPr>
        <w:t>is</w:t>
      </w:r>
      <w:r w:rsidR="006D4A7E" w:rsidRPr="003C64AE">
        <w:rPr>
          <w:rFonts w:ascii="Times New Roman" w:hAnsi="Times New Roman" w:cs="Times New Roman"/>
        </w:rPr>
        <w:t xml:space="preserve"> undermined.</w:t>
      </w:r>
      <w:r w:rsidR="00D94B5F" w:rsidRPr="003C64AE">
        <w:rPr>
          <w:rFonts w:ascii="Times New Roman" w:hAnsi="Times New Roman" w:cs="Times New Roman"/>
        </w:rPr>
        <w:t xml:space="preserve">  </w:t>
      </w:r>
      <w:r w:rsidR="003C5E34" w:rsidRPr="003C64AE">
        <w:rPr>
          <w:rFonts w:ascii="Times New Roman" w:hAnsi="Times New Roman" w:cs="Times New Roman"/>
        </w:rPr>
        <w:t xml:space="preserve"> </w:t>
      </w:r>
    </w:p>
    <w:p w:rsidR="005E26AA" w:rsidRPr="003C64AE" w:rsidRDefault="00F25BE4" w:rsidP="00AF7D6D">
      <w:pPr>
        <w:spacing w:line="480" w:lineRule="auto"/>
        <w:rPr>
          <w:rFonts w:ascii="Times New Roman" w:hAnsi="Times New Roman" w:cs="Times New Roman"/>
        </w:rPr>
      </w:pPr>
      <w:r w:rsidRPr="003C64AE">
        <w:rPr>
          <w:rFonts w:ascii="Times New Roman" w:hAnsi="Times New Roman" w:cs="Times New Roman"/>
        </w:rPr>
        <w:br/>
      </w:r>
      <w:r w:rsidR="00777DBA" w:rsidRPr="003C64AE">
        <w:rPr>
          <w:rFonts w:ascii="Times New Roman" w:hAnsi="Times New Roman" w:cs="Times New Roman"/>
        </w:rPr>
        <w:t>To</w:t>
      </w:r>
      <w:r w:rsidR="00F90992" w:rsidRPr="003C64AE">
        <w:rPr>
          <w:rFonts w:ascii="Times New Roman" w:hAnsi="Times New Roman" w:cs="Times New Roman"/>
        </w:rPr>
        <w:t xml:space="preserve"> answer why we should </w:t>
      </w:r>
      <w:r w:rsidR="00367186" w:rsidRPr="003C64AE">
        <w:rPr>
          <w:rFonts w:ascii="Times New Roman" w:hAnsi="Times New Roman" w:cs="Times New Roman"/>
        </w:rPr>
        <w:t>favour</w:t>
      </w:r>
      <w:r w:rsidR="00F90992" w:rsidRPr="003C64AE">
        <w:rPr>
          <w:rFonts w:ascii="Times New Roman" w:hAnsi="Times New Roman" w:cs="Times New Roman"/>
        </w:rPr>
        <w:t xml:space="preserve"> politics over </w:t>
      </w:r>
      <w:r w:rsidR="007A684A" w:rsidRPr="003C64AE">
        <w:rPr>
          <w:rFonts w:ascii="Times New Roman" w:hAnsi="Times New Roman" w:cs="Times New Roman"/>
        </w:rPr>
        <w:t>law, Sumption</w:t>
      </w:r>
      <w:r w:rsidR="006F3CCA" w:rsidRPr="003C64AE">
        <w:rPr>
          <w:rFonts w:ascii="Times New Roman" w:hAnsi="Times New Roman" w:cs="Times New Roman"/>
        </w:rPr>
        <w:t xml:space="preserve"> turns,</w:t>
      </w:r>
      <w:r w:rsidR="00A54CCE" w:rsidRPr="003C64AE">
        <w:rPr>
          <w:rFonts w:ascii="Times New Roman" w:hAnsi="Times New Roman" w:cs="Times New Roman"/>
        </w:rPr>
        <w:t xml:space="preserve"> in his fourth chapter</w:t>
      </w:r>
      <w:r w:rsidR="006F3CCA" w:rsidRPr="003C64AE">
        <w:rPr>
          <w:rFonts w:ascii="Times New Roman" w:hAnsi="Times New Roman" w:cs="Times New Roman"/>
        </w:rPr>
        <w:t>,</w:t>
      </w:r>
      <w:r w:rsidR="00A54CCE" w:rsidRPr="003C64AE">
        <w:rPr>
          <w:rFonts w:ascii="Times New Roman" w:hAnsi="Times New Roman" w:cs="Times New Roman"/>
        </w:rPr>
        <w:t xml:space="preserve"> to look at the les</w:t>
      </w:r>
      <w:r w:rsidR="005E26AA" w:rsidRPr="003C64AE">
        <w:rPr>
          <w:rFonts w:ascii="Times New Roman" w:hAnsi="Times New Roman" w:cs="Times New Roman"/>
        </w:rPr>
        <w:t xml:space="preserve">sons we can learn from </w:t>
      </w:r>
      <w:r w:rsidR="00FA0688" w:rsidRPr="003C64AE">
        <w:rPr>
          <w:rFonts w:ascii="Times New Roman" w:hAnsi="Times New Roman" w:cs="Times New Roman"/>
        </w:rPr>
        <w:t xml:space="preserve">the United States of America. </w:t>
      </w:r>
      <w:r w:rsidR="00412D5F" w:rsidRPr="003C64AE">
        <w:rPr>
          <w:rFonts w:ascii="Times New Roman" w:hAnsi="Times New Roman" w:cs="Times New Roman"/>
        </w:rPr>
        <w:t>Referring to</w:t>
      </w:r>
      <w:r w:rsidR="005E26AA" w:rsidRPr="003C64AE">
        <w:rPr>
          <w:rFonts w:ascii="Times New Roman" w:hAnsi="Times New Roman" w:cs="Times New Roman"/>
        </w:rPr>
        <w:t xml:space="preserve"> the Due Process Clause of the fourteenth amendment</w:t>
      </w:r>
      <w:r w:rsidRPr="003C64AE">
        <w:rPr>
          <w:rFonts w:ascii="Times New Roman" w:hAnsi="Times New Roman" w:cs="Times New Roman"/>
        </w:rPr>
        <w:t xml:space="preserve"> as an example</w:t>
      </w:r>
      <w:r w:rsidR="005E26AA" w:rsidRPr="003C64AE">
        <w:rPr>
          <w:rFonts w:ascii="Times New Roman" w:hAnsi="Times New Roman" w:cs="Times New Roman"/>
        </w:rPr>
        <w:t xml:space="preserve">, he </w:t>
      </w:r>
      <w:r w:rsidR="006F3CCA" w:rsidRPr="003C64AE">
        <w:rPr>
          <w:rFonts w:ascii="Times New Roman" w:hAnsi="Times New Roman" w:cs="Times New Roman"/>
        </w:rPr>
        <w:t xml:space="preserve">attempts to </w:t>
      </w:r>
      <w:r w:rsidR="005E26AA" w:rsidRPr="003C64AE">
        <w:rPr>
          <w:rFonts w:ascii="Times New Roman" w:hAnsi="Times New Roman" w:cs="Times New Roman"/>
        </w:rPr>
        <w:t xml:space="preserve">demonstrate how the Supreme Court of </w:t>
      </w:r>
      <w:r w:rsidR="006F3CCA" w:rsidRPr="003C64AE">
        <w:rPr>
          <w:rFonts w:ascii="Times New Roman" w:hAnsi="Times New Roman" w:cs="Times New Roman"/>
        </w:rPr>
        <w:t>the US</w:t>
      </w:r>
      <w:r w:rsidR="005E26AA" w:rsidRPr="003C64AE">
        <w:rPr>
          <w:rFonts w:ascii="Times New Roman" w:hAnsi="Times New Roman" w:cs="Times New Roman"/>
        </w:rPr>
        <w:t xml:space="preserve"> has overstepped its position to make political judgments. As acknowledged by Sumption, the</w:t>
      </w:r>
      <w:r w:rsidR="006F3CCA" w:rsidRPr="003C64AE">
        <w:rPr>
          <w:rFonts w:ascii="Times New Roman" w:hAnsi="Times New Roman" w:cs="Times New Roman"/>
        </w:rPr>
        <w:t xml:space="preserve"> interpretive expansion of the</w:t>
      </w:r>
      <w:r w:rsidR="005E26AA" w:rsidRPr="003C64AE">
        <w:rPr>
          <w:rFonts w:ascii="Times New Roman" w:hAnsi="Times New Roman" w:cs="Times New Roman"/>
        </w:rPr>
        <w:t xml:space="preserve"> Due Process Clause is </w:t>
      </w:r>
      <w:r w:rsidR="005E26AA" w:rsidRPr="003C64AE">
        <w:rPr>
          <w:rFonts w:ascii="Times New Roman" w:hAnsi="Times New Roman" w:cs="Times New Roman"/>
          <w:i/>
        </w:rPr>
        <w:t>akin</w:t>
      </w:r>
      <w:r w:rsidR="005E26AA" w:rsidRPr="003C64AE">
        <w:rPr>
          <w:rFonts w:ascii="Times New Roman" w:hAnsi="Times New Roman" w:cs="Times New Roman"/>
        </w:rPr>
        <w:t xml:space="preserve"> to the development of Article 8 by the </w:t>
      </w:r>
      <w:proofErr w:type="spellStart"/>
      <w:r w:rsidR="005E26AA" w:rsidRPr="003C64AE">
        <w:rPr>
          <w:rFonts w:ascii="Times New Roman" w:hAnsi="Times New Roman" w:cs="Times New Roman"/>
        </w:rPr>
        <w:t>ECtHR</w:t>
      </w:r>
      <w:proofErr w:type="spellEnd"/>
      <w:r w:rsidR="005E26AA" w:rsidRPr="003C64AE">
        <w:rPr>
          <w:rFonts w:ascii="Times New Roman" w:hAnsi="Times New Roman" w:cs="Times New Roman"/>
        </w:rPr>
        <w:t xml:space="preserve"> as discussed above. Here</w:t>
      </w:r>
      <w:r w:rsidR="00367186" w:rsidRPr="003C64AE">
        <w:rPr>
          <w:rFonts w:ascii="Times New Roman" w:hAnsi="Times New Roman" w:cs="Times New Roman"/>
        </w:rPr>
        <w:t>,</w:t>
      </w:r>
      <w:r w:rsidR="005E26AA" w:rsidRPr="003C64AE">
        <w:rPr>
          <w:rFonts w:ascii="Times New Roman" w:hAnsi="Times New Roman" w:cs="Times New Roman"/>
        </w:rPr>
        <w:t xml:space="preserve"> the</w:t>
      </w:r>
      <w:r w:rsidR="006F3CCA" w:rsidRPr="003C64AE">
        <w:rPr>
          <w:rFonts w:ascii="Times New Roman" w:hAnsi="Times New Roman" w:cs="Times New Roman"/>
        </w:rPr>
        <w:t xml:space="preserve"> US</w:t>
      </w:r>
      <w:r w:rsidR="005E26AA" w:rsidRPr="003C64AE">
        <w:rPr>
          <w:rFonts w:ascii="Times New Roman" w:hAnsi="Times New Roman" w:cs="Times New Roman"/>
        </w:rPr>
        <w:t xml:space="preserve"> Supreme Court has read </w:t>
      </w:r>
      <w:r w:rsidR="00920A36" w:rsidRPr="003C64AE">
        <w:rPr>
          <w:rFonts w:ascii="Times New Roman" w:hAnsi="Times New Roman" w:cs="Times New Roman"/>
        </w:rPr>
        <w:t>the</w:t>
      </w:r>
      <w:r w:rsidR="005E26AA" w:rsidRPr="003C64AE">
        <w:rPr>
          <w:rFonts w:ascii="Times New Roman" w:hAnsi="Times New Roman" w:cs="Times New Roman"/>
        </w:rPr>
        <w:t xml:space="preserve"> right to privacy and bodily autonomy </w:t>
      </w:r>
      <w:r w:rsidR="00F016CA" w:rsidRPr="003C64AE">
        <w:rPr>
          <w:rFonts w:ascii="Times New Roman" w:hAnsi="Times New Roman" w:cs="Times New Roman"/>
        </w:rPr>
        <w:t>into</w:t>
      </w:r>
      <w:r w:rsidR="005E26AA" w:rsidRPr="003C64AE">
        <w:rPr>
          <w:rFonts w:ascii="Times New Roman" w:hAnsi="Times New Roman" w:cs="Times New Roman"/>
        </w:rPr>
        <w:t xml:space="preserve"> the American Constitution. In turn, the Supreme Court has come to decisions which, for Sump</w:t>
      </w:r>
      <w:r w:rsidR="00F025E1" w:rsidRPr="003C64AE">
        <w:rPr>
          <w:rFonts w:ascii="Times New Roman" w:hAnsi="Times New Roman" w:cs="Times New Roman"/>
        </w:rPr>
        <w:t xml:space="preserve">tion, should have been left to </w:t>
      </w:r>
      <w:r w:rsidR="006F3CCA" w:rsidRPr="003C64AE">
        <w:rPr>
          <w:rFonts w:ascii="Times New Roman" w:hAnsi="Times New Roman" w:cs="Times New Roman"/>
        </w:rPr>
        <w:t>legislative bodies</w:t>
      </w:r>
      <w:r w:rsidR="005E26AA" w:rsidRPr="003C64AE">
        <w:rPr>
          <w:rFonts w:ascii="Times New Roman" w:hAnsi="Times New Roman" w:cs="Times New Roman"/>
        </w:rPr>
        <w:t xml:space="preserve">. </w:t>
      </w:r>
      <w:r w:rsidR="006F3CCA" w:rsidRPr="003C64AE">
        <w:rPr>
          <w:rFonts w:ascii="Times New Roman" w:hAnsi="Times New Roman" w:cs="Times New Roman"/>
        </w:rPr>
        <w:t>He takes particular issue with</w:t>
      </w:r>
      <w:r w:rsidR="005E26AA" w:rsidRPr="003C64AE">
        <w:rPr>
          <w:rFonts w:ascii="Times New Roman" w:hAnsi="Times New Roman" w:cs="Times New Roman"/>
        </w:rPr>
        <w:t xml:space="preserve"> the use of the Due Process Clause in </w:t>
      </w:r>
      <w:r w:rsidR="005E26AA" w:rsidRPr="003C64AE">
        <w:rPr>
          <w:rFonts w:ascii="Times New Roman" w:hAnsi="Times New Roman" w:cs="Times New Roman"/>
          <w:i/>
        </w:rPr>
        <w:t>Roe v Wade</w:t>
      </w:r>
      <w:r w:rsidR="005E26AA" w:rsidRPr="003C64AE">
        <w:rPr>
          <w:rFonts w:ascii="Times New Roman" w:hAnsi="Times New Roman" w:cs="Times New Roman"/>
        </w:rPr>
        <w:t>,</w:t>
      </w:r>
      <w:r w:rsidR="005E26AA" w:rsidRPr="003C64AE">
        <w:rPr>
          <w:rStyle w:val="FootnoteReference"/>
          <w:rFonts w:ascii="Times New Roman" w:hAnsi="Times New Roman" w:cs="Times New Roman"/>
        </w:rPr>
        <w:footnoteReference w:id="23"/>
      </w:r>
      <w:r w:rsidR="005E26AA" w:rsidRPr="003C64AE">
        <w:rPr>
          <w:rFonts w:ascii="Times New Roman" w:hAnsi="Times New Roman" w:cs="Times New Roman"/>
        </w:rPr>
        <w:t xml:space="preserve"> which </w:t>
      </w:r>
      <w:r w:rsidR="006F3CCA" w:rsidRPr="003C64AE">
        <w:rPr>
          <w:rFonts w:ascii="Times New Roman" w:hAnsi="Times New Roman" w:cs="Times New Roman"/>
        </w:rPr>
        <w:t xml:space="preserve">was interpreted in a way to </w:t>
      </w:r>
      <w:r w:rsidR="005E26AA" w:rsidRPr="003C64AE">
        <w:rPr>
          <w:rFonts w:ascii="Times New Roman" w:hAnsi="Times New Roman" w:cs="Times New Roman"/>
        </w:rPr>
        <w:t>legalise abortion</w:t>
      </w:r>
      <w:r w:rsidR="006F3CCA" w:rsidRPr="003C64AE">
        <w:rPr>
          <w:rFonts w:ascii="Times New Roman" w:hAnsi="Times New Roman" w:cs="Times New Roman"/>
        </w:rPr>
        <w:t xml:space="preserve"> in the US</w:t>
      </w:r>
      <w:r w:rsidR="005E26AA" w:rsidRPr="003C64AE">
        <w:rPr>
          <w:rFonts w:ascii="Times New Roman" w:hAnsi="Times New Roman" w:cs="Times New Roman"/>
        </w:rPr>
        <w:t xml:space="preserve">, a matter which </w:t>
      </w:r>
      <w:r w:rsidR="00A84D93" w:rsidRPr="003C64AE">
        <w:rPr>
          <w:rFonts w:ascii="Times New Roman" w:hAnsi="Times New Roman" w:cs="Times New Roman"/>
        </w:rPr>
        <w:t>he considers to be wholly political.</w:t>
      </w:r>
      <w:r w:rsidR="006F3CCA" w:rsidRPr="003C64AE">
        <w:rPr>
          <w:rStyle w:val="FootnoteReference"/>
          <w:rFonts w:ascii="Times New Roman" w:hAnsi="Times New Roman" w:cs="Times New Roman"/>
        </w:rPr>
        <w:footnoteReference w:id="24"/>
      </w:r>
      <w:r w:rsidR="00A84D93" w:rsidRPr="003C64AE">
        <w:rPr>
          <w:rFonts w:ascii="Times New Roman" w:hAnsi="Times New Roman" w:cs="Times New Roman"/>
        </w:rPr>
        <w:t xml:space="preserve"> </w:t>
      </w:r>
    </w:p>
    <w:p w:rsidR="005E26AA" w:rsidRPr="003C64AE" w:rsidRDefault="005E26AA" w:rsidP="00AF7D6D">
      <w:pPr>
        <w:spacing w:line="480" w:lineRule="auto"/>
        <w:rPr>
          <w:rFonts w:ascii="Times New Roman" w:hAnsi="Times New Roman" w:cs="Times New Roman"/>
        </w:rPr>
      </w:pPr>
    </w:p>
    <w:p w:rsidR="00E33467" w:rsidRPr="003C64AE" w:rsidRDefault="006F3CCA" w:rsidP="00AF7D6D">
      <w:pPr>
        <w:spacing w:line="480" w:lineRule="auto"/>
        <w:rPr>
          <w:rFonts w:ascii="Times New Roman" w:hAnsi="Times New Roman" w:cs="Times New Roman"/>
          <w:iCs/>
        </w:rPr>
      </w:pPr>
      <w:r w:rsidRPr="003C64AE">
        <w:rPr>
          <w:rFonts w:ascii="Times New Roman" w:hAnsi="Times New Roman" w:cs="Times New Roman"/>
          <w:iCs/>
        </w:rPr>
        <w:t xml:space="preserve">Sumption takes the stance that a </w:t>
      </w:r>
      <w:r w:rsidR="000760DE" w:rsidRPr="003C64AE">
        <w:rPr>
          <w:rFonts w:ascii="Times New Roman" w:hAnsi="Times New Roman" w:cs="Times New Roman"/>
          <w:iCs/>
        </w:rPr>
        <w:t xml:space="preserve">constitution like </w:t>
      </w:r>
      <w:r w:rsidRPr="003C64AE">
        <w:rPr>
          <w:rFonts w:ascii="Times New Roman" w:hAnsi="Times New Roman" w:cs="Times New Roman"/>
          <w:iCs/>
        </w:rPr>
        <w:t>the US</w:t>
      </w:r>
      <w:r w:rsidR="005E26AA" w:rsidRPr="003C64AE">
        <w:rPr>
          <w:rFonts w:ascii="Times New Roman" w:hAnsi="Times New Roman" w:cs="Times New Roman"/>
          <w:iCs/>
        </w:rPr>
        <w:t xml:space="preserve"> is based on the principle of not being able to trust the executive branches of government, and instea</w:t>
      </w:r>
      <w:r w:rsidRPr="003C64AE">
        <w:rPr>
          <w:rFonts w:ascii="Times New Roman" w:hAnsi="Times New Roman" w:cs="Times New Roman"/>
          <w:iCs/>
        </w:rPr>
        <w:t>d, resting that faith in judges.</w:t>
      </w:r>
      <w:r w:rsidR="005E26AA" w:rsidRPr="003C64AE">
        <w:rPr>
          <w:rStyle w:val="FootnoteReference"/>
          <w:rFonts w:ascii="Times New Roman" w:hAnsi="Times New Roman" w:cs="Times New Roman"/>
          <w:iCs/>
        </w:rPr>
        <w:footnoteReference w:id="25"/>
      </w:r>
      <w:r w:rsidR="005E26AA" w:rsidRPr="003C64AE">
        <w:rPr>
          <w:rFonts w:ascii="Times New Roman" w:hAnsi="Times New Roman" w:cs="Times New Roman"/>
          <w:iCs/>
        </w:rPr>
        <w:t xml:space="preserve"> Yet, he remains sceptica</w:t>
      </w:r>
      <w:r w:rsidR="008651C2" w:rsidRPr="003C64AE">
        <w:rPr>
          <w:rFonts w:ascii="Times New Roman" w:hAnsi="Times New Roman" w:cs="Times New Roman"/>
          <w:iCs/>
        </w:rPr>
        <w:t xml:space="preserve">l of giving judges such power. </w:t>
      </w:r>
      <w:r w:rsidR="005E26AA" w:rsidRPr="003C64AE">
        <w:rPr>
          <w:rFonts w:ascii="Times New Roman" w:hAnsi="Times New Roman" w:cs="Times New Roman"/>
          <w:iCs/>
        </w:rPr>
        <w:t xml:space="preserve">For </w:t>
      </w:r>
      <w:r w:rsidR="00412D5F" w:rsidRPr="003C64AE">
        <w:rPr>
          <w:rFonts w:ascii="Times New Roman" w:hAnsi="Times New Roman" w:cs="Times New Roman"/>
          <w:iCs/>
        </w:rPr>
        <w:t>him</w:t>
      </w:r>
      <w:r w:rsidR="005E26AA" w:rsidRPr="003C64AE">
        <w:rPr>
          <w:rFonts w:ascii="Times New Roman" w:hAnsi="Times New Roman" w:cs="Times New Roman"/>
          <w:iCs/>
        </w:rPr>
        <w:t>, judges do not always make enlighten</w:t>
      </w:r>
      <w:r w:rsidRPr="003C64AE">
        <w:rPr>
          <w:rFonts w:ascii="Times New Roman" w:hAnsi="Times New Roman" w:cs="Times New Roman"/>
          <w:iCs/>
        </w:rPr>
        <w:t>ed</w:t>
      </w:r>
      <w:r w:rsidR="005E26AA" w:rsidRPr="003C64AE">
        <w:rPr>
          <w:rFonts w:ascii="Times New Roman" w:hAnsi="Times New Roman" w:cs="Times New Roman"/>
          <w:iCs/>
        </w:rPr>
        <w:t xml:space="preserve"> decisions</w:t>
      </w:r>
      <w:r w:rsidR="00B74AB4" w:rsidRPr="003C64AE">
        <w:rPr>
          <w:rFonts w:ascii="Times New Roman" w:hAnsi="Times New Roman" w:cs="Times New Roman"/>
          <w:iCs/>
        </w:rPr>
        <w:t>. By</w:t>
      </w:r>
      <w:r w:rsidR="00412D5F" w:rsidRPr="003C64AE">
        <w:rPr>
          <w:rFonts w:ascii="Times New Roman" w:hAnsi="Times New Roman" w:cs="Times New Roman"/>
          <w:iCs/>
        </w:rPr>
        <w:t xml:space="preserve"> entrusting judges with such matters, like the right to abortion, prevents the </w:t>
      </w:r>
      <w:r w:rsidR="001D697D" w:rsidRPr="003C64AE">
        <w:rPr>
          <w:rFonts w:ascii="Times New Roman" w:hAnsi="Times New Roman" w:cs="Times New Roman"/>
          <w:iCs/>
        </w:rPr>
        <w:t>issue</w:t>
      </w:r>
      <w:r w:rsidR="00412D5F" w:rsidRPr="003C64AE">
        <w:rPr>
          <w:rFonts w:ascii="Times New Roman" w:hAnsi="Times New Roman" w:cs="Times New Roman"/>
          <w:iCs/>
        </w:rPr>
        <w:t xml:space="preserve"> from being </w:t>
      </w:r>
      <w:r w:rsidR="001D697D" w:rsidRPr="003C64AE">
        <w:rPr>
          <w:rFonts w:ascii="Times New Roman" w:hAnsi="Times New Roman" w:cs="Times New Roman"/>
          <w:iCs/>
        </w:rPr>
        <w:t xml:space="preserve">publicly </w:t>
      </w:r>
      <w:r w:rsidR="00412D5F" w:rsidRPr="003C64AE">
        <w:rPr>
          <w:rFonts w:ascii="Times New Roman" w:hAnsi="Times New Roman" w:cs="Times New Roman"/>
          <w:iCs/>
        </w:rPr>
        <w:t>debated</w:t>
      </w:r>
      <w:r w:rsidR="00B74AB4" w:rsidRPr="003C64AE">
        <w:rPr>
          <w:rFonts w:ascii="Times New Roman" w:hAnsi="Times New Roman" w:cs="Times New Roman"/>
          <w:iCs/>
        </w:rPr>
        <w:t xml:space="preserve">. </w:t>
      </w:r>
      <w:r w:rsidRPr="003C64AE">
        <w:rPr>
          <w:rFonts w:ascii="Times New Roman" w:hAnsi="Times New Roman" w:cs="Times New Roman"/>
          <w:iCs/>
        </w:rPr>
        <w:t xml:space="preserve">He goes on to suggest that in his opinion, though he cannot prove it, </w:t>
      </w:r>
      <w:r w:rsidR="0087048F" w:rsidRPr="003C64AE">
        <w:rPr>
          <w:rFonts w:ascii="Times New Roman" w:hAnsi="Times New Roman" w:cs="Times New Roman"/>
          <w:iCs/>
        </w:rPr>
        <w:t>one</w:t>
      </w:r>
      <w:r w:rsidRPr="003C64AE">
        <w:rPr>
          <w:rFonts w:ascii="Times New Roman" w:hAnsi="Times New Roman" w:cs="Times New Roman"/>
          <w:iCs/>
        </w:rPr>
        <w:t xml:space="preserve"> reason abortion is considered</w:t>
      </w:r>
      <w:r w:rsidR="00412D5F" w:rsidRPr="003C64AE">
        <w:rPr>
          <w:rFonts w:ascii="Times New Roman" w:hAnsi="Times New Roman" w:cs="Times New Roman"/>
          <w:iCs/>
        </w:rPr>
        <w:t xml:space="preserve"> such</w:t>
      </w:r>
      <w:r w:rsidRPr="003C64AE">
        <w:rPr>
          <w:rFonts w:ascii="Times New Roman" w:hAnsi="Times New Roman" w:cs="Times New Roman"/>
          <w:iCs/>
        </w:rPr>
        <w:t xml:space="preserve"> a controversial topic in America, is because it was legalised through the courts under the Due Process </w:t>
      </w:r>
      <w:r w:rsidRPr="003C64AE">
        <w:rPr>
          <w:rFonts w:ascii="Times New Roman" w:hAnsi="Times New Roman" w:cs="Times New Roman"/>
          <w:iCs/>
        </w:rPr>
        <w:lastRenderedPageBreak/>
        <w:t>Clause, as opposed to the democratic process.</w:t>
      </w:r>
      <w:r w:rsidRPr="003C64AE">
        <w:rPr>
          <w:rStyle w:val="FootnoteReference"/>
          <w:rFonts w:ascii="Times New Roman" w:hAnsi="Times New Roman" w:cs="Times New Roman"/>
          <w:iCs/>
        </w:rPr>
        <w:footnoteReference w:id="26"/>
      </w:r>
      <w:r w:rsidRPr="003C64AE">
        <w:rPr>
          <w:rFonts w:ascii="Times New Roman" w:hAnsi="Times New Roman" w:cs="Times New Roman"/>
          <w:iCs/>
        </w:rPr>
        <w:t xml:space="preserve"> </w:t>
      </w:r>
      <w:r w:rsidR="0087048F" w:rsidRPr="003C64AE">
        <w:rPr>
          <w:rFonts w:ascii="Times New Roman" w:hAnsi="Times New Roman" w:cs="Times New Roman"/>
          <w:iCs/>
        </w:rPr>
        <w:t xml:space="preserve">However, Sumption seems to underestimate the complexities of abortion in the US and consequently, he fails to discuss, or even acknowledge, </w:t>
      </w:r>
      <w:r w:rsidR="00412C23" w:rsidRPr="003C64AE">
        <w:rPr>
          <w:rFonts w:ascii="Times New Roman" w:hAnsi="Times New Roman" w:cs="Times New Roman"/>
          <w:iCs/>
        </w:rPr>
        <w:t>the wider religious, political</w:t>
      </w:r>
      <w:r w:rsidR="00BC5F2E" w:rsidRPr="003C64AE">
        <w:rPr>
          <w:rFonts w:ascii="Times New Roman" w:hAnsi="Times New Roman" w:cs="Times New Roman"/>
          <w:iCs/>
        </w:rPr>
        <w:t xml:space="preserve">, racial </w:t>
      </w:r>
      <w:r w:rsidR="00412C23" w:rsidRPr="003C64AE">
        <w:rPr>
          <w:rFonts w:ascii="Times New Roman" w:hAnsi="Times New Roman" w:cs="Times New Roman"/>
          <w:iCs/>
        </w:rPr>
        <w:t xml:space="preserve">and social issues </w:t>
      </w:r>
      <w:r w:rsidR="0087048F" w:rsidRPr="003C64AE">
        <w:rPr>
          <w:rFonts w:ascii="Times New Roman" w:hAnsi="Times New Roman" w:cs="Times New Roman"/>
          <w:iCs/>
        </w:rPr>
        <w:t>of</w:t>
      </w:r>
      <w:r w:rsidR="00412C23" w:rsidRPr="003C64AE">
        <w:rPr>
          <w:rFonts w:ascii="Times New Roman" w:hAnsi="Times New Roman" w:cs="Times New Roman"/>
          <w:iCs/>
        </w:rPr>
        <w:t xml:space="preserve"> abortion.</w:t>
      </w:r>
      <w:r w:rsidR="00BC5F2E" w:rsidRPr="003C64AE">
        <w:rPr>
          <w:rStyle w:val="FootnoteReference"/>
          <w:rFonts w:ascii="Times New Roman" w:hAnsi="Times New Roman" w:cs="Times New Roman"/>
          <w:iCs/>
        </w:rPr>
        <w:footnoteReference w:id="27"/>
      </w:r>
    </w:p>
    <w:p w:rsidR="003F42F9" w:rsidRPr="003C64AE" w:rsidRDefault="003F42F9" w:rsidP="00AF7D6D">
      <w:pPr>
        <w:spacing w:line="480" w:lineRule="auto"/>
        <w:rPr>
          <w:rFonts w:ascii="Times New Roman" w:hAnsi="Times New Roman" w:cs="Times New Roman"/>
          <w:iCs/>
        </w:rPr>
      </w:pPr>
    </w:p>
    <w:p w:rsidR="00084D96" w:rsidRPr="003C64AE" w:rsidRDefault="003F42F9" w:rsidP="00AF7D6D">
      <w:pPr>
        <w:spacing w:line="480" w:lineRule="auto"/>
        <w:rPr>
          <w:rFonts w:ascii="Times New Roman" w:hAnsi="Times New Roman" w:cs="Times New Roman"/>
          <w:iCs/>
        </w:rPr>
      </w:pPr>
      <w:r w:rsidRPr="003C64AE">
        <w:rPr>
          <w:rFonts w:ascii="Times New Roman" w:hAnsi="Times New Roman" w:cs="Times New Roman"/>
          <w:iCs/>
        </w:rPr>
        <w:t xml:space="preserve">In his final chapter, Sumption turns to </w:t>
      </w:r>
      <w:r w:rsidR="00450A5C" w:rsidRPr="003C64AE">
        <w:rPr>
          <w:rFonts w:ascii="Times New Roman" w:hAnsi="Times New Roman" w:cs="Times New Roman"/>
          <w:iCs/>
        </w:rPr>
        <w:t xml:space="preserve">examine </w:t>
      </w:r>
      <w:r w:rsidR="00E33467" w:rsidRPr="003C64AE">
        <w:rPr>
          <w:rFonts w:ascii="Times New Roman" w:hAnsi="Times New Roman" w:cs="Times New Roman"/>
          <w:iCs/>
        </w:rPr>
        <w:t>whether</w:t>
      </w:r>
      <w:r w:rsidR="00450A5C" w:rsidRPr="003C64AE">
        <w:rPr>
          <w:rFonts w:ascii="Times New Roman" w:hAnsi="Times New Roman" w:cs="Times New Roman"/>
          <w:iCs/>
        </w:rPr>
        <w:t xml:space="preserve"> a written constitution is the answer to the rise in law and the decline of politics. </w:t>
      </w:r>
      <w:r w:rsidR="005410D6" w:rsidRPr="003C64AE">
        <w:rPr>
          <w:rFonts w:ascii="Times New Roman" w:hAnsi="Times New Roman" w:cs="Times New Roman"/>
          <w:iCs/>
        </w:rPr>
        <w:t>Put s</w:t>
      </w:r>
      <w:r w:rsidR="00450A5C" w:rsidRPr="003C64AE">
        <w:rPr>
          <w:rFonts w:ascii="Times New Roman" w:hAnsi="Times New Roman" w:cs="Times New Roman"/>
          <w:iCs/>
        </w:rPr>
        <w:t>imply,</w:t>
      </w:r>
      <w:r w:rsidR="00E33467" w:rsidRPr="003C64AE">
        <w:rPr>
          <w:rFonts w:ascii="Times New Roman" w:hAnsi="Times New Roman" w:cs="Times New Roman"/>
          <w:iCs/>
        </w:rPr>
        <w:t xml:space="preserve"> the answer</w:t>
      </w:r>
      <w:r w:rsidR="00450A5C" w:rsidRPr="003C64AE">
        <w:rPr>
          <w:rFonts w:ascii="Times New Roman" w:hAnsi="Times New Roman" w:cs="Times New Roman"/>
          <w:iCs/>
        </w:rPr>
        <w:t xml:space="preserve"> </w:t>
      </w:r>
      <w:r w:rsidR="00E33467" w:rsidRPr="003C64AE">
        <w:rPr>
          <w:rFonts w:ascii="Times New Roman" w:hAnsi="Times New Roman" w:cs="Times New Roman"/>
          <w:iCs/>
        </w:rPr>
        <w:t>for Sumption</w:t>
      </w:r>
      <w:r w:rsidR="00450A5C" w:rsidRPr="003C64AE">
        <w:rPr>
          <w:rFonts w:ascii="Times New Roman" w:hAnsi="Times New Roman" w:cs="Times New Roman"/>
          <w:iCs/>
        </w:rPr>
        <w:t xml:space="preserve"> is no. For him, this encompasses the </w:t>
      </w:r>
      <w:r w:rsidR="00E33467" w:rsidRPr="003C64AE">
        <w:rPr>
          <w:rFonts w:ascii="Times New Roman" w:hAnsi="Times New Roman" w:cs="Times New Roman"/>
          <w:iCs/>
        </w:rPr>
        <w:t>problem he unpacks</w:t>
      </w:r>
      <w:r w:rsidR="00450A5C" w:rsidRPr="003C64AE">
        <w:rPr>
          <w:rFonts w:ascii="Times New Roman" w:hAnsi="Times New Roman" w:cs="Times New Roman"/>
          <w:iCs/>
        </w:rPr>
        <w:t xml:space="preserve"> throu</w:t>
      </w:r>
      <w:r w:rsidR="00C0595E" w:rsidRPr="003C64AE">
        <w:rPr>
          <w:rFonts w:ascii="Times New Roman" w:hAnsi="Times New Roman" w:cs="Times New Roman"/>
          <w:iCs/>
        </w:rPr>
        <w:t>ghout his book</w:t>
      </w:r>
      <w:r w:rsidR="00E33467" w:rsidRPr="003C64AE">
        <w:rPr>
          <w:rFonts w:ascii="Times New Roman" w:hAnsi="Times New Roman" w:cs="Times New Roman"/>
          <w:iCs/>
        </w:rPr>
        <w:t>:</w:t>
      </w:r>
      <w:r w:rsidR="00C0595E" w:rsidRPr="003C64AE">
        <w:rPr>
          <w:rFonts w:ascii="Times New Roman" w:hAnsi="Times New Roman" w:cs="Times New Roman"/>
          <w:iCs/>
        </w:rPr>
        <w:t xml:space="preserve"> – </w:t>
      </w:r>
      <w:r w:rsidR="00450A5C" w:rsidRPr="003C64AE">
        <w:rPr>
          <w:rFonts w:ascii="Times New Roman" w:hAnsi="Times New Roman" w:cs="Times New Roman"/>
          <w:iCs/>
        </w:rPr>
        <w:t>looking for legal so</w:t>
      </w:r>
      <w:r w:rsidR="00F016CA" w:rsidRPr="003C64AE">
        <w:rPr>
          <w:rFonts w:ascii="Times New Roman" w:hAnsi="Times New Roman" w:cs="Times New Roman"/>
          <w:iCs/>
        </w:rPr>
        <w:t xml:space="preserve">lutions for political problems. </w:t>
      </w:r>
      <w:r w:rsidR="000760DE" w:rsidRPr="003C64AE">
        <w:rPr>
          <w:rFonts w:ascii="Times New Roman" w:hAnsi="Times New Roman" w:cs="Times New Roman"/>
          <w:iCs/>
        </w:rPr>
        <w:t xml:space="preserve">Throughout the </w:t>
      </w:r>
      <w:r w:rsidR="00E33467" w:rsidRPr="003C64AE">
        <w:rPr>
          <w:rFonts w:ascii="Times New Roman" w:hAnsi="Times New Roman" w:cs="Times New Roman"/>
          <w:iCs/>
        </w:rPr>
        <w:t xml:space="preserve">concluding </w:t>
      </w:r>
      <w:r w:rsidR="000760DE" w:rsidRPr="003C64AE">
        <w:rPr>
          <w:rFonts w:ascii="Times New Roman" w:hAnsi="Times New Roman" w:cs="Times New Roman"/>
          <w:iCs/>
        </w:rPr>
        <w:t>chapter</w:t>
      </w:r>
      <w:r w:rsidR="00865566" w:rsidRPr="003C64AE">
        <w:rPr>
          <w:rFonts w:ascii="Times New Roman" w:hAnsi="Times New Roman" w:cs="Times New Roman"/>
          <w:iCs/>
        </w:rPr>
        <w:t>,</w:t>
      </w:r>
      <w:r w:rsidR="005F6F86" w:rsidRPr="003C64AE">
        <w:rPr>
          <w:rFonts w:ascii="Times New Roman" w:hAnsi="Times New Roman" w:cs="Times New Roman"/>
          <w:iCs/>
        </w:rPr>
        <w:t xml:space="preserve"> Sumption </w:t>
      </w:r>
      <w:r w:rsidR="00E33467" w:rsidRPr="003C64AE">
        <w:rPr>
          <w:rFonts w:ascii="Times New Roman" w:hAnsi="Times New Roman" w:cs="Times New Roman"/>
          <w:iCs/>
        </w:rPr>
        <w:t>argues</w:t>
      </w:r>
      <w:r w:rsidR="005F6F86" w:rsidRPr="003C64AE">
        <w:rPr>
          <w:rFonts w:ascii="Times New Roman" w:hAnsi="Times New Roman" w:cs="Times New Roman"/>
          <w:iCs/>
        </w:rPr>
        <w:t xml:space="preserve"> in favour of the unwritten constitution of Bri</w:t>
      </w:r>
      <w:r w:rsidR="00797138" w:rsidRPr="003C64AE">
        <w:rPr>
          <w:rFonts w:ascii="Times New Roman" w:hAnsi="Times New Roman" w:cs="Times New Roman"/>
          <w:iCs/>
        </w:rPr>
        <w:t>tain.</w:t>
      </w:r>
      <w:r w:rsidR="00803AAA" w:rsidRPr="003C64AE">
        <w:rPr>
          <w:rStyle w:val="FootnoteReference"/>
          <w:rFonts w:ascii="Times New Roman" w:hAnsi="Times New Roman" w:cs="Times New Roman"/>
          <w:iCs/>
        </w:rPr>
        <w:footnoteReference w:id="28"/>
      </w:r>
      <w:r w:rsidR="00797138" w:rsidRPr="003C64AE">
        <w:rPr>
          <w:rFonts w:ascii="Times New Roman" w:hAnsi="Times New Roman" w:cs="Times New Roman"/>
          <w:iCs/>
        </w:rPr>
        <w:t xml:space="preserve"> Indeed, for Sumption</w:t>
      </w:r>
      <w:r w:rsidR="00865566" w:rsidRPr="003C64AE">
        <w:rPr>
          <w:rFonts w:ascii="Times New Roman" w:hAnsi="Times New Roman" w:cs="Times New Roman"/>
          <w:iCs/>
        </w:rPr>
        <w:t>,</w:t>
      </w:r>
      <w:r w:rsidR="005F6F86" w:rsidRPr="003C64AE">
        <w:rPr>
          <w:rFonts w:ascii="Times New Roman" w:hAnsi="Times New Roman" w:cs="Times New Roman"/>
          <w:iCs/>
        </w:rPr>
        <w:t xml:space="preserve"> the four elements </w:t>
      </w:r>
      <w:r w:rsidR="00803AAA" w:rsidRPr="003C64AE">
        <w:rPr>
          <w:rFonts w:ascii="Times New Roman" w:hAnsi="Times New Roman" w:cs="Times New Roman"/>
          <w:iCs/>
        </w:rPr>
        <w:t>of</w:t>
      </w:r>
      <w:r w:rsidR="005B0F34" w:rsidRPr="003C64AE">
        <w:rPr>
          <w:rFonts w:ascii="Times New Roman" w:hAnsi="Times New Roman" w:cs="Times New Roman"/>
          <w:iCs/>
        </w:rPr>
        <w:t xml:space="preserve"> the</w:t>
      </w:r>
      <w:r w:rsidR="008F2848" w:rsidRPr="003C64AE">
        <w:rPr>
          <w:rFonts w:ascii="Times New Roman" w:hAnsi="Times New Roman" w:cs="Times New Roman"/>
          <w:iCs/>
        </w:rPr>
        <w:t xml:space="preserve"> British</w:t>
      </w:r>
      <w:r w:rsidR="0058395F" w:rsidRPr="003C64AE">
        <w:rPr>
          <w:rFonts w:ascii="Times New Roman" w:hAnsi="Times New Roman" w:cs="Times New Roman"/>
          <w:iCs/>
        </w:rPr>
        <w:t xml:space="preserve"> C</w:t>
      </w:r>
      <w:r w:rsidR="005F6F86" w:rsidRPr="003C64AE">
        <w:rPr>
          <w:rFonts w:ascii="Times New Roman" w:hAnsi="Times New Roman" w:cs="Times New Roman"/>
          <w:iCs/>
        </w:rPr>
        <w:t xml:space="preserve">onstitution </w:t>
      </w:r>
      <w:r w:rsidR="00F025E1" w:rsidRPr="003C64AE">
        <w:rPr>
          <w:rFonts w:ascii="Times New Roman" w:hAnsi="Times New Roman" w:cs="Times New Roman"/>
          <w:iCs/>
        </w:rPr>
        <w:t>(</w:t>
      </w:r>
      <w:r w:rsidR="005F6F86" w:rsidRPr="003C64AE">
        <w:rPr>
          <w:rFonts w:ascii="Times New Roman" w:hAnsi="Times New Roman" w:cs="Times New Roman"/>
          <w:iCs/>
        </w:rPr>
        <w:t>being unwritten,</w:t>
      </w:r>
      <w:r w:rsidR="00803AAA" w:rsidRPr="003C64AE">
        <w:rPr>
          <w:rStyle w:val="FootnoteReference"/>
          <w:rFonts w:ascii="Times New Roman" w:hAnsi="Times New Roman" w:cs="Times New Roman"/>
          <w:iCs/>
        </w:rPr>
        <w:footnoteReference w:id="29"/>
      </w:r>
      <w:r w:rsidR="005F6F86" w:rsidRPr="003C64AE">
        <w:rPr>
          <w:rFonts w:ascii="Times New Roman" w:hAnsi="Times New Roman" w:cs="Times New Roman"/>
          <w:iCs/>
        </w:rPr>
        <w:t xml:space="preserve"> parliamentary sovereignty, </w:t>
      </w:r>
      <w:r w:rsidR="008F2848" w:rsidRPr="003C64AE">
        <w:rPr>
          <w:rFonts w:ascii="Times New Roman" w:hAnsi="Times New Roman" w:cs="Times New Roman"/>
          <w:iCs/>
        </w:rPr>
        <w:t xml:space="preserve">constitutional </w:t>
      </w:r>
      <w:r w:rsidR="005F6F86" w:rsidRPr="003C64AE">
        <w:rPr>
          <w:rFonts w:ascii="Times New Roman" w:hAnsi="Times New Roman" w:cs="Times New Roman"/>
          <w:iCs/>
        </w:rPr>
        <w:t>conventions and the executive being part of the legislature</w:t>
      </w:r>
      <w:r w:rsidR="00F025E1" w:rsidRPr="003C64AE">
        <w:rPr>
          <w:rFonts w:ascii="Times New Roman" w:hAnsi="Times New Roman" w:cs="Times New Roman"/>
          <w:iCs/>
        </w:rPr>
        <w:t>)</w:t>
      </w:r>
      <w:r w:rsidR="005F6F86" w:rsidRPr="003C64AE">
        <w:rPr>
          <w:rFonts w:ascii="Times New Roman" w:hAnsi="Times New Roman" w:cs="Times New Roman"/>
          <w:iCs/>
        </w:rPr>
        <w:t xml:space="preserve"> makes it unique</w:t>
      </w:r>
      <w:r w:rsidR="0058395F" w:rsidRPr="003C64AE">
        <w:rPr>
          <w:rFonts w:ascii="Times New Roman" w:hAnsi="Times New Roman" w:cs="Times New Roman"/>
          <w:iCs/>
        </w:rPr>
        <w:t>,</w:t>
      </w:r>
      <w:r w:rsidR="00D27400" w:rsidRPr="003C64AE">
        <w:rPr>
          <w:rFonts w:ascii="Times New Roman" w:hAnsi="Times New Roman" w:cs="Times New Roman"/>
          <w:iCs/>
        </w:rPr>
        <w:t xml:space="preserve"> </w:t>
      </w:r>
      <w:r w:rsidR="0058395F" w:rsidRPr="003C64AE">
        <w:rPr>
          <w:rFonts w:ascii="Times New Roman" w:hAnsi="Times New Roman" w:cs="Times New Roman"/>
          <w:iCs/>
        </w:rPr>
        <w:t>alongside its ‘… unbroken constitutional history’,</w:t>
      </w:r>
      <w:r w:rsidR="0058395F" w:rsidRPr="003C64AE">
        <w:rPr>
          <w:rStyle w:val="FootnoteReference"/>
          <w:rFonts w:ascii="Times New Roman" w:hAnsi="Times New Roman" w:cs="Times New Roman"/>
          <w:iCs/>
        </w:rPr>
        <w:footnoteReference w:id="30"/>
      </w:r>
      <w:r w:rsidR="0058395F" w:rsidRPr="003C64AE">
        <w:rPr>
          <w:rFonts w:ascii="Times New Roman" w:hAnsi="Times New Roman" w:cs="Times New Roman"/>
          <w:iCs/>
        </w:rPr>
        <w:t xml:space="preserve"> </w:t>
      </w:r>
      <w:r w:rsidR="00D27400" w:rsidRPr="003C64AE">
        <w:rPr>
          <w:rFonts w:ascii="Times New Roman" w:hAnsi="Times New Roman" w:cs="Times New Roman"/>
          <w:iCs/>
        </w:rPr>
        <w:t>in comparison</w:t>
      </w:r>
      <w:r w:rsidR="005F6F86" w:rsidRPr="003C64AE">
        <w:rPr>
          <w:rFonts w:ascii="Times New Roman" w:hAnsi="Times New Roman" w:cs="Times New Roman"/>
          <w:iCs/>
        </w:rPr>
        <w:t xml:space="preserve"> to other </w:t>
      </w:r>
      <w:r w:rsidR="003C76BC" w:rsidRPr="003C64AE">
        <w:rPr>
          <w:rFonts w:ascii="Times New Roman" w:hAnsi="Times New Roman" w:cs="Times New Roman"/>
          <w:iCs/>
        </w:rPr>
        <w:t>constitutions across the world</w:t>
      </w:r>
      <w:r w:rsidR="0058395F" w:rsidRPr="003C64AE">
        <w:rPr>
          <w:rFonts w:ascii="Times New Roman" w:hAnsi="Times New Roman" w:cs="Times New Roman"/>
          <w:iCs/>
        </w:rPr>
        <w:t>.</w:t>
      </w:r>
      <w:r w:rsidR="003C76BC" w:rsidRPr="003C64AE">
        <w:rPr>
          <w:rFonts w:ascii="Times New Roman" w:hAnsi="Times New Roman" w:cs="Times New Roman"/>
          <w:iCs/>
        </w:rPr>
        <w:t xml:space="preserve"> </w:t>
      </w:r>
      <w:r w:rsidR="005F6F86" w:rsidRPr="003C64AE">
        <w:rPr>
          <w:rFonts w:ascii="Times New Roman" w:hAnsi="Times New Roman" w:cs="Times New Roman"/>
          <w:iCs/>
        </w:rPr>
        <w:t xml:space="preserve">By using </w:t>
      </w:r>
      <w:r w:rsidR="003C76BC" w:rsidRPr="003C64AE">
        <w:rPr>
          <w:rFonts w:ascii="Times New Roman" w:hAnsi="Times New Roman" w:cs="Times New Roman"/>
          <w:iCs/>
        </w:rPr>
        <w:t>an inflexible constitution</w:t>
      </w:r>
      <w:r w:rsidR="005F6F86" w:rsidRPr="003C64AE">
        <w:rPr>
          <w:rFonts w:ascii="Times New Roman" w:hAnsi="Times New Roman" w:cs="Times New Roman"/>
          <w:iCs/>
        </w:rPr>
        <w:t xml:space="preserve"> as an example, Sumption argues that the flexibility contained in the British Constitution is its biggest advantage and despite Britain recently going through a radical change,</w:t>
      </w:r>
      <w:r w:rsidR="00D27400" w:rsidRPr="003C64AE">
        <w:rPr>
          <w:rFonts w:ascii="Times New Roman" w:hAnsi="Times New Roman" w:cs="Times New Roman"/>
          <w:iCs/>
        </w:rPr>
        <w:t xml:space="preserve"> for </w:t>
      </w:r>
      <w:r w:rsidR="008F2848" w:rsidRPr="003C64AE">
        <w:rPr>
          <w:rFonts w:ascii="Times New Roman" w:hAnsi="Times New Roman" w:cs="Times New Roman"/>
          <w:iCs/>
        </w:rPr>
        <w:t>instance,</w:t>
      </w:r>
      <w:r w:rsidR="00D27400" w:rsidRPr="003C64AE">
        <w:rPr>
          <w:rFonts w:ascii="Times New Roman" w:hAnsi="Times New Roman" w:cs="Times New Roman"/>
          <w:iCs/>
        </w:rPr>
        <w:t xml:space="preserve"> leaving the European Union,</w:t>
      </w:r>
      <w:r w:rsidR="005F6F86" w:rsidRPr="003C64AE">
        <w:rPr>
          <w:rFonts w:ascii="Times New Roman" w:hAnsi="Times New Roman" w:cs="Times New Roman"/>
          <w:iCs/>
        </w:rPr>
        <w:t xml:space="preserve"> this is no reason to impose a written constitution</w:t>
      </w:r>
      <w:r w:rsidR="00084D96" w:rsidRPr="003C64AE">
        <w:rPr>
          <w:rFonts w:ascii="Times New Roman" w:hAnsi="Times New Roman" w:cs="Times New Roman"/>
          <w:iCs/>
        </w:rPr>
        <w:t>.</w:t>
      </w:r>
      <w:r w:rsidR="004E35E0" w:rsidRPr="003C64AE">
        <w:rPr>
          <w:rFonts w:ascii="Times New Roman" w:hAnsi="Times New Roman" w:cs="Times New Roman"/>
          <w:iCs/>
        </w:rPr>
        <w:t xml:space="preserve"> The law is rational, politics is not.</w:t>
      </w:r>
      <w:r w:rsidR="004E35E0" w:rsidRPr="003C64AE">
        <w:rPr>
          <w:rStyle w:val="FootnoteReference"/>
          <w:rFonts w:ascii="Times New Roman" w:hAnsi="Times New Roman" w:cs="Times New Roman"/>
          <w:iCs/>
        </w:rPr>
        <w:footnoteReference w:id="31"/>
      </w:r>
    </w:p>
    <w:p w:rsidR="00084D96" w:rsidRPr="003C64AE" w:rsidRDefault="00084D96" w:rsidP="00AF7D6D">
      <w:pPr>
        <w:spacing w:line="480" w:lineRule="auto"/>
        <w:rPr>
          <w:rFonts w:ascii="Times New Roman" w:hAnsi="Times New Roman" w:cs="Times New Roman"/>
          <w:iCs/>
        </w:rPr>
      </w:pPr>
    </w:p>
    <w:p w:rsidR="00FF6E12" w:rsidRPr="003C64AE" w:rsidRDefault="00450A5C" w:rsidP="00AF7D6D">
      <w:pPr>
        <w:spacing w:line="480" w:lineRule="auto"/>
        <w:rPr>
          <w:rFonts w:ascii="Times New Roman" w:hAnsi="Times New Roman" w:cs="Times New Roman"/>
          <w:iCs/>
        </w:rPr>
      </w:pPr>
      <w:r w:rsidRPr="003C64AE">
        <w:rPr>
          <w:rFonts w:ascii="Times New Roman" w:hAnsi="Times New Roman" w:cs="Times New Roman"/>
          <w:iCs/>
        </w:rPr>
        <w:t xml:space="preserve">There is no doubt that we are at a fragile point within our political system but for Sumption, the cause of this cannot be fixed with institutional reform. The real problem lies in the decline </w:t>
      </w:r>
      <w:r w:rsidRPr="003C64AE">
        <w:rPr>
          <w:rFonts w:ascii="Times New Roman" w:hAnsi="Times New Roman" w:cs="Times New Roman"/>
          <w:iCs/>
        </w:rPr>
        <w:lastRenderedPageBreak/>
        <w:t xml:space="preserve">of politics. In recent years, we have witnessed a disengagement </w:t>
      </w:r>
      <w:r w:rsidR="00EE003E" w:rsidRPr="003C64AE">
        <w:rPr>
          <w:rFonts w:ascii="Times New Roman" w:hAnsi="Times New Roman" w:cs="Times New Roman"/>
          <w:iCs/>
        </w:rPr>
        <w:t>between</w:t>
      </w:r>
      <w:r w:rsidRPr="003C64AE">
        <w:rPr>
          <w:rFonts w:ascii="Times New Roman" w:hAnsi="Times New Roman" w:cs="Times New Roman"/>
          <w:iCs/>
        </w:rPr>
        <w:t xml:space="preserve"> the public and politics, not just here in the UK but worldwide. </w:t>
      </w:r>
      <w:r w:rsidR="00084D96" w:rsidRPr="003C64AE">
        <w:rPr>
          <w:rFonts w:ascii="Times New Roman" w:hAnsi="Times New Roman" w:cs="Times New Roman"/>
          <w:iCs/>
        </w:rPr>
        <w:t xml:space="preserve">For Sumption, we have reached the point in which we need to revert back to respecting the political process. But how do we do this? Well, one solution put forward by </w:t>
      </w:r>
      <w:r w:rsidR="00083E6E" w:rsidRPr="003C64AE">
        <w:rPr>
          <w:rFonts w:ascii="Times New Roman" w:hAnsi="Times New Roman" w:cs="Times New Roman"/>
          <w:iCs/>
        </w:rPr>
        <w:t>Sumption is to remove the ‘</w:t>
      </w:r>
      <w:r w:rsidR="00084D96" w:rsidRPr="003C64AE">
        <w:rPr>
          <w:rFonts w:ascii="Times New Roman" w:hAnsi="Times New Roman" w:cs="Times New Roman"/>
          <w:iCs/>
        </w:rPr>
        <w:t>first past the p</w:t>
      </w:r>
      <w:r w:rsidR="00083E6E" w:rsidRPr="003C64AE">
        <w:rPr>
          <w:rFonts w:ascii="Times New Roman" w:hAnsi="Times New Roman" w:cs="Times New Roman"/>
          <w:iCs/>
        </w:rPr>
        <w:t>ost’</w:t>
      </w:r>
      <w:r w:rsidR="00084D96" w:rsidRPr="003C64AE">
        <w:rPr>
          <w:rFonts w:ascii="Times New Roman" w:hAnsi="Times New Roman" w:cs="Times New Roman"/>
          <w:iCs/>
        </w:rPr>
        <w:t xml:space="preserve"> system and instead move towards </w:t>
      </w:r>
      <w:r w:rsidR="005410D6" w:rsidRPr="003C64AE">
        <w:rPr>
          <w:rFonts w:ascii="Times New Roman" w:hAnsi="Times New Roman" w:cs="Times New Roman"/>
          <w:iCs/>
        </w:rPr>
        <w:t>proportional representation</w:t>
      </w:r>
      <w:r w:rsidR="00084D96" w:rsidRPr="003C64AE">
        <w:rPr>
          <w:rFonts w:ascii="Times New Roman" w:hAnsi="Times New Roman" w:cs="Times New Roman"/>
          <w:iCs/>
        </w:rPr>
        <w:t>.</w:t>
      </w:r>
      <w:r w:rsidR="00084D96" w:rsidRPr="003C64AE">
        <w:rPr>
          <w:rStyle w:val="FootnoteReference"/>
          <w:rFonts w:ascii="Times New Roman" w:hAnsi="Times New Roman" w:cs="Times New Roman"/>
          <w:iCs/>
        </w:rPr>
        <w:footnoteReference w:id="32"/>
      </w:r>
      <w:r w:rsidR="00084D96" w:rsidRPr="003C64AE">
        <w:rPr>
          <w:rFonts w:ascii="Times New Roman" w:hAnsi="Times New Roman" w:cs="Times New Roman"/>
          <w:iCs/>
        </w:rPr>
        <w:t xml:space="preserve"> In turn, this would allow for smaller political parties to form part of the political system. Though this might create a less stabl</w:t>
      </w:r>
      <w:r w:rsidR="00AE4B3C" w:rsidRPr="003C64AE">
        <w:rPr>
          <w:rFonts w:ascii="Times New Roman" w:hAnsi="Times New Roman" w:cs="Times New Roman"/>
          <w:iCs/>
        </w:rPr>
        <w:t>e government</w:t>
      </w:r>
      <w:r w:rsidR="007E7063">
        <w:rPr>
          <w:rFonts w:ascii="Times New Roman" w:hAnsi="Times New Roman" w:cs="Times New Roman"/>
          <w:iCs/>
        </w:rPr>
        <w:t>,</w:t>
      </w:r>
      <w:r w:rsidR="00797138" w:rsidRPr="003C64AE">
        <w:rPr>
          <w:rFonts w:ascii="Times New Roman" w:hAnsi="Times New Roman" w:cs="Times New Roman"/>
          <w:iCs/>
        </w:rPr>
        <w:t xml:space="preserve"> for Sumption,</w:t>
      </w:r>
      <w:r w:rsidR="009D495C" w:rsidRPr="003C64AE">
        <w:rPr>
          <w:rFonts w:ascii="Times New Roman" w:hAnsi="Times New Roman" w:cs="Times New Roman"/>
          <w:iCs/>
        </w:rPr>
        <w:t xml:space="preserve"> this is ‘</w:t>
      </w:r>
      <w:r w:rsidR="00084D96" w:rsidRPr="003C64AE">
        <w:rPr>
          <w:rFonts w:ascii="Times New Roman" w:hAnsi="Times New Roman" w:cs="Times New Roman"/>
          <w:iCs/>
        </w:rPr>
        <w:t>a price worth paying if it boosted public engagement and enabled politics once more to accommodate differences of interest and opinion across our population.’</w:t>
      </w:r>
      <w:r w:rsidR="00084D96" w:rsidRPr="003C64AE">
        <w:rPr>
          <w:rStyle w:val="FootnoteReference"/>
          <w:rFonts w:ascii="Times New Roman" w:hAnsi="Times New Roman" w:cs="Times New Roman"/>
          <w:iCs/>
        </w:rPr>
        <w:footnoteReference w:id="33"/>
      </w:r>
      <w:r w:rsidR="00083E6E" w:rsidRPr="003C64AE">
        <w:rPr>
          <w:rFonts w:ascii="Times New Roman" w:hAnsi="Times New Roman" w:cs="Times New Roman"/>
          <w:iCs/>
        </w:rPr>
        <w:t xml:space="preserve"> This may well be a solution in attempting to get more individuals involved in the political process</w:t>
      </w:r>
      <w:r w:rsidR="009D495C" w:rsidRPr="003C64AE">
        <w:rPr>
          <w:rFonts w:ascii="Times New Roman" w:hAnsi="Times New Roman" w:cs="Times New Roman"/>
          <w:iCs/>
        </w:rPr>
        <w:t>,</w:t>
      </w:r>
      <w:r w:rsidR="00083E6E" w:rsidRPr="003C64AE">
        <w:rPr>
          <w:rFonts w:ascii="Times New Roman" w:hAnsi="Times New Roman" w:cs="Times New Roman"/>
          <w:iCs/>
        </w:rPr>
        <w:t xml:space="preserve"> but the issue</w:t>
      </w:r>
      <w:r w:rsidR="009D495C" w:rsidRPr="003C64AE">
        <w:rPr>
          <w:rFonts w:ascii="Times New Roman" w:hAnsi="Times New Roman" w:cs="Times New Roman"/>
          <w:iCs/>
        </w:rPr>
        <w:t xml:space="preserve"> of political apathy</w:t>
      </w:r>
      <w:r w:rsidR="00083E6E" w:rsidRPr="003C64AE">
        <w:rPr>
          <w:rFonts w:ascii="Times New Roman" w:hAnsi="Times New Roman" w:cs="Times New Roman"/>
          <w:iCs/>
        </w:rPr>
        <w:t xml:space="preserve"> runs deeper than how elections work.</w:t>
      </w:r>
      <w:r w:rsidR="00FF6E12" w:rsidRPr="003C64AE">
        <w:rPr>
          <w:rFonts w:ascii="Times New Roman" w:hAnsi="Times New Roman" w:cs="Times New Roman"/>
          <w:iCs/>
        </w:rPr>
        <w:t xml:space="preserve"> </w:t>
      </w:r>
    </w:p>
    <w:p w:rsidR="00FF6E12" w:rsidRPr="003C64AE" w:rsidRDefault="00FF6E12" w:rsidP="00AF7D6D">
      <w:pPr>
        <w:spacing w:line="480" w:lineRule="auto"/>
        <w:rPr>
          <w:rFonts w:ascii="Times New Roman" w:hAnsi="Times New Roman" w:cs="Times New Roman"/>
          <w:iCs/>
        </w:rPr>
      </w:pPr>
    </w:p>
    <w:p w:rsidR="00F90992" w:rsidRPr="003C64AE" w:rsidRDefault="00167ACD" w:rsidP="009865BE">
      <w:pPr>
        <w:spacing w:line="480" w:lineRule="auto"/>
        <w:rPr>
          <w:rFonts w:ascii="Times New Roman" w:hAnsi="Times New Roman" w:cs="Times New Roman"/>
          <w:iCs/>
        </w:rPr>
      </w:pPr>
      <w:r w:rsidRPr="003C64AE">
        <w:rPr>
          <w:rFonts w:ascii="Times New Roman" w:hAnsi="Times New Roman" w:cs="Times New Roman"/>
          <w:iCs/>
        </w:rPr>
        <w:t>This</w:t>
      </w:r>
      <w:r w:rsidR="00E12FFD" w:rsidRPr="003C64AE">
        <w:rPr>
          <w:rFonts w:ascii="Times New Roman" w:hAnsi="Times New Roman" w:cs="Times New Roman"/>
          <w:iCs/>
        </w:rPr>
        <w:t xml:space="preserve"> book has three main strengths. First, it is an easy read and no prior legal knowledge is needed to understand Sumption’s </w:t>
      </w:r>
      <w:r w:rsidRPr="003C64AE">
        <w:rPr>
          <w:rFonts w:ascii="Times New Roman" w:hAnsi="Times New Roman" w:cs="Times New Roman"/>
          <w:iCs/>
        </w:rPr>
        <w:t xml:space="preserve">central </w:t>
      </w:r>
      <w:r w:rsidR="00E0592C" w:rsidRPr="003C64AE">
        <w:rPr>
          <w:rFonts w:ascii="Times New Roman" w:hAnsi="Times New Roman" w:cs="Times New Roman"/>
          <w:iCs/>
        </w:rPr>
        <w:t>thesis</w:t>
      </w:r>
      <w:r w:rsidR="00E12FFD" w:rsidRPr="003C64AE">
        <w:rPr>
          <w:rFonts w:ascii="Times New Roman" w:hAnsi="Times New Roman" w:cs="Times New Roman"/>
          <w:iCs/>
        </w:rPr>
        <w:t xml:space="preserve">. Second, Sumption </w:t>
      </w:r>
      <w:r w:rsidR="0064095C" w:rsidRPr="003C64AE">
        <w:rPr>
          <w:rFonts w:ascii="Times New Roman" w:hAnsi="Times New Roman" w:cs="Times New Roman"/>
          <w:iCs/>
        </w:rPr>
        <w:t>attempts to use</w:t>
      </w:r>
      <w:r w:rsidR="00E12FFD" w:rsidRPr="003C64AE">
        <w:rPr>
          <w:rFonts w:ascii="Times New Roman" w:hAnsi="Times New Roman" w:cs="Times New Roman"/>
          <w:iCs/>
        </w:rPr>
        <w:t xml:space="preserve"> examples throughout the book to illustrate his arguments</w:t>
      </w:r>
      <w:r w:rsidR="0064095C" w:rsidRPr="003C64AE">
        <w:rPr>
          <w:rFonts w:ascii="Times New Roman" w:hAnsi="Times New Roman" w:cs="Times New Roman"/>
          <w:iCs/>
        </w:rPr>
        <w:t>, though more depth is needed</w:t>
      </w:r>
      <w:r w:rsidR="00E12FFD" w:rsidRPr="003C64AE">
        <w:rPr>
          <w:rFonts w:ascii="Times New Roman" w:hAnsi="Times New Roman" w:cs="Times New Roman"/>
          <w:iCs/>
        </w:rPr>
        <w:t xml:space="preserve">. Last, and most importantly, it allows for a critical analysis of the law </w:t>
      </w:r>
      <w:r w:rsidR="003C76BC" w:rsidRPr="003C64AE">
        <w:rPr>
          <w:rFonts w:ascii="Times New Roman" w:hAnsi="Times New Roman" w:cs="Times New Roman"/>
          <w:iCs/>
        </w:rPr>
        <w:t>and its role within a democracy</w:t>
      </w:r>
      <w:r w:rsidR="00FA0688" w:rsidRPr="003C64AE">
        <w:rPr>
          <w:rFonts w:ascii="Times New Roman" w:hAnsi="Times New Roman" w:cs="Times New Roman"/>
          <w:iCs/>
        </w:rPr>
        <w:t>.</w:t>
      </w:r>
      <w:r w:rsidR="00957BF3" w:rsidRPr="003C64AE">
        <w:rPr>
          <w:rFonts w:ascii="Times New Roman" w:hAnsi="Times New Roman" w:cs="Times New Roman"/>
          <w:iCs/>
        </w:rPr>
        <w:t xml:space="preserve"> </w:t>
      </w:r>
      <w:r w:rsidR="00E12FFD" w:rsidRPr="003C64AE">
        <w:rPr>
          <w:rFonts w:ascii="Times New Roman" w:hAnsi="Times New Roman" w:cs="Times New Roman"/>
          <w:iCs/>
        </w:rPr>
        <w:t>Throughout, Sumption makes</w:t>
      </w:r>
      <w:r w:rsidR="002F548E" w:rsidRPr="003C64AE">
        <w:rPr>
          <w:rFonts w:ascii="Times New Roman" w:hAnsi="Times New Roman" w:cs="Times New Roman"/>
          <w:iCs/>
        </w:rPr>
        <w:t xml:space="preserve"> </w:t>
      </w:r>
      <w:r w:rsidR="00777DBA" w:rsidRPr="003C64AE">
        <w:rPr>
          <w:rFonts w:ascii="Times New Roman" w:hAnsi="Times New Roman" w:cs="Times New Roman"/>
          <w:iCs/>
        </w:rPr>
        <w:t xml:space="preserve">several </w:t>
      </w:r>
      <w:r w:rsidR="002F548E" w:rsidRPr="003C64AE">
        <w:rPr>
          <w:rFonts w:ascii="Times New Roman" w:hAnsi="Times New Roman" w:cs="Times New Roman"/>
          <w:iCs/>
        </w:rPr>
        <w:t xml:space="preserve">interesting points, </w:t>
      </w:r>
      <w:r w:rsidRPr="003C64AE">
        <w:rPr>
          <w:rFonts w:ascii="Times New Roman" w:hAnsi="Times New Roman" w:cs="Times New Roman"/>
          <w:iCs/>
        </w:rPr>
        <w:t xml:space="preserve">though as discussed above, </w:t>
      </w:r>
      <w:r w:rsidR="00FF2771">
        <w:rPr>
          <w:rFonts w:ascii="Times New Roman" w:hAnsi="Times New Roman" w:cs="Times New Roman"/>
          <w:iCs/>
        </w:rPr>
        <w:t>some</w:t>
      </w:r>
      <w:r w:rsidR="0092445C" w:rsidRPr="003C64AE">
        <w:rPr>
          <w:rFonts w:ascii="Times New Roman" w:hAnsi="Times New Roman" w:cs="Times New Roman"/>
          <w:iCs/>
        </w:rPr>
        <w:t xml:space="preserve"> of these</w:t>
      </w:r>
      <w:r w:rsidRPr="003C64AE">
        <w:rPr>
          <w:rFonts w:ascii="Times New Roman" w:hAnsi="Times New Roman" w:cs="Times New Roman"/>
          <w:iCs/>
        </w:rPr>
        <w:t xml:space="preserve"> points </w:t>
      </w:r>
      <w:r w:rsidR="00A17A21" w:rsidRPr="003C64AE">
        <w:rPr>
          <w:rFonts w:ascii="Times New Roman" w:hAnsi="Times New Roman" w:cs="Times New Roman"/>
          <w:iCs/>
        </w:rPr>
        <w:t xml:space="preserve">are </w:t>
      </w:r>
      <w:r w:rsidRPr="003C64AE">
        <w:rPr>
          <w:rFonts w:ascii="Times New Roman" w:hAnsi="Times New Roman" w:cs="Times New Roman"/>
          <w:iCs/>
        </w:rPr>
        <w:t>contradictory. He seems to focus on cases he wholly disagrees with, without unpacking and explorin</w:t>
      </w:r>
      <w:r w:rsidR="00AE4B3C" w:rsidRPr="003C64AE">
        <w:rPr>
          <w:rFonts w:ascii="Times New Roman" w:hAnsi="Times New Roman" w:cs="Times New Roman"/>
          <w:iCs/>
        </w:rPr>
        <w:t xml:space="preserve">g why he thinks, with evidence, that law and politics can </w:t>
      </w:r>
      <w:r w:rsidR="006D0147" w:rsidRPr="003C64AE">
        <w:rPr>
          <w:rFonts w:ascii="Times New Roman" w:hAnsi="Times New Roman" w:cs="Times New Roman"/>
          <w:iCs/>
        </w:rPr>
        <w:t xml:space="preserve">indeed </w:t>
      </w:r>
      <w:r w:rsidR="00AE4B3C" w:rsidRPr="003C64AE">
        <w:rPr>
          <w:rFonts w:ascii="Times New Roman" w:hAnsi="Times New Roman" w:cs="Times New Roman"/>
          <w:iCs/>
        </w:rPr>
        <w:t xml:space="preserve">be </w:t>
      </w:r>
      <w:r w:rsidR="006D0147" w:rsidRPr="003C64AE">
        <w:rPr>
          <w:rFonts w:ascii="Times New Roman" w:hAnsi="Times New Roman" w:cs="Times New Roman"/>
          <w:iCs/>
        </w:rPr>
        <w:t xml:space="preserve">separated. </w:t>
      </w:r>
    </w:p>
    <w:sectPr w:rsidR="00F90992" w:rsidRPr="003C64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68" w:rsidRDefault="003D1D68" w:rsidP="003D1D68">
      <w:r>
        <w:separator/>
      </w:r>
    </w:p>
  </w:endnote>
  <w:endnote w:type="continuationSeparator" w:id="0">
    <w:p w:rsidR="003D1D68" w:rsidRDefault="003D1D68" w:rsidP="003D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97120"/>
      <w:docPartObj>
        <w:docPartGallery w:val="Page Numbers (Bottom of Page)"/>
        <w:docPartUnique/>
      </w:docPartObj>
    </w:sdtPr>
    <w:sdtEndPr/>
    <w:sdtContent>
      <w:sdt>
        <w:sdtPr>
          <w:id w:val="1728636285"/>
          <w:docPartObj>
            <w:docPartGallery w:val="Page Numbers (Top of Page)"/>
            <w:docPartUnique/>
          </w:docPartObj>
        </w:sdtPr>
        <w:sdtEndPr/>
        <w:sdtContent>
          <w:p w:rsidR="007E7063" w:rsidRDefault="007E7063">
            <w:pPr>
              <w:pStyle w:val="Footer"/>
              <w:jc w:val="center"/>
            </w:pPr>
            <w:r>
              <w:t xml:space="preserve">Page </w:t>
            </w:r>
            <w:r>
              <w:rPr>
                <w:b/>
                <w:bCs/>
              </w:rPr>
              <w:fldChar w:fldCharType="begin"/>
            </w:r>
            <w:r>
              <w:rPr>
                <w:b/>
                <w:bCs/>
              </w:rPr>
              <w:instrText xml:space="preserve"> PAGE </w:instrText>
            </w:r>
            <w:r>
              <w:rPr>
                <w:b/>
                <w:bCs/>
              </w:rPr>
              <w:fldChar w:fldCharType="separate"/>
            </w:r>
            <w:r w:rsidR="00885B2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85B2E">
              <w:rPr>
                <w:b/>
                <w:bCs/>
                <w:noProof/>
              </w:rPr>
              <w:t>8</w:t>
            </w:r>
            <w:r>
              <w:rPr>
                <w:b/>
                <w:bCs/>
              </w:rPr>
              <w:fldChar w:fldCharType="end"/>
            </w:r>
          </w:p>
        </w:sdtContent>
      </w:sdt>
    </w:sdtContent>
  </w:sdt>
  <w:p w:rsidR="007E7063" w:rsidRDefault="007E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68" w:rsidRDefault="003D1D68" w:rsidP="003D1D68">
      <w:r>
        <w:separator/>
      </w:r>
    </w:p>
  </w:footnote>
  <w:footnote w:type="continuationSeparator" w:id="0">
    <w:p w:rsidR="003D1D68" w:rsidRDefault="003D1D68" w:rsidP="003D1D68">
      <w:r>
        <w:continuationSeparator/>
      </w:r>
    </w:p>
  </w:footnote>
  <w:footnote w:id="1">
    <w:p w:rsidR="00FE331B" w:rsidRDefault="006D4A7E">
      <w:pPr>
        <w:pStyle w:val="FootnoteText"/>
      </w:pPr>
      <w:r>
        <w:t>* I am grateful</w:t>
      </w:r>
      <w:r w:rsidR="00FE331B">
        <w:t xml:space="preserve"> to </w:t>
      </w:r>
      <w:r w:rsidR="002544CF">
        <w:t xml:space="preserve">Dr Alan Greene, </w:t>
      </w:r>
      <w:r w:rsidR="00FE331B">
        <w:t>Dr Natasa M</w:t>
      </w:r>
      <w:r w:rsidR="00FE331B" w:rsidRPr="00FE331B">
        <w:t>avronicola</w:t>
      </w:r>
      <w:r w:rsidR="002544CF">
        <w:t xml:space="preserve"> and Adam Pendlebury</w:t>
      </w:r>
      <w:r w:rsidR="00FE331B">
        <w:t xml:space="preserve"> for their insightful comments on earlier drafts. </w:t>
      </w:r>
    </w:p>
    <w:p w:rsidR="009865BE" w:rsidRDefault="009865BE">
      <w:pPr>
        <w:pStyle w:val="FootnoteText"/>
      </w:pPr>
      <w:r>
        <w:rPr>
          <w:rStyle w:val="FootnoteReference"/>
        </w:rPr>
        <w:footnoteRef/>
      </w:r>
      <w:r>
        <w:t xml:space="preserve"> </w:t>
      </w:r>
      <w:r w:rsidRPr="009865BE">
        <w:t>See website available at</w:t>
      </w:r>
      <w:r>
        <w:t xml:space="preserve"> </w:t>
      </w:r>
      <w:r w:rsidRPr="009865BE">
        <w:t>https://www.bbc.co.uk/programmes/m00057m8</w:t>
      </w:r>
      <w:r w:rsidR="000F079D">
        <w:t>.</w:t>
      </w:r>
      <w:r>
        <w:t xml:space="preserve"> </w:t>
      </w:r>
    </w:p>
  </w:footnote>
  <w:footnote w:id="2">
    <w:p w:rsidR="003D1D68" w:rsidRDefault="003D1D68" w:rsidP="003D1D68">
      <w:pPr>
        <w:pStyle w:val="FootnoteText"/>
      </w:pPr>
      <w:r>
        <w:rPr>
          <w:rStyle w:val="FootnoteReference"/>
        </w:rPr>
        <w:footnoteRef/>
      </w:r>
      <w:r w:rsidR="002746EB">
        <w:t xml:space="preserve"> J Sumption</w:t>
      </w:r>
      <w:r>
        <w:t xml:space="preserve"> </w:t>
      </w:r>
      <w:r w:rsidRPr="002746EB">
        <w:rPr>
          <w:i/>
        </w:rPr>
        <w:t xml:space="preserve">Trials of the State </w:t>
      </w:r>
      <w:r>
        <w:t>(</w:t>
      </w:r>
      <w:r w:rsidR="002746EB">
        <w:t xml:space="preserve">London: </w:t>
      </w:r>
      <w:r>
        <w:t xml:space="preserve">Profile Books Limited, 2019) </w:t>
      </w:r>
      <w:r w:rsidR="007543B4">
        <w:t>p</w:t>
      </w:r>
      <w:r w:rsidR="002746EB">
        <w:t xml:space="preserve"> </w:t>
      </w:r>
      <w:r>
        <w:t>6</w:t>
      </w:r>
      <w:r w:rsidR="00AA2EEE">
        <w:t>.</w:t>
      </w:r>
    </w:p>
  </w:footnote>
  <w:footnote w:id="3">
    <w:p w:rsidR="003D1D68" w:rsidRDefault="003D1D68" w:rsidP="003D1D68">
      <w:pPr>
        <w:pStyle w:val="FootnoteText"/>
      </w:pPr>
      <w:r>
        <w:rPr>
          <w:rStyle w:val="FootnoteReference"/>
        </w:rPr>
        <w:footnoteRef/>
      </w:r>
      <w:r>
        <w:t xml:space="preserve"> [2017] 4 WLUK 260</w:t>
      </w:r>
      <w:r w:rsidR="00AA2EEE">
        <w:t>.</w:t>
      </w:r>
    </w:p>
  </w:footnote>
  <w:footnote w:id="4">
    <w:p w:rsidR="000116CE" w:rsidRDefault="000116CE">
      <w:pPr>
        <w:pStyle w:val="FootnoteText"/>
      </w:pPr>
      <w:r>
        <w:rPr>
          <w:rStyle w:val="FootnoteReference"/>
        </w:rPr>
        <w:footnoteRef/>
      </w:r>
      <w:r w:rsidR="009865BE">
        <w:t xml:space="preserve"> Sumption, above n 2</w:t>
      </w:r>
      <w:r>
        <w:t>, p 11.</w:t>
      </w:r>
      <w:r>
        <w:tab/>
      </w:r>
    </w:p>
  </w:footnote>
  <w:footnote w:id="5">
    <w:p w:rsidR="003D1D68" w:rsidRDefault="003D1D68" w:rsidP="003D1D68">
      <w:pPr>
        <w:pStyle w:val="FootnoteText"/>
      </w:pPr>
      <w:r>
        <w:rPr>
          <w:rStyle w:val="FootnoteReference"/>
        </w:rPr>
        <w:footnoteRef/>
      </w:r>
      <w:r>
        <w:t xml:space="preserve"> </w:t>
      </w:r>
      <w:r w:rsidR="000116CE">
        <w:t>Ibid</w:t>
      </w:r>
      <w:r w:rsidR="00AA2EEE">
        <w:t>.</w:t>
      </w:r>
      <w:r>
        <w:tab/>
      </w:r>
    </w:p>
  </w:footnote>
  <w:footnote w:id="6">
    <w:p w:rsidR="006777C2" w:rsidRDefault="006777C2">
      <w:pPr>
        <w:pStyle w:val="FootnoteText"/>
      </w:pPr>
      <w:r>
        <w:rPr>
          <w:rStyle w:val="FootnoteReference"/>
        </w:rPr>
        <w:footnoteRef/>
      </w:r>
      <w:r w:rsidR="00634742">
        <w:t xml:space="preserve"> Ibid.</w:t>
      </w:r>
    </w:p>
  </w:footnote>
  <w:footnote w:id="7">
    <w:p w:rsidR="00634742" w:rsidRDefault="00634742">
      <w:pPr>
        <w:pStyle w:val="FootnoteText"/>
      </w:pPr>
      <w:r>
        <w:rPr>
          <w:rStyle w:val="FootnoteReference"/>
        </w:rPr>
        <w:footnoteRef/>
      </w:r>
      <w:r>
        <w:t xml:space="preserve"> Sumption, above n 2, p 13.</w:t>
      </w:r>
    </w:p>
  </w:footnote>
  <w:footnote w:id="8">
    <w:p w:rsidR="00A91408" w:rsidRDefault="00A91408">
      <w:pPr>
        <w:pStyle w:val="FootnoteText"/>
      </w:pPr>
      <w:r>
        <w:rPr>
          <w:rStyle w:val="FootnoteReference"/>
        </w:rPr>
        <w:footnoteRef/>
      </w:r>
      <w:r>
        <w:t xml:space="preserve"> </w:t>
      </w:r>
      <w:proofErr w:type="gramStart"/>
      <w:r>
        <w:t>Ibid.,</w:t>
      </w:r>
      <w:proofErr w:type="gramEnd"/>
      <w:r>
        <w:t xml:space="preserve"> p 58</w:t>
      </w:r>
      <w:r w:rsidR="000F079D">
        <w:t>.</w:t>
      </w:r>
    </w:p>
  </w:footnote>
  <w:footnote w:id="9">
    <w:p w:rsidR="00DB35D4" w:rsidRDefault="00DB35D4">
      <w:pPr>
        <w:pStyle w:val="FootnoteText"/>
      </w:pPr>
      <w:r>
        <w:rPr>
          <w:rStyle w:val="FootnoteReference"/>
        </w:rPr>
        <w:footnoteRef/>
      </w:r>
      <w:r>
        <w:t xml:space="preserve"> </w:t>
      </w:r>
      <w:r w:rsidRPr="00F35C2C">
        <w:t>For example</w:t>
      </w:r>
      <w:r w:rsidR="00F35C2C" w:rsidRPr="00F35C2C">
        <w:t xml:space="preserve">, J A G Griffith, </w:t>
      </w:r>
      <w:r w:rsidR="00BE7174" w:rsidRPr="00F35C2C">
        <w:rPr>
          <w:i/>
        </w:rPr>
        <w:t>The Political Constitution</w:t>
      </w:r>
      <w:r w:rsidR="00BE7174" w:rsidRPr="00F35C2C">
        <w:t xml:space="preserve"> (1979) 42(1) The Modern Law Review 1</w:t>
      </w:r>
      <w:r w:rsidR="00BE7174">
        <w:t xml:space="preserve"> </w:t>
      </w:r>
      <w:r>
        <w:t xml:space="preserve"> </w:t>
      </w:r>
    </w:p>
  </w:footnote>
  <w:footnote w:id="10">
    <w:p w:rsidR="00BE7174" w:rsidRDefault="00BE7174">
      <w:pPr>
        <w:pStyle w:val="FootnoteText"/>
      </w:pPr>
      <w:r>
        <w:rPr>
          <w:rStyle w:val="FootnoteReference"/>
        </w:rPr>
        <w:footnoteRef/>
      </w:r>
      <w:r>
        <w:t xml:space="preserve"> I would like to thank </w:t>
      </w:r>
      <w:r w:rsidR="00900DB1">
        <w:t>Dr Alan Greene (Birmingham Law School)</w:t>
      </w:r>
      <w:r>
        <w:t xml:space="preserve"> for his initial comments on this point.  </w:t>
      </w:r>
    </w:p>
  </w:footnote>
  <w:footnote w:id="11">
    <w:p w:rsidR="00F22298" w:rsidRDefault="00F22298">
      <w:pPr>
        <w:pStyle w:val="FootnoteText"/>
      </w:pPr>
      <w:r>
        <w:rPr>
          <w:rStyle w:val="FootnoteReference"/>
        </w:rPr>
        <w:footnoteRef/>
      </w:r>
      <w:r>
        <w:t xml:space="preserve"> Sumption, above n 2, p 49.</w:t>
      </w:r>
    </w:p>
  </w:footnote>
  <w:footnote w:id="12">
    <w:p w:rsidR="00F22298" w:rsidRDefault="00F22298">
      <w:pPr>
        <w:pStyle w:val="FootnoteText"/>
      </w:pPr>
      <w:r>
        <w:rPr>
          <w:rStyle w:val="FootnoteReference"/>
        </w:rPr>
        <w:footnoteRef/>
      </w:r>
      <w:r>
        <w:t xml:space="preserve"> </w:t>
      </w:r>
      <w:r w:rsidR="003E0E4F">
        <w:t xml:space="preserve">Ibid. </w:t>
      </w:r>
    </w:p>
  </w:footnote>
  <w:footnote w:id="13">
    <w:p w:rsidR="00F84D11" w:rsidRDefault="00F84D11" w:rsidP="00F84D11">
      <w:pPr>
        <w:pStyle w:val="FootnoteText"/>
      </w:pPr>
      <w:r>
        <w:rPr>
          <w:rStyle w:val="FootnoteReference"/>
        </w:rPr>
        <w:footnoteRef/>
      </w:r>
      <w:r>
        <w:t xml:space="preserve"> </w:t>
      </w:r>
      <w:r w:rsidR="00885B2E">
        <w:t>Ibid.</w:t>
      </w:r>
      <w:bookmarkStart w:id="0" w:name="_GoBack"/>
      <w:bookmarkEnd w:id="0"/>
      <w:r w:rsidRPr="00BE7174">
        <w:t xml:space="preserve">, </w:t>
      </w:r>
      <w:r>
        <w:t>p 58- 59.</w:t>
      </w:r>
    </w:p>
  </w:footnote>
  <w:footnote w:id="14">
    <w:p w:rsidR="008F1F0B" w:rsidRDefault="008F1F0B">
      <w:pPr>
        <w:pStyle w:val="FootnoteText"/>
      </w:pPr>
      <w:r>
        <w:rPr>
          <w:rStyle w:val="FootnoteReference"/>
        </w:rPr>
        <w:footnoteRef/>
      </w:r>
      <w:r w:rsidR="000F079D">
        <w:t xml:space="preserve"> Ibid.</w:t>
      </w:r>
      <w:r>
        <w:t xml:space="preserve"> </w:t>
      </w:r>
    </w:p>
  </w:footnote>
  <w:footnote w:id="15">
    <w:p w:rsidR="008619EA" w:rsidRDefault="008619EA" w:rsidP="008619EA">
      <w:pPr>
        <w:pStyle w:val="FootnoteText"/>
      </w:pPr>
      <w:r>
        <w:rPr>
          <w:rStyle w:val="FootnoteReference"/>
        </w:rPr>
        <w:footnoteRef/>
      </w:r>
      <w:r>
        <w:t xml:space="preserve"> </w:t>
      </w:r>
      <w:r w:rsidR="000604E2" w:rsidRPr="000604E2">
        <w:t>Indeed, in recent surveys</w:t>
      </w:r>
      <w:r w:rsidR="00865566">
        <w:t>,</w:t>
      </w:r>
      <w:r w:rsidR="000604E2" w:rsidRPr="000604E2">
        <w:t xml:space="preserve"> judges are considered more trustworthy than politicians</w:t>
      </w:r>
      <w:r w:rsidR="000604E2">
        <w:t xml:space="preserve">. </w:t>
      </w:r>
      <w:r w:rsidR="002746EB">
        <w:t xml:space="preserve">See website available at </w:t>
      </w:r>
      <w:r w:rsidRPr="002746EB">
        <w:t>https://www.ipsos.com/ipsos-mori/en-uk/its-fact-scientists-are-most-trusted-people-world</w:t>
      </w:r>
      <w:r w:rsidR="002746EB">
        <w:t>.</w:t>
      </w:r>
      <w:r>
        <w:t xml:space="preserve"> </w:t>
      </w:r>
    </w:p>
  </w:footnote>
  <w:footnote w:id="16">
    <w:p w:rsidR="00431E6B" w:rsidRDefault="00431E6B" w:rsidP="00431E6B">
      <w:pPr>
        <w:pStyle w:val="FootnoteText"/>
      </w:pPr>
      <w:r>
        <w:rPr>
          <w:rStyle w:val="FootnoteReference"/>
        </w:rPr>
        <w:footnoteRef/>
      </w:r>
      <w:r>
        <w:t xml:space="preserve"> </w:t>
      </w:r>
      <w:r w:rsidRPr="00431E6B">
        <w:t xml:space="preserve">For instance, </w:t>
      </w:r>
      <w:r>
        <w:t>the legalisation of euthanasia as discussed by Sumption, above n 2, p 63-66.</w:t>
      </w:r>
    </w:p>
  </w:footnote>
  <w:footnote w:id="17">
    <w:p w:rsidR="0072724B" w:rsidRDefault="0072724B">
      <w:pPr>
        <w:pStyle w:val="FootnoteText"/>
      </w:pPr>
      <w:r>
        <w:rPr>
          <w:rStyle w:val="FootnoteReference"/>
        </w:rPr>
        <w:footnoteRef/>
      </w:r>
      <w:r>
        <w:t xml:space="preserve"> </w:t>
      </w:r>
      <w:proofErr w:type="gramStart"/>
      <w:r w:rsidR="00644843">
        <w:t>Ibid.,</w:t>
      </w:r>
      <w:proofErr w:type="gramEnd"/>
      <w:r w:rsidR="00644843">
        <w:t xml:space="preserve"> </w:t>
      </w:r>
      <w:r w:rsidR="00AA2EEE">
        <w:t xml:space="preserve">p </w:t>
      </w:r>
      <w:r>
        <w:t>34</w:t>
      </w:r>
      <w:r w:rsidR="00AA2EEE">
        <w:t>.</w:t>
      </w:r>
    </w:p>
  </w:footnote>
  <w:footnote w:id="18">
    <w:p w:rsidR="00367186" w:rsidRDefault="00367186">
      <w:pPr>
        <w:pStyle w:val="FootnoteText"/>
      </w:pPr>
      <w:r>
        <w:rPr>
          <w:rStyle w:val="FootnoteReference"/>
        </w:rPr>
        <w:footnoteRef/>
      </w:r>
      <w:r>
        <w:t xml:space="preserve"> </w:t>
      </w:r>
      <w:proofErr w:type="gramStart"/>
      <w:r w:rsidR="000F079D">
        <w:t>Ibid.,</w:t>
      </w:r>
      <w:proofErr w:type="gramEnd"/>
      <w:r w:rsidR="000F079D">
        <w:t xml:space="preserve"> p 35.</w:t>
      </w:r>
    </w:p>
  </w:footnote>
  <w:footnote w:id="19">
    <w:p w:rsidR="00F025E1" w:rsidRDefault="00F025E1" w:rsidP="00F025E1">
      <w:pPr>
        <w:pStyle w:val="FootnoteText"/>
      </w:pPr>
      <w:r>
        <w:rPr>
          <w:rStyle w:val="FootnoteReference"/>
        </w:rPr>
        <w:footnoteRef/>
      </w:r>
      <w:r>
        <w:t xml:space="preserve"> [2015] AC 1787.</w:t>
      </w:r>
    </w:p>
  </w:footnote>
  <w:footnote w:id="20">
    <w:p w:rsidR="00367186" w:rsidRDefault="00367186">
      <w:pPr>
        <w:pStyle w:val="FootnoteText"/>
      </w:pPr>
      <w:r>
        <w:rPr>
          <w:rStyle w:val="FootnoteReference"/>
        </w:rPr>
        <w:footnoteRef/>
      </w:r>
      <w:r>
        <w:t xml:space="preserve"> </w:t>
      </w:r>
      <w:r w:rsidR="000F079D">
        <w:t xml:space="preserve">Freedom of Information Act 2000 s 53(2). </w:t>
      </w:r>
    </w:p>
  </w:footnote>
  <w:footnote w:id="21">
    <w:p w:rsidR="00D50690" w:rsidRDefault="00D50690" w:rsidP="00D50690">
      <w:pPr>
        <w:pStyle w:val="FootnoteText"/>
      </w:pPr>
      <w:r>
        <w:rPr>
          <w:rStyle w:val="FootnoteReference"/>
        </w:rPr>
        <w:footnoteRef/>
      </w:r>
      <w:r>
        <w:t xml:space="preserve"> Sumption, above n 2, p 40</w:t>
      </w:r>
      <w:r w:rsidRPr="00C06AE7">
        <w:t>.</w:t>
      </w:r>
    </w:p>
  </w:footnote>
  <w:footnote w:id="22">
    <w:p w:rsidR="003C5E34" w:rsidRDefault="003C5E34">
      <w:pPr>
        <w:pStyle w:val="FootnoteText"/>
      </w:pPr>
      <w:r>
        <w:rPr>
          <w:rStyle w:val="FootnoteReference"/>
        </w:rPr>
        <w:footnoteRef/>
      </w:r>
      <w:r>
        <w:t xml:space="preserve"> </w:t>
      </w:r>
      <w:r w:rsidRPr="003C5E34">
        <w:t>[1965] AC 75</w:t>
      </w:r>
      <w:r w:rsidR="00AA2EEE">
        <w:t>.</w:t>
      </w:r>
    </w:p>
  </w:footnote>
  <w:footnote w:id="23">
    <w:p w:rsidR="005E26AA" w:rsidRDefault="005E26AA">
      <w:pPr>
        <w:pStyle w:val="FootnoteText"/>
      </w:pPr>
      <w:r>
        <w:rPr>
          <w:rStyle w:val="FootnoteReference"/>
        </w:rPr>
        <w:footnoteRef/>
      </w:r>
      <w:r>
        <w:t xml:space="preserve"> 410 US 113 (1973)</w:t>
      </w:r>
      <w:r w:rsidR="00AA2EEE">
        <w:t>.</w:t>
      </w:r>
    </w:p>
  </w:footnote>
  <w:footnote w:id="24">
    <w:p w:rsidR="006F3CCA" w:rsidRDefault="006F3CCA">
      <w:pPr>
        <w:pStyle w:val="FootnoteText"/>
      </w:pPr>
      <w:r>
        <w:rPr>
          <w:rStyle w:val="FootnoteReference"/>
        </w:rPr>
        <w:footnoteRef/>
      </w:r>
      <w:r>
        <w:t xml:space="preserve"> Sumption, above n 2, p 86</w:t>
      </w:r>
      <w:r w:rsidR="002A4C39">
        <w:t>.</w:t>
      </w:r>
    </w:p>
  </w:footnote>
  <w:footnote w:id="25">
    <w:p w:rsidR="005E26AA" w:rsidRDefault="005E26AA" w:rsidP="005E26AA">
      <w:pPr>
        <w:pStyle w:val="FootnoteText"/>
      </w:pPr>
      <w:r>
        <w:rPr>
          <w:rStyle w:val="FootnoteReference"/>
        </w:rPr>
        <w:footnoteRef/>
      </w:r>
      <w:r>
        <w:t xml:space="preserve"> </w:t>
      </w:r>
      <w:proofErr w:type="gramStart"/>
      <w:r w:rsidR="006F3CCA">
        <w:t>Ibid.,</w:t>
      </w:r>
      <w:proofErr w:type="gramEnd"/>
      <w:r w:rsidR="006F3CCA">
        <w:t xml:space="preserve"> p</w:t>
      </w:r>
      <w:r w:rsidR="00AA2EEE">
        <w:t xml:space="preserve"> </w:t>
      </w:r>
      <w:r>
        <w:t>81</w:t>
      </w:r>
      <w:r w:rsidR="00AA2EEE">
        <w:t>.</w:t>
      </w:r>
    </w:p>
  </w:footnote>
  <w:footnote w:id="26">
    <w:p w:rsidR="006F3CCA" w:rsidRDefault="006F3CCA" w:rsidP="006F3CCA">
      <w:pPr>
        <w:pStyle w:val="FootnoteText"/>
      </w:pPr>
      <w:r>
        <w:rPr>
          <w:rStyle w:val="FootnoteReference"/>
        </w:rPr>
        <w:footnoteRef/>
      </w:r>
      <w:r>
        <w:t xml:space="preserve"> </w:t>
      </w:r>
      <w:proofErr w:type="gramStart"/>
      <w:r>
        <w:t>Ibid</w:t>
      </w:r>
      <w:r w:rsidR="00664EAD">
        <w:t>.</w:t>
      </w:r>
      <w:r>
        <w:t>,</w:t>
      </w:r>
      <w:proofErr w:type="gramEnd"/>
      <w:r>
        <w:t xml:space="preserve"> p 89.</w:t>
      </w:r>
    </w:p>
  </w:footnote>
  <w:footnote w:id="27">
    <w:p w:rsidR="00BC5F2E" w:rsidRPr="00B45F90" w:rsidRDefault="00BC5F2E">
      <w:pPr>
        <w:pStyle w:val="FootnoteText"/>
        <w:rPr>
          <w:highlight w:val="yellow"/>
        </w:rPr>
      </w:pPr>
      <w:r>
        <w:rPr>
          <w:rStyle w:val="FootnoteReference"/>
        </w:rPr>
        <w:footnoteRef/>
      </w:r>
      <w:r>
        <w:t xml:space="preserve"> </w:t>
      </w:r>
      <w:r w:rsidR="002C3642">
        <w:t xml:space="preserve"> </w:t>
      </w:r>
      <w:r w:rsidR="002C3642" w:rsidRPr="00B45F90">
        <w:t xml:space="preserve">N F Russo &amp; J E </w:t>
      </w:r>
      <w:proofErr w:type="spellStart"/>
      <w:r w:rsidR="002C3642" w:rsidRPr="00B45F90">
        <w:t>Denious</w:t>
      </w:r>
      <w:proofErr w:type="spellEnd"/>
      <w:r w:rsidR="002C3642" w:rsidRPr="00B45F90">
        <w:t xml:space="preserve"> ‘Why is abortion such a controversial issue the United States?’ in L J Beckman &amp; S M Harvey (</w:t>
      </w:r>
      <w:proofErr w:type="spellStart"/>
      <w:r w:rsidR="002C3642" w:rsidRPr="00B45F90">
        <w:t>eds</w:t>
      </w:r>
      <w:proofErr w:type="spellEnd"/>
      <w:r w:rsidR="002C3642" w:rsidRPr="00B45F90">
        <w:t xml:space="preserve">) </w:t>
      </w:r>
      <w:r w:rsidR="002C3642" w:rsidRPr="00B45F90">
        <w:rPr>
          <w:i/>
        </w:rPr>
        <w:t>The new civil war: The psychology, culture, and politics of abortion</w:t>
      </w:r>
      <w:r w:rsidR="002C3642" w:rsidRPr="00B45F90">
        <w:t xml:space="preserve"> (</w:t>
      </w:r>
      <w:r w:rsidR="00B45F90" w:rsidRPr="00B45F90">
        <w:t xml:space="preserve">Massachusetts: American Psychological Association, </w:t>
      </w:r>
      <w:r w:rsidR="002C3642" w:rsidRPr="00B45F90">
        <w:t>1998) pp 25-59</w:t>
      </w:r>
      <w:r w:rsidR="007543B4">
        <w:t>.</w:t>
      </w:r>
    </w:p>
  </w:footnote>
  <w:footnote w:id="28">
    <w:p w:rsidR="00803AAA" w:rsidRDefault="00803AAA">
      <w:pPr>
        <w:pStyle w:val="FootnoteText"/>
      </w:pPr>
      <w:r>
        <w:rPr>
          <w:rStyle w:val="FootnoteReference"/>
        </w:rPr>
        <w:footnoteRef/>
      </w:r>
      <w:r>
        <w:t xml:space="preserve">  </w:t>
      </w:r>
      <w:r w:rsidR="00B807EE">
        <w:t xml:space="preserve">Throughout the book, Sumption refers to the Constitution of the United Kingdom as the British Constitution.   </w:t>
      </w:r>
    </w:p>
  </w:footnote>
  <w:footnote w:id="29">
    <w:p w:rsidR="00803AAA" w:rsidRDefault="00803AAA">
      <w:pPr>
        <w:pStyle w:val="FootnoteText"/>
      </w:pPr>
      <w:r>
        <w:rPr>
          <w:rStyle w:val="FootnoteReference"/>
        </w:rPr>
        <w:footnoteRef/>
      </w:r>
      <w:r>
        <w:t xml:space="preserve"> </w:t>
      </w:r>
      <w:r w:rsidR="00B807EE" w:rsidRPr="00F35C2C">
        <w:t xml:space="preserve">A better term here would be </w:t>
      </w:r>
      <w:r w:rsidR="007543B4">
        <w:t>‘</w:t>
      </w:r>
      <w:r w:rsidR="00B807EE" w:rsidRPr="00F35C2C">
        <w:t>uncodified constitution</w:t>
      </w:r>
      <w:r w:rsidR="005B0F34">
        <w:t>’</w:t>
      </w:r>
      <w:r w:rsidR="00B807EE" w:rsidRPr="00F35C2C">
        <w:t>. The use of the phrase ‘unwritten’ implies that the Constitution of the United Kingdom is not physical</w:t>
      </w:r>
      <w:r w:rsidR="005B0F34">
        <w:t>ly</w:t>
      </w:r>
      <w:r w:rsidR="00B807EE" w:rsidRPr="00F35C2C">
        <w:t xml:space="preserve"> contained within legal </w:t>
      </w:r>
      <w:r w:rsidR="00E67F88" w:rsidRPr="00F35C2C">
        <w:t>provisions</w:t>
      </w:r>
      <w:r w:rsidR="00B807EE" w:rsidRPr="00F35C2C">
        <w:t xml:space="preserve">. However, the Constitution of the United Kingdom is located in a variety of legal </w:t>
      </w:r>
      <w:r w:rsidR="00E67F88" w:rsidRPr="00F35C2C">
        <w:t>provisions</w:t>
      </w:r>
      <w:r w:rsidR="00B807EE" w:rsidRPr="00F35C2C">
        <w:t xml:space="preserve"> but unlike that of the United States of America, it is not contained in one coherent </w:t>
      </w:r>
      <w:r w:rsidR="00E67F88" w:rsidRPr="00F35C2C">
        <w:t>document</w:t>
      </w:r>
      <w:r w:rsidR="00B807EE" w:rsidRPr="00F35C2C">
        <w:t>.</w:t>
      </w:r>
      <w:r>
        <w:t xml:space="preserve"> </w:t>
      </w:r>
    </w:p>
  </w:footnote>
  <w:footnote w:id="30">
    <w:p w:rsidR="0058395F" w:rsidRDefault="0058395F" w:rsidP="0058395F">
      <w:pPr>
        <w:pStyle w:val="FootnoteText"/>
      </w:pPr>
      <w:r>
        <w:rPr>
          <w:rStyle w:val="FootnoteReference"/>
        </w:rPr>
        <w:footnoteRef/>
      </w:r>
      <w:r>
        <w:t xml:space="preserve"> Sumption, above n 2, p 99-100.</w:t>
      </w:r>
    </w:p>
  </w:footnote>
  <w:footnote w:id="31">
    <w:p w:rsidR="004E35E0" w:rsidRDefault="004E35E0">
      <w:pPr>
        <w:pStyle w:val="FootnoteText"/>
      </w:pPr>
      <w:r>
        <w:rPr>
          <w:rStyle w:val="FootnoteReference"/>
        </w:rPr>
        <w:footnoteRef/>
      </w:r>
      <w:r>
        <w:t xml:space="preserve"> </w:t>
      </w:r>
      <w:proofErr w:type="gramStart"/>
      <w:r>
        <w:t>Ibid</w:t>
      </w:r>
      <w:r w:rsidR="00FF5374">
        <w:t>.</w:t>
      </w:r>
      <w:r>
        <w:t>,</w:t>
      </w:r>
      <w:proofErr w:type="gramEnd"/>
      <w:r>
        <w:t xml:space="preserve"> p 41.</w:t>
      </w:r>
    </w:p>
  </w:footnote>
  <w:footnote w:id="32">
    <w:p w:rsidR="00084D96" w:rsidRDefault="00084D96" w:rsidP="00084D96">
      <w:pPr>
        <w:pStyle w:val="FootnoteText"/>
      </w:pPr>
      <w:r>
        <w:rPr>
          <w:rStyle w:val="FootnoteReference"/>
        </w:rPr>
        <w:footnoteRef/>
      </w:r>
      <w:r>
        <w:t xml:space="preserve"> </w:t>
      </w:r>
      <w:proofErr w:type="gramStart"/>
      <w:r w:rsidR="00AA2EEE">
        <w:t>Ibid</w:t>
      </w:r>
      <w:r w:rsidR="00FF5374">
        <w:t>.</w:t>
      </w:r>
      <w:r w:rsidR="00AA2EEE">
        <w:t>,</w:t>
      </w:r>
      <w:proofErr w:type="gramEnd"/>
      <w:r>
        <w:t xml:space="preserve"> </w:t>
      </w:r>
      <w:r w:rsidR="002746EB">
        <w:t xml:space="preserve">p </w:t>
      </w:r>
      <w:r>
        <w:t>111</w:t>
      </w:r>
      <w:r w:rsidR="00AA2EEE">
        <w:t>.</w:t>
      </w:r>
    </w:p>
  </w:footnote>
  <w:footnote w:id="33">
    <w:p w:rsidR="00084D96" w:rsidRDefault="00084D96" w:rsidP="00084D96">
      <w:pPr>
        <w:pStyle w:val="FootnoteText"/>
      </w:pPr>
      <w:r>
        <w:rPr>
          <w:rStyle w:val="FootnoteReference"/>
        </w:rPr>
        <w:footnoteRef/>
      </w:r>
      <w:r>
        <w:t xml:space="preserve"> </w:t>
      </w:r>
      <w:proofErr w:type="gramStart"/>
      <w:r w:rsidR="00865566">
        <w:t>Ibid.,</w:t>
      </w:r>
      <w:proofErr w:type="gramEnd"/>
      <w:r w:rsidR="00AA2EEE">
        <w:t xml:space="preserve"> </w:t>
      </w:r>
      <w:r w:rsidR="002746EB">
        <w:t xml:space="preserve">p </w:t>
      </w:r>
      <w:r>
        <w:t>112</w:t>
      </w:r>
      <w:r w:rsidR="00AA2EE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6"/>
    <w:rsid w:val="000035C8"/>
    <w:rsid w:val="000116CE"/>
    <w:rsid w:val="00012FF6"/>
    <w:rsid w:val="00013EFE"/>
    <w:rsid w:val="00027D40"/>
    <w:rsid w:val="00031ED8"/>
    <w:rsid w:val="00034C5C"/>
    <w:rsid w:val="00042FED"/>
    <w:rsid w:val="000604E2"/>
    <w:rsid w:val="000760DE"/>
    <w:rsid w:val="00083E6E"/>
    <w:rsid w:val="00084D96"/>
    <w:rsid w:val="00085F7E"/>
    <w:rsid w:val="00086547"/>
    <w:rsid w:val="00097A6C"/>
    <w:rsid w:val="000C6639"/>
    <w:rsid w:val="000F079D"/>
    <w:rsid w:val="000F7743"/>
    <w:rsid w:val="00113096"/>
    <w:rsid w:val="00134497"/>
    <w:rsid w:val="001448A5"/>
    <w:rsid w:val="00167ACD"/>
    <w:rsid w:val="001760D4"/>
    <w:rsid w:val="00180311"/>
    <w:rsid w:val="00190C69"/>
    <w:rsid w:val="0019110D"/>
    <w:rsid w:val="00196A7F"/>
    <w:rsid w:val="001A042B"/>
    <w:rsid w:val="001C43CF"/>
    <w:rsid w:val="001C53C3"/>
    <w:rsid w:val="001C757B"/>
    <w:rsid w:val="001D4B88"/>
    <w:rsid w:val="001D697D"/>
    <w:rsid w:val="001E4C6A"/>
    <w:rsid w:val="001E6B55"/>
    <w:rsid w:val="0021598F"/>
    <w:rsid w:val="002544CF"/>
    <w:rsid w:val="00264C66"/>
    <w:rsid w:val="00265A7F"/>
    <w:rsid w:val="002746EB"/>
    <w:rsid w:val="00281ADB"/>
    <w:rsid w:val="00285D1B"/>
    <w:rsid w:val="00290327"/>
    <w:rsid w:val="0029582A"/>
    <w:rsid w:val="002A3C3C"/>
    <w:rsid w:val="002A4C39"/>
    <w:rsid w:val="002C3642"/>
    <w:rsid w:val="002E5797"/>
    <w:rsid w:val="002E7833"/>
    <w:rsid w:val="002F4313"/>
    <w:rsid w:val="002F548E"/>
    <w:rsid w:val="003061C3"/>
    <w:rsid w:val="003136B2"/>
    <w:rsid w:val="003311DD"/>
    <w:rsid w:val="003328A0"/>
    <w:rsid w:val="00351261"/>
    <w:rsid w:val="00353B42"/>
    <w:rsid w:val="00367186"/>
    <w:rsid w:val="0037218C"/>
    <w:rsid w:val="003A62A3"/>
    <w:rsid w:val="003C4E54"/>
    <w:rsid w:val="003C5E34"/>
    <w:rsid w:val="003C5E5B"/>
    <w:rsid w:val="003C64AE"/>
    <w:rsid w:val="003C76BC"/>
    <w:rsid w:val="003D1D68"/>
    <w:rsid w:val="003D7C45"/>
    <w:rsid w:val="003E0E4F"/>
    <w:rsid w:val="003F42F9"/>
    <w:rsid w:val="0040426C"/>
    <w:rsid w:val="0040669D"/>
    <w:rsid w:val="00412C23"/>
    <w:rsid w:val="00412D5F"/>
    <w:rsid w:val="0042548F"/>
    <w:rsid w:val="00431E6B"/>
    <w:rsid w:val="0043481F"/>
    <w:rsid w:val="00441095"/>
    <w:rsid w:val="00450A5C"/>
    <w:rsid w:val="00467693"/>
    <w:rsid w:val="004818D6"/>
    <w:rsid w:val="004D2370"/>
    <w:rsid w:val="004E35E0"/>
    <w:rsid w:val="004E6DF8"/>
    <w:rsid w:val="004F3D84"/>
    <w:rsid w:val="0051319E"/>
    <w:rsid w:val="005410D6"/>
    <w:rsid w:val="00546725"/>
    <w:rsid w:val="00550680"/>
    <w:rsid w:val="0058395F"/>
    <w:rsid w:val="005926C7"/>
    <w:rsid w:val="005B0F34"/>
    <w:rsid w:val="005C03B3"/>
    <w:rsid w:val="005D0324"/>
    <w:rsid w:val="005D4E5D"/>
    <w:rsid w:val="005E26AA"/>
    <w:rsid w:val="005F6F86"/>
    <w:rsid w:val="00610CD2"/>
    <w:rsid w:val="00634742"/>
    <w:rsid w:val="00634B7D"/>
    <w:rsid w:val="0064095C"/>
    <w:rsid w:val="00644843"/>
    <w:rsid w:val="00647F4E"/>
    <w:rsid w:val="00657EB2"/>
    <w:rsid w:val="006615ED"/>
    <w:rsid w:val="00664EAD"/>
    <w:rsid w:val="00674C3A"/>
    <w:rsid w:val="006777C2"/>
    <w:rsid w:val="00686718"/>
    <w:rsid w:val="006D0147"/>
    <w:rsid w:val="006D4A7E"/>
    <w:rsid w:val="006D4DD1"/>
    <w:rsid w:val="006F3CCA"/>
    <w:rsid w:val="007010E6"/>
    <w:rsid w:val="007251DD"/>
    <w:rsid w:val="0072724B"/>
    <w:rsid w:val="007543B4"/>
    <w:rsid w:val="007601B1"/>
    <w:rsid w:val="007616F8"/>
    <w:rsid w:val="00777DBA"/>
    <w:rsid w:val="0078424D"/>
    <w:rsid w:val="00787065"/>
    <w:rsid w:val="00797138"/>
    <w:rsid w:val="007A684A"/>
    <w:rsid w:val="007C4E3C"/>
    <w:rsid w:val="007E04CF"/>
    <w:rsid w:val="007E7063"/>
    <w:rsid w:val="008035D2"/>
    <w:rsid w:val="00803AAA"/>
    <w:rsid w:val="00811268"/>
    <w:rsid w:val="00812615"/>
    <w:rsid w:val="008220F1"/>
    <w:rsid w:val="0082289D"/>
    <w:rsid w:val="00825F96"/>
    <w:rsid w:val="00844E14"/>
    <w:rsid w:val="008619EA"/>
    <w:rsid w:val="008651C2"/>
    <w:rsid w:val="00865566"/>
    <w:rsid w:val="0087048F"/>
    <w:rsid w:val="0087358B"/>
    <w:rsid w:val="008744D3"/>
    <w:rsid w:val="00885B2E"/>
    <w:rsid w:val="00891DF6"/>
    <w:rsid w:val="008E2523"/>
    <w:rsid w:val="008E55CA"/>
    <w:rsid w:val="008E57F2"/>
    <w:rsid w:val="008F1F0B"/>
    <w:rsid w:val="008F2848"/>
    <w:rsid w:val="008F37E5"/>
    <w:rsid w:val="008F63CF"/>
    <w:rsid w:val="00900DB1"/>
    <w:rsid w:val="0091207D"/>
    <w:rsid w:val="00912823"/>
    <w:rsid w:val="00920A36"/>
    <w:rsid w:val="0092445C"/>
    <w:rsid w:val="00924D76"/>
    <w:rsid w:val="0092539D"/>
    <w:rsid w:val="00943078"/>
    <w:rsid w:val="009544FB"/>
    <w:rsid w:val="00957BF3"/>
    <w:rsid w:val="009630E8"/>
    <w:rsid w:val="009865BE"/>
    <w:rsid w:val="009A4551"/>
    <w:rsid w:val="009B376D"/>
    <w:rsid w:val="009D495C"/>
    <w:rsid w:val="009F3890"/>
    <w:rsid w:val="009F7E23"/>
    <w:rsid w:val="00A17A21"/>
    <w:rsid w:val="00A50034"/>
    <w:rsid w:val="00A50675"/>
    <w:rsid w:val="00A54CCE"/>
    <w:rsid w:val="00A56AB7"/>
    <w:rsid w:val="00A84D93"/>
    <w:rsid w:val="00A91408"/>
    <w:rsid w:val="00AA2EEE"/>
    <w:rsid w:val="00AB44D5"/>
    <w:rsid w:val="00AB550C"/>
    <w:rsid w:val="00AC014B"/>
    <w:rsid w:val="00AC5954"/>
    <w:rsid w:val="00AD0FD5"/>
    <w:rsid w:val="00AE08F6"/>
    <w:rsid w:val="00AE4B3C"/>
    <w:rsid w:val="00AF7D6D"/>
    <w:rsid w:val="00B103E6"/>
    <w:rsid w:val="00B161C3"/>
    <w:rsid w:val="00B20CAC"/>
    <w:rsid w:val="00B22715"/>
    <w:rsid w:val="00B31BC2"/>
    <w:rsid w:val="00B3712D"/>
    <w:rsid w:val="00B45F90"/>
    <w:rsid w:val="00B570CD"/>
    <w:rsid w:val="00B57FFD"/>
    <w:rsid w:val="00B6060F"/>
    <w:rsid w:val="00B62DAA"/>
    <w:rsid w:val="00B74AB4"/>
    <w:rsid w:val="00B807EE"/>
    <w:rsid w:val="00B848D4"/>
    <w:rsid w:val="00B94542"/>
    <w:rsid w:val="00B94D80"/>
    <w:rsid w:val="00BA0377"/>
    <w:rsid w:val="00BC24B2"/>
    <w:rsid w:val="00BC5F2E"/>
    <w:rsid w:val="00BE5BF6"/>
    <w:rsid w:val="00BE7174"/>
    <w:rsid w:val="00C0595E"/>
    <w:rsid w:val="00C06AE7"/>
    <w:rsid w:val="00C46EE1"/>
    <w:rsid w:val="00C753EE"/>
    <w:rsid w:val="00CD23D7"/>
    <w:rsid w:val="00D07E79"/>
    <w:rsid w:val="00D2289E"/>
    <w:rsid w:val="00D27400"/>
    <w:rsid w:val="00D50690"/>
    <w:rsid w:val="00D56268"/>
    <w:rsid w:val="00D64F95"/>
    <w:rsid w:val="00D7658E"/>
    <w:rsid w:val="00D80C63"/>
    <w:rsid w:val="00D94B5F"/>
    <w:rsid w:val="00DB35D4"/>
    <w:rsid w:val="00DC6279"/>
    <w:rsid w:val="00DE58FE"/>
    <w:rsid w:val="00E01C18"/>
    <w:rsid w:val="00E0592C"/>
    <w:rsid w:val="00E12FFD"/>
    <w:rsid w:val="00E13BB8"/>
    <w:rsid w:val="00E33467"/>
    <w:rsid w:val="00E51ABA"/>
    <w:rsid w:val="00E555B5"/>
    <w:rsid w:val="00E67F88"/>
    <w:rsid w:val="00E84F7B"/>
    <w:rsid w:val="00E978A9"/>
    <w:rsid w:val="00ED2315"/>
    <w:rsid w:val="00ED4114"/>
    <w:rsid w:val="00EE003E"/>
    <w:rsid w:val="00EE41AD"/>
    <w:rsid w:val="00EE5925"/>
    <w:rsid w:val="00F016CA"/>
    <w:rsid w:val="00F025E1"/>
    <w:rsid w:val="00F0676C"/>
    <w:rsid w:val="00F22298"/>
    <w:rsid w:val="00F23F99"/>
    <w:rsid w:val="00F25BE4"/>
    <w:rsid w:val="00F35C2C"/>
    <w:rsid w:val="00F44684"/>
    <w:rsid w:val="00F60D47"/>
    <w:rsid w:val="00F71ACF"/>
    <w:rsid w:val="00F84D11"/>
    <w:rsid w:val="00F90992"/>
    <w:rsid w:val="00FA0688"/>
    <w:rsid w:val="00FD3073"/>
    <w:rsid w:val="00FD5855"/>
    <w:rsid w:val="00FE331B"/>
    <w:rsid w:val="00FF2771"/>
    <w:rsid w:val="00FF5374"/>
    <w:rsid w:val="00FF6E12"/>
    <w:rsid w:val="00FF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DB67"/>
  <w15:chartTrackingRefBased/>
  <w15:docId w15:val="{0B43FAD2-7262-4335-B20C-794BD1E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1D68"/>
    <w:rPr>
      <w:sz w:val="20"/>
      <w:szCs w:val="20"/>
    </w:rPr>
  </w:style>
  <w:style w:type="character" w:customStyle="1" w:styleId="FootnoteTextChar">
    <w:name w:val="Footnote Text Char"/>
    <w:basedOn w:val="DefaultParagraphFont"/>
    <w:link w:val="FootnoteText"/>
    <w:uiPriority w:val="99"/>
    <w:semiHidden/>
    <w:rsid w:val="003D1D68"/>
    <w:rPr>
      <w:sz w:val="20"/>
      <w:szCs w:val="20"/>
    </w:rPr>
  </w:style>
  <w:style w:type="character" w:styleId="FootnoteReference">
    <w:name w:val="footnote reference"/>
    <w:basedOn w:val="DefaultParagraphFont"/>
    <w:uiPriority w:val="99"/>
    <w:semiHidden/>
    <w:unhideWhenUsed/>
    <w:rsid w:val="003D1D68"/>
    <w:rPr>
      <w:vertAlign w:val="superscript"/>
    </w:rPr>
  </w:style>
  <w:style w:type="character" w:styleId="Hyperlink">
    <w:name w:val="Hyperlink"/>
    <w:basedOn w:val="DefaultParagraphFont"/>
    <w:uiPriority w:val="99"/>
    <w:unhideWhenUsed/>
    <w:rsid w:val="008619EA"/>
    <w:rPr>
      <w:color w:val="0563C1" w:themeColor="hyperlink"/>
      <w:u w:val="single"/>
    </w:rPr>
  </w:style>
  <w:style w:type="paragraph" w:styleId="BalloonText">
    <w:name w:val="Balloon Text"/>
    <w:basedOn w:val="Normal"/>
    <w:link w:val="BalloonTextChar"/>
    <w:uiPriority w:val="99"/>
    <w:semiHidden/>
    <w:unhideWhenUsed/>
    <w:rsid w:val="00812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15"/>
    <w:rPr>
      <w:rFonts w:ascii="Segoe UI" w:hAnsi="Segoe UI" w:cs="Segoe UI"/>
      <w:sz w:val="18"/>
      <w:szCs w:val="18"/>
    </w:rPr>
  </w:style>
  <w:style w:type="paragraph" w:styleId="Header">
    <w:name w:val="header"/>
    <w:basedOn w:val="Normal"/>
    <w:link w:val="HeaderChar"/>
    <w:uiPriority w:val="99"/>
    <w:unhideWhenUsed/>
    <w:rsid w:val="00412D5F"/>
    <w:pPr>
      <w:tabs>
        <w:tab w:val="center" w:pos="4513"/>
        <w:tab w:val="right" w:pos="9026"/>
      </w:tabs>
    </w:pPr>
  </w:style>
  <w:style w:type="character" w:customStyle="1" w:styleId="HeaderChar">
    <w:name w:val="Header Char"/>
    <w:basedOn w:val="DefaultParagraphFont"/>
    <w:link w:val="Header"/>
    <w:uiPriority w:val="99"/>
    <w:rsid w:val="00412D5F"/>
    <w:rPr>
      <w:sz w:val="24"/>
      <w:szCs w:val="24"/>
    </w:rPr>
  </w:style>
  <w:style w:type="paragraph" w:styleId="Footer">
    <w:name w:val="footer"/>
    <w:basedOn w:val="Normal"/>
    <w:link w:val="FooterChar"/>
    <w:uiPriority w:val="99"/>
    <w:unhideWhenUsed/>
    <w:rsid w:val="00412D5F"/>
    <w:pPr>
      <w:tabs>
        <w:tab w:val="center" w:pos="4513"/>
        <w:tab w:val="right" w:pos="9026"/>
      </w:tabs>
    </w:pPr>
  </w:style>
  <w:style w:type="character" w:customStyle="1" w:styleId="FooterChar">
    <w:name w:val="Footer Char"/>
    <w:basedOn w:val="DefaultParagraphFont"/>
    <w:link w:val="Footer"/>
    <w:uiPriority w:val="99"/>
    <w:rsid w:val="00412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6591-6406-46BE-83A1-8F2476AB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2178</Words>
  <Characters>11239</Characters>
  <Application>Microsoft Office Word</Application>
  <DocSecurity>0</DocSecurity>
  <Lines>172</Lines>
  <Paragraphs>20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Bliss (Birmingham Law School)</dc:creator>
  <cp:keywords/>
  <dc:description/>
  <cp:lastModifiedBy>Laura Bliss (Birmingham Law School)</cp:lastModifiedBy>
  <cp:revision>19</cp:revision>
  <cp:lastPrinted>2021-02-08T14:42:00Z</cp:lastPrinted>
  <dcterms:created xsi:type="dcterms:W3CDTF">2021-01-25T13:36:00Z</dcterms:created>
  <dcterms:modified xsi:type="dcterms:W3CDTF">2021-02-08T15:10:00Z</dcterms:modified>
</cp:coreProperties>
</file>