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3101" w14:textId="77777777" w:rsidR="004423E0" w:rsidRPr="00CA4D1A" w:rsidRDefault="004423E0" w:rsidP="004423E0">
      <w:pPr>
        <w:pStyle w:val="Title1"/>
      </w:pPr>
      <w:r w:rsidRPr="00CA4D1A">
        <w:t>Conceptualising and teaching biomedical uncertainty to medical students:</w:t>
      </w:r>
    </w:p>
    <w:p w14:paraId="0457A438" w14:textId="77777777" w:rsidR="004423E0" w:rsidRPr="00CA4D1A" w:rsidRDefault="004423E0" w:rsidP="004423E0">
      <w:pPr>
        <w:pStyle w:val="Title1"/>
      </w:pPr>
      <w:r w:rsidRPr="00CA4D1A">
        <w:t>an exploratory qualitative study</w:t>
      </w:r>
    </w:p>
    <w:p w14:paraId="7693CCAC" w14:textId="77777777" w:rsidR="004423E0" w:rsidRDefault="004423E0" w:rsidP="004423E0">
      <w:pPr>
        <w:pStyle w:val="author"/>
      </w:pPr>
    </w:p>
    <w:p w14:paraId="3143BC4E" w14:textId="2880F716" w:rsidR="004423E0" w:rsidRPr="00CA4D1A" w:rsidRDefault="004423E0" w:rsidP="004423E0">
      <w:pPr>
        <w:pStyle w:val="author"/>
      </w:pPr>
      <w:r w:rsidRPr="00CA4D1A">
        <w:t xml:space="preserve">Authors: </w:t>
      </w:r>
    </w:p>
    <w:p w14:paraId="662F7835" w14:textId="77777777" w:rsidR="004423E0" w:rsidRDefault="004423E0" w:rsidP="004423E0">
      <w:pPr>
        <w:pStyle w:val="author"/>
      </w:pPr>
      <w:r w:rsidRPr="004423E0">
        <w:t>Dr Eva Luksaite</w:t>
      </w:r>
      <w:r>
        <w:t xml:space="preserve">, </w:t>
      </w:r>
    </w:p>
    <w:p w14:paraId="0E9BCC83" w14:textId="462385EF" w:rsidR="004423E0" w:rsidRPr="00CA4D1A" w:rsidRDefault="004423E0" w:rsidP="004423E0">
      <w:pPr>
        <w:pStyle w:val="affiliation"/>
      </w:pPr>
      <w:r w:rsidRPr="00CA4D1A">
        <w:t xml:space="preserve">School of Medicine, </w:t>
      </w:r>
      <w:proofErr w:type="spellStart"/>
      <w:r w:rsidRPr="00CA4D1A">
        <w:t>Keele</w:t>
      </w:r>
      <w:proofErr w:type="spellEnd"/>
      <w:r w:rsidRPr="00CA4D1A">
        <w:t xml:space="preserve"> University</w:t>
      </w:r>
      <w:r>
        <w:t xml:space="preserve">, </w:t>
      </w:r>
      <w:proofErr w:type="spellStart"/>
      <w:r>
        <w:t>Keele</w:t>
      </w:r>
      <w:proofErr w:type="spellEnd"/>
      <w:r>
        <w:t>, Staffordshire, United Kingdom</w:t>
      </w:r>
    </w:p>
    <w:p w14:paraId="3C9469E0" w14:textId="593E0FE0" w:rsidR="004423E0" w:rsidRDefault="004423E0" w:rsidP="004423E0">
      <w:pPr>
        <w:pStyle w:val="author"/>
      </w:pPr>
      <w:r w:rsidRPr="004423E0">
        <w:t>Professor Rosemary Fricker</w:t>
      </w:r>
      <w:r w:rsidRPr="00CA4D1A">
        <w:t xml:space="preserve"> </w:t>
      </w:r>
    </w:p>
    <w:p w14:paraId="0A017EB5" w14:textId="24AE995B" w:rsidR="004423E0" w:rsidRPr="00CA4D1A" w:rsidRDefault="004423E0" w:rsidP="004423E0">
      <w:pPr>
        <w:pStyle w:val="affiliation"/>
      </w:pPr>
      <w:r w:rsidRPr="00CA4D1A">
        <w:t xml:space="preserve">School of Medicine, </w:t>
      </w:r>
      <w:proofErr w:type="spellStart"/>
      <w:r w:rsidRPr="00CA4D1A">
        <w:t>Keele</w:t>
      </w:r>
      <w:proofErr w:type="spellEnd"/>
      <w:r w:rsidRPr="00CA4D1A">
        <w:t xml:space="preserve"> University</w:t>
      </w:r>
      <w:r>
        <w:t xml:space="preserve">, </w:t>
      </w:r>
      <w:proofErr w:type="spellStart"/>
      <w:r>
        <w:t>Keele</w:t>
      </w:r>
      <w:proofErr w:type="spellEnd"/>
      <w:r>
        <w:t>, Staffordshire, United Kingdom</w:t>
      </w:r>
    </w:p>
    <w:p w14:paraId="01FDBE96" w14:textId="3532C98E" w:rsidR="004423E0" w:rsidRPr="004423E0" w:rsidRDefault="004423E0" w:rsidP="004423E0">
      <w:pPr>
        <w:pStyle w:val="author"/>
      </w:pPr>
      <w:r w:rsidRPr="004423E0">
        <w:t>Professor Robert K. McKinley</w:t>
      </w:r>
    </w:p>
    <w:p w14:paraId="7666934F" w14:textId="786B2932" w:rsidR="004423E0" w:rsidRPr="00CA4D1A" w:rsidRDefault="004423E0" w:rsidP="004423E0">
      <w:pPr>
        <w:pStyle w:val="affiliation"/>
      </w:pPr>
      <w:r w:rsidRPr="00CA4D1A">
        <w:t xml:space="preserve">School of Medicine, </w:t>
      </w:r>
      <w:proofErr w:type="spellStart"/>
      <w:r w:rsidRPr="00CA4D1A">
        <w:t>Keele</w:t>
      </w:r>
      <w:proofErr w:type="spellEnd"/>
      <w:r w:rsidRPr="00CA4D1A">
        <w:t xml:space="preserve"> University</w:t>
      </w:r>
      <w:r>
        <w:t xml:space="preserve">, </w:t>
      </w:r>
      <w:proofErr w:type="spellStart"/>
      <w:r>
        <w:t>Keele</w:t>
      </w:r>
      <w:proofErr w:type="spellEnd"/>
      <w:r>
        <w:t>, Staffordshire, United Kingdom</w:t>
      </w:r>
    </w:p>
    <w:p w14:paraId="39D47F7C" w14:textId="2BEA133B" w:rsidR="004423E0" w:rsidRDefault="004423E0" w:rsidP="004423E0">
      <w:pPr>
        <w:pStyle w:val="author"/>
      </w:pPr>
      <w:r w:rsidRPr="00CA4D1A">
        <w:t xml:space="preserve">Professor Lisa </w:t>
      </w:r>
      <w:proofErr w:type="spellStart"/>
      <w:r w:rsidRPr="00CA4D1A">
        <w:t>Dikomitis</w:t>
      </w:r>
      <w:proofErr w:type="spellEnd"/>
    </w:p>
    <w:p w14:paraId="582E2852" w14:textId="4DF08FA8" w:rsidR="004423E0" w:rsidRPr="00CA4D1A" w:rsidRDefault="004423E0" w:rsidP="004423E0">
      <w:pPr>
        <w:pStyle w:val="affiliation"/>
      </w:pPr>
      <w:r w:rsidRPr="00CA4D1A">
        <w:t xml:space="preserve">School of Medicine, </w:t>
      </w:r>
      <w:proofErr w:type="spellStart"/>
      <w:r w:rsidRPr="00CA4D1A">
        <w:t>Keele</w:t>
      </w:r>
      <w:proofErr w:type="spellEnd"/>
      <w:r w:rsidRPr="00CA4D1A">
        <w:t xml:space="preserve"> University</w:t>
      </w:r>
      <w:r>
        <w:t xml:space="preserve">, </w:t>
      </w:r>
      <w:proofErr w:type="spellStart"/>
      <w:r>
        <w:t>Keele</w:t>
      </w:r>
      <w:proofErr w:type="spellEnd"/>
      <w:r>
        <w:t>, Staffordshire, United Kingdom</w:t>
      </w:r>
    </w:p>
    <w:p w14:paraId="7DCDBDE8" w14:textId="77777777" w:rsidR="004423E0" w:rsidRPr="00CA4D1A" w:rsidRDefault="004423E0" w:rsidP="004423E0">
      <w:pPr>
        <w:pStyle w:val="BodyA"/>
        <w:spacing w:before="100" w:after="200"/>
        <w:rPr>
          <w:rFonts w:ascii="Times New Roman" w:eastAsia="Times New Roman" w:hAnsi="Times New Roman" w:cs="Times New Roman"/>
          <w:sz w:val="24"/>
          <w:szCs w:val="24"/>
          <w:lang w:val="en-GB"/>
        </w:rPr>
      </w:pPr>
    </w:p>
    <w:p w14:paraId="58FB719A" w14:textId="77777777" w:rsidR="004423E0" w:rsidRPr="00CA4D1A" w:rsidRDefault="004423E0" w:rsidP="004423E0">
      <w:pPr>
        <w:pStyle w:val="BodyA"/>
        <w:spacing w:before="100" w:after="200"/>
        <w:rPr>
          <w:rFonts w:ascii="Times New Roman" w:eastAsia="Times New Roman" w:hAnsi="Times New Roman" w:cs="Times New Roman"/>
          <w:b/>
          <w:bCs/>
          <w:sz w:val="24"/>
          <w:szCs w:val="24"/>
          <w:lang w:val="en-GB"/>
        </w:rPr>
      </w:pPr>
      <w:r w:rsidRPr="00CA4D1A">
        <w:rPr>
          <w:rFonts w:ascii="Times New Roman" w:hAnsi="Times New Roman" w:cs="Times New Roman"/>
          <w:b/>
          <w:bCs/>
          <w:sz w:val="24"/>
          <w:szCs w:val="24"/>
          <w:lang w:val="en-GB"/>
        </w:rPr>
        <w:t>Corresponding author:</w:t>
      </w:r>
    </w:p>
    <w:p w14:paraId="414218C2" w14:textId="77777777" w:rsidR="004423E0" w:rsidRPr="00CA4D1A" w:rsidRDefault="004423E0" w:rsidP="004423E0">
      <w:pPr>
        <w:pStyle w:val="author"/>
      </w:pPr>
      <w:r w:rsidRPr="00CA4D1A">
        <w:t>Dr Eva Luksaite</w:t>
      </w:r>
    </w:p>
    <w:p w14:paraId="1FBC8EF7" w14:textId="77777777" w:rsidR="004423E0" w:rsidRPr="00CA4D1A" w:rsidRDefault="004423E0" w:rsidP="004423E0">
      <w:pPr>
        <w:pStyle w:val="affiliation"/>
      </w:pPr>
      <w:r w:rsidRPr="00CA4D1A">
        <w:t>School of Medicine</w:t>
      </w:r>
    </w:p>
    <w:p w14:paraId="1FC54DF5" w14:textId="77777777" w:rsidR="004423E0" w:rsidRPr="00CA4D1A" w:rsidRDefault="004423E0" w:rsidP="004423E0">
      <w:pPr>
        <w:pStyle w:val="affiliation"/>
      </w:pPr>
      <w:r w:rsidRPr="00CA4D1A">
        <w:t>David Weatherall Building</w:t>
      </w:r>
    </w:p>
    <w:p w14:paraId="6F4C7AA1" w14:textId="77777777" w:rsidR="004423E0" w:rsidRPr="00CA4D1A" w:rsidRDefault="004423E0" w:rsidP="004423E0">
      <w:pPr>
        <w:pStyle w:val="affiliation"/>
      </w:pPr>
      <w:proofErr w:type="spellStart"/>
      <w:r w:rsidRPr="00CA4D1A">
        <w:t>Keele</w:t>
      </w:r>
      <w:proofErr w:type="spellEnd"/>
      <w:r w:rsidRPr="00CA4D1A">
        <w:t xml:space="preserve"> University</w:t>
      </w:r>
    </w:p>
    <w:p w14:paraId="64096F64" w14:textId="77777777" w:rsidR="004423E0" w:rsidRPr="00CA4D1A" w:rsidRDefault="004423E0" w:rsidP="004423E0">
      <w:pPr>
        <w:pStyle w:val="affiliation"/>
      </w:pPr>
      <w:r w:rsidRPr="00CA4D1A">
        <w:t xml:space="preserve">Staffordshire </w:t>
      </w:r>
    </w:p>
    <w:p w14:paraId="590347BD" w14:textId="77777777" w:rsidR="004423E0" w:rsidRPr="00CA4D1A" w:rsidRDefault="004423E0" w:rsidP="004423E0">
      <w:pPr>
        <w:pStyle w:val="affiliation"/>
      </w:pPr>
      <w:r w:rsidRPr="00CA4D1A">
        <w:t>ST5 5BG</w:t>
      </w:r>
    </w:p>
    <w:p w14:paraId="6DE3F387" w14:textId="77777777" w:rsidR="004423E0" w:rsidRPr="00CA4D1A" w:rsidRDefault="004423E0" w:rsidP="004423E0">
      <w:pPr>
        <w:pStyle w:val="affiliation"/>
      </w:pPr>
      <w:r w:rsidRPr="00CA4D1A">
        <w:t>United Kingdom</w:t>
      </w:r>
    </w:p>
    <w:p w14:paraId="5D026206" w14:textId="77777777" w:rsidR="004423E0" w:rsidRPr="00CA4D1A" w:rsidRDefault="004423E0" w:rsidP="004423E0">
      <w:pPr>
        <w:pStyle w:val="phone"/>
      </w:pPr>
      <w:r w:rsidRPr="00CA4D1A">
        <w:t xml:space="preserve">Telephone: +441782734639 </w:t>
      </w:r>
    </w:p>
    <w:p w14:paraId="3F77743E" w14:textId="77777777" w:rsidR="004423E0" w:rsidRPr="00CA4D1A" w:rsidRDefault="004423E0" w:rsidP="004423E0">
      <w:pPr>
        <w:pStyle w:val="email"/>
        <w:rPr>
          <w:b/>
          <w:bCs/>
        </w:rPr>
      </w:pPr>
      <w:r w:rsidRPr="00CA4D1A">
        <w:t xml:space="preserve">Email: </w:t>
      </w:r>
      <w:r w:rsidRPr="00CA4D1A">
        <w:rPr>
          <w:rStyle w:val="Hyperlink0"/>
          <w:sz w:val="24"/>
        </w:rPr>
        <w:t>e.luksaite@keele.ac.uk</w:t>
      </w:r>
    </w:p>
    <w:p w14:paraId="64B35639" w14:textId="77777777" w:rsidR="004423E0" w:rsidRPr="00CA4D1A" w:rsidRDefault="004423E0" w:rsidP="004423E0">
      <w:pPr>
        <w:pStyle w:val="BodyA"/>
        <w:spacing w:before="100" w:after="200"/>
        <w:rPr>
          <w:rFonts w:ascii="Times New Roman" w:eastAsia="Times New Roman" w:hAnsi="Times New Roman" w:cs="Times New Roman"/>
          <w:b/>
          <w:bCs/>
          <w:sz w:val="24"/>
          <w:szCs w:val="24"/>
          <w:lang w:val="en-GB"/>
        </w:rPr>
      </w:pPr>
    </w:p>
    <w:p w14:paraId="3E92139A" w14:textId="77777777" w:rsidR="004F5A08" w:rsidRDefault="004F5A08">
      <w:pPr>
        <w:rPr>
          <w:b/>
          <w:bCs/>
          <w:sz w:val="22"/>
        </w:rPr>
      </w:pPr>
      <w:r>
        <w:rPr>
          <w:b/>
          <w:bCs/>
        </w:rPr>
        <w:br w:type="page"/>
      </w:r>
    </w:p>
    <w:p w14:paraId="4EFFB188" w14:textId="17CA14F1" w:rsidR="004423E0" w:rsidRDefault="004423E0" w:rsidP="004423E0">
      <w:pPr>
        <w:pStyle w:val="articlenote"/>
        <w:rPr>
          <w:b/>
          <w:bCs/>
        </w:rPr>
      </w:pPr>
      <w:r w:rsidRPr="004423E0">
        <w:rPr>
          <w:b/>
          <w:bCs/>
        </w:rPr>
        <w:lastRenderedPageBreak/>
        <w:t>Declarations</w:t>
      </w:r>
    </w:p>
    <w:p w14:paraId="18C03869" w14:textId="77777777" w:rsidR="004423E0" w:rsidRPr="004423E0" w:rsidRDefault="004423E0" w:rsidP="004423E0"/>
    <w:p w14:paraId="424A8CAB" w14:textId="2140DDA7" w:rsidR="004423E0" w:rsidRDefault="004423E0" w:rsidP="004423E0">
      <w:pPr>
        <w:pStyle w:val="articlenote"/>
      </w:pPr>
      <w:r>
        <w:rPr>
          <w:b/>
          <w:bCs/>
        </w:rPr>
        <w:t>F</w:t>
      </w:r>
      <w:r w:rsidRPr="00CA4D1A">
        <w:rPr>
          <w:b/>
          <w:bCs/>
        </w:rPr>
        <w:t>unding:</w:t>
      </w:r>
      <w:r w:rsidRPr="00CA4D1A">
        <w:t xml:space="preserve"> This research project was funded by a Fellowship (2018) by the Medical Education Research Group (MERG), School of Medicine, </w:t>
      </w:r>
      <w:proofErr w:type="spellStart"/>
      <w:r w:rsidRPr="00CA4D1A">
        <w:t>Keele</w:t>
      </w:r>
      <w:proofErr w:type="spellEnd"/>
      <w:r w:rsidRPr="00CA4D1A">
        <w:t xml:space="preserve"> University, UK.</w:t>
      </w:r>
    </w:p>
    <w:p w14:paraId="50840A69" w14:textId="77777777" w:rsidR="004423E0" w:rsidRPr="004423E0" w:rsidRDefault="004423E0" w:rsidP="004423E0"/>
    <w:p w14:paraId="410342EE" w14:textId="7F152FB9" w:rsidR="004423E0" w:rsidRDefault="004423E0" w:rsidP="004423E0">
      <w:pPr>
        <w:pStyle w:val="articlenote"/>
      </w:pPr>
      <w:r w:rsidRPr="00CB0035">
        <w:rPr>
          <w:b/>
          <w:bCs/>
        </w:rPr>
        <w:t>Conflicts of interest:</w:t>
      </w:r>
      <w:r>
        <w:t xml:space="preserve"> </w:t>
      </w:r>
      <w:r w:rsidRPr="007360BB">
        <w:t>Authors declare no conflicts of interest.</w:t>
      </w:r>
    </w:p>
    <w:p w14:paraId="5E167551" w14:textId="77777777" w:rsidR="004423E0" w:rsidRPr="004423E0" w:rsidRDefault="004423E0" w:rsidP="004423E0"/>
    <w:p w14:paraId="352B70E4" w14:textId="1E9F9725" w:rsidR="004423E0" w:rsidRDefault="004423E0" w:rsidP="004423E0">
      <w:pPr>
        <w:pStyle w:val="articlenote"/>
      </w:pPr>
      <w:r w:rsidRPr="00CB0035">
        <w:rPr>
          <w:b/>
          <w:bCs/>
        </w:rPr>
        <w:t>Availability of data and material:</w:t>
      </w:r>
      <w:r>
        <w:rPr>
          <w:b/>
          <w:bCs/>
        </w:rPr>
        <w:t xml:space="preserve"> </w:t>
      </w:r>
      <w:r>
        <w:t>The datasets generated and analysed during the current study are not publicly available due to restrictions imposed by the ethics review process.</w:t>
      </w:r>
    </w:p>
    <w:p w14:paraId="6B761D70" w14:textId="77777777" w:rsidR="004423E0" w:rsidRPr="004423E0" w:rsidRDefault="004423E0" w:rsidP="004423E0"/>
    <w:p w14:paraId="5E9698CB" w14:textId="2D5437F7" w:rsidR="004423E0" w:rsidRDefault="004423E0" w:rsidP="004423E0">
      <w:pPr>
        <w:pStyle w:val="articlenote"/>
      </w:pPr>
      <w:r w:rsidRPr="00CB0035">
        <w:rPr>
          <w:b/>
          <w:bCs/>
        </w:rPr>
        <w:t>Code availability:</w:t>
      </w:r>
      <w:r>
        <w:t xml:space="preserve"> Not applicable</w:t>
      </w:r>
    </w:p>
    <w:p w14:paraId="12F3D653" w14:textId="77777777" w:rsidR="004423E0" w:rsidRPr="004423E0" w:rsidRDefault="004423E0" w:rsidP="004423E0"/>
    <w:p w14:paraId="527085E7" w14:textId="2A62CD8F" w:rsidR="004423E0" w:rsidRDefault="004423E0" w:rsidP="004423E0">
      <w:pPr>
        <w:pStyle w:val="articlenote"/>
      </w:pPr>
      <w:r>
        <w:rPr>
          <w:b/>
          <w:bCs/>
        </w:rPr>
        <w:t>Authors’ contributions</w:t>
      </w:r>
      <w:r w:rsidRPr="007360BB">
        <w:rPr>
          <w:b/>
          <w:bCs/>
        </w:rPr>
        <w:t>:</w:t>
      </w:r>
      <w:r w:rsidRPr="007360BB">
        <w:t xml:space="preserve"> EL conceptualised the study and with LD’s </w:t>
      </w:r>
      <w:r w:rsidR="00BB7E5D">
        <w:t>input</w:t>
      </w:r>
      <w:r w:rsidR="00BB7E5D" w:rsidRPr="007360BB">
        <w:t xml:space="preserve"> </w:t>
      </w:r>
      <w:r w:rsidRPr="007360BB">
        <w:t xml:space="preserve">wrote the </w:t>
      </w:r>
      <w:r w:rsidR="00BB7E5D">
        <w:t xml:space="preserve">study </w:t>
      </w:r>
      <w:r w:rsidRPr="007360BB">
        <w:t xml:space="preserve">protocol </w:t>
      </w:r>
      <w:r w:rsidR="00BB7E5D">
        <w:t xml:space="preserve">and ethics application </w:t>
      </w:r>
      <w:r w:rsidRPr="007360BB">
        <w:t>on which RF and RKM commented. EL recruited the participants and collected all data. The analysis was led by EL and LD with input from RF and RKM. EL wrote the first draft of the paper; LD, RKM and RF commented on each draft. All authors approved the final version of the paper; EL is guarantor for the work.</w:t>
      </w:r>
    </w:p>
    <w:p w14:paraId="40DAF8C9" w14:textId="77777777" w:rsidR="004423E0" w:rsidRPr="004423E0" w:rsidRDefault="004423E0" w:rsidP="004423E0"/>
    <w:p w14:paraId="5D35A22F" w14:textId="77777777" w:rsidR="00701E38" w:rsidRDefault="004423E0" w:rsidP="004423E0">
      <w:pPr>
        <w:pStyle w:val="articlenote"/>
      </w:pPr>
      <w:r w:rsidRPr="007360BB">
        <w:rPr>
          <w:b/>
          <w:bCs/>
        </w:rPr>
        <w:t>Ethic</w:t>
      </w:r>
      <w:r>
        <w:rPr>
          <w:b/>
          <w:bCs/>
        </w:rPr>
        <w:t>s</w:t>
      </w:r>
      <w:r w:rsidRPr="007360BB">
        <w:rPr>
          <w:b/>
          <w:bCs/>
        </w:rPr>
        <w:t xml:space="preserve"> approval:</w:t>
      </w:r>
      <w:r w:rsidRPr="007360BB">
        <w:t xml:space="preserve"> The study was reviewed and received full ethical approval from </w:t>
      </w:r>
      <w:proofErr w:type="spellStart"/>
      <w:r w:rsidRPr="007360BB">
        <w:t>Keele</w:t>
      </w:r>
      <w:proofErr w:type="spellEnd"/>
      <w:r w:rsidRPr="007360BB">
        <w:t xml:space="preserve"> University Ethics Review Panel (ERP Ref: ERP2377). The work was carried out in accordance with the Declaration of Helsinki, including, but not limited to ensuring the anonymity of participants and obtaining their informed consent.</w:t>
      </w:r>
    </w:p>
    <w:p w14:paraId="0ECD8C8E" w14:textId="77777777" w:rsidR="00701E38" w:rsidRDefault="00701E38" w:rsidP="004423E0">
      <w:pPr>
        <w:pStyle w:val="articlenote"/>
      </w:pPr>
    </w:p>
    <w:p w14:paraId="05AA523E" w14:textId="77777777" w:rsidR="00701E38" w:rsidRDefault="00701E38" w:rsidP="004423E0">
      <w:pPr>
        <w:pStyle w:val="articlenote"/>
      </w:pPr>
      <w:r w:rsidRPr="00701E38">
        <w:rPr>
          <w:b/>
          <w:bCs/>
        </w:rPr>
        <w:t>Consent to participate</w:t>
      </w:r>
      <w:r>
        <w:t>: Informed consent was obtained from all individual participants included in the study.</w:t>
      </w:r>
    </w:p>
    <w:p w14:paraId="12D4D2C4" w14:textId="77777777" w:rsidR="00701E38" w:rsidRDefault="00701E38" w:rsidP="004423E0">
      <w:pPr>
        <w:pStyle w:val="articlenote"/>
      </w:pPr>
    </w:p>
    <w:p w14:paraId="3E4FC70B" w14:textId="3FF907F3" w:rsidR="004423E0" w:rsidRPr="004423E0" w:rsidRDefault="00701E38" w:rsidP="004423E0">
      <w:pPr>
        <w:pStyle w:val="articlenote"/>
      </w:pPr>
      <w:r w:rsidRPr="00701E38">
        <w:rPr>
          <w:b/>
          <w:bCs/>
        </w:rPr>
        <w:t>Consent to publish</w:t>
      </w:r>
      <w:r>
        <w:t>: Informed consent was obtained from all individual participants included in the study.</w:t>
      </w:r>
      <w:r w:rsidR="004423E0">
        <w:rPr>
          <w:sz w:val="24"/>
        </w:rPr>
        <w:br w:type="page"/>
      </w:r>
    </w:p>
    <w:p w14:paraId="5FF65B24" w14:textId="77777777" w:rsidR="004423E0" w:rsidRPr="004423E0" w:rsidRDefault="004423E0" w:rsidP="004423E0">
      <w:pPr>
        <w:pStyle w:val="abstract"/>
      </w:pPr>
      <w:r w:rsidRPr="004423E0">
        <w:lastRenderedPageBreak/>
        <w:t>Abstract</w:t>
      </w:r>
    </w:p>
    <w:p w14:paraId="09134F45" w14:textId="77777777" w:rsidR="004423E0" w:rsidRPr="007360BB" w:rsidRDefault="004423E0" w:rsidP="004423E0">
      <w:pPr>
        <w:pStyle w:val="abstract"/>
      </w:pPr>
      <w:r w:rsidRPr="007360BB">
        <w:t>Introduction</w:t>
      </w:r>
    </w:p>
    <w:p w14:paraId="44D4BFB7" w14:textId="3CB7BF53" w:rsidR="004423E0" w:rsidRPr="007360BB" w:rsidRDefault="007D12C4" w:rsidP="004423E0">
      <w:pPr>
        <w:pStyle w:val="abstract"/>
      </w:pPr>
      <w:r>
        <w:t>C</w:t>
      </w:r>
      <w:r w:rsidR="004423E0" w:rsidRPr="007360BB">
        <w:t>ertainty/uncertainty in medicine</w:t>
      </w:r>
      <w:r>
        <w:t xml:space="preserve"> is a topic of popular debate</w:t>
      </w:r>
      <w:r w:rsidR="004423E0" w:rsidRPr="007360BB">
        <w:t xml:space="preserve">. This study aims to understand how biomedical uncertainty is conceptualised by academic medical educators and how it is taught in a medical school in the UK. </w:t>
      </w:r>
    </w:p>
    <w:p w14:paraId="30CBAB6B" w14:textId="77777777" w:rsidR="004423E0" w:rsidRPr="007360BB" w:rsidRDefault="004423E0" w:rsidP="004423E0">
      <w:pPr>
        <w:pStyle w:val="abstract"/>
      </w:pPr>
      <w:r w:rsidRPr="007360BB">
        <w:t>Methods</w:t>
      </w:r>
    </w:p>
    <w:p w14:paraId="107BFCD8" w14:textId="77777777" w:rsidR="004423E0" w:rsidRPr="007360BB" w:rsidRDefault="004423E0" w:rsidP="004423E0">
      <w:pPr>
        <w:pStyle w:val="abstract"/>
      </w:pPr>
      <w:r w:rsidRPr="007360BB">
        <w:t xml:space="preserve">This is an exploratory qualitative study grounded in ethnographic principles. This study is based on 10 observations of teaching sessions and seven semi-structured qualitative interviews with medical educators from various biomedical disciplines in a UK medical school. The data set was analysed via a thematic analysis. </w:t>
      </w:r>
    </w:p>
    <w:p w14:paraId="7F9F9D31" w14:textId="77777777" w:rsidR="004423E0" w:rsidRPr="007360BB" w:rsidRDefault="004423E0" w:rsidP="004423E0">
      <w:pPr>
        <w:pStyle w:val="abstract"/>
      </w:pPr>
      <w:r w:rsidRPr="007360BB">
        <w:t>Results</w:t>
      </w:r>
    </w:p>
    <w:p w14:paraId="295E5FE2" w14:textId="0EC33645" w:rsidR="004423E0" w:rsidRPr="007360BB" w:rsidRDefault="00E90197" w:rsidP="004423E0">
      <w:pPr>
        <w:pStyle w:val="abstract"/>
      </w:pPr>
      <w:r>
        <w:t>Four</w:t>
      </w:r>
      <w:r w:rsidRPr="007360BB">
        <w:t xml:space="preserve"> </w:t>
      </w:r>
      <w:r w:rsidR="004423E0" w:rsidRPr="007360BB">
        <w:t xml:space="preserve">main themes were identified after analysis: (1) </w:t>
      </w:r>
      <w:r>
        <w:t>ubiquity of</w:t>
      </w:r>
      <w:r w:rsidRPr="007360BB">
        <w:t xml:space="preserve"> </w:t>
      </w:r>
      <w:r w:rsidR="004423E0" w:rsidRPr="007360BB">
        <w:t>biomedical uncertainty, (2) constraints to teaching biomedical uncertainty</w:t>
      </w:r>
      <w:r>
        <w:t>, (3)</w:t>
      </w:r>
      <w:r w:rsidR="004423E0" w:rsidRPr="007360BB">
        <w:t xml:space="preserve"> the ‘medic filter’ and (</w:t>
      </w:r>
      <w:r>
        <w:t>4</w:t>
      </w:r>
      <w:r w:rsidR="004423E0" w:rsidRPr="007360BB">
        <w:t xml:space="preserve">) </w:t>
      </w:r>
      <w:r>
        <w:t xml:space="preserve">fluid distinction: </w:t>
      </w:r>
      <w:r w:rsidR="004423E0" w:rsidRPr="007360BB">
        <w:t xml:space="preserve">core </w:t>
      </w:r>
      <w:r w:rsidR="004423E0" w:rsidRPr="007360BB">
        <w:rPr>
          <w:i/>
          <w:iCs/>
        </w:rPr>
        <w:t>versus</w:t>
      </w:r>
      <w:r w:rsidR="004423E0" w:rsidRPr="007360BB">
        <w:t xml:space="preserve"> additional knowledge. </w:t>
      </w:r>
      <w:r>
        <w:t>While m</w:t>
      </w:r>
      <w:r w:rsidR="004423E0" w:rsidRPr="007360BB">
        <w:t xml:space="preserve">edical educators had differing understandings of how biomedical uncertainty </w:t>
      </w:r>
      <w:r w:rsidR="00B50404">
        <w:t xml:space="preserve">is </w:t>
      </w:r>
      <w:r w:rsidR="004423E0" w:rsidRPr="007360BB">
        <w:t>articulated in their disciplines</w:t>
      </w:r>
      <w:r>
        <w:t>, its presence was ubiquitous</w:t>
      </w:r>
      <w:r w:rsidR="004423E0" w:rsidRPr="007360BB">
        <w:t xml:space="preserve">. </w:t>
      </w:r>
      <w:r>
        <w:t xml:space="preserve">This ubiquity did not translate into teaching due to </w:t>
      </w:r>
      <w:r w:rsidRPr="007360BB">
        <w:t>time-constraints and assessment strategies. The ‘medic filter’ emerged as a strategy t</w:t>
      </w:r>
      <w:r>
        <w:t xml:space="preserve">hat educators employed to decide </w:t>
      </w:r>
      <w:r w:rsidR="00900C7E">
        <w:t>what</w:t>
      </w:r>
      <w:r>
        <w:t xml:space="preserve"> to include in their teaching</w:t>
      </w:r>
      <w:r w:rsidRPr="007360BB">
        <w:t xml:space="preserve">. </w:t>
      </w:r>
      <w:r w:rsidR="004423E0" w:rsidRPr="007360BB">
        <w:t>They made distinction</w:t>
      </w:r>
      <w:r>
        <w:t>s</w:t>
      </w:r>
      <w:r w:rsidR="004423E0" w:rsidRPr="007360BB">
        <w:t xml:space="preserve"> between core and additional knowledge</w:t>
      </w:r>
      <w:r>
        <w:t xml:space="preserve"> which were defined in </w:t>
      </w:r>
      <w:r w:rsidR="00900C7E">
        <w:t>varied</w:t>
      </w:r>
      <w:r>
        <w:t xml:space="preserve"> ways </w:t>
      </w:r>
      <w:r w:rsidR="00900C7E">
        <w:t xml:space="preserve">across </w:t>
      </w:r>
      <w:r>
        <w:t>discipline</w:t>
      </w:r>
      <w:r w:rsidR="00900C7E">
        <w:t>s</w:t>
      </w:r>
      <w:r>
        <w:t>. A</w:t>
      </w:r>
      <w:r w:rsidR="004423E0" w:rsidRPr="007360BB">
        <w:t xml:space="preserve">dditional knowledge often encapsulated biomedical uncertainty. </w:t>
      </w:r>
    </w:p>
    <w:p w14:paraId="249116FA" w14:textId="77777777" w:rsidR="004423E0" w:rsidRPr="007360BB" w:rsidRDefault="004423E0" w:rsidP="004423E0">
      <w:pPr>
        <w:pStyle w:val="abstract"/>
      </w:pPr>
      <w:r w:rsidRPr="007360BB">
        <w:t>Discussion</w:t>
      </w:r>
    </w:p>
    <w:p w14:paraId="6D2B3F4C" w14:textId="7A2AD861" w:rsidR="004423E0" w:rsidRPr="007360BB" w:rsidRDefault="004423E0" w:rsidP="004423E0">
      <w:pPr>
        <w:pStyle w:val="abstract"/>
      </w:pPr>
      <w:r w:rsidRPr="00250965">
        <w:t xml:space="preserve">Even though the </w:t>
      </w:r>
      <w:r w:rsidR="00B50404">
        <w:t xml:space="preserve">perspective that knowledge is </w:t>
      </w:r>
      <w:r w:rsidRPr="00250965">
        <w:t>social</w:t>
      </w:r>
      <w:r w:rsidR="00B50404">
        <w:t>ly</w:t>
      </w:r>
      <w:r w:rsidRPr="00250965">
        <w:t xml:space="preserve"> </w:t>
      </w:r>
      <w:r w:rsidR="00B50404" w:rsidRPr="00250965">
        <w:t>construct</w:t>
      </w:r>
      <w:r w:rsidR="00B50404">
        <w:t xml:space="preserve">ed </w:t>
      </w:r>
      <w:r w:rsidRPr="00250965">
        <w:t xml:space="preserve">is not novel in medical education, it is neither universally valued </w:t>
      </w:r>
      <w:r w:rsidRPr="00AE3C8D">
        <w:t xml:space="preserve">nor universally applied. Moving beyond </w:t>
      </w:r>
      <w:proofErr w:type="spellStart"/>
      <w:r w:rsidRPr="00AE3C8D">
        <w:t>situativity</w:t>
      </w:r>
      <w:proofErr w:type="spellEnd"/>
      <w:r w:rsidRPr="00AE3C8D">
        <w:t xml:space="preserve"> theories and into broader debates in </w:t>
      </w:r>
      <w:r w:rsidR="00250965" w:rsidRPr="00322E4F">
        <w:t>social sciences</w:t>
      </w:r>
      <w:r w:rsidRPr="00250965">
        <w:t xml:space="preserve"> provides new opportunities </w:t>
      </w:r>
      <w:r w:rsidR="00250965">
        <w:t>to</w:t>
      </w:r>
      <w:r w:rsidR="00250965" w:rsidRPr="00250965">
        <w:t xml:space="preserve"> </w:t>
      </w:r>
      <w:r w:rsidRPr="00250965">
        <w:t>discuss the nature of scientific knowledge in medical education. We invite a move away from situated learning to situated knowledge.</w:t>
      </w:r>
    </w:p>
    <w:p w14:paraId="2F283594" w14:textId="58BBF06F" w:rsidR="004423E0" w:rsidRPr="007360BB" w:rsidRDefault="004423E0" w:rsidP="004423E0">
      <w:pPr>
        <w:pStyle w:val="abstract"/>
      </w:pPr>
      <w:r w:rsidRPr="007360BB">
        <w:t>2</w:t>
      </w:r>
      <w:r w:rsidR="007D12C4">
        <w:t>45</w:t>
      </w:r>
      <w:r w:rsidRPr="007360BB">
        <w:t xml:space="preserve"> words </w:t>
      </w:r>
    </w:p>
    <w:p w14:paraId="349C490E" w14:textId="4AB9354A" w:rsidR="004423E0" w:rsidRDefault="004423E0" w:rsidP="004423E0">
      <w:pPr>
        <w:pStyle w:val="BodyA"/>
        <w:spacing w:after="200" w:line="480" w:lineRule="auto"/>
        <w:rPr>
          <w:rFonts w:ascii="Times New Roman" w:eastAsia="Times New Roman" w:hAnsi="Times New Roman" w:cs="Times New Roman"/>
          <w:sz w:val="24"/>
          <w:szCs w:val="24"/>
          <w:lang w:val="en-GB"/>
        </w:rPr>
      </w:pPr>
    </w:p>
    <w:p w14:paraId="7387B20E" w14:textId="77777777" w:rsidR="004423E0" w:rsidRDefault="004423E0" w:rsidP="004423E0">
      <w:pPr>
        <w:pStyle w:val="keywords"/>
      </w:pPr>
      <w:r w:rsidRPr="00CA4D1A">
        <w:rPr>
          <w:b/>
          <w:bCs/>
        </w:rPr>
        <w:t xml:space="preserve">Keywords: </w:t>
      </w:r>
      <w:r w:rsidRPr="00CA4D1A">
        <w:t>biomedicine, interviews, medical curriculum, situated knowledge, qualitative research.</w:t>
      </w:r>
    </w:p>
    <w:p w14:paraId="3E3E3518" w14:textId="77777777" w:rsidR="004423E0" w:rsidRPr="007360BB" w:rsidRDefault="004423E0" w:rsidP="004423E0">
      <w:pPr>
        <w:pStyle w:val="BodyA"/>
        <w:spacing w:after="200" w:line="480" w:lineRule="auto"/>
        <w:rPr>
          <w:rFonts w:ascii="Times New Roman" w:eastAsia="Times New Roman" w:hAnsi="Times New Roman" w:cs="Times New Roman"/>
          <w:sz w:val="24"/>
          <w:szCs w:val="24"/>
          <w:lang w:val="en-GB"/>
        </w:rPr>
      </w:pPr>
    </w:p>
    <w:p w14:paraId="6AAB7334" w14:textId="77777777" w:rsidR="004423E0" w:rsidRPr="007360BB" w:rsidRDefault="004423E0" w:rsidP="004423E0">
      <w:pPr>
        <w:pStyle w:val="BodyA"/>
        <w:spacing w:before="100" w:after="200" w:line="480" w:lineRule="auto"/>
        <w:rPr>
          <w:rFonts w:ascii="Times New Roman" w:hAnsi="Times New Roman" w:cs="Times New Roman"/>
          <w:sz w:val="24"/>
          <w:szCs w:val="24"/>
          <w:lang w:val="en-GB"/>
        </w:rPr>
      </w:pPr>
      <w:r w:rsidRPr="007360BB">
        <w:rPr>
          <w:rFonts w:ascii="Times New Roman" w:hAnsi="Times New Roman" w:cs="Times New Roman"/>
          <w:sz w:val="24"/>
          <w:szCs w:val="24"/>
          <w:lang w:val="en-GB"/>
        </w:rPr>
        <w:br w:type="page"/>
      </w:r>
    </w:p>
    <w:p w14:paraId="4E6F78EB" w14:textId="77777777" w:rsidR="004423E0" w:rsidRPr="007360BB" w:rsidRDefault="004423E0" w:rsidP="004423E0">
      <w:pPr>
        <w:pStyle w:val="heading1"/>
      </w:pPr>
      <w:r w:rsidRPr="007360BB">
        <w:lastRenderedPageBreak/>
        <w:t>Introduction</w:t>
      </w:r>
    </w:p>
    <w:p w14:paraId="257E9FD9" w14:textId="77777777" w:rsidR="004423E0" w:rsidRPr="007360BB" w:rsidRDefault="004423E0" w:rsidP="004423E0">
      <w:pPr>
        <w:pStyle w:val="CommentText"/>
        <w:ind w:left="720"/>
        <w:rPr>
          <w:rFonts w:ascii="Times New Roman" w:hAnsi="Times New Roman" w:cs="Times New Roman"/>
          <w:sz w:val="24"/>
          <w:szCs w:val="24"/>
        </w:rPr>
      </w:pPr>
      <w:r w:rsidRPr="007360BB">
        <w:rPr>
          <w:rFonts w:ascii="Times New Roman" w:hAnsi="Times New Roman" w:cs="Times New Roman"/>
          <w:sz w:val="24"/>
          <w:szCs w:val="24"/>
        </w:rPr>
        <w:t>‘As a clinician, […] I have seen paradigms change beyond recognition and actions which were considered tantamount to attempted murder becoming best practice within half a professional lifetime’ R. K. McKinley, research team member</w:t>
      </w:r>
    </w:p>
    <w:p w14:paraId="05C6FE75" w14:textId="77777777" w:rsidR="004423E0" w:rsidRPr="007360BB" w:rsidRDefault="004423E0" w:rsidP="004423E0">
      <w:pPr>
        <w:pStyle w:val="CommentText"/>
        <w:ind w:left="720"/>
        <w:rPr>
          <w:rFonts w:ascii="Times New Roman" w:hAnsi="Times New Roman" w:cs="Times New Roman"/>
          <w:sz w:val="24"/>
          <w:szCs w:val="24"/>
        </w:rPr>
      </w:pPr>
    </w:p>
    <w:p w14:paraId="3E1C91F1" w14:textId="77777777" w:rsidR="004423E0" w:rsidRPr="007360BB" w:rsidRDefault="004423E0" w:rsidP="004423E0">
      <w:pPr>
        <w:pStyle w:val="CommentText"/>
        <w:ind w:left="720"/>
        <w:rPr>
          <w:rFonts w:ascii="Times New Roman" w:hAnsi="Times New Roman" w:cs="Times New Roman"/>
          <w:sz w:val="24"/>
          <w:szCs w:val="24"/>
        </w:rPr>
      </w:pPr>
      <w:r w:rsidRPr="007360BB">
        <w:rPr>
          <w:rFonts w:ascii="Times New Roman" w:hAnsi="Times New Roman" w:cs="Times New Roman"/>
          <w:sz w:val="24"/>
          <w:szCs w:val="24"/>
        </w:rPr>
        <w:t>‘In medicine today, uncertainty is generally suppressed and ignored, consciously and subconsciously’ [1]</w:t>
      </w:r>
    </w:p>
    <w:p w14:paraId="6917904F" w14:textId="77777777" w:rsidR="004423E0" w:rsidRPr="007360BB" w:rsidRDefault="004423E0" w:rsidP="004423E0">
      <w:pPr>
        <w:pStyle w:val="CommentText"/>
        <w:ind w:left="720"/>
        <w:rPr>
          <w:rFonts w:ascii="Times New Roman" w:hAnsi="Times New Roman" w:cs="Times New Roman"/>
          <w:i/>
          <w:iCs/>
          <w:sz w:val="24"/>
          <w:szCs w:val="24"/>
        </w:rPr>
      </w:pPr>
    </w:p>
    <w:p w14:paraId="163D4D28" w14:textId="77777777" w:rsidR="0085454D" w:rsidRDefault="004423E0" w:rsidP="004423E0">
      <w:pPr>
        <w:pStyle w:val="Default"/>
        <w:spacing w:before="100" w:after="200" w:line="480" w:lineRule="auto"/>
        <w:rPr>
          <w:rFonts w:ascii="Times New Roman" w:hAnsi="Times New Roman" w:cs="Times New Roman"/>
          <w:sz w:val="24"/>
          <w:szCs w:val="24"/>
          <w:lang w:val="en-GB"/>
        </w:rPr>
      </w:pPr>
      <w:r w:rsidRPr="007360BB">
        <w:rPr>
          <w:rFonts w:ascii="Times New Roman" w:hAnsi="Times New Roman" w:cs="Times New Roman"/>
          <w:sz w:val="24"/>
          <w:szCs w:val="24"/>
          <w:lang w:val="en-GB"/>
        </w:rPr>
        <w:t xml:space="preserve">The key rationale for this study was the dissonance between how widely biomedical uncertainty has been discussed in medical education scholarship [1-10] and how little of these discussions have made their way into the corridors of the medical school where this research team is based. There is a disjunction between physicians’ experience of uncertainty in knowledge and clinical practice and a culture of medicine with its ‘deep-rooted unwillingness to acknowledge and embrace it’ [1]. </w:t>
      </w:r>
    </w:p>
    <w:p w14:paraId="76A798B0" w14:textId="3D03A977" w:rsidR="004423E0" w:rsidRPr="007360BB" w:rsidRDefault="004423E0" w:rsidP="004423E0">
      <w:pPr>
        <w:pStyle w:val="Default"/>
        <w:spacing w:before="100" w:after="200" w:line="480" w:lineRule="auto"/>
        <w:rPr>
          <w:rFonts w:ascii="Times New Roman" w:hAnsi="Times New Roman" w:cs="Times New Roman"/>
          <w:sz w:val="24"/>
          <w:szCs w:val="24"/>
          <w:lang w:val="en-GB"/>
        </w:rPr>
      </w:pPr>
      <w:r w:rsidRPr="007360BB">
        <w:rPr>
          <w:rFonts w:ascii="Times New Roman" w:hAnsi="Times New Roman" w:cs="Times New Roman"/>
          <w:sz w:val="24"/>
          <w:szCs w:val="24"/>
        </w:rPr>
        <w:t xml:space="preserve">The concept of biomedical uncertainty has been investigated in medical schools [2], clinical practice [3, 4], case presentations [5], patients’ construction of identities [6], and as a multifaceted concept in health care [6]. While Fox [8–10] argues that medical </w:t>
      </w:r>
      <w:r w:rsidR="00B50404">
        <w:rPr>
          <w:rFonts w:ascii="Times New Roman" w:hAnsi="Times New Roman" w:cs="Times New Roman"/>
          <w:sz w:val="24"/>
          <w:szCs w:val="24"/>
        </w:rPr>
        <w:t xml:space="preserve">education </w:t>
      </w:r>
      <w:r w:rsidRPr="007360BB">
        <w:rPr>
          <w:rFonts w:ascii="Times New Roman" w:hAnsi="Times New Roman" w:cs="Times New Roman"/>
          <w:sz w:val="24"/>
          <w:szCs w:val="24"/>
        </w:rPr>
        <w:t>teaches students to deal with uncertainty</w:t>
      </w:r>
      <w:r w:rsidRPr="007360BB">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t xml:space="preserve">, </w:t>
      </w:r>
      <w:r w:rsidRPr="007360BB">
        <w:rPr>
          <w:rFonts w:ascii="Times New Roman" w:hAnsi="Times New Roman" w:cs="Times New Roman"/>
          <w:sz w:val="24"/>
          <w:szCs w:val="24"/>
          <w:lang w:val="en-GB"/>
        </w:rPr>
        <w:t>Atkinson [11] suggests that medical students are educated for certainty and that medical knowledge is neither presented by teachers nor accepted by students as problematic.</w:t>
      </w:r>
    </w:p>
    <w:p w14:paraId="16999B37" w14:textId="77777777" w:rsidR="004423E0" w:rsidRPr="007360BB" w:rsidRDefault="004423E0" w:rsidP="004423E0">
      <w:pPr>
        <w:pStyle w:val="NormalWeb"/>
        <w:spacing w:line="480" w:lineRule="auto"/>
      </w:pPr>
      <w:r w:rsidRPr="007360BB">
        <w:t xml:space="preserve">Fox [8–10] conceptualises three main types of uncertainty in medical school: (1) uncertainties originating in the impossibility of commanding all knowledge in a constantly changing medical field, (2) uncertainties arising from gaps in medical knowledge and (3) uncertainties based in the struggle to distinguish between medical students’ personal ineptitude and the limits of medicine. Even though a lot of research investigates different manifestations of uncertainty in medicine and </w:t>
      </w:r>
      <w:r w:rsidRPr="007360BB">
        <w:lastRenderedPageBreak/>
        <w:t xml:space="preserve">mechanisms to manage it, there is little conceptual clarity on what uncertainty really means [7]. The uncertainty of knowledge has not been investigated deeply in medical education, even though scientific uncertainty is an object of study in other disciplines [12]. </w:t>
      </w:r>
    </w:p>
    <w:p w14:paraId="1DE44973" w14:textId="50891D96" w:rsidR="004423E0" w:rsidRPr="007360BB" w:rsidRDefault="004423E0" w:rsidP="004423E0">
      <w:pPr>
        <w:pStyle w:val="Default"/>
        <w:spacing w:before="100" w:after="200" w:line="480" w:lineRule="auto"/>
        <w:rPr>
          <w:rFonts w:ascii="Times New Roman" w:hAnsi="Times New Roman" w:cs="Times New Roman"/>
          <w:sz w:val="24"/>
          <w:szCs w:val="24"/>
          <w:lang w:val="en-GB"/>
        </w:rPr>
      </w:pPr>
      <w:r w:rsidRPr="007360BB">
        <w:rPr>
          <w:rFonts w:ascii="Times New Roman" w:hAnsi="Times New Roman" w:cs="Times New Roman"/>
          <w:sz w:val="24"/>
          <w:szCs w:val="24"/>
          <w:lang w:val="en-GB"/>
        </w:rPr>
        <w:t xml:space="preserve">Many authors call for the development of clinicians’ ‘tolerance of uncertainty’ as key to humanistic health care [1, 4, 13, 14]. Our study builds on this certainty–uncertainty debate and focuses on uncertainty related to </w:t>
      </w:r>
      <w:r w:rsidRPr="007360BB">
        <w:rPr>
          <w:rFonts w:ascii="Times New Roman" w:hAnsi="Times New Roman" w:cs="Times New Roman"/>
          <w:i/>
          <w:iCs/>
          <w:sz w:val="24"/>
          <w:szCs w:val="24"/>
          <w:lang w:val="en-GB"/>
        </w:rPr>
        <w:t xml:space="preserve">biomedical </w:t>
      </w:r>
      <w:r w:rsidRPr="007360BB">
        <w:rPr>
          <w:rFonts w:ascii="Times New Roman" w:hAnsi="Times New Roman" w:cs="Times New Roman"/>
          <w:sz w:val="24"/>
          <w:szCs w:val="24"/>
          <w:lang w:val="en-GB"/>
        </w:rPr>
        <w:t xml:space="preserve">learning content in an integrated, undergraduate curriculum. </w:t>
      </w:r>
      <w:r w:rsidR="0085454D" w:rsidRPr="007360BB">
        <w:rPr>
          <w:rFonts w:ascii="Times New Roman" w:hAnsi="Times New Roman" w:cs="Times New Roman"/>
          <w:sz w:val="24"/>
          <w:szCs w:val="24"/>
          <w:lang w:val="en-GB"/>
        </w:rPr>
        <w:t xml:space="preserve">Biomedical uncertainty </w:t>
      </w:r>
      <w:r w:rsidR="0085454D">
        <w:rPr>
          <w:rFonts w:ascii="Times New Roman" w:hAnsi="Times New Roman" w:cs="Times New Roman"/>
          <w:sz w:val="24"/>
          <w:szCs w:val="24"/>
          <w:lang w:val="en-GB"/>
        </w:rPr>
        <w:t xml:space="preserve">in our study </w:t>
      </w:r>
      <w:r w:rsidR="0085454D" w:rsidRPr="007360BB">
        <w:rPr>
          <w:rFonts w:ascii="Times New Roman" w:hAnsi="Times New Roman" w:cs="Times New Roman"/>
          <w:sz w:val="24"/>
          <w:szCs w:val="24"/>
          <w:lang w:val="en-GB"/>
        </w:rPr>
        <w:t xml:space="preserve">covers historical changes in clinical practices, differences in medical protocols across the world, gaps in current understandings of pathophysiology of certain conditions and conflicting evidence of fast-moving </w:t>
      </w:r>
      <w:r w:rsidR="0085454D" w:rsidRPr="00F67B70">
        <w:rPr>
          <w:rFonts w:ascii="Times New Roman" w:hAnsi="Times New Roman" w:cs="Times New Roman"/>
          <w:sz w:val="24"/>
          <w:szCs w:val="24"/>
          <w:lang w:val="en-GB"/>
        </w:rPr>
        <w:t>science [</w:t>
      </w:r>
      <w:r w:rsidR="00AE3C8D" w:rsidRPr="00F67B70">
        <w:rPr>
          <w:rFonts w:ascii="Times New Roman" w:hAnsi="Times New Roman" w:cs="Times New Roman"/>
          <w:sz w:val="24"/>
          <w:szCs w:val="24"/>
          <w:lang w:val="en-GB"/>
        </w:rPr>
        <w:t>15, 16</w:t>
      </w:r>
      <w:r w:rsidR="0085454D" w:rsidRPr="00F67B70">
        <w:rPr>
          <w:rFonts w:ascii="Times New Roman" w:hAnsi="Times New Roman" w:cs="Times New Roman"/>
          <w:sz w:val="24"/>
          <w:szCs w:val="24"/>
          <w:lang w:val="en-GB"/>
        </w:rPr>
        <w:t>].</w:t>
      </w:r>
      <w:r w:rsidR="0085454D">
        <w:rPr>
          <w:rFonts w:ascii="Times New Roman" w:hAnsi="Times New Roman" w:cs="Times New Roman"/>
          <w:sz w:val="24"/>
          <w:szCs w:val="24"/>
          <w:lang w:val="en-GB"/>
        </w:rPr>
        <w:t xml:space="preserve"> </w:t>
      </w:r>
      <w:r w:rsidRPr="007360BB">
        <w:rPr>
          <w:rFonts w:ascii="Times New Roman" w:hAnsi="Times New Roman" w:cs="Times New Roman"/>
          <w:sz w:val="24"/>
          <w:szCs w:val="24"/>
          <w:lang w:val="en-GB"/>
        </w:rPr>
        <w:t xml:space="preserve">We suggest that learning to handle uncertainty in clinical settings begins with learning to handle uncertain knowledge in the </w:t>
      </w:r>
      <w:r w:rsidR="007D12C4">
        <w:rPr>
          <w:rFonts w:ascii="Times New Roman" w:hAnsi="Times New Roman" w:cs="Times New Roman"/>
          <w:sz w:val="24"/>
          <w:szCs w:val="24"/>
          <w:lang w:val="en-GB"/>
        </w:rPr>
        <w:t xml:space="preserve">foundational </w:t>
      </w:r>
      <w:r w:rsidRPr="007360BB">
        <w:rPr>
          <w:rFonts w:ascii="Times New Roman" w:hAnsi="Times New Roman" w:cs="Times New Roman"/>
          <w:sz w:val="24"/>
          <w:szCs w:val="24"/>
          <w:lang w:val="en-GB"/>
        </w:rPr>
        <w:t xml:space="preserve">medical </w:t>
      </w:r>
      <w:r w:rsidR="007D12C4">
        <w:rPr>
          <w:rFonts w:ascii="Times New Roman" w:hAnsi="Times New Roman" w:cs="Times New Roman"/>
          <w:sz w:val="24"/>
          <w:szCs w:val="24"/>
          <w:lang w:val="en-GB"/>
        </w:rPr>
        <w:t xml:space="preserve">sciences </w:t>
      </w:r>
      <w:r w:rsidRPr="007360BB">
        <w:rPr>
          <w:rFonts w:ascii="Times New Roman" w:hAnsi="Times New Roman" w:cs="Times New Roman"/>
          <w:sz w:val="24"/>
          <w:szCs w:val="24"/>
          <w:lang w:val="en-GB"/>
        </w:rPr>
        <w:t xml:space="preserve">curriculum. We aim to contribute to conceptualisations of uncertainty and provide some recommendations which may </w:t>
      </w:r>
      <w:r w:rsidR="007D12C4">
        <w:rPr>
          <w:rFonts w:ascii="Times New Roman" w:hAnsi="Times New Roman" w:cs="Times New Roman"/>
          <w:sz w:val="24"/>
          <w:szCs w:val="24"/>
          <w:lang w:val="en-GB"/>
        </w:rPr>
        <w:t>support</w:t>
      </w:r>
      <w:r w:rsidRPr="007360BB">
        <w:rPr>
          <w:rFonts w:ascii="Times New Roman" w:hAnsi="Times New Roman" w:cs="Times New Roman"/>
          <w:sz w:val="24"/>
          <w:szCs w:val="24"/>
          <w:lang w:val="en-GB"/>
        </w:rPr>
        <w:t xml:space="preserve"> the management of uncertainty in clinical practice. </w:t>
      </w:r>
    </w:p>
    <w:p w14:paraId="1D76EA19" w14:textId="7B879411" w:rsidR="004423E0" w:rsidRPr="007360BB" w:rsidRDefault="00375A6F" w:rsidP="004423E0">
      <w:pPr>
        <w:pStyle w:val="BodyB"/>
        <w:tabs>
          <w:tab w:val="left" w:pos="1134"/>
        </w:tabs>
        <w:spacing w:before="100" w:after="200" w:line="480" w:lineRule="auto"/>
        <w:rPr>
          <w:rFonts w:cs="Times New Roman"/>
          <w:lang w:val="en-GB"/>
        </w:rPr>
      </w:pPr>
      <w:r w:rsidRPr="00F21BFC">
        <w:rPr>
          <w:rFonts w:cs="Times New Roman"/>
          <w:shd w:val="clear" w:color="auto" w:fill="FFFFFF"/>
          <w:lang w:val="en-GB"/>
        </w:rPr>
        <w:t xml:space="preserve">Philosophers of science have long argued that scientific claims reflect the historical and sociocultural context in which those claims were </w:t>
      </w:r>
      <w:r w:rsidRPr="00F67B70">
        <w:rPr>
          <w:rFonts w:cs="Times New Roman"/>
          <w:shd w:val="clear" w:color="auto" w:fill="FFFFFF"/>
          <w:lang w:val="en-GB"/>
        </w:rPr>
        <w:t>made [</w:t>
      </w:r>
      <w:r w:rsidR="00AE3C8D" w:rsidRPr="00F67B70">
        <w:rPr>
          <w:shd w:val="clear" w:color="auto" w:fill="FFFFFF"/>
        </w:rPr>
        <w:t>17, 18</w:t>
      </w:r>
      <w:r w:rsidRPr="00F67B70">
        <w:rPr>
          <w:shd w:val="clear" w:color="auto" w:fill="FFFFFF"/>
        </w:rPr>
        <w:t xml:space="preserve">]. Within this field, scientific facts are never more than arbitrary agreements </w:t>
      </w:r>
      <w:proofErr w:type="gramStart"/>
      <w:r w:rsidRPr="00F67B70">
        <w:rPr>
          <w:shd w:val="clear" w:color="auto" w:fill="FFFFFF"/>
        </w:rPr>
        <w:t>on the basis of</w:t>
      </w:r>
      <w:proofErr w:type="gramEnd"/>
      <w:r w:rsidRPr="00F67B70">
        <w:rPr>
          <w:shd w:val="clear" w:color="auto" w:fill="FFFFFF"/>
        </w:rPr>
        <w:t xml:space="preserve"> whatever is considered to be ‘evidence’ at any given time and in any given discipline. </w:t>
      </w:r>
      <w:r w:rsidR="004423E0" w:rsidRPr="00F67B70">
        <w:rPr>
          <w:rFonts w:cs="Times New Roman"/>
          <w:lang w:val="en-GB"/>
        </w:rPr>
        <w:t>Feminist scholars [</w:t>
      </w:r>
      <w:r w:rsidR="00AE3C8D" w:rsidRPr="00F67B70">
        <w:rPr>
          <w:rFonts w:cs="Times New Roman"/>
          <w:lang w:val="en-GB"/>
        </w:rPr>
        <w:t>1</w:t>
      </w:r>
      <w:r w:rsidR="004423E0" w:rsidRPr="00F67B70">
        <w:rPr>
          <w:rFonts w:cs="Times New Roman"/>
          <w:lang w:val="en-GB"/>
        </w:rPr>
        <w:t xml:space="preserve">7, </w:t>
      </w:r>
      <w:r w:rsidR="00AE3C8D" w:rsidRPr="00F67B70">
        <w:rPr>
          <w:rFonts w:cs="Times New Roman"/>
          <w:lang w:val="en-GB"/>
        </w:rPr>
        <w:t>19–24</w:t>
      </w:r>
      <w:r w:rsidR="004423E0" w:rsidRPr="00F67B70">
        <w:rPr>
          <w:rFonts w:cs="Times New Roman"/>
          <w:lang w:val="en-GB"/>
        </w:rPr>
        <w:t>] made</w:t>
      </w:r>
      <w:r w:rsidR="004423E0" w:rsidRPr="007360BB">
        <w:rPr>
          <w:rFonts w:cs="Times New Roman"/>
          <w:lang w:val="en-GB"/>
        </w:rPr>
        <w:t xml:space="preserve"> significant contributions to the construction of scientific knowledge debate by conceptualising the idea of ‘situated knowledge’</w:t>
      </w:r>
      <w:r w:rsidR="004423E0" w:rsidRPr="007360BB">
        <w:rPr>
          <w:rFonts w:cs="Times New Roman"/>
          <w:shd w:val="clear" w:color="auto" w:fill="FFFFFF"/>
          <w:lang w:val="en-GB"/>
        </w:rPr>
        <w:t xml:space="preserve">. Feminist theory presents a challenge to positivist notions of objectivity and the possibility of a universal knowledge by </w:t>
      </w:r>
      <w:r w:rsidR="004423E0" w:rsidRPr="007360BB">
        <w:rPr>
          <w:rFonts w:cs="Times New Roman"/>
          <w:lang w:val="en-GB"/>
        </w:rPr>
        <w:t xml:space="preserve">critiquing the idea that researchers are neutral observers of reality and that teachers are neutral translators </w:t>
      </w:r>
      <w:r w:rsidR="004423E0" w:rsidRPr="007360BB">
        <w:rPr>
          <w:rFonts w:cs="Times New Roman"/>
          <w:lang w:val="en-GB"/>
        </w:rPr>
        <w:lastRenderedPageBreak/>
        <w:t xml:space="preserve">of knowledge. Instead, knowledge cannot be separated from those producing or delivering it and their </w:t>
      </w:r>
      <w:r w:rsidR="004423E0" w:rsidRPr="00F67B70">
        <w:rPr>
          <w:rFonts w:cs="Times New Roman"/>
          <w:lang w:val="en-GB"/>
        </w:rPr>
        <w:t xml:space="preserve">social positioning </w:t>
      </w:r>
      <w:r w:rsidR="009478C3" w:rsidRPr="00F67B70">
        <w:rPr>
          <w:rFonts w:cs="Times New Roman"/>
          <w:lang w:val="en-GB"/>
        </w:rPr>
        <w:t>must</w:t>
      </w:r>
      <w:r w:rsidR="004423E0" w:rsidRPr="00F67B70">
        <w:rPr>
          <w:rFonts w:cs="Times New Roman"/>
          <w:lang w:val="en-GB"/>
        </w:rPr>
        <w:t xml:space="preserve"> be accounted for [</w:t>
      </w:r>
      <w:r w:rsidR="00AE3C8D" w:rsidRPr="00F67B70">
        <w:rPr>
          <w:rFonts w:cs="Times New Roman"/>
          <w:lang w:val="en-GB"/>
        </w:rPr>
        <w:t>24</w:t>
      </w:r>
      <w:r w:rsidR="004423E0" w:rsidRPr="00F67B70">
        <w:rPr>
          <w:rFonts w:cs="Times New Roman"/>
          <w:lang w:val="en-GB"/>
        </w:rPr>
        <w:t>]. The idea of ‘situated knowledge’ [</w:t>
      </w:r>
      <w:r w:rsidR="00AE3C8D" w:rsidRPr="00F67B70">
        <w:rPr>
          <w:rFonts w:cs="Times New Roman"/>
          <w:lang w:val="en-GB"/>
        </w:rPr>
        <w:t>19</w:t>
      </w:r>
      <w:r w:rsidR="004423E0" w:rsidRPr="00F67B70">
        <w:rPr>
          <w:rFonts w:cs="Times New Roman"/>
          <w:lang w:val="en-GB"/>
        </w:rPr>
        <w:t>]</w:t>
      </w:r>
      <w:r w:rsidR="004423E0" w:rsidRPr="007360BB">
        <w:rPr>
          <w:rFonts w:cs="Times New Roman"/>
          <w:lang w:val="en-GB"/>
        </w:rPr>
        <w:t xml:space="preserve"> critiques the figure of the modern scientist who is assumed to be free from sociocultural ties and capable of knowing reality without bias. </w:t>
      </w:r>
    </w:p>
    <w:p w14:paraId="75FF7634" w14:textId="50BE0F95" w:rsidR="004423E0" w:rsidRPr="007360BB" w:rsidRDefault="004423E0" w:rsidP="004423E0">
      <w:pPr>
        <w:pStyle w:val="Default"/>
        <w:spacing w:before="100" w:after="200" w:line="480" w:lineRule="auto"/>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 xml:space="preserve">Social constructivism is not a novel perspective in medical education. One of its manifestations is </w:t>
      </w:r>
      <w:proofErr w:type="spellStart"/>
      <w:r w:rsidRPr="007360BB">
        <w:rPr>
          <w:rFonts w:ascii="Times New Roman" w:hAnsi="Times New Roman" w:cs="Times New Roman"/>
          <w:sz w:val="24"/>
          <w:szCs w:val="24"/>
          <w:lang w:val="en-GB"/>
        </w:rPr>
        <w:t>situativity</w:t>
      </w:r>
      <w:proofErr w:type="spellEnd"/>
      <w:r w:rsidRPr="007360BB">
        <w:rPr>
          <w:rFonts w:ascii="Times New Roman" w:hAnsi="Times New Roman" w:cs="Times New Roman"/>
          <w:sz w:val="24"/>
          <w:szCs w:val="24"/>
          <w:lang w:val="en-GB"/>
        </w:rPr>
        <w:t xml:space="preserve"> theory </w:t>
      </w:r>
      <w:r w:rsidRPr="00F67B70">
        <w:rPr>
          <w:rFonts w:ascii="Times New Roman" w:hAnsi="Times New Roman" w:cs="Times New Roman"/>
          <w:sz w:val="24"/>
          <w:szCs w:val="24"/>
          <w:lang w:val="en-GB"/>
        </w:rPr>
        <w:t>[</w:t>
      </w:r>
      <w:r w:rsidR="00AE3C8D" w:rsidRPr="00F67B70">
        <w:rPr>
          <w:rFonts w:ascii="Times New Roman" w:hAnsi="Times New Roman" w:cs="Times New Roman"/>
          <w:sz w:val="24"/>
          <w:szCs w:val="24"/>
          <w:lang w:val="en-GB"/>
        </w:rPr>
        <w:t>25, 26</w:t>
      </w:r>
      <w:r w:rsidRPr="00F67B70">
        <w:rPr>
          <w:rFonts w:ascii="Times New Roman" w:hAnsi="Times New Roman" w:cs="Times New Roman"/>
          <w:sz w:val="24"/>
          <w:szCs w:val="24"/>
          <w:lang w:val="en-GB"/>
        </w:rPr>
        <w:t xml:space="preserve">] which encompasses various frameworks that argue that knowledge and learning are situated in experience. Originating in cognitive psychology and widely applied in medical education, </w:t>
      </w:r>
      <w:proofErr w:type="spellStart"/>
      <w:r w:rsidRPr="00F67B70">
        <w:rPr>
          <w:rFonts w:ascii="Times New Roman" w:hAnsi="Times New Roman" w:cs="Times New Roman"/>
          <w:sz w:val="24"/>
          <w:szCs w:val="24"/>
          <w:lang w:val="en-GB"/>
        </w:rPr>
        <w:t>situativity</w:t>
      </w:r>
      <w:proofErr w:type="spellEnd"/>
      <w:r w:rsidRPr="00F67B70">
        <w:rPr>
          <w:rFonts w:ascii="Times New Roman" w:hAnsi="Times New Roman" w:cs="Times New Roman"/>
          <w:sz w:val="24"/>
          <w:szCs w:val="24"/>
          <w:lang w:val="en-GB"/>
        </w:rPr>
        <w:t xml:space="preserve"> theory resonates with the idea of situated knowledge within feminist scholarship [</w:t>
      </w:r>
      <w:r w:rsidR="00AE3C8D" w:rsidRPr="00F67B70">
        <w:rPr>
          <w:rFonts w:ascii="Times New Roman" w:hAnsi="Times New Roman" w:cs="Times New Roman"/>
          <w:sz w:val="24"/>
          <w:szCs w:val="24"/>
          <w:lang w:val="en-GB"/>
        </w:rPr>
        <w:t>19</w:t>
      </w:r>
      <w:r w:rsidRPr="00F67B70">
        <w:rPr>
          <w:rFonts w:ascii="Times New Roman" w:hAnsi="Times New Roman" w:cs="Times New Roman"/>
          <w:sz w:val="24"/>
          <w:szCs w:val="24"/>
          <w:lang w:val="en-GB"/>
        </w:rPr>
        <w:t>].</w:t>
      </w:r>
      <w:r w:rsidRPr="007360BB">
        <w:rPr>
          <w:rFonts w:ascii="Times New Roman" w:hAnsi="Times New Roman" w:cs="Times New Roman"/>
          <w:sz w:val="24"/>
          <w:szCs w:val="24"/>
          <w:lang w:val="en-GB"/>
        </w:rPr>
        <w:t xml:space="preserve"> Experiences that</w:t>
      </w:r>
      <w:r w:rsidR="007348B6">
        <w:rPr>
          <w:rFonts w:ascii="Times New Roman" w:hAnsi="Times New Roman" w:cs="Times New Roman"/>
          <w:sz w:val="24"/>
          <w:szCs w:val="24"/>
          <w:lang w:val="en-GB"/>
        </w:rPr>
        <w:t xml:space="preserve"> provide a context for</w:t>
      </w:r>
      <w:r w:rsidRPr="007360BB">
        <w:rPr>
          <w:rFonts w:ascii="Times New Roman" w:hAnsi="Times New Roman" w:cs="Times New Roman"/>
          <w:sz w:val="24"/>
          <w:szCs w:val="24"/>
          <w:lang w:val="en-GB"/>
        </w:rPr>
        <w:t xml:space="preserve"> knowledge and learning include culture, physical </w:t>
      </w:r>
      <w:proofErr w:type="gramStart"/>
      <w:r w:rsidRPr="007360BB">
        <w:rPr>
          <w:rFonts w:ascii="Times New Roman" w:hAnsi="Times New Roman" w:cs="Times New Roman"/>
          <w:sz w:val="24"/>
          <w:szCs w:val="24"/>
          <w:lang w:val="en-GB"/>
        </w:rPr>
        <w:t>environment</w:t>
      </w:r>
      <w:proofErr w:type="gramEnd"/>
      <w:r w:rsidRPr="007360BB">
        <w:rPr>
          <w:rFonts w:ascii="Times New Roman" w:hAnsi="Times New Roman" w:cs="Times New Roman"/>
          <w:sz w:val="24"/>
          <w:szCs w:val="24"/>
          <w:lang w:val="en-GB"/>
        </w:rPr>
        <w:t xml:space="preserve"> and interactions amongst learners [</w:t>
      </w:r>
      <w:r w:rsidR="00CE5646">
        <w:rPr>
          <w:rFonts w:ascii="Times New Roman" w:hAnsi="Times New Roman" w:cs="Times New Roman"/>
          <w:sz w:val="24"/>
          <w:szCs w:val="24"/>
          <w:lang w:val="en-GB"/>
        </w:rPr>
        <w:t>25</w:t>
      </w:r>
      <w:r w:rsidRPr="007360BB">
        <w:rPr>
          <w:rFonts w:ascii="Times New Roman" w:hAnsi="Times New Roman" w:cs="Times New Roman"/>
          <w:sz w:val="24"/>
          <w:szCs w:val="24"/>
          <w:lang w:val="en-GB"/>
        </w:rPr>
        <w:t xml:space="preserve">]. </w:t>
      </w:r>
      <w:proofErr w:type="spellStart"/>
      <w:r w:rsidRPr="007360BB">
        <w:rPr>
          <w:rFonts w:ascii="Times New Roman" w:eastAsia="Times New Roman" w:hAnsi="Times New Roman" w:cs="Times New Roman"/>
          <w:sz w:val="24"/>
          <w:szCs w:val="24"/>
          <w:lang w:val="en-GB"/>
        </w:rPr>
        <w:t>Situativity</w:t>
      </w:r>
      <w:proofErr w:type="spellEnd"/>
      <w:r w:rsidRPr="007360BB">
        <w:rPr>
          <w:rFonts w:ascii="Times New Roman" w:eastAsia="Times New Roman" w:hAnsi="Times New Roman" w:cs="Times New Roman"/>
          <w:sz w:val="24"/>
          <w:szCs w:val="24"/>
          <w:lang w:val="en-GB"/>
        </w:rPr>
        <w:t xml:space="preserve"> theory is more preoccupied with the process of learning rather than the nature of knowledge, a direction that the idea of situated knowledge takes. This article builds on the existing work on uncertainty from a </w:t>
      </w:r>
      <w:proofErr w:type="spellStart"/>
      <w:r w:rsidRPr="007360BB">
        <w:rPr>
          <w:rFonts w:ascii="Times New Roman" w:eastAsia="Times New Roman" w:hAnsi="Times New Roman" w:cs="Times New Roman"/>
          <w:sz w:val="24"/>
          <w:szCs w:val="24"/>
          <w:lang w:val="en-GB"/>
        </w:rPr>
        <w:t>situativity</w:t>
      </w:r>
      <w:proofErr w:type="spellEnd"/>
      <w:r w:rsidRPr="007360BB">
        <w:rPr>
          <w:rFonts w:ascii="Times New Roman" w:eastAsia="Times New Roman" w:hAnsi="Times New Roman" w:cs="Times New Roman"/>
          <w:sz w:val="24"/>
          <w:szCs w:val="24"/>
          <w:lang w:val="en-GB"/>
        </w:rPr>
        <w:t xml:space="preserve"> theory perspective and</w:t>
      </w:r>
      <w:r w:rsidRPr="007360BB">
        <w:rPr>
          <w:rFonts w:ascii="Times New Roman" w:hAnsi="Times New Roman" w:cs="Times New Roman"/>
          <w:sz w:val="24"/>
          <w:szCs w:val="24"/>
          <w:shd w:val="clear" w:color="auto" w:fill="FFFFFF"/>
          <w:lang w:val="en-GB"/>
        </w:rPr>
        <w:t xml:space="preserve"> focuses on the situatedness of knowledge rather than learning. </w:t>
      </w:r>
    </w:p>
    <w:p w14:paraId="6466A0C6" w14:textId="7A446083" w:rsidR="004423E0" w:rsidRPr="007360BB" w:rsidRDefault="004423E0" w:rsidP="004423E0">
      <w:pPr>
        <w:pStyle w:val="Default"/>
        <w:spacing w:before="100" w:after="200" w:line="480" w:lineRule="auto"/>
        <w:rPr>
          <w:rFonts w:ascii="Times New Roman" w:hAnsi="Times New Roman" w:cs="Times New Roman"/>
          <w:sz w:val="24"/>
          <w:szCs w:val="24"/>
          <w:lang w:val="en-GB"/>
        </w:rPr>
      </w:pPr>
      <w:r w:rsidRPr="007360BB">
        <w:rPr>
          <w:rFonts w:ascii="Times New Roman" w:hAnsi="Times New Roman" w:cs="Times New Roman"/>
          <w:sz w:val="24"/>
          <w:szCs w:val="24"/>
        </w:rPr>
        <w:t>We conducted empirical exploratory rese</w:t>
      </w:r>
      <w:r w:rsidRPr="00F67B70">
        <w:rPr>
          <w:rFonts w:ascii="Times New Roman" w:hAnsi="Times New Roman" w:cs="Times New Roman"/>
          <w:sz w:val="24"/>
          <w:szCs w:val="24"/>
        </w:rPr>
        <w:t>arch within one medical curriculum</w:t>
      </w:r>
      <w:r w:rsidR="00650ECA">
        <w:rPr>
          <w:rFonts w:ascii="Times New Roman" w:hAnsi="Times New Roman" w:cs="Times New Roman"/>
          <w:sz w:val="24"/>
          <w:szCs w:val="24"/>
        </w:rPr>
        <w:t>,</w:t>
      </w:r>
      <w:r w:rsidRPr="00F67B70">
        <w:rPr>
          <w:rFonts w:ascii="Times New Roman" w:hAnsi="Times New Roman" w:cs="Times New Roman"/>
          <w:sz w:val="24"/>
          <w:szCs w:val="24"/>
        </w:rPr>
        <w:t xml:space="preserve"> which itself is a product of sociocultural, </w:t>
      </w:r>
      <w:proofErr w:type="gramStart"/>
      <w:r w:rsidRPr="00F67B70">
        <w:rPr>
          <w:rFonts w:ascii="Times New Roman" w:hAnsi="Times New Roman" w:cs="Times New Roman"/>
          <w:sz w:val="24"/>
          <w:szCs w:val="24"/>
        </w:rPr>
        <w:t>political</w:t>
      </w:r>
      <w:proofErr w:type="gramEnd"/>
      <w:r w:rsidRPr="00F67B70">
        <w:rPr>
          <w:rFonts w:ascii="Times New Roman" w:hAnsi="Times New Roman" w:cs="Times New Roman"/>
          <w:sz w:val="24"/>
          <w:szCs w:val="24"/>
        </w:rPr>
        <w:t xml:space="preserve"> and economic forces [</w:t>
      </w:r>
      <w:r w:rsidR="00CE5646" w:rsidRPr="00F67B70">
        <w:rPr>
          <w:rFonts w:ascii="Times New Roman" w:hAnsi="Times New Roman" w:cs="Times New Roman"/>
          <w:sz w:val="24"/>
          <w:szCs w:val="24"/>
        </w:rPr>
        <w:t>27, 28</w:t>
      </w:r>
      <w:r w:rsidRPr="00F67B70">
        <w:rPr>
          <w:rFonts w:ascii="Times New Roman" w:hAnsi="Times New Roman" w:cs="Times New Roman"/>
          <w:sz w:val="24"/>
          <w:szCs w:val="24"/>
        </w:rPr>
        <w:t>].</w:t>
      </w:r>
      <w:r w:rsidRPr="00F67B70">
        <w:rPr>
          <w:rFonts w:ascii="Times New Roman" w:hAnsi="Times New Roman" w:cs="Times New Roman"/>
          <w:sz w:val="24"/>
          <w:szCs w:val="24"/>
          <w:lang w:val="en-GB"/>
        </w:rPr>
        <w:t xml:space="preserve"> </w:t>
      </w:r>
      <w:r w:rsidRPr="00F67B70">
        <w:rPr>
          <w:rFonts w:ascii="Times New Roman" w:eastAsia="Times New Roman" w:hAnsi="Times New Roman" w:cs="Times New Roman"/>
          <w:sz w:val="24"/>
          <w:szCs w:val="24"/>
          <w:lang w:val="en-GB"/>
        </w:rPr>
        <w:t>We aim to elicit conversations about the nature of knowledge, especially in the light of ongoing initiatives to decolonize medical curricula [</w:t>
      </w:r>
      <w:r w:rsidR="00CE5646" w:rsidRPr="00F67B70">
        <w:rPr>
          <w:rFonts w:ascii="Times New Roman" w:eastAsia="Times New Roman" w:hAnsi="Times New Roman" w:cs="Times New Roman"/>
          <w:sz w:val="24"/>
          <w:szCs w:val="24"/>
          <w:lang w:val="en-GB"/>
        </w:rPr>
        <w:t>29</w:t>
      </w:r>
      <w:r w:rsidRPr="00F67B70">
        <w:rPr>
          <w:rFonts w:ascii="Times New Roman" w:eastAsia="Times New Roman" w:hAnsi="Times New Roman" w:cs="Times New Roman"/>
          <w:sz w:val="24"/>
          <w:szCs w:val="24"/>
          <w:lang w:val="en-GB"/>
        </w:rPr>
        <w:t xml:space="preserve">]. Insights from </w:t>
      </w:r>
      <w:r w:rsidR="00635BDD" w:rsidRPr="00F67B70">
        <w:rPr>
          <w:rFonts w:ascii="Times New Roman" w:eastAsia="Times New Roman" w:hAnsi="Times New Roman" w:cs="Times New Roman"/>
          <w:sz w:val="24"/>
          <w:szCs w:val="24"/>
          <w:lang w:val="en-GB"/>
        </w:rPr>
        <w:t xml:space="preserve">social sciences </w:t>
      </w:r>
      <w:r w:rsidRPr="00F67B70">
        <w:rPr>
          <w:rFonts w:ascii="Times New Roman" w:eastAsia="Times New Roman" w:hAnsi="Times New Roman" w:cs="Times New Roman"/>
          <w:sz w:val="24"/>
          <w:szCs w:val="24"/>
          <w:lang w:val="en-GB"/>
        </w:rPr>
        <w:t xml:space="preserve">and </w:t>
      </w:r>
      <w:r w:rsidRPr="00F67B70">
        <w:rPr>
          <w:rFonts w:ascii="Times New Roman" w:hAnsi="Times New Roman" w:cs="Times New Roman"/>
          <w:sz w:val="24"/>
          <w:szCs w:val="24"/>
          <w:lang w:val="en-GB"/>
        </w:rPr>
        <w:t>feminist theory, which have been largely absent in medical education [</w:t>
      </w:r>
      <w:r w:rsidR="00CE5646" w:rsidRPr="00F67B70">
        <w:rPr>
          <w:rFonts w:ascii="Times New Roman" w:hAnsi="Times New Roman" w:cs="Times New Roman"/>
          <w:sz w:val="24"/>
          <w:szCs w:val="24"/>
          <w:lang w:val="en-GB"/>
        </w:rPr>
        <w:t>30</w:t>
      </w:r>
      <w:r w:rsidRPr="00F67B70">
        <w:rPr>
          <w:rFonts w:ascii="Times New Roman" w:hAnsi="Times New Roman" w:cs="Times New Roman"/>
          <w:sz w:val="24"/>
          <w:szCs w:val="24"/>
          <w:lang w:val="en-GB"/>
        </w:rPr>
        <w:t>], can help in rethinking the absoluteness of biomedical knowledge and what constitutes ‘evidence’ [</w:t>
      </w:r>
      <w:r w:rsidR="00CE5646" w:rsidRPr="00F67B70">
        <w:rPr>
          <w:rFonts w:ascii="Times New Roman" w:hAnsi="Times New Roman" w:cs="Times New Roman"/>
          <w:sz w:val="24"/>
          <w:szCs w:val="24"/>
          <w:lang w:val="en-GB"/>
        </w:rPr>
        <w:t>31, 32</w:t>
      </w:r>
      <w:r w:rsidRPr="00F67B70">
        <w:rPr>
          <w:rFonts w:ascii="Times New Roman" w:hAnsi="Times New Roman" w:cs="Times New Roman"/>
          <w:sz w:val="24"/>
          <w:szCs w:val="24"/>
          <w:lang w:val="en-GB"/>
        </w:rPr>
        <w:t>].</w:t>
      </w:r>
    </w:p>
    <w:p w14:paraId="5032BDBF" w14:textId="77777777" w:rsidR="004423E0" w:rsidRPr="007360BB" w:rsidRDefault="004423E0" w:rsidP="004423E0">
      <w:pPr>
        <w:pStyle w:val="heading1"/>
      </w:pPr>
      <w:r w:rsidRPr="007360BB">
        <w:lastRenderedPageBreak/>
        <w:t>Methods</w:t>
      </w:r>
    </w:p>
    <w:p w14:paraId="45A61EDB" w14:textId="77777777" w:rsidR="004423E0" w:rsidRPr="007360BB" w:rsidRDefault="004423E0" w:rsidP="004423E0">
      <w:pPr>
        <w:pStyle w:val="heading2"/>
      </w:pPr>
      <w:r w:rsidRPr="007360BB">
        <w:t>Study design</w:t>
      </w:r>
    </w:p>
    <w:p w14:paraId="10FA8291" w14:textId="44BA73C4" w:rsidR="004423E0" w:rsidRPr="007360BB" w:rsidRDefault="004423E0" w:rsidP="004423E0">
      <w:pPr>
        <w:pStyle w:val="BodyA"/>
        <w:spacing w:before="100" w:after="200" w:line="480" w:lineRule="auto"/>
        <w:rPr>
          <w:rFonts w:ascii="Times New Roman" w:hAnsi="Times New Roman" w:cs="Times New Roman"/>
          <w:sz w:val="24"/>
          <w:szCs w:val="24"/>
          <w:lang w:val="en-GB"/>
        </w:rPr>
      </w:pPr>
      <w:r w:rsidRPr="007360BB">
        <w:rPr>
          <w:rFonts w:ascii="Times New Roman" w:hAnsi="Times New Roman" w:cs="Times New Roman"/>
          <w:sz w:val="24"/>
          <w:szCs w:val="24"/>
          <w:lang w:val="en-GB"/>
        </w:rPr>
        <w:t xml:space="preserve">We used a qualitative approach underpinned by principles of ethnographic </w:t>
      </w:r>
      <w:r w:rsidRPr="00F67B70">
        <w:rPr>
          <w:rFonts w:ascii="Times New Roman" w:hAnsi="Times New Roman" w:cs="Times New Roman"/>
          <w:sz w:val="24"/>
          <w:szCs w:val="24"/>
          <w:lang w:val="en-GB"/>
        </w:rPr>
        <w:t>research [</w:t>
      </w:r>
      <w:r w:rsidR="00CE5646" w:rsidRPr="00F67B70">
        <w:rPr>
          <w:rFonts w:ascii="Times New Roman" w:hAnsi="Times New Roman" w:cs="Times New Roman"/>
          <w:sz w:val="24"/>
          <w:szCs w:val="24"/>
          <w:lang w:val="en-GB"/>
        </w:rPr>
        <w:t>33</w:t>
      </w:r>
      <w:r w:rsidRPr="00F67B70">
        <w:rPr>
          <w:rFonts w:ascii="Times New Roman" w:hAnsi="Times New Roman" w:cs="Times New Roman"/>
          <w:sz w:val="24"/>
          <w:szCs w:val="24"/>
          <w:lang w:val="en-GB"/>
        </w:rPr>
        <w:t>] which is, by definition, exploratory [</w:t>
      </w:r>
      <w:r w:rsidR="00CE5646" w:rsidRPr="00F67B70">
        <w:rPr>
          <w:rFonts w:ascii="Times New Roman" w:hAnsi="Times New Roman" w:cs="Times New Roman"/>
          <w:sz w:val="24"/>
          <w:szCs w:val="24"/>
          <w:lang w:val="en-GB"/>
        </w:rPr>
        <w:t>34</w:t>
      </w:r>
      <w:r w:rsidRPr="00F67B70">
        <w:rPr>
          <w:rFonts w:ascii="Times New Roman" w:hAnsi="Times New Roman" w:cs="Times New Roman"/>
          <w:sz w:val="24"/>
          <w:szCs w:val="24"/>
          <w:lang w:val="en-GB"/>
        </w:rPr>
        <w:t>].</w:t>
      </w:r>
      <w:r w:rsidRPr="007360BB">
        <w:rPr>
          <w:rFonts w:ascii="Times New Roman" w:hAnsi="Times New Roman" w:cs="Times New Roman"/>
          <w:sz w:val="24"/>
          <w:szCs w:val="24"/>
          <w:lang w:val="en-GB"/>
        </w:rPr>
        <w:t xml:space="preserve"> </w:t>
      </w:r>
      <w:r w:rsidRPr="007360BB">
        <w:rPr>
          <w:rFonts w:ascii="Times New Roman" w:hAnsi="Times New Roman" w:cs="Times New Roman"/>
          <w:color w:val="000000" w:themeColor="text1"/>
          <w:sz w:val="24"/>
          <w:szCs w:val="24"/>
          <w:lang w:val="en-GB"/>
        </w:rPr>
        <w:t xml:space="preserve">Exploratory research projects offer insights that </w:t>
      </w:r>
      <w:r w:rsidR="009478C3" w:rsidRPr="007360BB">
        <w:rPr>
          <w:rFonts w:ascii="Times New Roman" w:hAnsi="Times New Roman" w:cs="Times New Roman"/>
          <w:color w:val="000000" w:themeColor="text1"/>
          <w:sz w:val="24"/>
          <w:szCs w:val="24"/>
          <w:lang w:val="en-GB"/>
        </w:rPr>
        <w:t>can inform</w:t>
      </w:r>
      <w:r w:rsidRPr="007360BB">
        <w:rPr>
          <w:rFonts w:ascii="Times New Roman" w:hAnsi="Times New Roman" w:cs="Times New Roman"/>
          <w:color w:val="000000" w:themeColor="text1"/>
          <w:sz w:val="24"/>
          <w:szCs w:val="24"/>
          <w:lang w:val="en-GB"/>
        </w:rPr>
        <w:t xml:space="preserve"> our knowledge and suggest future directions without being guided by very precise and limiting hypothesis or a pre-determined gap in literature. A</w:t>
      </w:r>
      <w:r w:rsidRPr="007360BB">
        <w:rPr>
          <w:rFonts w:ascii="Times New Roman" w:hAnsi="Times New Roman" w:cs="Times New Roman"/>
          <w:sz w:val="24"/>
          <w:szCs w:val="24"/>
          <w:lang w:val="en-GB"/>
        </w:rPr>
        <w:t xml:space="preserve"> qualitative approach allows respondents’ experiences to emerge freely without a pre-determined set of questions. It allows for the research problem to be defined by respondents and emerge from empirical data. An observation of teaching sessions facilitates a collection of data in ‘natural’ settings. </w:t>
      </w:r>
    </w:p>
    <w:p w14:paraId="756FA155" w14:textId="77777777" w:rsidR="004423E0" w:rsidRPr="007360BB" w:rsidRDefault="004423E0" w:rsidP="004423E0">
      <w:pPr>
        <w:pStyle w:val="heading2"/>
      </w:pPr>
      <w:r w:rsidRPr="007360BB">
        <w:t>Field site</w:t>
      </w:r>
    </w:p>
    <w:p w14:paraId="568D1D9B" w14:textId="5F4D415C" w:rsidR="004423E0" w:rsidRPr="007360BB" w:rsidRDefault="004423E0" w:rsidP="004423E0">
      <w:pPr>
        <w:pStyle w:val="BodyA"/>
        <w:spacing w:before="100" w:after="200" w:line="480" w:lineRule="auto"/>
        <w:rPr>
          <w:rFonts w:ascii="Times New Roman" w:hAnsi="Times New Roman" w:cs="Times New Roman"/>
          <w:sz w:val="24"/>
          <w:szCs w:val="24"/>
          <w:lang w:val="en-GB"/>
        </w:rPr>
      </w:pPr>
      <w:r w:rsidRPr="007360BB">
        <w:rPr>
          <w:rFonts w:ascii="Times New Roman" w:hAnsi="Times New Roman" w:cs="Times New Roman"/>
          <w:sz w:val="24"/>
          <w:szCs w:val="24"/>
          <w:lang w:val="en-GB"/>
        </w:rPr>
        <w:t xml:space="preserve">The study was carried out in a medium-sized medical school in the UK </w:t>
      </w:r>
      <w:r w:rsidR="00650ECA">
        <w:rPr>
          <w:rFonts w:ascii="Times New Roman" w:hAnsi="Times New Roman" w:cs="Times New Roman"/>
          <w:sz w:val="24"/>
          <w:szCs w:val="24"/>
          <w:lang w:val="en-GB"/>
        </w:rPr>
        <w:t>with an</w:t>
      </w:r>
      <w:r w:rsidR="00650ECA" w:rsidRPr="007360BB">
        <w:rPr>
          <w:rFonts w:ascii="Times New Roman" w:hAnsi="Times New Roman" w:cs="Times New Roman"/>
          <w:sz w:val="24"/>
          <w:szCs w:val="24"/>
          <w:lang w:val="en-GB"/>
        </w:rPr>
        <w:t xml:space="preserve"> </w:t>
      </w:r>
      <w:r w:rsidRPr="007360BB">
        <w:rPr>
          <w:rFonts w:ascii="Times New Roman" w:hAnsi="Times New Roman" w:cs="Times New Roman"/>
          <w:sz w:val="24"/>
          <w:szCs w:val="24"/>
          <w:lang w:val="en-GB"/>
        </w:rPr>
        <w:t xml:space="preserve">intake </w:t>
      </w:r>
      <w:r w:rsidR="00650ECA">
        <w:rPr>
          <w:rFonts w:ascii="Times New Roman" w:hAnsi="Times New Roman" w:cs="Times New Roman"/>
          <w:sz w:val="24"/>
          <w:szCs w:val="24"/>
          <w:lang w:val="en-GB"/>
        </w:rPr>
        <w:t>of</w:t>
      </w:r>
      <w:r w:rsidR="00650ECA" w:rsidRPr="007360BB">
        <w:rPr>
          <w:rFonts w:ascii="Times New Roman" w:hAnsi="Times New Roman" w:cs="Times New Roman"/>
          <w:sz w:val="24"/>
          <w:szCs w:val="24"/>
          <w:lang w:val="en-GB"/>
        </w:rPr>
        <w:t xml:space="preserve"> </w:t>
      </w:r>
      <w:r w:rsidRPr="007360BB">
        <w:rPr>
          <w:rFonts w:ascii="Times New Roman" w:hAnsi="Times New Roman" w:cs="Times New Roman"/>
          <w:sz w:val="24"/>
          <w:szCs w:val="24"/>
          <w:lang w:val="en-GB"/>
        </w:rPr>
        <w:t xml:space="preserve">approximately 2/3 post-secondary and 1/3 post-degree education and over 90% from the UK and Europe. The medical curriculum is delivered over five years by academic and clinical medical educators who are involved in a broad range of teaching subjects and formats. The medical school delivers an integrated spiral curriculum structured around problem-based learning (PBL), small-group teaching and student-directed learning. The first two years of the curriculum </w:t>
      </w:r>
      <w:r w:rsidR="007348B6">
        <w:rPr>
          <w:rFonts w:ascii="Times New Roman" w:hAnsi="Times New Roman" w:cs="Times New Roman"/>
          <w:sz w:val="24"/>
          <w:szCs w:val="24"/>
          <w:lang w:val="en-GB"/>
        </w:rPr>
        <w:t>are d</w:t>
      </w:r>
      <w:r w:rsidRPr="007360BB">
        <w:rPr>
          <w:rFonts w:ascii="Times New Roman" w:hAnsi="Times New Roman" w:cs="Times New Roman"/>
          <w:sz w:val="24"/>
          <w:szCs w:val="24"/>
          <w:lang w:val="en-GB"/>
        </w:rPr>
        <w:t>elivered through thematically structured units where different disciplines are taught together in an integrated manner with a special attention to social aspects of medicine. The first two years of the medical degree are mainly classroom-</w:t>
      </w:r>
      <w:proofErr w:type="gramStart"/>
      <w:r w:rsidRPr="007360BB">
        <w:rPr>
          <w:rFonts w:ascii="Times New Roman" w:hAnsi="Times New Roman" w:cs="Times New Roman"/>
          <w:sz w:val="24"/>
          <w:szCs w:val="24"/>
          <w:lang w:val="en-GB"/>
        </w:rPr>
        <w:t>based</w:t>
      </w:r>
      <w:proofErr w:type="gramEnd"/>
      <w:r w:rsidRPr="007360BB">
        <w:rPr>
          <w:rFonts w:ascii="Times New Roman" w:hAnsi="Times New Roman" w:cs="Times New Roman"/>
          <w:sz w:val="24"/>
          <w:szCs w:val="24"/>
          <w:lang w:val="en-GB"/>
        </w:rPr>
        <w:t xml:space="preserve"> and the remaining three years are in a broad range of clinical settings. </w:t>
      </w:r>
    </w:p>
    <w:p w14:paraId="7EB5BA84" w14:textId="77777777" w:rsidR="004423E0" w:rsidRPr="007360BB" w:rsidRDefault="004423E0" w:rsidP="004423E0">
      <w:pPr>
        <w:pStyle w:val="heading2"/>
      </w:pPr>
      <w:r w:rsidRPr="007360BB">
        <w:lastRenderedPageBreak/>
        <w:t xml:space="preserve">Recruitment procedures, </w:t>
      </w:r>
      <w:proofErr w:type="gramStart"/>
      <w:r w:rsidRPr="007360BB">
        <w:t>consent</w:t>
      </w:r>
      <w:proofErr w:type="gramEnd"/>
      <w:r w:rsidRPr="007360BB">
        <w:t xml:space="preserve"> and ethics</w:t>
      </w:r>
    </w:p>
    <w:p w14:paraId="1CC159C9" w14:textId="4760F08F" w:rsidR="004423E0" w:rsidRPr="007360BB" w:rsidRDefault="004423E0" w:rsidP="004423E0">
      <w:pPr>
        <w:pStyle w:val="BodyA"/>
        <w:spacing w:before="100" w:after="200" w:line="480" w:lineRule="auto"/>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 xml:space="preserve">The study was reviewed and received full ethical approval from </w:t>
      </w:r>
      <w:proofErr w:type="spellStart"/>
      <w:r w:rsidRPr="007360BB">
        <w:rPr>
          <w:rFonts w:ascii="Times New Roman" w:hAnsi="Times New Roman" w:cs="Times New Roman"/>
          <w:sz w:val="24"/>
          <w:szCs w:val="24"/>
          <w:lang w:val="en-GB"/>
        </w:rPr>
        <w:t>Keele</w:t>
      </w:r>
      <w:proofErr w:type="spellEnd"/>
      <w:r w:rsidRPr="007360BB">
        <w:rPr>
          <w:rFonts w:ascii="Times New Roman" w:hAnsi="Times New Roman" w:cs="Times New Roman"/>
          <w:sz w:val="24"/>
          <w:szCs w:val="24"/>
          <w:lang w:val="en-GB"/>
        </w:rPr>
        <w:t xml:space="preserve"> University Ethics Review Panel (ERP Ref: ERP2377). All colleagues who were delivering lectures and practical classes to Year 1 (Y1) and Year 2 (Y2) students during the time of the study were approached about being observed for the study. Some colleagues </w:t>
      </w:r>
      <w:r w:rsidR="007348B6">
        <w:rPr>
          <w:rFonts w:ascii="Times New Roman" w:hAnsi="Times New Roman" w:cs="Times New Roman"/>
          <w:sz w:val="24"/>
          <w:szCs w:val="24"/>
          <w:lang w:val="en-GB"/>
        </w:rPr>
        <w:t xml:space="preserve">stated </w:t>
      </w:r>
      <w:r w:rsidRPr="007360BB">
        <w:rPr>
          <w:rFonts w:ascii="Times New Roman" w:hAnsi="Times New Roman" w:cs="Times New Roman"/>
          <w:sz w:val="24"/>
          <w:szCs w:val="24"/>
          <w:lang w:val="en-GB"/>
        </w:rPr>
        <w:t xml:space="preserve">that their sessions would not contain any examples of uncertainty; some did not agree to be observed for undisclosed reasons. Convenience sampling was employed for interviews and colleagues from different disciplines were approached informally about participating in the interviews. Before each observation and at the beginning of each interview, the project aims were explained alongside the discussion on anonymity, </w:t>
      </w:r>
      <w:proofErr w:type="gramStart"/>
      <w:r w:rsidRPr="007360BB">
        <w:rPr>
          <w:rFonts w:ascii="Times New Roman" w:hAnsi="Times New Roman" w:cs="Times New Roman"/>
          <w:sz w:val="24"/>
          <w:szCs w:val="24"/>
          <w:lang w:val="en-GB"/>
        </w:rPr>
        <w:t>confidentiality</w:t>
      </w:r>
      <w:proofErr w:type="gramEnd"/>
      <w:r w:rsidRPr="007360BB">
        <w:rPr>
          <w:rFonts w:ascii="Times New Roman" w:hAnsi="Times New Roman" w:cs="Times New Roman"/>
          <w:sz w:val="24"/>
          <w:szCs w:val="24"/>
          <w:lang w:val="en-GB"/>
        </w:rPr>
        <w:t xml:space="preserve"> and </w:t>
      </w:r>
      <w:r w:rsidR="007348B6">
        <w:rPr>
          <w:rFonts w:ascii="Times New Roman" w:hAnsi="Times New Roman" w:cs="Times New Roman"/>
          <w:sz w:val="24"/>
          <w:szCs w:val="24"/>
          <w:lang w:val="en-GB"/>
        </w:rPr>
        <w:t xml:space="preserve">the </w:t>
      </w:r>
      <w:r w:rsidRPr="007360BB">
        <w:rPr>
          <w:rFonts w:ascii="Times New Roman" w:hAnsi="Times New Roman" w:cs="Times New Roman"/>
          <w:sz w:val="24"/>
          <w:szCs w:val="24"/>
          <w:lang w:val="en-GB"/>
        </w:rPr>
        <w:t>withdrawal process. Respondents were informed that they were free to withdraw from the study at any point until the final drafting of results. Informed consent was obtained prior to observed teaching sessions and prior to the start of the interview. All data in this article ha</w:t>
      </w:r>
      <w:r w:rsidR="00635BDD">
        <w:rPr>
          <w:rFonts w:ascii="Times New Roman" w:hAnsi="Times New Roman" w:cs="Times New Roman"/>
          <w:sz w:val="24"/>
          <w:szCs w:val="24"/>
          <w:lang w:val="en-GB"/>
        </w:rPr>
        <w:t>ve</w:t>
      </w:r>
      <w:r w:rsidRPr="007360BB">
        <w:rPr>
          <w:rFonts w:ascii="Times New Roman" w:hAnsi="Times New Roman" w:cs="Times New Roman"/>
          <w:sz w:val="24"/>
          <w:szCs w:val="24"/>
          <w:lang w:val="en-GB"/>
        </w:rPr>
        <w:t xml:space="preserve"> been pseudonymised. The draft of this article was shared with all respondents who agreed that the level of pseudonymisation was sufficient. </w:t>
      </w:r>
    </w:p>
    <w:p w14:paraId="409E2300" w14:textId="77777777" w:rsidR="004423E0" w:rsidRPr="007360BB" w:rsidRDefault="004423E0" w:rsidP="004423E0">
      <w:pPr>
        <w:pStyle w:val="heading2"/>
      </w:pPr>
      <w:r w:rsidRPr="007360BB">
        <w:t>Data collection</w:t>
      </w:r>
    </w:p>
    <w:p w14:paraId="0DB18C92" w14:textId="77777777" w:rsidR="004423E0" w:rsidRPr="007360BB" w:rsidRDefault="004423E0" w:rsidP="004423E0">
      <w:pPr>
        <w:pStyle w:val="BodyA"/>
        <w:spacing w:before="100" w:after="200" w:line="480" w:lineRule="auto"/>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 xml:space="preserve">Data were collected via observations of teaching sessions and semi-structured qualitative interviews with academic medical educators (Table 1). Data collection was carried out by a medical anthropologist (EL) in 2018. During observations EL sat in the middle of the lecture theatre or in the corner in the laboratory, noting features which she considered pertinent to the study and made detailed field notes of her observations. </w:t>
      </w:r>
    </w:p>
    <w:p w14:paraId="6F6A8125" w14:textId="21FF6662" w:rsidR="004423E0" w:rsidRPr="007360BB" w:rsidRDefault="00635BDD" w:rsidP="004423E0">
      <w:pPr>
        <w:pStyle w:val="BodyA"/>
        <w:spacing w:before="100" w:after="200" w:line="480" w:lineRule="auto"/>
        <w:rPr>
          <w:rFonts w:ascii="Times New Roman" w:eastAsia="Times New Roman" w:hAnsi="Times New Roman" w:cs="Times New Roman"/>
          <w:sz w:val="24"/>
          <w:szCs w:val="24"/>
          <w:lang w:val="en-GB"/>
        </w:rPr>
      </w:pPr>
      <w:r>
        <w:rPr>
          <w:rFonts w:ascii="Times New Roman" w:hAnsi="Times New Roman" w:cs="Times New Roman"/>
          <w:sz w:val="24"/>
          <w:szCs w:val="24"/>
          <w:lang w:val="en-GB"/>
        </w:rPr>
        <w:lastRenderedPageBreak/>
        <w:t>To</w:t>
      </w:r>
      <w:r w:rsidR="004423E0" w:rsidRPr="007360BB">
        <w:rPr>
          <w:rFonts w:ascii="Times New Roman" w:hAnsi="Times New Roman" w:cs="Times New Roman"/>
          <w:sz w:val="24"/>
          <w:szCs w:val="24"/>
          <w:lang w:val="en-GB"/>
        </w:rPr>
        <w:t xml:space="preserve"> elicit discipline-specific conceptualisations, </w:t>
      </w:r>
      <w:r w:rsidR="004423E0">
        <w:rPr>
          <w:rFonts w:ascii="Times New Roman" w:hAnsi="Times New Roman" w:cs="Times New Roman"/>
          <w:sz w:val="24"/>
          <w:szCs w:val="24"/>
          <w:lang w:val="en-GB"/>
        </w:rPr>
        <w:t>b</w:t>
      </w:r>
      <w:r w:rsidR="004423E0" w:rsidRPr="007360BB">
        <w:rPr>
          <w:rFonts w:ascii="Times New Roman" w:hAnsi="Times New Roman" w:cs="Times New Roman"/>
          <w:sz w:val="24"/>
          <w:szCs w:val="24"/>
          <w:lang w:val="en-GB"/>
        </w:rPr>
        <w:t xml:space="preserve">iomedical uncertainty was </w:t>
      </w:r>
      <w:r w:rsidR="004423E0">
        <w:rPr>
          <w:rFonts w:ascii="Times New Roman" w:hAnsi="Times New Roman" w:cs="Times New Roman"/>
          <w:sz w:val="24"/>
          <w:szCs w:val="24"/>
          <w:lang w:val="en-GB"/>
        </w:rPr>
        <w:t>explained</w:t>
      </w:r>
      <w:r w:rsidR="004423E0" w:rsidRPr="007360BB">
        <w:rPr>
          <w:rFonts w:ascii="Times New Roman" w:hAnsi="Times New Roman" w:cs="Times New Roman"/>
          <w:sz w:val="24"/>
          <w:szCs w:val="24"/>
          <w:lang w:val="en-GB"/>
        </w:rPr>
        <w:t xml:space="preserve"> as change, contradictions and the unknown in biomedical sciences. Research participants were then asked to provide examples of such topics from their own disciplines. Based on literature and one pilot interview, researchers developed an interview guide. Interviews were purposefully limited to research participants</w:t>
      </w:r>
      <w:r>
        <w:rPr>
          <w:rFonts w:ascii="Times New Roman" w:hAnsi="Times New Roman" w:cs="Times New Roman"/>
          <w:sz w:val="24"/>
          <w:szCs w:val="24"/>
          <w:lang w:val="en-GB"/>
        </w:rPr>
        <w:t>’</w:t>
      </w:r>
      <w:r w:rsidR="004423E0" w:rsidRPr="007360BB">
        <w:rPr>
          <w:rFonts w:ascii="Times New Roman" w:hAnsi="Times New Roman" w:cs="Times New Roman"/>
          <w:sz w:val="24"/>
          <w:szCs w:val="24"/>
          <w:lang w:val="en-GB"/>
        </w:rPr>
        <w:t xml:space="preserve"> experience of teaching Y1 and Y2 students. Interviews lasted between 45 and 90 min and were recorded and transcribed with permission of the interviewees.</w:t>
      </w:r>
    </w:p>
    <w:p w14:paraId="63E96CEA" w14:textId="77777777" w:rsidR="004423E0" w:rsidRPr="007360BB" w:rsidRDefault="004423E0" w:rsidP="004423E0">
      <w:pPr>
        <w:pStyle w:val="heading2"/>
      </w:pPr>
      <w:r w:rsidRPr="007360BB">
        <w:t>Data analysis</w:t>
      </w:r>
    </w:p>
    <w:p w14:paraId="0D042C3F" w14:textId="64021610" w:rsidR="004423E0" w:rsidRPr="007360BB" w:rsidRDefault="004423E0" w:rsidP="004423E0">
      <w:pPr>
        <w:pStyle w:val="BodyA"/>
        <w:spacing w:before="100" w:after="200" w:line="480" w:lineRule="auto"/>
        <w:rPr>
          <w:rFonts w:ascii="Times New Roman" w:hAnsi="Times New Roman" w:cs="Times New Roman"/>
          <w:sz w:val="24"/>
          <w:szCs w:val="24"/>
          <w:lang w:val="en-GB"/>
        </w:rPr>
      </w:pPr>
      <w:r w:rsidRPr="007360BB">
        <w:rPr>
          <w:rFonts w:ascii="Times New Roman" w:hAnsi="Times New Roman" w:cs="Times New Roman"/>
          <w:sz w:val="24"/>
          <w:szCs w:val="24"/>
          <w:lang w:val="en-GB"/>
        </w:rPr>
        <w:t xml:space="preserve">Thematic analysis was used to analyse the collected data. We identified, </w:t>
      </w:r>
      <w:proofErr w:type="gramStart"/>
      <w:r w:rsidRPr="007360BB">
        <w:rPr>
          <w:rFonts w:ascii="Times New Roman" w:hAnsi="Times New Roman" w:cs="Times New Roman"/>
          <w:sz w:val="24"/>
          <w:szCs w:val="24"/>
          <w:lang w:val="en-GB"/>
        </w:rPr>
        <w:t>analysed</w:t>
      </w:r>
      <w:proofErr w:type="gramEnd"/>
      <w:r w:rsidRPr="007360BB">
        <w:rPr>
          <w:rFonts w:ascii="Times New Roman" w:hAnsi="Times New Roman" w:cs="Times New Roman"/>
          <w:sz w:val="24"/>
          <w:szCs w:val="24"/>
          <w:lang w:val="en-GB"/>
        </w:rPr>
        <w:t xml:space="preserve"> and interpreted themes that we saw emerging in field notes and interview transcripts inductively, without a pre-existing framework. Transcripts were read and discussed in team meetings. We acknowledged an active role that we as researchers played in the process of constructing themes [</w:t>
      </w:r>
      <w:r w:rsidR="00C5149A" w:rsidRPr="00F67B70">
        <w:rPr>
          <w:rFonts w:ascii="Times New Roman" w:hAnsi="Times New Roman" w:cs="Times New Roman"/>
          <w:sz w:val="24"/>
          <w:szCs w:val="24"/>
          <w:lang w:val="en-GB"/>
        </w:rPr>
        <w:t>35</w:t>
      </w:r>
      <w:r w:rsidRPr="007360BB">
        <w:rPr>
          <w:rFonts w:ascii="Times New Roman" w:hAnsi="Times New Roman" w:cs="Times New Roman"/>
          <w:sz w:val="24"/>
          <w:szCs w:val="24"/>
          <w:lang w:val="en-GB"/>
        </w:rPr>
        <w:t>] through an active reading of the data and relating it to our experiences as educators in the medical school. Themes’ importance was determined by their relevance to the research question and potential to provide theoretical insight rather than by frequency. We used the following procedure for theme development: we read and re-read the whole dataset of interview transcripts and fieldnotes, manually coded the dataset, then generated initial themes, reviewed them and, finally, defined and named themes [</w:t>
      </w:r>
      <w:r w:rsidR="00C5149A" w:rsidRPr="00F67B70">
        <w:rPr>
          <w:rFonts w:ascii="Times New Roman" w:hAnsi="Times New Roman" w:cs="Times New Roman"/>
          <w:sz w:val="24"/>
          <w:szCs w:val="24"/>
          <w:lang w:val="en-GB"/>
        </w:rPr>
        <w:t>35</w:t>
      </w:r>
      <w:r w:rsidRPr="007360BB">
        <w:rPr>
          <w:rFonts w:ascii="Times New Roman" w:hAnsi="Times New Roman" w:cs="Times New Roman"/>
          <w:sz w:val="24"/>
          <w:szCs w:val="24"/>
          <w:lang w:val="en-GB"/>
        </w:rPr>
        <w:t xml:space="preserve">]. </w:t>
      </w:r>
    </w:p>
    <w:p w14:paraId="74221B31" w14:textId="77777777" w:rsidR="004423E0" w:rsidRPr="007360BB" w:rsidRDefault="004423E0" w:rsidP="004423E0">
      <w:pPr>
        <w:pStyle w:val="heading2"/>
      </w:pPr>
      <w:r w:rsidRPr="007360BB">
        <w:t>Reflexivity</w:t>
      </w:r>
    </w:p>
    <w:p w14:paraId="5B7A0A61" w14:textId="37BF094B" w:rsidR="004423E0" w:rsidRPr="007360BB" w:rsidRDefault="004423E0" w:rsidP="004423E0">
      <w:pPr>
        <w:pStyle w:val="BodyA"/>
        <w:spacing w:before="100" w:after="200" w:line="480" w:lineRule="auto"/>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 xml:space="preserve">The experience of the lead researcher (EL) as a medical anthropologist working in a medical school has directed the formulation of the research questions and </w:t>
      </w:r>
      <w:r w:rsidRPr="007360BB">
        <w:rPr>
          <w:rFonts w:ascii="Times New Roman" w:hAnsi="Times New Roman" w:cs="Times New Roman"/>
          <w:sz w:val="24"/>
          <w:szCs w:val="24"/>
          <w:lang w:val="en-GB"/>
        </w:rPr>
        <w:lastRenderedPageBreak/>
        <w:t xml:space="preserve">methods. The </w:t>
      </w:r>
      <w:r>
        <w:rPr>
          <w:rFonts w:ascii="Times New Roman" w:hAnsi="Times New Roman" w:cs="Times New Roman"/>
          <w:sz w:val="24"/>
          <w:szCs w:val="24"/>
          <w:lang w:val="en-GB"/>
        </w:rPr>
        <w:t xml:space="preserve">project’s </w:t>
      </w:r>
      <w:r w:rsidRPr="007360BB">
        <w:rPr>
          <w:rFonts w:ascii="Times New Roman" w:hAnsi="Times New Roman" w:cs="Times New Roman"/>
          <w:sz w:val="24"/>
          <w:szCs w:val="24"/>
          <w:lang w:val="en-GB"/>
        </w:rPr>
        <w:t xml:space="preserve">exploratory nature was driven by </w:t>
      </w:r>
      <w:r>
        <w:rPr>
          <w:rFonts w:ascii="Times New Roman" w:hAnsi="Times New Roman" w:cs="Times New Roman"/>
          <w:sz w:val="24"/>
          <w:szCs w:val="24"/>
          <w:lang w:val="en-GB"/>
        </w:rPr>
        <w:t xml:space="preserve">EL’s </w:t>
      </w:r>
      <w:r w:rsidRPr="007360BB">
        <w:rPr>
          <w:rFonts w:ascii="Times New Roman" w:hAnsi="Times New Roman" w:cs="Times New Roman"/>
          <w:sz w:val="24"/>
          <w:szCs w:val="24"/>
          <w:lang w:val="en-GB"/>
        </w:rPr>
        <w:t xml:space="preserve">anthropological </w:t>
      </w:r>
      <w:proofErr w:type="gramStart"/>
      <w:r w:rsidRPr="007360BB">
        <w:rPr>
          <w:rFonts w:ascii="Times New Roman" w:hAnsi="Times New Roman" w:cs="Times New Roman"/>
          <w:sz w:val="24"/>
          <w:szCs w:val="24"/>
          <w:lang w:val="en-GB"/>
        </w:rPr>
        <w:t>training</w:t>
      </w:r>
      <w:proofErr w:type="gramEnd"/>
      <w:r w:rsidRPr="007360BB">
        <w:rPr>
          <w:rFonts w:ascii="Times New Roman" w:hAnsi="Times New Roman" w:cs="Times New Roman"/>
          <w:sz w:val="24"/>
          <w:szCs w:val="24"/>
          <w:lang w:val="en-GB"/>
        </w:rPr>
        <w:t xml:space="preserve"> and her experience of how biomedical knowledge is often discussed by students as certain and universal even though paradigm shifts in knowledge and clinical practice are abundant. The research team comprised of four medical educators with interdisciplinary backgrounds. EL is a medical anthropologist, RF is a neuroscientist, RM is a general practitioner and LD is a social</w:t>
      </w:r>
      <w:r w:rsidR="00650ECA">
        <w:rPr>
          <w:rFonts w:ascii="Times New Roman" w:hAnsi="Times New Roman" w:cs="Times New Roman"/>
          <w:sz w:val="24"/>
          <w:szCs w:val="24"/>
          <w:lang w:val="en-GB"/>
        </w:rPr>
        <w:t xml:space="preserve"> and medical</w:t>
      </w:r>
      <w:r w:rsidRPr="007360BB">
        <w:rPr>
          <w:rFonts w:ascii="Times New Roman" w:hAnsi="Times New Roman" w:cs="Times New Roman"/>
          <w:sz w:val="24"/>
          <w:szCs w:val="24"/>
          <w:lang w:val="en-GB"/>
        </w:rPr>
        <w:t xml:space="preserve"> anthropologist. At the time of data collection and analysis, all authors worked at the medical school where research was carried out. Conversations within this interdisciplinary team surrounding study design, data collection and analysis allowed discipline-specific biases to be reduced. </w:t>
      </w:r>
    </w:p>
    <w:p w14:paraId="73ED1482" w14:textId="77777777" w:rsidR="004423E0" w:rsidRPr="007360BB" w:rsidRDefault="004423E0" w:rsidP="004423E0">
      <w:pPr>
        <w:pStyle w:val="heading1"/>
      </w:pPr>
      <w:r w:rsidRPr="007360BB">
        <w:t>Results</w:t>
      </w:r>
    </w:p>
    <w:p w14:paraId="4318586D" w14:textId="5415C9D8" w:rsidR="004423E0" w:rsidRPr="007360BB" w:rsidRDefault="004423E0" w:rsidP="004423E0">
      <w:pPr>
        <w:pStyle w:val="BodyA"/>
        <w:spacing w:before="100" w:after="200" w:line="480" w:lineRule="auto"/>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 xml:space="preserve">Seven semi-structured qualitative interviews were conducted, and 10 teaching sessions (lectures and laboratory-based </w:t>
      </w:r>
      <w:proofErr w:type="spellStart"/>
      <w:r w:rsidRPr="007360BB">
        <w:rPr>
          <w:rFonts w:ascii="Times New Roman" w:hAnsi="Times New Roman" w:cs="Times New Roman"/>
          <w:sz w:val="24"/>
          <w:szCs w:val="24"/>
          <w:lang w:val="en-GB"/>
        </w:rPr>
        <w:t>practicals</w:t>
      </w:r>
      <w:proofErr w:type="spellEnd"/>
      <w:r w:rsidRPr="007360BB">
        <w:rPr>
          <w:rFonts w:ascii="Times New Roman" w:hAnsi="Times New Roman" w:cs="Times New Roman"/>
          <w:sz w:val="24"/>
          <w:szCs w:val="24"/>
          <w:lang w:val="en-GB"/>
        </w:rPr>
        <w:t xml:space="preserve">) were observed. </w:t>
      </w:r>
      <w:r w:rsidR="007F3BF5">
        <w:rPr>
          <w:rFonts w:ascii="Times New Roman" w:hAnsi="Times New Roman" w:cs="Times New Roman"/>
          <w:sz w:val="24"/>
          <w:szCs w:val="24"/>
          <w:lang w:val="en-GB"/>
        </w:rPr>
        <w:t>T</w:t>
      </w:r>
      <w:r w:rsidR="00900C7E">
        <w:rPr>
          <w:rFonts w:ascii="Times New Roman" w:hAnsi="Times New Roman" w:cs="Times New Roman"/>
          <w:sz w:val="24"/>
          <w:szCs w:val="24"/>
          <w:lang w:val="en-GB"/>
        </w:rPr>
        <w:t>he core teaching team was comprised of 2</w:t>
      </w:r>
      <w:r w:rsidR="004F3A1C">
        <w:rPr>
          <w:rFonts w:ascii="Times New Roman" w:hAnsi="Times New Roman" w:cs="Times New Roman"/>
          <w:sz w:val="24"/>
          <w:szCs w:val="24"/>
          <w:lang w:val="en-GB"/>
        </w:rPr>
        <w:t>4</w:t>
      </w:r>
      <w:r w:rsidR="00900C7E">
        <w:rPr>
          <w:rFonts w:ascii="Times New Roman" w:hAnsi="Times New Roman" w:cs="Times New Roman"/>
          <w:sz w:val="24"/>
          <w:szCs w:val="24"/>
          <w:lang w:val="en-GB"/>
        </w:rPr>
        <w:t xml:space="preserve"> bioscience educators</w:t>
      </w:r>
      <w:r w:rsidR="007F3BF5">
        <w:rPr>
          <w:rFonts w:ascii="Times New Roman" w:hAnsi="Times New Roman" w:cs="Times New Roman"/>
          <w:sz w:val="24"/>
          <w:szCs w:val="24"/>
          <w:lang w:val="en-GB"/>
        </w:rPr>
        <w:t xml:space="preserve"> and</w:t>
      </w:r>
      <w:r w:rsidR="00A10E00">
        <w:rPr>
          <w:rFonts w:ascii="Times New Roman" w:hAnsi="Times New Roman" w:cs="Times New Roman"/>
          <w:sz w:val="24"/>
          <w:szCs w:val="24"/>
          <w:lang w:val="en-GB"/>
        </w:rPr>
        <w:t xml:space="preserve"> </w:t>
      </w:r>
      <w:r w:rsidR="007348B6">
        <w:rPr>
          <w:rFonts w:ascii="Times New Roman" w:hAnsi="Times New Roman" w:cs="Times New Roman"/>
          <w:sz w:val="24"/>
          <w:szCs w:val="24"/>
          <w:lang w:val="en-GB"/>
        </w:rPr>
        <w:t>i</w:t>
      </w:r>
      <w:r w:rsidRPr="007360BB">
        <w:rPr>
          <w:rFonts w:ascii="Times New Roman" w:hAnsi="Times New Roman" w:cs="Times New Roman"/>
          <w:sz w:val="24"/>
          <w:szCs w:val="24"/>
          <w:lang w:val="en-GB"/>
        </w:rPr>
        <w:t xml:space="preserve">nterviewed participants represented </w:t>
      </w:r>
      <w:r w:rsidR="00D81F16">
        <w:rPr>
          <w:rFonts w:ascii="Times New Roman" w:hAnsi="Times New Roman" w:cs="Times New Roman"/>
          <w:sz w:val="24"/>
          <w:szCs w:val="24"/>
          <w:lang w:val="en-GB"/>
        </w:rPr>
        <w:t>most</w:t>
      </w:r>
      <w:r w:rsidR="00D81F16" w:rsidRPr="007360BB">
        <w:rPr>
          <w:rFonts w:ascii="Times New Roman" w:hAnsi="Times New Roman" w:cs="Times New Roman"/>
          <w:sz w:val="24"/>
          <w:szCs w:val="24"/>
          <w:lang w:val="en-GB"/>
        </w:rPr>
        <w:t xml:space="preserve"> </w:t>
      </w:r>
      <w:r w:rsidRPr="007360BB">
        <w:rPr>
          <w:rFonts w:ascii="Times New Roman" w:hAnsi="Times New Roman" w:cs="Times New Roman"/>
          <w:sz w:val="24"/>
          <w:szCs w:val="24"/>
          <w:lang w:val="en-GB"/>
        </w:rPr>
        <w:t xml:space="preserve">bioscience disciplines (Table 1). Data saturation was achieved as no new themes </w:t>
      </w:r>
      <w:r w:rsidRPr="00F67B70">
        <w:rPr>
          <w:rFonts w:ascii="Times New Roman" w:hAnsi="Times New Roman" w:cs="Times New Roman"/>
          <w:sz w:val="24"/>
          <w:szCs w:val="24"/>
          <w:lang w:val="en-GB"/>
        </w:rPr>
        <w:t>emerged</w:t>
      </w:r>
      <w:r w:rsidR="007348B6">
        <w:rPr>
          <w:rFonts w:ascii="Times New Roman" w:hAnsi="Times New Roman" w:cs="Times New Roman"/>
          <w:sz w:val="24"/>
          <w:szCs w:val="24"/>
          <w:lang w:val="en-GB"/>
        </w:rPr>
        <w:t xml:space="preserve"> towards the end of the study</w:t>
      </w:r>
      <w:r w:rsidRPr="00F67B70">
        <w:rPr>
          <w:rFonts w:ascii="Times New Roman" w:hAnsi="Times New Roman" w:cs="Times New Roman"/>
          <w:sz w:val="24"/>
          <w:szCs w:val="24"/>
          <w:lang w:val="en-GB"/>
        </w:rPr>
        <w:t xml:space="preserve"> </w:t>
      </w:r>
      <w:r w:rsidRPr="00F67B70">
        <w:rPr>
          <w:rFonts w:ascii="Times New Roman" w:hAnsi="Times New Roman" w:cs="Times New Roman"/>
          <w:sz w:val="24"/>
          <w:szCs w:val="24"/>
          <w:shd w:val="clear" w:color="auto" w:fill="FFFFFF"/>
          <w:lang w:val="en-GB"/>
        </w:rPr>
        <w:t>[</w:t>
      </w:r>
      <w:r w:rsidR="00C5149A" w:rsidRPr="00F67B70">
        <w:rPr>
          <w:rFonts w:ascii="Times New Roman" w:hAnsi="Times New Roman" w:cs="Times New Roman"/>
          <w:sz w:val="24"/>
          <w:szCs w:val="24"/>
          <w:shd w:val="clear" w:color="auto" w:fill="FFFFFF"/>
          <w:lang w:val="en-GB"/>
        </w:rPr>
        <w:t>3</w:t>
      </w:r>
      <w:r w:rsidR="00F67B70" w:rsidRPr="00F67B70">
        <w:rPr>
          <w:rFonts w:ascii="Times New Roman" w:hAnsi="Times New Roman" w:cs="Times New Roman"/>
          <w:sz w:val="24"/>
          <w:szCs w:val="24"/>
          <w:shd w:val="clear" w:color="auto" w:fill="FFFFFF"/>
          <w:lang w:val="en-GB"/>
        </w:rPr>
        <w:t>6</w:t>
      </w:r>
      <w:r w:rsidRPr="00F67B70">
        <w:rPr>
          <w:rFonts w:ascii="Times New Roman" w:hAnsi="Times New Roman" w:cs="Times New Roman"/>
          <w:sz w:val="24"/>
          <w:szCs w:val="24"/>
          <w:shd w:val="clear" w:color="auto" w:fill="FFFFFF"/>
          <w:lang w:val="en-GB"/>
        </w:rPr>
        <w:t>].</w:t>
      </w:r>
      <w:r w:rsidRPr="007360BB">
        <w:rPr>
          <w:rFonts w:ascii="Times New Roman" w:hAnsi="Times New Roman" w:cs="Times New Roman"/>
          <w:sz w:val="24"/>
          <w:szCs w:val="24"/>
          <w:shd w:val="clear" w:color="auto" w:fill="FFFFFF"/>
          <w:lang w:val="en-GB"/>
        </w:rPr>
        <w:t xml:space="preserve"> </w:t>
      </w:r>
      <w:r w:rsidRPr="007360BB">
        <w:rPr>
          <w:rFonts w:ascii="Times New Roman" w:hAnsi="Times New Roman" w:cs="Times New Roman"/>
          <w:sz w:val="24"/>
          <w:szCs w:val="24"/>
          <w:lang w:val="en-GB"/>
        </w:rPr>
        <w:t xml:space="preserve">After thematic analysis of collected data, </w:t>
      </w:r>
      <w:r w:rsidR="007C59DD">
        <w:rPr>
          <w:rFonts w:ascii="Times New Roman" w:hAnsi="Times New Roman" w:cs="Times New Roman"/>
          <w:sz w:val="24"/>
          <w:szCs w:val="24"/>
          <w:lang w:val="en-GB"/>
        </w:rPr>
        <w:t xml:space="preserve">four </w:t>
      </w:r>
      <w:r w:rsidRPr="007360BB">
        <w:rPr>
          <w:rFonts w:ascii="Times New Roman" w:hAnsi="Times New Roman" w:cs="Times New Roman"/>
          <w:sz w:val="24"/>
          <w:szCs w:val="24"/>
          <w:lang w:val="en-GB"/>
        </w:rPr>
        <w:t xml:space="preserve">main themes were identified: (1) </w:t>
      </w:r>
      <w:r w:rsidR="006E0B9B" w:rsidRPr="00322E4F">
        <w:rPr>
          <w:rFonts w:ascii="Times New Roman" w:hAnsi="Times New Roman" w:cs="Times New Roman"/>
          <w:sz w:val="24"/>
          <w:szCs w:val="24"/>
          <w:lang w:val="en-GB"/>
        </w:rPr>
        <w:t>ubiquity of</w:t>
      </w:r>
      <w:r w:rsidR="006E0B9B" w:rsidRPr="006E0B9B">
        <w:rPr>
          <w:rFonts w:ascii="Times New Roman" w:hAnsi="Times New Roman" w:cs="Times New Roman"/>
          <w:sz w:val="24"/>
          <w:szCs w:val="24"/>
          <w:lang w:val="en-GB"/>
        </w:rPr>
        <w:t xml:space="preserve"> </w:t>
      </w:r>
      <w:r w:rsidRPr="006E0B9B">
        <w:rPr>
          <w:rFonts w:ascii="Times New Roman" w:hAnsi="Times New Roman" w:cs="Times New Roman"/>
          <w:sz w:val="24"/>
          <w:szCs w:val="24"/>
          <w:lang w:val="en-GB"/>
        </w:rPr>
        <w:t>biomedical uncertainty,</w:t>
      </w:r>
      <w:r w:rsidRPr="007360BB">
        <w:rPr>
          <w:rFonts w:ascii="Times New Roman" w:hAnsi="Times New Roman" w:cs="Times New Roman"/>
          <w:sz w:val="24"/>
          <w:szCs w:val="24"/>
          <w:lang w:val="en-GB"/>
        </w:rPr>
        <w:t xml:space="preserve"> (2) constraints to teaching biomedical uncertainty</w:t>
      </w:r>
      <w:r w:rsidR="006E0B9B">
        <w:rPr>
          <w:rFonts w:ascii="Times New Roman" w:hAnsi="Times New Roman" w:cs="Times New Roman"/>
          <w:sz w:val="24"/>
          <w:szCs w:val="24"/>
          <w:lang w:val="en-GB"/>
        </w:rPr>
        <w:t>, (3)</w:t>
      </w:r>
      <w:r w:rsidRPr="007360BB">
        <w:rPr>
          <w:rFonts w:ascii="Times New Roman" w:hAnsi="Times New Roman" w:cs="Times New Roman"/>
          <w:sz w:val="24"/>
          <w:szCs w:val="24"/>
          <w:lang w:val="en-GB"/>
        </w:rPr>
        <w:t xml:space="preserve"> the ‘medic filter’ and (</w:t>
      </w:r>
      <w:r w:rsidR="006E0B9B">
        <w:rPr>
          <w:rFonts w:ascii="Times New Roman" w:hAnsi="Times New Roman" w:cs="Times New Roman"/>
          <w:sz w:val="24"/>
          <w:szCs w:val="24"/>
          <w:lang w:val="en-GB"/>
        </w:rPr>
        <w:t>4</w:t>
      </w:r>
      <w:r w:rsidRPr="007360BB">
        <w:rPr>
          <w:rFonts w:ascii="Times New Roman" w:hAnsi="Times New Roman" w:cs="Times New Roman"/>
          <w:sz w:val="24"/>
          <w:szCs w:val="24"/>
          <w:lang w:val="en-GB"/>
        </w:rPr>
        <w:t xml:space="preserve">) </w:t>
      </w:r>
      <w:r w:rsidR="006E0B9B">
        <w:rPr>
          <w:rFonts w:ascii="Times New Roman" w:hAnsi="Times New Roman" w:cs="Times New Roman"/>
          <w:sz w:val="24"/>
          <w:szCs w:val="24"/>
          <w:lang w:val="en-GB"/>
        </w:rPr>
        <w:t xml:space="preserve">the fluid distinction: </w:t>
      </w:r>
      <w:r w:rsidRPr="007360BB">
        <w:rPr>
          <w:rFonts w:ascii="Times New Roman" w:hAnsi="Times New Roman" w:cs="Times New Roman"/>
          <w:sz w:val="24"/>
          <w:szCs w:val="24"/>
          <w:lang w:val="en-GB"/>
        </w:rPr>
        <w:t xml:space="preserve">core </w:t>
      </w:r>
      <w:r w:rsidRPr="007360BB">
        <w:rPr>
          <w:rFonts w:ascii="Times New Roman" w:hAnsi="Times New Roman" w:cs="Times New Roman"/>
          <w:i/>
          <w:iCs/>
          <w:sz w:val="24"/>
          <w:szCs w:val="24"/>
          <w:lang w:val="en-GB"/>
        </w:rPr>
        <w:t>versus</w:t>
      </w:r>
      <w:r w:rsidRPr="007360BB">
        <w:rPr>
          <w:rFonts w:ascii="Times New Roman" w:hAnsi="Times New Roman" w:cs="Times New Roman"/>
          <w:sz w:val="24"/>
          <w:szCs w:val="24"/>
          <w:lang w:val="en-GB"/>
        </w:rPr>
        <w:t xml:space="preserve"> additional knowledge. </w:t>
      </w:r>
    </w:p>
    <w:p w14:paraId="18052D82" w14:textId="62ED3C55" w:rsidR="004423E0" w:rsidRPr="007360BB" w:rsidRDefault="006E0B9B" w:rsidP="004423E0">
      <w:pPr>
        <w:pStyle w:val="heading2"/>
      </w:pPr>
      <w:r w:rsidRPr="00322E4F">
        <w:t>Ubiquity of</w:t>
      </w:r>
      <w:r w:rsidRPr="006E0B9B">
        <w:t xml:space="preserve"> </w:t>
      </w:r>
      <w:r w:rsidR="004423E0" w:rsidRPr="006E0B9B">
        <w:t>biomedical uncertainty</w:t>
      </w:r>
    </w:p>
    <w:p w14:paraId="625CA4F8" w14:textId="4230730D" w:rsidR="004423E0" w:rsidRPr="00AB6084" w:rsidRDefault="004423E0" w:rsidP="004423E0">
      <w:pPr>
        <w:pStyle w:val="BodyA"/>
        <w:spacing w:before="100" w:after="200" w:line="480" w:lineRule="auto"/>
        <w:rPr>
          <w:rFonts w:ascii="Times New Roman" w:hAnsi="Times New Roman" w:cs="Times New Roman"/>
          <w:sz w:val="24"/>
          <w:szCs w:val="24"/>
          <w:lang w:val="en-GB"/>
        </w:rPr>
      </w:pPr>
      <w:r w:rsidRPr="007360BB">
        <w:rPr>
          <w:rFonts w:ascii="Times New Roman" w:hAnsi="Times New Roman" w:cs="Times New Roman"/>
          <w:sz w:val="24"/>
          <w:szCs w:val="24"/>
          <w:lang w:val="en-GB"/>
        </w:rPr>
        <w:t>Most observed sessions included references to biomedical uncertainty (Table 2). Even though references to uncertainty were fewer than the content</w:t>
      </w:r>
      <w:r w:rsidR="007348B6">
        <w:rPr>
          <w:rFonts w:ascii="Times New Roman" w:hAnsi="Times New Roman" w:cs="Times New Roman"/>
          <w:sz w:val="24"/>
          <w:szCs w:val="24"/>
          <w:lang w:val="en-GB"/>
        </w:rPr>
        <w:t xml:space="preserve"> that </w:t>
      </w:r>
      <w:proofErr w:type="gramStart"/>
      <w:r w:rsidR="007348B6">
        <w:rPr>
          <w:rFonts w:ascii="Times New Roman" w:hAnsi="Times New Roman" w:cs="Times New Roman"/>
          <w:sz w:val="24"/>
          <w:szCs w:val="24"/>
          <w:lang w:val="en-GB"/>
        </w:rPr>
        <w:t>was considered to be</w:t>
      </w:r>
      <w:proofErr w:type="gramEnd"/>
      <w:r w:rsidRPr="007360BB">
        <w:rPr>
          <w:rFonts w:ascii="Times New Roman" w:hAnsi="Times New Roman" w:cs="Times New Roman"/>
          <w:sz w:val="24"/>
          <w:szCs w:val="24"/>
          <w:lang w:val="en-GB"/>
        </w:rPr>
        <w:t xml:space="preserve"> established scientific knowledge, uncertainties were inextricably intertwined with established knowledge.</w:t>
      </w:r>
      <w:r w:rsidR="00AB6084">
        <w:rPr>
          <w:rFonts w:ascii="Times New Roman" w:hAnsi="Times New Roman" w:cs="Times New Roman"/>
          <w:sz w:val="24"/>
          <w:szCs w:val="24"/>
          <w:lang w:val="en-GB"/>
        </w:rPr>
        <w:t xml:space="preserve"> </w:t>
      </w:r>
      <w:r w:rsidR="006E7725">
        <w:rPr>
          <w:rFonts w:ascii="Times New Roman" w:hAnsi="Times New Roman" w:cs="Times New Roman"/>
          <w:sz w:val="24"/>
          <w:szCs w:val="24"/>
          <w:lang w:val="en-GB"/>
        </w:rPr>
        <w:t xml:space="preserve">They were mostly presented as a </w:t>
      </w:r>
      <w:r w:rsidR="00CD720E">
        <w:rPr>
          <w:rFonts w:ascii="Times New Roman" w:hAnsi="Times New Roman" w:cs="Times New Roman"/>
          <w:sz w:val="24"/>
          <w:szCs w:val="24"/>
          <w:lang w:val="en-GB"/>
        </w:rPr>
        <w:t xml:space="preserve">matter </w:t>
      </w:r>
      <w:r w:rsidR="00CD720E">
        <w:rPr>
          <w:rFonts w:ascii="Times New Roman" w:hAnsi="Times New Roman" w:cs="Times New Roman"/>
          <w:sz w:val="24"/>
          <w:szCs w:val="24"/>
          <w:lang w:val="en-GB"/>
        </w:rPr>
        <w:lastRenderedPageBreak/>
        <w:t>of fact</w:t>
      </w:r>
      <w:r w:rsidR="006E7725">
        <w:rPr>
          <w:rFonts w:ascii="Times New Roman" w:hAnsi="Times New Roman" w:cs="Times New Roman"/>
          <w:sz w:val="24"/>
          <w:szCs w:val="24"/>
          <w:lang w:val="en-GB"/>
        </w:rPr>
        <w:t xml:space="preserve">, in passing and were rarely discussed </w:t>
      </w:r>
      <w:r w:rsidR="007A3187">
        <w:rPr>
          <w:rFonts w:ascii="Times New Roman" w:hAnsi="Times New Roman" w:cs="Times New Roman"/>
          <w:sz w:val="24"/>
          <w:szCs w:val="24"/>
          <w:lang w:val="en-GB"/>
        </w:rPr>
        <w:t>in-depth</w:t>
      </w:r>
      <w:r w:rsidR="00D805CB">
        <w:rPr>
          <w:rFonts w:ascii="Times New Roman" w:hAnsi="Times New Roman" w:cs="Times New Roman"/>
          <w:sz w:val="24"/>
          <w:szCs w:val="24"/>
          <w:lang w:val="en-GB"/>
        </w:rPr>
        <w:t xml:space="preserve">. </w:t>
      </w:r>
      <w:r w:rsidRPr="007360BB">
        <w:rPr>
          <w:rFonts w:ascii="Times New Roman" w:hAnsi="Times New Roman" w:cs="Times New Roman"/>
          <w:sz w:val="24"/>
          <w:szCs w:val="24"/>
          <w:lang w:val="en-GB"/>
        </w:rPr>
        <w:t xml:space="preserve">During interviews, respondents provided many more examples of biomedical uncertainty from their disciplines: pathogenesis of Ebola virus, mechanism of action of paracetamol and antidepressants, pathophysiology of Crohn’s disease and depression, the process of haematopoiesis, understanding of the microbiome and neurodegeneration. All interviewees recognised that uncertainty plays a significant role in their disciplines. Biomedical uncertainty was mostly articulated as change in biomedical research findings, </w:t>
      </w:r>
      <w:proofErr w:type="gramStart"/>
      <w:r w:rsidRPr="007360BB">
        <w:rPr>
          <w:rFonts w:ascii="Times New Roman" w:hAnsi="Times New Roman" w:cs="Times New Roman"/>
          <w:sz w:val="24"/>
          <w:szCs w:val="24"/>
          <w:lang w:val="en-GB"/>
        </w:rPr>
        <w:t>theories</w:t>
      </w:r>
      <w:proofErr w:type="gramEnd"/>
      <w:r w:rsidRPr="007360BB">
        <w:rPr>
          <w:rFonts w:ascii="Times New Roman" w:hAnsi="Times New Roman" w:cs="Times New Roman"/>
          <w:sz w:val="24"/>
          <w:szCs w:val="24"/>
          <w:lang w:val="en-GB"/>
        </w:rPr>
        <w:t xml:space="preserve"> and practices. The perceived significance of this change can best be illustrated with the words of one respondent: </w:t>
      </w:r>
    </w:p>
    <w:p w14:paraId="1731B54F" w14:textId="77777777" w:rsidR="004423E0" w:rsidRPr="007360BB" w:rsidRDefault="004423E0" w:rsidP="004423E0">
      <w:pPr>
        <w:pStyle w:val="BodyA"/>
        <w:spacing w:before="100" w:after="200" w:line="480" w:lineRule="auto"/>
        <w:ind w:left="709"/>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 xml:space="preserve">‘[W]hat we refer to as </w:t>
      </w:r>
      <w:r>
        <w:rPr>
          <w:rFonts w:ascii="Times New Roman" w:hAnsi="Times New Roman" w:cs="Times New Roman"/>
          <w:sz w:val="24"/>
          <w:szCs w:val="24"/>
          <w:lang w:val="en-GB"/>
        </w:rPr>
        <w:t xml:space="preserve">[HIV and AIDS] </w:t>
      </w:r>
      <w:r w:rsidRPr="007360BB">
        <w:rPr>
          <w:rFonts w:ascii="Times New Roman" w:hAnsi="Times New Roman" w:cs="Times New Roman"/>
          <w:sz w:val="24"/>
          <w:szCs w:val="24"/>
          <w:lang w:val="en-GB"/>
        </w:rPr>
        <w:t>was only fully described in 1981. And in the space of the time between us realising it was something, the development of the AIDS pandemic and the development of antiretroviral therapies to manage it, only 25 years had elapsed. And in the space of not even somebody’s clinical lifetime, we have changed the way in which we look at the world, the way we identify a condition, the way that we manage it.’ (R1)</w:t>
      </w:r>
    </w:p>
    <w:p w14:paraId="65E06517" w14:textId="57BAA252" w:rsidR="004423E0" w:rsidRPr="00AB6084" w:rsidRDefault="004423E0" w:rsidP="00AB6084">
      <w:pPr>
        <w:pStyle w:val="BodyA"/>
        <w:spacing w:before="100" w:after="200" w:line="480" w:lineRule="auto"/>
        <w:rPr>
          <w:rFonts w:ascii="Times New Roman" w:hAnsi="Times New Roman" w:cs="Times New Roman"/>
          <w:b/>
          <w:bCs/>
          <w:sz w:val="24"/>
          <w:szCs w:val="24"/>
          <w:lang w:val="en-GB"/>
        </w:rPr>
      </w:pPr>
      <w:r w:rsidRPr="007360BB">
        <w:rPr>
          <w:rFonts w:ascii="Times New Roman" w:hAnsi="Times New Roman" w:cs="Times New Roman"/>
          <w:sz w:val="24"/>
          <w:szCs w:val="24"/>
          <w:lang w:val="en-GB"/>
        </w:rPr>
        <w:t xml:space="preserve">Change is a fundamental requirement of the scientific method and its prevalence in these definitions is not surprising. However, interviewees’ conceptualisations of uncertainty, its pace and source differed significantly between disciplines (Table 3). A microbiologist argued that microbiology contains a large amount of uncertainty due to the constant mutation of organisms causing disease. Immunology was presented as one of the fastest moving disciplines with biomedical uncertainty as its integral part. In anatomy, uncertainty </w:t>
      </w:r>
      <w:r w:rsidR="007348B6">
        <w:rPr>
          <w:rFonts w:ascii="Times New Roman" w:hAnsi="Times New Roman" w:cs="Times New Roman"/>
          <w:sz w:val="24"/>
          <w:szCs w:val="24"/>
          <w:lang w:val="en-GB"/>
        </w:rPr>
        <w:t xml:space="preserve">was </w:t>
      </w:r>
      <w:r w:rsidRPr="007360BB">
        <w:rPr>
          <w:rFonts w:ascii="Times New Roman" w:hAnsi="Times New Roman" w:cs="Times New Roman"/>
          <w:sz w:val="24"/>
          <w:szCs w:val="24"/>
          <w:lang w:val="en-GB"/>
        </w:rPr>
        <w:t xml:space="preserve">articulated as anatomical variations and reclassification of organs and structures. The place </w:t>
      </w:r>
      <w:r w:rsidRPr="007360BB">
        <w:rPr>
          <w:rFonts w:ascii="Times New Roman" w:hAnsi="Times New Roman" w:cs="Times New Roman"/>
          <w:sz w:val="24"/>
          <w:szCs w:val="24"/>
          <w:lang w:val="en-GB"/>
        </w:rPr>
        <w:lastRenderedPageBreak/>
        <w:t>for uncertainty was also acknowledged in physiology, even though to a smaller degree.</w:t>
      </w:r>
    </w:p>
    <w:p w14:paraId="6C930522" w14:textId="2DF21382" w:rsidR="004423E0" w:rsidRPr="007360BB" w:rsidRDefault="004423E0" w:rsidP="00AB6084">
      <w:pPr>
        <w:pStyle w:val="heading2"/>
      </w:pPr>
      <w:r w:rsidRPr="007360BB">
        <w:t>Constraints to teaching biomedical uncertainty</w:t>
      </w:r>
    </w:p>
    <w:p w14:paraId="5F38EB20" w14:textId="25E2016C" w:rsidR="004423E0" w:rsidRPr="007360BB" w:rsidRDefault="004423E0" w:rsidP="004423E0">
      <w:pPr>
        <w:pStyle w:val="BodyA"/>
        <w:spacing w:before="100" w:after="200" w:line="480" w:lineRule="auto"/>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 xml:space="preserve">Acknowledging that biomedical uncertainty plays important roles in each discipline did not </w:t>
      </w:r>
      <w:r w:rsidR="007348B6">
        <w:rPr>
          <w:rFonts w:ascii="Times New Roman" w:hAnsi="Times New Roman" w:cs="Times New Roman"/>
          <w:sz w:val="24"/>
          <w:szCs w:val="24"/>
          <w:lang w:val="en-GB"/>
        </w:rPr>
        <w:t xml:space="preserve">always </w:t>
      </w:r>
      <w:r w:rsidRPr="007360BB">
        <w:rPr>
          <w:rFonts w:ascii="Times New Roman" w:hAnsi="Times New Roman" w:cs="Times New Roman"/>
          <w:sz w:val="24"/>
          <w:szCs w:val="24"/>
          <w:lang w:val="en-GB"/>
        </w:rPr>
        <w:t>translate into teaching it. Research participants recognised various constraints which prevented them from including such topics into their teaching.</w:t>
      </w:r>
    </w:p>
    <w:p w14:paraId="0D77F281" w14:textId="77777777" w:rsidR="004423E0" w:rsidRPr="007360BB" w:rsidRDefault="004423E0" w:rsidP="004423E0">
      <w:pPr>
        <w:pStyle w:val="BodyA"/>
        <w:spacing w:before="100" w:after="200" w:line="480" w:lineRule="auto"/>
        <w:rPr>
          <w:rFonts w:ascii="Times New Roman" w:eastAsia="Times New Roman" w:hAnsi="Times New Roman" w:cs="Times New Roman"/>
          <w:sz w:val="24"/>
          <w:szCs w:val="24"/>
          <w:shd w:val="clear" w:color="auto" w:fill="FFFFFF"/>
          <w:lang w:val="en-GB"/>
        </w:rPr>
      </w:pPr>
      <w:r w:rsidRPr="007360BB">
        <w:rPr>
          <w:rFonts w:ascii="Times New Roman" w:hAnsi="Times New Roman" w:cs="Times New Roman"/>
          <w:sz w:val="24"/>
          <w:szCs w:val="24"/>
          <w:lang w:val="en-GB"/>
        </w:rPr>
        <w:t>T</w:t>
      </w:r>
      <w:r w:rsidRPr="007360BB">
        <w:rPr>
          <w:rFonts w:ascii="Times New Roman" w:hAnsi="Times New Roman" w:cs="Times New Roman"/>
          <w:sz w:val="24"/>
          <w:szCs w:val="24"/>
          <w:shd w:val="clear" w:color="auto" w:fill="FFFFFF"/>
          <w:lang w:val="en-GB"/>
        </w:rPr>
        <w:t>he limited time given to each discipline in an integrated medical curriculum was seen as key</w:t>
      </w:r>
      <w:r w:rsidRPr="007360BB">
        <w:rPr>
          <w:rFonts w:ascii="Times New Roman" w:hAnsi="Times New Roman" w:cs="Times New Roman"/>
          <w:sz w:val="24"/>
          <w:szCs w:val="24"/>
          <w:lang w:val="en-GB"/>
        </w:rPr>
        <w:t xml:space="preserve"> structural constraint </w:t>
      </w:r>
      <w:r w:rsidRPr="007360BB">
        <w:rPr>
          <w:rFonts w:ascii="Times New Roman" w:hAnsi="Times New Roman" w:cs="Times New Roman"/>
          <w:sz w:val="24"/>
          <w:szCs w:val="24"/>
          <w:shd w:val="clear" w:color="auto" w:fill="FFFFFF"/>
          <w:lang w:val="en-GB"/>
        </w:rPr>
        <w:t xml:space="preserve">to including uncertain knowledge: </w:t>
      </w:r>
    </w:p>
    <w:p w14:paraId="4D9EFA5B" w14:textId="77777777" w:rsidR="004423E0" w:rsidRPr="007360BB" w:rsidRDefault="004423E0" w:rsidP="004423E0">
      <w:pPr>
        <w:pStyle w:val="BodyA"/>
        <w:spacing w:before="100" w:after="200" w:line="480" w:lineRule="auto"/>
        <w:ind w:left="720"/>
        <w:rPr>
          <w:rFonts w:ascii="Times New Roman" w:eastAsia="Times New Roman" w:hAnsi="Times New Roman" w:cs="Times New Roman"/>
          <w:sz w:val="24"/>
          <w:szCs w:val="24"/>
          <w:shd w:val="clear" w:color="auto" w:fill="FFFFFF"/>
          <w:lang w:val="en-GB"/>
        </w:rPr>
      </w:pPr>
      <w:r w:rsidRPr="007360BB">
        <w:rPr>
          <w:rFonts w:ascii="Times New Roman" w:hAnsi="Times New Roman" w:cs="Times New Roman"/>
          <w:sz w:val="24"/>
          <w:szCs w:val="24"/>
          <w:shd w:val="clear" w:color="auto" w:fill="FFFFFF"/>
          <w:lang w:val="en-GB"/>
        </w:rPr>
        <w:t xml:space="preserve">‘Unfortunately, I don’t have time in a lot of the lectures to really </w:t>
      </w:r>
      <w:r>
        <w:rPr>
          <w:rFonts w:ascii="Times New Roman" w:hAnsi="Times New Roman" w:cs="Times New Roman"/>
          <w:sz w:val="24"/>
          <w:szCs w:val="24"/>
          <w:shd w:val="clear" w:color="auto" w:fill="FFFFFF"/>
          <w:lang w:val="en-GB"/>
        </w:rPr>
        <w:t xml:space="preserve">[…] </w:t>
      </w:r>
      <w:r w:rsidRPr="007360BB">
        <w:rPr>
          <w:rFonts w:ascii="Times New Roman" w:hAnsi="Times New Roman" w:cs="Times New Roman"/>
          <w:sz w:val="24"/>
          <w:szCs w:val="24"/>
          <w:shd w:val="clear" w:color="auto" w:fill="FFFFFF"/>
          <w:lang w:val="en-GB"/>
        </w:rPr>
        <w:t xml:space="preserve">talk about [uncertainty], but I at least use it as a cue for students to understand that this is not a complete given, this is an area of </w:t>
      </w:r>
      <w:proofErr w:type="gramStart"/>
      <w:r w:rsidRPr="007360BB">
        <w:rPr>
          <w:rFonts w:ascii="Times New Roman" w:hAnsi="Times New Roman" w:cs="Times New Roman"/>
          <w:sz w:val="24"/>
          <w:szCs w:val="24"/>
          <w:shd w:val="clear" w:color="auto" w:fill="FFFFFF"/>
          <w:lang w:val="en-GB"/>
        </w:rPr>
        <w:t>change</w:t>
      </w:r>
      <w:proofErr w:type="gramEnd"/>
      <w:r w:rsidRPr="007360BB">
        <w:rPr>
          <w:rFonts w:ascii="Times New Roman" w:hAnsi="Times New Roman" w:cs="Times New Roman"/>
          <w:sz w:val="24"/>
          <w:szCs w:val="24"/>
          <w:shd w:val="clear" w:color="auto" w:fill="FFFFFF"/>
          <w:lang w:val="en-GB"/>
        </w:rPr>
        <w:t xml:space="preserve"> and this is something that they may want to look into further. (R4)’</w:t>
      </w:r>
    </w:p>
    <w:p w14:paraId="66F75770" w14:textId="77777777" w:rsidR="004423E0" w:rsidRPr="007360BB" w:rsidRDefault="004423E0" w:rsidP="004423E0">
      <w:pPr>
        <w:pStyle w:val="BodyA"/>
        <w:spacing w:before="100" w:after="200" w:line="480" w:lineRule="auto"/>
        <w:rPr>
          <w:rFonts w:ascii="Times New Roman" w:eastAsia="Times New Roman" w:hAnsi="Times New Roman" w:cs="Times New Roman"/>
          <w:sz w:val="24"/>
          <w:szCs w:val="24"/>
          <w:shd w:val="clear" w:color="auto" w:fill="FFFFFF"/>
          <w:lang w:val="en-GB"/>
        </w:rPr>
      </w:pPr>
      <w:r w:rsidRPr="007360BB">
        <w:rPr>
          <w:rFonts w:ascii="Times New Roman" w:hAnsi="Times New Roman" w:cs="Times New Roman"/>
          <w:sz w:val="24"/>
          <w:szCs w:val="24"/>
          <w:shd w:val="clear" w:color="auto" w:fill="FFFFFF"/>
          <w:lang w:val="en-GB"/>
        </w:rPr>
        <w:t>The assessment system was identified as another structural constraint to teaching uncertainty. Respondents discussed the need to be highly selective in what knowledge was tested in examinations. Types of assessments and exam questions were also seen as limiting the possibility of testing uncertainties. Respondents supposed that due to students’ characteristic of being exam-focussed and the fact that we rarely assess on uncertainty, students pay less attention to subjects containing explicitly articulated uncertainty.</w:t>
      </w:r>
    </w:p>
    <w:p w14:paraId="39E2507C" w14:textId="3AE33566" w:rsidR="004423E0" w:rsidRPr="007360BB" w:rsidRDefault="00D805CB" w:rsidP="00AB6084">
      <w:pPr>
        <w:pStyle w:val="heading2"/>
      </w:pPr>
      <w:r>
        <w:rPr>
          <w:shd w:val="clear" w:color="auto" w:fill="FFFFFF"/>
        </w:rPr>
        <w:t>The ‘medic filter’</w:t>
      </w:r>
    </w:p>
    <w:p w14:paraId="2AC8E18E" w14:textId="18856901" w:rsidR="00D805CB" w:rsidRPr="007360BB" w:rsidRDefault="00D805CB" w:rsidP="00D805CB">
      <w:pPr>
        <w:pStyle w:val="BodyA"/>
        <w:spacing w:before="100" w:after="200" w:line="480" w:lineRule="auto"/>
        <w:rPr>
          <w:rFonts w:ascii="Times New Roman" w:eastAsia="Times New Roman" w:hAnsi="Times New Roman" w:cs="Times New Roman"/>
          <w:sz w:val="24"/>
          <w:szCs w:val="24"/>
          <w:lang w:val="en-GB"/>
        </w:rPr>
      </w:pPr>
      <w:r>
        <w:rPr>
          <w:rFonts w:ascii="Times New Roman" w:hAnsi="Times New Roman" w:cs="Times New Roman"/>
          <w:sz w:val="24"/>
          <w:szCs w:val="24"/>
          <w:lang w:val="en-GB"/>
        </w:rPr>
        <w:t>R</w:t>
      </w:r>
      <w:r w:rsidRPr="007360BB">
        <w:rPr>
          <w:rFonts w:ascii="Times New Roman" w:hAnsi="Times New Roman" w:cs="Times New Roman"/>
          <w:sz w:val="24"/>
          <w:szCs w:val="24"/>
          <w:lang w:val="en-GB"/>
        </w:rPr>
        <w:t xml:space="preserve">espondents did not </w:t>
      </w:r>
      <w:r w:rsidR="007348B6">
        <w:rPr>
          <w:rFonts w:ascii="Times New Roman" w:hAnsi="Times New Roman" w:cs="Times New Roman"/>
          <w:sz w:val="24"/>
          <w:szCs w:val="24"/>
          <w:lang w:val="en-GB"/>
        </w:rPr>
        <w:t>perceive</w:t>
      </w:r>
      <w:r w:rsidRPr="007360B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exclusion of uncertainty from their teaching </w:t>
      </w:r>
      <w:r w:rsidRPr="007360BB">
        <w:rPr>
          <w:rFonts w:ascii="Times New Roman" w:hAnsi="Times New Roman" w:cs="Times New Roman"/>
          <w:sz w:val="24"/>
          <w:szCs w:val="24"/>
          <w:lang w:val="en-GB"/>
        </w:rPr>
        <w:t>to be a significant shortcoming</w:t>
      </w:r>
      <w:r>
        <w:rPr>
          <w:rFonts w:ascii="Times New Roman" w:hAnsi="Times New Roman" w:cs="Times New Roman"/>
          <w:sz w:val="24"/>
          <w:szCs w:val="24"/>
          <w:lang w:val="en-GB"/>
        </w:rPr>
        <w:t>. Such judgement was based on</w:t>
      </w:r>
      <w:r w:rsidRPr="007360BB">
        <w:rPr>
          <w:rFonts w:ascii="Times New Roman" w:hAnsi="Times New Roman" w:cs="Times New Roman"/>
          <w:sz w:val="24"/>
          <w:szCs w:val="24"/>
          <w:lang w:val="en-GB"/>
        </w:rPr>
        <w:t xml:space="preserve"> the ‘medic filter’ (R5). </w:t>
      </w:r>
      <w:r w:rsidRPr="007360BB">
        <w:rPr>
          <w:rFonts w:ascii="Times New Roman" w:hAnsi="Times New Roman" w:cs="Times New Roman"/>
          <w:sz w:val="24"/>
          <w:szCs w:val="24"/>
          <w:lang w:val="en-GB"/>
        </w:rPr>
        <w:lastRenderedPageBreak/>
        <w:t xml:space="preserve">The idiom ‘medic filter’ refers to the process of making decisions concerning which biomedical knowledge is relevant for clinical practice. The distinction between a medical student and a science student and </w:t>
      </w:r>
      <w:r w:rsidR="007348B6">
        <w:rPr>
          <w:rFonts w:ascii="Times New Roman" w:hAnsi="Times New Roman" w:cs="Times New Roman"/>
          <w:sz w:val="24"/>
          <w:szCs w:val="24"/>
          <w:lang w:val="en-GB"/>
        </w:rPr>
        <w:t xml:space="preserve">their </w:t>
      </w:r>
      <w:r w:rsidRPr="007360BB">
        <w:rPr>
          <w:rFonts w:ascii="Times New Roman" w:hAnsi="Times New Roman" w:cs="Times New Roman"/>
          <w:sz w:val="24"/>
          <w:szCs w:val="24"/>
          <w:lang w:val="en-GB"/>
        </w:rPr>
        <w:t>differen</w:t>
      </w:r>
      <w:r w:rsidR="007348B6">
        <w:rPr>
          <w:rFonts w:ascii="Times New Roman" w:hAnsi="Times New Roman" w:cs="Times New Roman"/>
          <w:sz w:val="24"/>
          <w:szCs w:val="24"/>
          <w:lang w:val="en-GB"/>
        </w:rPr>
        <w:t>t</w:t>
      </w:r>
      <w:r w:rsidRPr="007360BB">
        <w:rPr>
          <w:rFonts w:ascii="Times New Roman" w:hAnsi="Times New Roman" w:cs="Times New Roman"/>
          <w:sz w:val="24"/>
          <w:szCs w:val="24"/>
          <w:lang w:val="en-GB"/>
        </w:rPr>
        <w:t xml:space="preserve"> necessary </w:t>
      </w:r>
      <w:r w:rsidR="007348B6">
        <w:rPr>
          <w:rFonts w:ascii="Times New Roman" w:hAnsi="Times New Roman" w:cs="Times New Roman"/>
          <w:sz w:val="24"/>
          <w:szCs w:val="24"/>
          <w:lang w:val="en-GB"/>
        </w:rPr>
        <w:t xml:space="preserve">knowledge bases </w:t>
      </w:r>
      <w:r w:rsidRPr="007360BB">
        <w:rPr>
          <w:rFonts w:ascii="Times New Roman" w:hAnsi="Times New Roman" w:cs="Times New Roman"/>
          <w:sz w:val="24"/>
          <w:szCs w:val="24"/>
          <w:lang w:val="en-GB"/>
        </w:rPr>
        <w:t xml:space="preserve">were made by most respondents. When discussing the application of the ‘medic filter’ to rheumatoid arthritis, one respondent narrated: </w:t>
      </w:r>
    </w:p>
    <w:p w14:paraId="7781BCC7" w14:textId="5119FAF1" w:rsidR="00D805CB" w:rsidRPr="007360BB" w:rsidRDefault="00D805CB" w:rsidP="00D805CB">
      <w:pPr>
        <w:pStyle w:val="BodyA"/>
        <w:spacing w:before="100" w:after="200" w:line="480" w:lineRule="auto"/>
        <w:ind w:left="720"/>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‘[Y]</w:t>
      </w:r>
      <w:proofErr w:type="spellStart"/>
      <w:r w:rsidRPr="007360BB">
        <w:rPr>
          <w:rFonts w:ascii="Times New Roman" w:hAnsi="Times New Roman" w:cs="Times New Roman"/>
          <w:sz w:val="24"/>
          <w:szCs w:val="24"/>
          <w:lang w:val="en-GB"/>
        </w:rPr>
        <w:t>ou</w:t>
      </w:r>
      <w:proofErr w:type="spellEnd"/>
      <w:r w:rsidRPr="007360BB">
        <w:rPr>
          <w:rFonts w:ascii="Times New Roman" w:hAnsi="Times New Roman" w:cs="Times New Roman"/>
          <w:sz w:val="24"/>
          <w:szCs w:val="24"/>
          <w:lang w:val="en-GB"/>
        </w:rPr>
        <w:t xml:space="preserve"> need to know that it</w:t>
      </w:r>
      <w:r>
        <w:rPr>
          <w:rFonts w:ascii="Times New Roman" w:hAnsi="Times New Roman" w:cs="Times New Roman"/>
          <w:sz w:val="24"/>
          <w:szCs w:val="24"/>
          <w:lang w:val="en-GB"/>
        </w:rPr>
        <w:t>’</w:t>
      </w:r>
      <w:r w:rsidRPr="007360BB">
        <w:rPr>
          <w:rFonts w:ascii="Times New Roman" w:hAnsi="Times New Roman" w:cs="Times New Roman"/>
          <w:sz w:val="24"/>
          <w:szCs w:val="24"/>
          <w:lang w:val="en-GB"/>
        </w:rPr>
        <w:t>s these cells and these inflammatory molecules because they are the ones that we clinically and medically target. Whether they’re macrophages and M1, M2 A B C or D doesn't matter necessarily to a clinician unless they're going to go into rheumatoid arthritis research later.’ (R3)</w:t>
      </w:r>
    </w:p>
    <w:p w14:paraId="47342756" w14:textId="77777777" w:rsidR="00D805CB" w:rsidRPr="007360BB" w:rsidRDefault="00D805CB" w:rsidP="00D805CB">
      <w:pPr>
        <w:pStyle w:val="BodyA"/>
        <w:spacing w:before="100" w:after="200" w:line="480" w:lineRule="auto"/>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 xml:space="preserve">Many respondents acknowledged that applying the ‘medic filter’ presents its own challenges: </w:t>
      </w:r>
    </w:p>
    <w:p w14:paraId="36D5F0A0" w14:textId="77777777" w:rsidR="00D805CB" w:rsidRPr="007360BB" w:rsidRDefault="00D805CB" w:rsidP="00D805CB">
      <w:pPr>
        <w:pStyle w:val="BodyA"/>
        <w:spacing w:before="100" w:after="200" w:line="480" w:lineRule="auto"/>
        <w:ind w:left="720"/>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w:t>
      </w:r>
      <w:proofErr w:type="gramStart"/>
      <w:r w:rsidRPr="007360BB">
        <w:rPr>
          <w:rFonts w:ascii="Times New Roman" w:hAnsi="Times New Roman" w:cs="Times New Roman"/>
          <w:sz w:val="24"/>
          <w:szCs w:val="24"/>
          <w:lang w:val="en-GB"/>
        </w:rPr>
        <w:t>our</w:t>
      </w:r>
      <w:proofErr w:type="gramEnd"/>
      <w:r w:rsidRPr="007360BB">
        <w:rPr>
          <w:rFonts w:ascii="Times New Roman" w:hAnsi="Times New Roman" w:cs="Times New Roman"/>
          <w:sz w:val="24"/>
          <w:szCs w:val="24"/>
          <w:lang w:val="en-GB"/>
        </w:rPr>
        <w:t xml:space="preserve"> understanding of how haematopoiesis works is not very well understood, really, and is extremely complex. To the level that the medical students need to understand it, to package it down into one lecture and a practical is very difficult. It's a sort of thing that when I would do biology, it was part of, say, an eight-week unit, whereas I do one lecture. Trying to balance that area in terms of the content being relevant to the medical students as medics and not confusing them too much with the content but enough that they understand it, so that’s the area I find most difficult to teach.’ (R3)</w:t>
      </w:r>
    </w:p>
    <w:p w14:paraId="4ABF5FBE" w14:textId="52066C8A" w:rsidR="00D805CB" w:rsidRPr="00322E4F" w:rsidRDefault="00F70D19" w:rsidP="00322E4F">
      <w:pPr>
        <w:pStyle w:val="heading2"/>
      </w:pPr>
      <w:r>
        <w:rPr>
          <w:shd w:val="clear" w:color="auto" w:fill="FFFFFF"/>
        </w:rPr>
        <w:lastRenderedPageBreak/>
        <w:t>The fluid distinction: c</w:t>
      </w:r>
      <w:r w:rsidR="00343899">
        <w:rPr>
          <w:shd w:val="clear" w:color="auto" w:fill="FFFFFF"/>
        </w:rPr>
        <w:t xml:space="preserve">ore </w:t>
      </w:r>
      <w:r w:rsidR="00343899" w:rsidRPr="00322E4F">
        <w:rPr>
          <w:i/>
          <w:iCs/>
          <w:shd w:val="clear" w:color="auto" w:fill="FFFFFF"/>
        </w:rPr>
        <w:t>versus</w:t>
      </w:r>
      <w:r w:rsidR="00343899">
        <w:rPr>
          <w:shd w:val="clear" w:color="auto" w:fill="FFFFFF"/>
        </w:rPr>
        <w:t xml:space="preserve"> additional knowledge</w:t>
      </w:r>
    </w:p>
    <w:p w14:paraId="3A3674FF" w14:textId="61CCFDE8" w:rsidR="004423E0" w:rsidRPr="007360BB" w:rsidRDefault="004423E0" w:rsidP="004423E0">
      <w:pPr>
        <w:pStyle w:val="BodyA"/>
        <w:spacing w:before="100" w:after="200" w:line="480" w:lineRule="auto"/>
        <w:rPr>
          <w:rFonts w:ascii="Times New Roman" w:eastAsia="Times New Roman" w:hAnsi="Times New Roman" w:cs="Times New Roman"/>
          <w:sz w:val="24"/>
          <w:szCs w:val="24"/>
          <w:shd w:val="clear" w:color="auto" w:fill="FFFFFF"/>
          <w:lang w:val="en-GB"/>
        </w:rPr>
      </w:pPr>
      <w:r w:rsidRPr="007360BB">
        <w:rPr>
          <w:rFonts w:ascii="Times New Roman" w:hAnsi="Times New Roman" w:cs="Times New Roman"/>
          <w:sz w:val="24"/>
          <w:szCs w:val="24"/>
          <w:lang w:val="en-GB"/>
        </w:rPr>
        <w:t xml:space="preserve">While applying the ‘medic filter’, research participants made a distinction between </w:t>
      </w:r>
      <w:r w:rsidRPr="007360BB">
        <w:rPr>
          <w:rFonts w:ascii="Times New Roman" w:hAnsi="Times New Roman" w:cs="Times New Roman"/>
          <w:sz w:val="24"/>
          <w:szCs w:val="24"/>
          <w:shd w:val="clear" w:color="auto" w:fill="FFFFFF"/>
          <w:lang w:val="en-GB"/>
        </w:rPr>
        <w:t xml:space="preserve">core and additional knowledge. </w:t>
      </w:r>
      <w:r w:rsidR="006E0B9B">
        <w:rPr>
          <w:rFonts w:ascii="Times New Roman" w:hAnsi="Times New Roman" w:cs="Times New Roman"/>
          <w:sz w:val="24"/>
          <w:szCs w:val="24"/>
          <w:shd w:val="clear" w:color="auto" w:fill="FFFFFF"/>
          <w:lang w:val="en-GB"/>
        </w:rPr>
        <w:t>Participants described c</w:t>
      </w:r>
      <w:r w:rsidRPr="007360BB">
        <w:rPr>
          <w:rFonts w:ascii="Times New Roman" w:hAnsi="Times New Roman" w:cs="Times New Roman"/>
          <w:sz w:val="24"/>
          <w:szCs w:val="24"/>
          <w:shd w:val="clear" w:color="auto" w:fill="FFFFFF"/>
          <w:lang w:val="en-GB"/>
        </w:rPr>
        <w:t xml:space="preserve">ore knowledge </w:t>
      </w:r>
      <w:r w:rsidR="006E0B9B">
        <w:rPr>
          <w:rFonts w:ascii="Times New Roman" w:hAnsi="Times New Roman" w:cs="Times New Roman"/>
          <w:sz w:val="24"/>
          <w:szCs w:val="24"/>
          <w:shd w:val="clear" w:color="auto" w:fill="FFFFFF"/>
          <w:lang w:val="en-GB"/>
        </w:rPr>
        <w:t>situated</w:t>
      </w:r>
      <w:r w:rsidRPr="007360BB">
        <w:rPr>
          <w:rFonts w:ascii="Times New Roman" w:hAnsi="Times New Roman" w:cs="Times New Roman"/>
          <w:sz w:val="24"/>
          <w:szCs w:val="24"/>
          <w:shd w:val="clear" w:color="auto" w:fill="FFFFFF"/>
          <w:lang w:val="en-GB"/>
        </w:rPr>
        <w:t xml:space="preserve"> somewhere between ‘fairly well-established’ and ‘facts’, whereas additional knowledge included theories, fast-moving science, subtleties </w:t>
      </w:r>
      <w:r w:rsidR="00CA2081">
        <w:rPr>
          <w:rFonts w:ascii="Times New Roman" w:hAnsi="Times New Roman" w:cs="Times New Roman"/>
          <w:sz w:val="24"/>
          <w:szCs w:val="24"/>
          <w:shd w:val="clear" w:color="auto" w:fill="FFFFFF"/>
          <w:lang w:val="en-GB"/>
        </w:rPr>
        <w:t>and</w:t>
      </w:r>
      <w:r w:rsidR="00CA2081" w:rsidRPr="007360BB">
        <w:rPr>
          <w:rFonts w:ascii="Times New Roman" w:hAnsi="Times New Roman" w:cs="Times New Roman"/>
          <w:sz w:val="24"/>
          <w:szCs w:val="24"/>
          <w:shd w:val="clear" w:color="auto" w:fill="FFFFFF"/>
          <w:lang w:val="en-GB"/>
        </w:rPr>
        <w:t xml:space="preserve"> </w:t>
      </w:r>
      <w:r w:rsidRPr="007360BB">
        <w:rPr>
          <w:rFonts w:ascii="Times New Roman" w:hAnsi="Times New Roman" w:cs="Times New Roman"/>
          <w:sz w:val="24"/>
          <w:szCs w:val="24"/>
          <w:shd w:val="clear" w:color="auto" w:fill="FFFFFF"/>
          <w:lang w:val="en-GB"/>
        </w:rPr>
        <w:t xml:space="preserve">reclassifications. An immunologist </w:t>
      </w:r>
      <w:r w:rsidR="00CA2081">
        <w:rPr>
          <w:rFonts w:ascii="Times New Roman" w:hAnsi="Times New Roman" w:cs="Times New Roman"/>
          <w:sz w:val="24"/>
          <w:szCs w:val="24"/>
          <w:shd w:val="clear" w:color="auto" w:fill="FFFFFF"/>
          <w:lang w:val="en-GB"/>
        </w:rPr>
        <w:t>said</w:t>
      </w:r>
      <w:r w:rsidRPr="007360BB">
        <w:rPr>
          <w:rFonts w:ascii="Times New Roman" w:hAnsi="Times New Roman" w:cs="Times New Roman"/>
          <w:sz w:val="24"/>
          <w:szCs w:val="24"/>
          <w:shd w:val="clear" w:color="auto" w:fill="FFFFFF"/>
          <w:lang w:val="en-GB"/>
        </w:rPr>
        <w:t xml:space="preserve">: </w:t>
      </w:r>
    </w:p>
    <w:p w14:paraId="56332D35" w14:textId="77777777" w:rsidR="004423E0" w:rsidRPr="007360BB" w:rsidRDefault="004423E0" w:rsidP="004423E0">
      <w:pPr>
        <w:pStyle w:val="BodyA"/>
        <w:spacing w:before="100" w:after="200" w:line="480" w:lineRule="auto"/>
        <w:ind w:left="720"/>
        <w:rPr>
          <w:rFonts w:ascii="Times New Roman" w:eastAsia="Times New Roman" w:hAnsi="Times New Roman" w:cs="Times New Roman"/>
          <w:sz w:val="24"/>
          <w:szCs w:val="24"/>
          <w:shd w:val="clear" w:color="auto" w:fill="FFFFFF"/>
          <w:lang w:val="en-GB"/>
        </w:rPr>
      </w:pPr>
      <w:r w:rsidRPr="007360BB">
        <w:rPr>
          <w:rFonts w:ascii="Times New Roman" w:hAnsi="Times New Roman" w:cs="Times New Roman"/>
          <w:sz w:val="24"/>
          <w:szCs w:val="24"/>
          <w:shd w:val="clear" w:color="auto" w:fill="FFFFFF"/>
          <w:lang w:val="en-GB"/>
        </w:rPr>
        <w:t>‘I really try to get this idea across to them that there are core concepts and processes, and the specifics of things that do potentially change, but just because we had eight receptors last year and this year we have 12 receptors, they are still receptors that recognise something that instruct the immune system. (R3)’</w:t>
      </w:r>
    </w:p>
    <w:p w14:paraId="045A2A8A" w14:textId="28A82569" w:rsidR="004423E0" w:rsidRPr="00322E4F" w:rsidRDefault="00BB7E5D" w:rsidP="004423E0">
      <w:pPr>
        <w:pStyle w:val="BodyA"/>
        <w:spacing w:before="100" w:after="200" w:line="480" w:lineRule="auto"/>
        <w:rPr>
          <w:rFonts w:ascii="Times New Roman" w:hAnsi="Times New Roman" w:cs="Times New Roman"/>
          <w:sz w:val="24"/>
          <w:szCs w:val="24"/>
          <w:lang w:val="en-GB"/>
        </w:rPr>
      </w:pPr>
      <w:r w:rsidRPr="00BB01D1">
        <w:rPr>
          <w:rFonts w:ascii="Times New Roman" w:hAnsi="Times New Roman" w:cs="Times New Roman"/>
          <w:sz w:val="24"/>
          <w:szCs w:val="24"/>
          <w:lang w:val="en-GB"/>
        </w:rPr>
        <w:t>Medical</w:t>
      </w:r>
      <w:r w:rsidRPr="008E768A">
        <w:rPr>
          <w:rFonts w:ascii="Times New Roman" w:hAnsi="Times New Roman" w:cs="Times New Roman"/>
          <w:sz w:val="24"/>
          <w:szCs w:val="24"/>
          <w:lang w:val="en-GB"/>
        </w:rPr>
        <w:t xml:space="preserve"> educators </w:t>
      </w:r>
      <w:r w:rsidRPr="00BB01D1">
        <w:rPr>
          <w:rFonts w:ascii="Times New Roman" w:hAnsi="Times New Roman" w:cs="Times New Roman"/>
          <w:sz w:val="24"/>
          <w:szCs w:val="24"/>
          <w:lang w:val="en-GB"/>
        </w:rPr>
        <w:t>divided their</w:t>
      </w:r>
      <w:r w:rsidRPr="008E768A">
        <w:rPr>
          <w:rFonts w:ascii="Times New Roman" w:hAnsi="Times New Roman" w:cs="Times New Roman"/>
          <w:sz w:val="24"/>
          <w:szCs w:val="24"/>
          <w:lang w:val="en-GB"/>
        </w:rPr>
        <w:t xml:space="preserve"> disciplinary knowledge </w:t>
      </w:r>
      <w:r w:rsidRPr="00BB01D1">
        <w:rPr>
          <w:rFonts w:ascii="Times New Roman" w:hAnsi="Times New Roman" w:cs="Times New Roman"/>
          <w:sz w:val="24"/>
          <w:szCs w:val="24"/>
          <w:lang w:val="en-GB"/>
        </w:rPr>
        <w:t xml:space="preserve">into </w:t>
      </w:r>
      <w:r w:rsidRPr="008E768A">
        <w:rPr>
          <w:rFonts w:ascii="Times New Roman" w:hAnsi="Times New Roman" w:cs="Times New Roman"/>
          <w:sz w:val="24"/>
          <w:szCs w:val="24"/>
          <w:lang w:val="en-GB"/>
        </w:rPr>
        <w:t>core and additiona</w:t>
      </w:r>
      <w:r w:rsidRPr="00AC6DA5">
        <w:rPr>
          <w:rFonts w:ascii="Times New Roman" w:hAnsi="Times New Roman" w:cs="Times New Roman"/>
          <w:sz w:val="24"/>
          <w:szCs w:val="24"/>
          <w:lang w:val="en-GB"/>
        </w:rPr>
        <w:t>l.</w:t>
      </w:r>
      <w:r>
        <w:rPr>
          <w:rFonts w:ascii="Times New Roman" w:hAnsi="Times New Roman" w:cs="Times New Roman"/>
          <w:sz w:val="24"/>
          <w:szCs w:val="24"/>
          <w:lang w:val="en-GB"/>
        </w:rPr>
        <w:t xml:space="preserve"> </w:t>
      </w:r>
      <w:r w:rsidR="004423E0" w:rsidRPr="007360BB">
        <w:rPr>
          <w:rFonts w:ascii="Times New Roman" w:hAnsi="Times New Roman" w:cs="Times New Roman"/>
          <w:sz w:val="24"/>
          <w:szCs w:val="24"/>
          <w:shd w:val="clear" w:color="auto" w:fill="FFFFFF"/>
          <w:lang w:val="en-GB"/>
        </w:rPr>
        <w:t xml:space="preserve">The proportion of core and additional knowledge taught varied greatly between disciplines. </w:t>
      </w:r>
      <w:r w:rsidR="004423E0" w:rsidRPr="007360BB">
        <w:rPr>
          <w:rFonts w:ascii="Times New Roman" w:hAnsi="Times New Roman" w:cs="Times New Roman"/>
          <w:sz w:val="24"/>
          <w:szCs w:val="24"/>
          <w:lang w:val="en-GB"/>
        </w:rPr>
        <w:t xml:space="preserve">Whereas </w:t>
      </w:r>
      <w:r w:rsidR="007348B6">
        <w:rPr>
          <w:rFonts w:ascii="Times New Roman" w:hAnsi="Times New Roman" w:cs="Times New Roman"/>
          <w:sz w:val="24"/>
          <w:szCs w:val="24"/>
          <w:lang w:val="en-GB"/>
        </w:rPr>
        <w:t xml:space="preserve">uncertainty </w:t>
      </w:r>
      <w:r w:rsidR="004423E0" w:rsidRPr="007360BB">
        <w:rPr>
          <w:rFonts w:ascii="Times New Roman" w:hAnsi="Times New Roman" w:cs="Times New Roman"/>
          <w:sz w:val="24"/>
          <w:szCs w:val="24"/>
          <w:lang w:val="en-GB"/>
        </w:rPr>
        <w:t xml:space="preserve">took a more prominent role in immunology and microbiology, it played a much smaller role in the teaching of anatomy, cell biology and physiology. An anatomist </w:t>
      </w:r>
      <w:r w:rsidR="00CA2081">
        <w:rPr>
          <w:rFonts w:ascii="Times New Roman" w:hAnsi="Times New Roman" w:cs="Times New Roman"/>
          <w:sz w:val="24"/>
          <w:szCs w:val="24"/>
          <w:lang w:val="en-GB"/>
        </w:rPr>
        <w:t>said</w:t>
      </w:r>
      <w:r w:rsidR="004423E0" w:rsidRPr="007360BB">
        <w:rPr>
          <w:rFonts w:ascii="Times New Roman" w:hAnsi="Times New Roman" w:cs="Times New Roman"/>
          <w:sz w:val="24"/>
          <w:szCs w:val="24"/>
          <w:lang w:val="en-GB"/>
        </w:rPr>
        <w:t>:</w:t>
      </w:r>
    </w:p>
    <w:p w14:paraId="121EB346" w14:textId="5B7EBF2D" w:rsidR="004423E0" w:rsidRDefault="004423E0" w:rsidP="004423E0">
      <w:pPr>
        <w:pStyle w:val="BodyA"/>
        <w:spacing w:before="100" w:after="200" w:line="480" w:lineRule="auto"/>
        <w:ind w:left="720"/>
        <w:rPr>
          <w:rFonts w:ascii="Times New Roman" w:hAnsi="Times New Roman" w:cs="Times New Roman"/>
          <w:sz w:val="24"/>
          <w:szCs w:val="24"/>
          <w:lang w:val="en-GB"/>
        </w:rPr>
      </w:pPr>
      <w:r w:rsidRPr="007360BB">
        <w:rPr>
          <w:rFonts w:ascii="Times New Roman" w:hAnsi="Times New Roman" w:cs="Times New Roman"/>
          <w:sz w:val="24"/>
          <w:szCs w:val="24"/>
          <w:lang w:val="en-GB"/>
        </w:rPr>
        <w:t xml:space="preserve">‘a lot of it is context in my teaching. And I don’t teach it too much. I try and hint that it’s there and that science isn’t finished because I think that there’s a real perception [that] </w:t>
      </w:r>
      <w:proofErr w:type="gramStart"/>
      <w:r w:rsidRPr="007360BB">
        <w:rPr>
          <w:rFonts w:ascii="Times New Roman" w:hAnsi="Times New Roman" w:cs="Times New Roman"/>
          <w:sz w:val="24"/>
          <w:szCs w:val="24"/>
          <w:lang w:val="en-GB"/>
        </w:rPr>
        <w:t>surely</w:t>
      </w:r>
      <w:proofErr w:type="gramEnd"/>
      <w:r w:rsidRPr="007360BB">
        <w:rPr>
          <w:rFonts w:ascii="Times New Roman" w:hAnsi="Times New Roman" w:cs="Times New Roman"/>
          <w:sz w:val="24"/>
          <w:szCs w:val="24"/>
          <w:lang w:val="en-GB"/>
        </w:rPr>
        <w:t xml:space="preserve"> we know everything. No, not about anything frankly. We don’t know everything about anything.’ (R2)</w:t>
      </w:r>
    </w:p>
    <w:p w14:paraId="3ED02E51" w14:textId="77777777" w:rsidR="004423E0" w:rsidRPr="007360BB" w:rsidRDefault="004423E0" w:rsidP="00AB6084">
      <w:pPr>
        <w:pStyle w:val="heading1"/>
      </w:pPr>
      <w:r w:rsidRPr="007360BB">
        <w:t>Discussion</w:t>
      </w:r>
    </w:p>
    <w:p w14:paraId="538DA182" w14:textId="5D0E82F5" w:rsidR="004423E0" w:rsidRPr="007360BB" w:rsidRDefault="004423E0" w:rsidP="004423E0">
      <w:pPr>
        <w:pStyle w:val="Default"/>
        <w:shd w:val="clear" w:color="auto" w:fill="FFFFFF"/>
        <w:suppressAutoHyphens/>
        <w:spacing w:before="100" w:after="200" w:line="480" w:lineRule="auto"/>
        <w:rPr>
          <w:rFonts w:ascii="Times New Roman" w:hAnsi="Times New Roman" w:cs="Times New Roman"/>
          <w:sz w:val="24"/>
          <w:szCs w:val="24"/>
          <w:shd w:val="clear" w:color="auto" w:fill="FFFFFF"/>
          <w:lang w:val="en-GB"/>
        </w:rPr>
      </w:pPr>
      <w:r w:rsidRPr="007360BB">
        <w:rPr>
          <w:rFonts w:ascii="Times New Roman" w:hAnsi="Times New Roman" w:cs="Times New Roman"/>
          <w:sz w:val="24"/>
          <w:szCs w:val="24"/>
          <w:shd w:val="clear" w:color="auto" w:fill="FFFFFF"/>
          <w:lang w:val="en-GB"/>
        </w:rPr>
        <w:t xml:space="preserve">This study demonstrates that uncertainties stemming from gaps and limitations of knowledge, as conceptualised by Fox [8–10], are </w:t>
      </w:r>
      <w:r w:rsidR="00231946">
        <w:rPr>
          <w:rFonts w:ascii="Times New Roman" w:hAnsi="Times New Roman" w:cs="Times New Roman"/>
          <w:sz w:val="24"/>
          <w:szCs w:val="24"/>
          <w:shd w:val="clear" w:color="auto" w:fill="FFFFFF"/>
          <w:lang w:val="en-GB"/>
        </w:rPr>
        <w:t>ubiquitous within</w:t>
      </w:r>
      <w:r w:rsidRPr="007360BB">
        <w:rPr>
          <w:rFonts w:ascii="Times New Roman" w:hAnsi="Times New Roman" w:cs="Times New Roman"/>
          <w:sz w:val="24"/>
          <w:szCs w:val="24"/>
          <w:shd w:val="clear" w:color="auto" w:fill="FFFFFF"/>
          <w:lang w:val="en-GB"/>
        </w:rPr>
        <w:t xml:space="preserve"> most </w:t>
      </w:r>
      <w:r w:rsidRPr="007360BB">
        <w:rPr>
          <w:rFonts w:ascii="Times New Roman" w:hAnsi="Times New Roman" w:cs="Times New Roman"/>
          <w:sz w:val="24"/>
          <w:szCs w:val="24"/>
          <w:shd w:val="clear" w:color="auto" w:fill="FFFFFF"/>
          <w:lang w:val="en-GB"/>
        </w:rPr>
        <w:lastRenderedPageBreak/>
        <w:t>bioscience disciplines taught at the medical school.</w:t>
      </w:r>
      <w:r w:rsidRPr="007360BB">
        <w:rPr>
          <w:rFonts w:ascii="Times New Roman" w:hAnsi="Times New Roman" w:cs="Times New Roman"/>
          <w:sz w:val="24"/>
          <w:szCs w:val="24"/>
          <w:lang w:val="en-GB"/>
        </w:rPr>
        <w:t xml:space="preserve"> These uncertainties range from a recent reclassification of </w:t>
      </w:r>
      <w:r w:rsidR="007348B6">
        <w:rPr>
          <w:rFonts w:ascii="Times New Roman" w:hAnsi="Times New Roman" w:cs="Times New Roman"/>
          <w:sz w:val="24"/>
          <w:szCs w:val="24"/>
          <w:lang w:val="en-GB"/>
        </w:rPr>
        <w:t xml:space="preserve">the </w:t>
      </w:r>
      <w:proofErr w:type="spellStart"/>
      <w:r w:rsidRPr="007360BB">
        <w:rPr>
          <w:rFonts w:ascii="Times New Roman" w:hAnsi="Times New Roman" w:cs="Times New Roman"/>
          <w:sz w:val="24"/>
          <w:szCs w:val="24"/>
          <w:lang w:val="en-GB"/>
        </w:rPr>
        <w:t>interstitium</w:t>
      </w:r>
      <w:proofErr w:type="spellEnd"/>
      <w:r w:rsidRPr="007360BB">
        <w:rPr>
          <w:rFonts w:ascii="Times New Roman" w:hAnsi="Times New Roman" w:cs="Times New Roman"/>
          <w:sz w:val="24"/>
          <w:szCs w:val="24"/>
          <w:lang w:val="en-GB"/>
        </w:rPr>
        <w:t xml:space="preserve"> as an organ to a paradigm shift in the understanding of the role of the kidney in plasma pH regulation. Even though </w:t>
      </w:r>
      <w:r w:rsidR="00D16DE2">
        <w:rPr>
          <w:rFonts w:ascii="Times New Roman" w:hAnsi="Times New Roman" w:cs="Times New Roman"/>
          <w:sz w:val="24"/>
          <w:szCs w:val="24"/>
          <w:lang w:val="en-GB"/>
        </w:rPr>
        <w:t xml:space="preserve">respondents indicated that </w:t>
      </w:r>
      <w:r w:rsidRPr="007360BB">
        <w:rPr>
          <w:rFonts w:ascii="Times New Roman" w:hAnsi="Times New Roman" w:cs="Times New Roman"/>
          <w:sz w:val="24"/>
          <w:szCs w:val="24"/>
          <w:lang w:val="en-GB"/>
        </w:rPr>
        <w:t xml:space="preserve">scientific change is a fundamental part of the scientific method and of various bioscience disciplines, </w:t>
      </w:r>
      <w:r w:rsidRPr="007360BB">
        <w:rPr>
          <w:rFonts w:ascii="Times New Roman" w:hAnsi="Times New Roman" w:cs="Times New Roman"/>
          <w:sz w:val="24"/>
          <w:szCs w:val="24"/>
          <w:shd w:val="clear" w:color="auto" w:fill="FFFFFF"/>
          <w:lang w:val="en-GB"/>
        </w:rPr>
        <w:t xml:space="preserve">students are taught only a small degree of uncertainty. </w:t>
      </w:r>
      <w:r w:rsidRPr="007360BB">
        <w:rPr>
          <w:rFonts w:ascii="Times New Roman" w:hAnsi="Times New Roman" w:cs="Times New Roman"/>
          <w:sz w:val="24"/>
          <w:szCs w:val="24"/>
          <w:lang w:val="en-GB"/>
        </w:rPr>
        <w:t>This is influenced by</w:t>
      </w:r>
      <w:r w:rsidRPr="007360BB">
        <w:rPr>
          <w:rFonts w:ascii="Times New Roman" w:hAnsi="Times New Roman" w:cs="Times New Roman"/>
          <w:sz w:val="24"/>
          <w:szCs w:val="24"/>
          <w:shd w:val="clear" w:color="auto" w:fill="FFFFFF"/>
          <w:lang w:val="en-GB"/>
        </w:rPr>
        <w:t xml:space="preserve"> the perceived constraints of the medical curriculum. The ‘medic filter’ emerges as a strategy to make distinctions between core and additional knowledge. </w:t>
      </w:r>
    </w:p>
    <w:p w14:paraId="7B79C806" w14:textId="10C2E885" w:rsidR="004423E0" w:rsidRPr="00F67B70" w:rsidRDefault="004423E0" w:rsidP="004423E0">
      <w:pPr>
        <w:pStyle w:val="BodyB"/>
        <w:tabs>
          <w:tab w:val="left" w:pos="1134"/>
        </w:tabs>
        <w:spacing w:before="100" w:after="200" w:line="480" w:lineRule="auto"/>
        <w:rPr>
          <w:rFonts w:cs="Times New Roman"/>
          <w:lang w:val="en-GB"/>
        </w:rPr>
      </w:pPr>
      <w:r w:rsidRPr="007360BB">
        <w:rPr>
          <w:rFonts w:cs="Times New Roman"/>
          <w:lang w:val="en-GB"/>
        </w:rPr>
        <w:t>The study findings and the application of the ‘medic filter’ point</w:t>
      </w:r>
      <w:r w:rsidR="007348B6">
        <w:rPr>
          <w:rFonts w:cs="Times New Roman"/>
          <w:lang w:val="en-GB"/>
        </w:rPr>
        <w:t xml:space="preserve"> </w:t>
      </w:r>
      <w:r w:rsidRPr="007360BB">
        <w:rPr>
          <w:rFonts w:cs="Times New Roman"/>
          <w:lang w:val="en-GB"/>
        </w:rPr>
        <w:t xml:space="preserve">to the fluid, creative and fragmented nature of biomedical knowledge that is taught to medical students. It is influenced by structural factors, such as time-constraints in a medical curriculum and the assessment strategy, and individual factors, such as </w:t>
      </w:r>
      <w:r w:rsidR="007348B6">
        <w:rPr>
          <w:rFonts w:cs="Times New Roman"/>
          <w:lang w:val="en-GB"/>
        </w:rPr>
        <w:t xml:space="preserve">educators’ </w:t>
      </w:r>
      <w:r w:rsidRPr="007360BB">
        <w:rPr>
          <w:rFonts w:cs="Times New Roman"/>
          <w:lang w:val="en-GB"/>
        </w:rPr>
        <w:t xml:space="preserve">decisions regarding the </w:t>
      </w:r>
      <w:r w:rsidRPr="00F67B70">
        <w:rPr>
          <w:rFonts w:cs="Times New Roman"/>
          <w:lang w:val="en-GB"/>
        </w:rPr>
        <w:t xml:space="preserve">session content. </w:t>
      </w:r>
    </w:p>
    <w:p w14:paraId="09FB792E" w14:textId="76C5F729" w:rsidR="004423E0" w:rsidRPr="007360BB" w:rsidRDefault="004423E0" w:rsidP="004423E0">
      <w:pPr>
        <w:pStyle w:val="BodyB"/>
        <w:tabs>
          <w:tab w:val="left" w:pos="1134"/>
        </w:tabs>
        <w:spacing w:before="100" w:after="200" w:line="480" w:lineRule="auto"/>
        <w:rPr>
          <w:rFonts w:cs="Times New Roman"/>
          <w:lang w:val="en-GB"/>
        </w:rPr>
      </w:pPr>
      <w:r w:rsidRPr="00F67B70">
        <w:rPr>
          <w:rFonts w:cs="Times New Roman"/>
          <w:lang w:val="en-GB"/>
        </w:rPr>
        <w:t xml:space="preserve">This study has implications for the understanding of how biomedical knowledge is taught in a specific context. It is not only the learning that is situated as conceptualised by </w:t>
      </w:r>
      <w:proofErr w:type="spellStart"/>
      <w:r w:rsidRPr="00F67B70">
        <w:rPr>
          <w:rFonts w:cs="Times New Roman"/>
          <w:lang w:val="en-GB"/>
        </w:rPr>
        <w:t>situativity</w:t>
      </w:r>
      <w:proofErr w:type="spellEnd"/>
      <w:r w:rsidRPr="00F67B70">
        <w:rPr>
          <w:rFonts w:cs="Times New Roman"/>
          <w:lang w:val="en-GB"/>
        </w:rPr>
        <w:t xml:space="preserve"> theory [</w:t>
      </w:r>
      <w:r w:rsidR="00CE5646" w:rsidRPr="00F67B70">
        <w:rPr>
          <w:rFonts w:cs="Times New Roman"/>
          <w:lang w:val="en-GB"/>
        </w:rPr>
        <w:t>25</w:t>
      </w:r>
      <w:r w:rsidRPr="00F67B70">
        <w:rPr>
          <w:rFonts w:cs="Times New Roman"/>
          <w:lang w:val="en-GB"/>
        </w:rPr>
        <w:t xml:space="preserve">, </w:t>
      </w:r>
      <w:r w:rsidR="00CE5646" w:rsidRPr="00F67B70">
        <w:rPr>
          <w:rFonts w:cs="Times New Roman"/>
          <w:lang w:val="en-GB"/>
        </w:rPr>
        <w:t>26</w:t>
      </w:r>
      <w:r w:rsidRPr="00F67B70">
        <w:rPr>
          <w:rFonts w:cs="Times New Roman"/>
          <w:lang w:val="en-GB"/>
        </w:rPr>
        <w:t xml:space="preserve">]; biomedical knowledge itself is </w:t>
      </w:r>
      <w:r w:rsidR="007348B6">
        <w:rPr>
          <w:rFonts w:cs="Times New Roman"/>
          <w:lang w:val="en-GB"/>
        </w:rPr>
        <w:t xml:space="preserve">also </w:t>
      </w:r>
      <w:r w:rsidRPr="00F67B70">
        <w:rPr>
          <w:rFonts w:cs="Times New Roman"/>
          <w:lang w:val="en-GB"/>
        </w:rPr>
        <w:t>situated. Medical educators make specific individual and structure</w:t>
      </w:r>
      <w:r w:rsidRPr="007360BB">
        <w:rPr>
          <w:rFonts w:cs="Times New Roman"/>
          <w:lang w:val="en-GB"/>
        </w:rPr>
        <w:t>-informed decisions on the session content and, thus, produce a particular way in which medical students are taught to understand biological processes. The simplification of complex phenomena through the ‘medic filter’ implies that interpretation is an integral part of this process. There is no neutral position from which to (re)present ‘scientific knowledge’</w:t>
      </w:r>
      <w:r w:rsidR="00CA2081">
        <w:rPr>
          <w:rFonts w:cs="Times New Roman"/>
          <w:lang w:val="en-GB"/>
        </w:rPr>
        <w:t>.</w:t>
      </w:r>
      <w:r w:rsidRPr="007360BB">
        <w:rPr>
          <w:rFonts w:cs="Times New Roman"/>
          <w:lang w:val="en-GB"/>
        </w:rPr>
        <w:t xml:space="preserve"> </w:t>
      </w:r>
      <w:r w:rsidR="00CA2081">
        <w:rPr>
          <w:rFonts w:cs="Times New Roman"/>
          <w:lang w:val="en-GB"/>
        </w:rPr>
        <w:t>K</w:t>
      </w:r>
      <w:r w:rsidRPr="007360BB">
        <w:rPr>
          <w:rFonts w:cs="Times New Roman"/>
          <w:lang w:val="en-GB"/>
        </w:rPr>
        <w:t xml:space="preserve">nowledge itself is always constructed, </w:t>
      </w:r>
      <w:proofErr w:type="gramStart"/>
      <w:r w:rsidRPr="007360BB">
        <w:rPr>
          <w:rFonts w:cs="Times New Roman"/>
          <w:lang w:val="en-GB"/>
        </w:rPr>
        <w:t>constrained</w:t>
      </w:r>
      <w:proofErr w:type="gramEnd"/>
      <w:r w:rsidRPr="007360BB">
        <w:rPr>
          <w:rFonts w:cs="Times New Roman"/>
          <w:lang w:val="en-GB"/>
        </w:rPr>
        <w:t xml:space="preserve"> and situated. </w:t>
      </w:r>
    </w:p>
    <w:p w14:paraId="0F649BE0" w14:textId="7A9B0677" w:rsidR="004423E0" w:rsidRPr="007360BB" w:rsidRDefault="004423E0" w:rsidP="004423E0">
      <w:pPr>
        <w:pStyle w:val="BodyB"/>
        <w:tabs>
          <w:tab w:val="left" w:pos="1134"/>
        </w:tabs>
        <w:spacing w:before="100" w:after="200" w:line="480" w:lineRule="auto"/>
        <w:rPr>
          <w:rFonts w:cs="Times New Roman"/>
          <w:lang w:val="en-GB"/>
        </w:rPr>
      </w:pPr>
      <w:r w:rsidRPr="007360BB">
        <w:rPr>
          <w:rFonts w:cs="Times New Roman"/>
          <w:lang w:val="en-GB"/>
        </w:rPr>
        <w:lastRenderedPageBreak/>
        <w:t>This study makes several contributions. Firstly, a theoretically and empirically grounded approach to knowledge construction aims to elicit debates on the nature of scientific knowledge within medical education and invite a move away from situated learning to situated knowledge. Biomedical knowledge is rarely problematised within medical sciences</w:t>
      </w:r>
      <w:r w:rsidR="00F73429">
        <w:rPr>
          <w:rFonts w:cs="Times New Roman"/>
          <w:lang w:val="en-GB"/>
        </w:rPr>
        <w:t>.</w:t>
      </w:r>
      <w:r w:rsidRPr="007360BB">
        <w:rPr>
          <w:rFonts w:cs="Times New Roman"/>
          <w:lang w:val="en-GB"/>
        </w:rPr>
        <w:t xml:space="preserve"> </w:t>
      </w:r>
      <w:r w:rsidR="00F73429">
        <w:rPr>
          <w:rFonts w:cs="Times New Roman"/>
          <w:lang w:val="en-GB"/>
        </w:rPr>
        <w:t>T</w:t>
      </w:r>
      <w:r w:rsidR="00231946" w:rsidRPr="00F21BFC">
        <w:rPr>
          <w:rFonts w:cs="Times New Roman"/>
          <w:lang w:val="en-GB"/>
        </w:rPr>
        <w:t xml:space="preserve">he knowledge translation metaphor – </w:t>
      </w:r>
      <w:r w:rsidR="00CA2081">
        <w:rPr>
          <w:rFonts w:cs="Times New Roman"/>
          <w:lang w:val="en-GB"/>
        </w:rPr>
        <w:t>where</w:t>
      </w:r>
      <w:r w:rsidR="00231946" w:rsidRPr="00F21BFC">
        <w:rPr>
          <w:rFonts w:cs="Times New Roman"/>
          <w:lang w:val="en-GB"/>
        </w:rPr>
        <w:t xml:space="preserve"> knowledge </w:t>
      </w:r>
      <w:r w:rsidR="00CA2081">
        <w:rPr>
          <w:rFonts w:cs="Times New Roman"/>
          <w:lang w:val="en-GB"/>
        </w:rPr>
        <w:t xml:space="preserve">is </w:t>
      </w:r>
      <w:r w:rsidR="00231946" w:rsidRPr="00F21BFC">
        <w:rPr>
          <w:rFonts w:cs="Times New Roman"/>
          <w:lang w:val="en-GB"/>
        </w:rPr>
        <w:t>seen as objective, context-free and separable from those who produce</w:t>
      </w:r>
      <w:r w:rsidR="00F73429">
        <w:rPr>
          <w:rFonts w:cs="Times New Roman"/>
          <w:lang w:val="en-GB"/>
        </w:rPr>
        <w:t xml:space="preserve"> and</w:t>
      </w:r>
      <w:r w:rsidR="00231946" w:rsidRPr="00F21BFC">
        <w:rPr>
          <w:rFonts w:cs="Times New Roman"/>
          <w:lang w:val="en-GB"/>
        </w:rPr>
        <w:t xml:space="preserve"> teach it – still dominates </w:t>
      </w:r>
      <w:r w:rsidR="00F73429" w:rsidRPr="00F67B70">
        <w:rPr>
          <w:rFonts w:cs="Times New Roman"/>
          <w:lang w:val="en-GB"/>
        </w:rPr>
        <w:t xml:space="preserve">medicine </w:t>
      </w:r>
      <w:r w:rsidR="00231946" w:rsidRPr="00F67B70">
        <w:rPr>
          <w:rFonts w:cs="Times New Roman"/>
          <w:lang w:val="en-GB"/>
        </w:rPr>
        <w:t>[</w:t>
      </w:r>
      <w:r w:rsidR="00C30028" w:rsidRPr="00F67B70">
        <w:rPr>
          <w:rFonts w:cs="Times New Roman"/>
          <w:lang w:val="en-GB"/>
        </w:rPr>
        <w:t>3</w:t>
      </w:r>
      <w:r w:rsidR="00F67B70" w:rsidRPr="00F67B70">
        <w:rPr>
          <w:rFonts w:cs="Times New Roman"/>
          <w:lang w:val="en-GB"/>
        </w:rPr>
        <w:t>7</w:t>
      </w:r>
      <w:r w:rsidR="00231946" w:rsidRPr="00F67B70">
        <w:rPr>
          <w:rFonts w:cs="Times New Roman"/>
          <w:lang w:val="en-GB"/>
        </w:rPr>
        <w:t xml:space="preserve">]. </w:t>
      </w:r>
      <w:r w:rsidR="00CA2081" w:rsidRPr="00F67B70">
        <w:rPr>
          <w:rFonts w:cs="Times New Roman"/>
          <w:lang w:val="en-GB"/>
        </w:rPr>
        <w:t xml:space="preserve">Social science research </w:t>
      </w:r>
      <w:r w:rsidR="00BA2247" w:rsidRPr="00F67B70">
        <w:rPr>
          <w:rFonts w:cs="Times New Roman"/>
          <w:lang w:val="en-GB"/>
        </w:rPr>
        <w:t xml:space="preserve">investigating the social construction of scientific knowledge </w:t>
      </w:r>
      <w:r w:rsidR="00CA2081" w:rsidRPr="00F67B70">
        <w:rPr>
          <w:rFonts w:cs="Times New Roman"/>
          <w:lang w:val="en-GB"/>
        </w:rPr>
        <w:t xml:space="preserve">demonstrates that </w:t>
      </w:r>
      <w:r w:rsidR="00BA2247" w:rsidRPr="00F67B70">
        <w:rPr>
          <w:rFonts w:cs="Times New Roman"/>
          <w:lang w:val="en-GB"/>
        </w:rPr>
        <w:t>such</w:t>
      </w:r>
      <w:r w:rsidR="00231946" w:rsidRPr="00F67B70">
        <w:rPr>
          <w:rFonts w:cs="Times New Roman"/>
          <w:lang w:val="en-GB"/>
        </w:rPr>
        <w:t xml:space="preserve"> knowledge </w:t>
      </w:r>
      <w:r w:rsidR="00CA2081" w:rsidRPr="00F67B70">
        <w:rPr>
          <w:rFonts w:cs="Times New Roman"/>
          <w:lang w:val="en-GB"/>
        </w:rPr>
        <w:t>i</w:t>
      </w:r>
      <w:r w:rsidRPr="00F67B70">
        <w:rPr>
          <w:rFonts w:cs="Times New Roman"/>
          <w:lang w:val="en-GB"/>
        </w:rPr>
        <w:t xml:space="preserve">s </w:t>
      </w:r>
      <w:r w:rsidR="00F73429" w:rsidRPr="00F67B70">
        <w:rPr>
          <w:rFonts w:cs="Times New Roman"/>
          <w:lang w:val="en-GB"/>
        </w:rPr>
        <w:t xml:space="preserve">not an objective, context- and value-free content but, instead, is </w:t>
      </w:r>
      <w:r w:rsidRPr="00F67B70">
        <w:rPr>
          <w:rFonts w:cs="Times New Roman"/>
          <w:lang w:val="en-GB"/>
        </w:rPr>
        <w:t xml:space="preserve">a product of sociocultural, </w:t>
      </w:r>
      <w:proofErr w:type="gramStart"/>
      <w:r w:rsidRPr="00F67B70">
        <w:rPr>
          <w:rFonts w:cs="Times New Roman"/>
          <w:lang w:val="en-GB"/>
        </w:rPr>
        <w:t>historical</w:t>
      </w:r>
      <w:proofErr w:type="gramEnd"/>
      <w:r w:rsidRPr="00F67B70">
        <w:rPr>
          <w:rFonts w:cs="Times New Roman"/>
          <w:lang w:val="en-GB"/>
        </w:rPr>
        <w:t xml:space="preserve"> and power relations [</w:t>
      </w:r>
      <w:r w:rsidR="00C30028" w:rsidRPr="00F67B70">
        <w:rPr>
          <w:rFonts w:cs="Times New Roman"/>
          <w:lang w:val="en-GB"/>
        </w:rPr>
        <w:t>3</w:t>
      </w:r>
      <w:r w:rsidR="00F67B70" w:rsidRPr="00322E4F">
        <w:rPr>
          <w:rFonts w:cs="Times New Roman"/>
          <w:lang w:val="en-GB"/>
        </w:rPr>
        <w:t>8</w:t>
      </w:r>
      <w:r w:rsidR="00C30028" w:rsidRPr="00F67B70">
        <w:rPr>
          <w:rFonts w:cs="Times New Roman"/>
          <w:lang w:val="en-GB"/>
        </w:rPr>
        <w:t>–4</w:t>
      </w:r>
      <w:r w:rsidR="00F67B70" w:rsidRPr="00F67B70">
        <w:rPr>
          <w:rFonts w:cs="Times New Roman"/>
          <w:lang w:val="en-GB"/>
        </w:rPr>
        <w:t>2</w:t>
      </w:r>
      <w:r w:rsidRPr="00F67B70">
        <w:rPr>
          <w:rFonts w:cs="Times New Roman"/>
          <w:lang w:val="en-GB"/>
        </w:rPr>
        <w:t>]</w:t>
      </w:r>
      <w:r w:rsidR="00CA2081" w:rsidRPr="00F67B70">
        <w:rPr>
          <w:rFonts w:cs="Times New Roman"/>
          <w:lang w:val="en-GB"/>
        </w:rPr>
        <w:t>.</w:t>
      </w:r>
      <w:r w:rsidR="00F73429">
        <w:rPr>
          <w:rFonts w:cs="Times New Roman"/>
          <w:lang w:val="en-GB"/>
        </w:rPr>
        <w:t xml:space="preserve"> </w:t>
      </w:r>
    </w:p>
    <w:p w14:paraId="21BCA2C3" w14:textId="6EFA5E0D" w:rsidR="004423E0" w:rsidRDefault="004423E0" w:rsidP="004423E0">
      <w:pPr>
        <w:pStyle w:val="BodyB"/>
        <w:tabs>
          <w:tab w:val="left" w:pos="1134"/>
        </w:tabs>
        <w:spacing w:before="100" w:after="200" w:line="480" w:lineRule="auto"/>
        <w:rPr>
          <w:rFonts w:cs="Times New Roman"/>
          <w:lang w:val="en-GB"/>
        </w:rPr>
      </w:pPr>
      <w:r w:rsidRPr="00F67B70">
        <w:rPr>
          <w:rFonts w:cs="Times New Roman"/>
          <w:lang w:val="en-GB"/>
        </w:rPr>
        <w:t>Secondly, this study empirically investigates the feminist concept of situated knowledge [</w:t>
      </w:r>
      <w:r w:rsidR="00AE3C8D" w:rsidRPr="00F67B70">
        <w:rPr>
          <w:rFonts w:cs="Times New Roman"/>
          <w:lang w:val="en-GB"/>
        </w:rPr>
        <w:t>19</w:t>
      </w:r>
      <w:r w:rsidRPr="00F67B70">
        <w:rPr>
          <w:rFonts w:cs="Times New Roman"/>
          <w:lang w:val="en-GB"/>
        </w:rPr>
        <w:t>] within a medical curriculum and demonstrates how biomedical knowledge is situated and influenced by structural and individual factors. This approach to knowledge destabilises the dominant narrative of a teacher as a possessor of universal knowledge who transmits knowledge in an unproblematic way [</w:t>
      </w:r>
      <w:r w:rsidR="00C30028" w:rsidRPr="00F67B70">
        <w:rPr>
          <w:rFonts w:cs="Times New Roman"/>
          <w:lang w:val="en-GB"/>
        </w:rPr>
        <w:t>24</w:t>
      </w:r>
      <w:r w:rsidRPr="00F67B70">
        <w:rPr>
          <w:rFonts w:cs="Times New Roman"/>
          <w:lang w:val="en-GB"/>
        </w:rPr>
        <w:t>]. The</w:t>
      </w:r>
      <w:r w:rsidRPr="007360BB">
        <w:rPr>
          <w:rFonts w:cs="Times New Roman"/>
          <w:lang w:val="en-GB"/>
        </w:rPr>
        <w:t xml:space="preserve"> feminist approach has great potential to reconceptualise how and </w:t>
      </w:r>
      <w:r w:rsidRPr="00E10A47">
        <w:rPr>
          <w:rFonts w:cs="Times New Roman"/>
          <w:lang w:val="en-GB"/>
        </w:rPr>
        <w:t xml:space="preserve">what is </w:t>
      </w:r>
      <w:r w:rsidRPr="00D805CB">
        <w:rPr>
          <w:rFonts w:cs="Times New Roman"/>
          <w:lang w:val="en-GB"/>
        </w:rPr>
        <w:t xml:space="preserve">taught within a medical curriculum. </w:t>
      </w:r>
      <w:r w:rsidR="00BA2247">
        <w:rPr>
          <w:rFonts w:cs="Times New Roman"/>
          <w:lang w:val="en-GB"/>
        </w:rPr>
        <w:t xml:space="preserve">By outlining how educators make decisions about the content that they cover or </w:t>
      </w:r>
      <w:r w:rsidR="004F3A1C">
        <w:rPr>
          <w:rFonts w:cs="Times New Roman"/>
          <w:lang w:val="en-GB"/>
        </w:rPr>
        <w:t>skip</w:t>
      </w:r>
      <w:r w:rsidR="00BA2247">
        <w:rPr>
          <w:rFonts w:cs="Times New Roman"/>
          <w:lang w:val="en-GB"/>
        </w:rPr>
        <w:t xml:space="preserve">, this study demonstrates how situated knowledge </w:t>
      </w:r>
      <w:r w:rsidR="004F3A1C">
        <w:rPr>
          <w:rFonts w:cs="Times New Roman"/>
          <w:lang w:val="en-GB"/>
        </w:rPr>
        <w:t>manifests</w:t>
      </w:r>
      <w:r w:rsidR="00BA2247">
        <w:rPr>
          <w:rFonts w:cs="Times New Roman"/>
          <w:lang w:val="en-GB"/>
        </w:rPr>
        <w:t xml:space="preserve"> in a </w:t>
      </w:r>
      <w:r w:rsidR="001A7CF7">
        <w:rPr>
          <w:rFonts w:cs="Times New Roman"/>
          <w:lang w:val="en-GB"/>
        </w:rPr>
        <w:t xml:space="preserve">current </w:t>
      </w:r>
      <w:r w:rsidR="00BA2247">
        <w:rPr>
          <w:rFonts w:cs="Times New Roman"/>
          <w:lang w:val="en-GB"/>
        </w:rPr>
        <w:t>medical curriculum.</w:t>
      </w:r>
    </w:p>
    <w:p w14:paraId="28FFA843" w14:textId="15F71063" w:rsidR="008E768A" w:rsidRPr="00D805CB" w:rsidRDefault="008E768A" w:rsidP="004423E0">
      <w:pPr>
        <w:pStyle w:val="BodyB"/>
        <w:tabs>
          <w:tab w:val="left" w:pos="1134"/>
        </w:tabs>
        <w:spacing w:before="100" w:after="200" w:line="480" w:lineRule="auto"/>
        <w:rPr>
          <w:rFonts w:cs="Times New Roman"/>
          <w:lang w:val="en-GB"/>
        </w:rPr>
      </w:pPr>
      <w:r>
        <w:rPr>
          <w:rFonts w:cs="Times New Roman"/>
          <w:lang w:val="en-GB"/>
        </w:rPr>
        <w:t xml:space="preserve">Thirdly, this study expands our understanding of uncertainty in medical education by demonstrating that uncertainty is often excluded from the session content due to time-constraints and assessment strategies. This exclusion is often justified </w:t>
      </w:r>
      <w:r w:rsidR="007348B6">
        <w:rPr>
          <w:rFonts w:cs="Times New Roman"/>
          <w:lang w:val="en-GB"/>
        </w:rPr>
        <w:t xml:space="preserve">by educators </w:t>
      </w:r>
      <w:r>
        <w:rPr>
          <w:rFonts w:cs="Times New Roman"/>
          <w:lang w:val="en-GB"/>
        </w:rPr>
        <w:t xml:space="preserve">through </w:t>
      </w:r>
      <w:r w:rsidR="001A7CF7">
        <w:rPr>
          <w:rFonts w:cs="Times New Roman"/>
          <w:lang w:val="en-GB"/>
        </w:rPr>
        <w:t>the</w:t>
      </w:r>
      <w:r>
        <w:rPr>
          <w:rFonts w:cs="Times New Roman"/>
          <w:lang w:val="en-GB"/>
        </w:rPr>
        <w:t xml:space="preserve"> </w:t>
      </w:r>
      <w:r w:rsidR="007348B6">
        <w:rPr>
          <w:rFonts w:cs="Times New Roman"/>
          <w:lang w:val="en-GB"/>
        </w:rPr>
        <w:t xml:space="preserve">supposed </w:t>
      </w:r>
      <w:r>
        <w:rPr>
          <w:rFonts w:cs="Times New Roman"/>
          <w:lang w:val="en-GB"/>
        </w:rPr>
        <w:t xml:space="preserve">irrelevance </w:t>
      </w:r>
      <w:r w:rsidR="001A7CF7">
        <w:rPr>
          <w:rFonts w:cs="Times New Roman"/>
          <w:lang w:val="en-GB"/>
        </w:rPr>
        <w:t xml:space="preserve">of uncertainty </w:t>
      </w:r>
      <w:r>
        <w:rPr>
          <w:rFonts w:cs="Times New Roman"/>
          <w:lang w:val="en-GB"/>
        </w:rPr>
        <w:t>to clinical practice and by deeming uncertain knowledge additiona</w:t>
      </w:r>
      <w:r w:rsidR="00AC6DA5">
        <w:rPr>
          <w:rFonts w:cs="Times New Roman"/>
          <w:lang w:val="en-GB"/>
        </w:rPr>
        <w:t xml:space="preserve">l instead of </w:t>
      </w:r>
      <w:r>
        <w:rPr>
          <w:rFonts w:cs="Times New Roman"/>
          <w:lang w:val="en-GB"/>
        </w:rPr>
        <w:t>core.</w:t>
      </w:r>
      <w:r w:rsidR="00AC6DA5">
        <w:rPr>
          <w:rFonts w:cs="Times New Roman"/>
          <w:lang w:val="en-GB"/>
        </w:rPr>
        <w:t xml:space="preserve"> </w:t>
      </w:r>
      <w:r w:rsidR="00BB7E5D">
        <w:rPr>
          <w:rFonts w:cs="Times New Roman"/>
          <w:lang w:val="en-GB"/>
        </w:rPr>
        <w:t xml:space="preserve">This view contradicts scholarly accounts and practitioners’ experiences that uncertainty is a fundamental </w:t>
      </w:r>
      <w:r w:rsidR="00BB7E5D">
        <w:rPr>
          <w:rFonts w:cs="Times New Roman"/>
          <w:lang w:val="en-GB"/>
        </w:rPr>
        <w:lastRenderedPageBreak/>
        <w:t>dimension of clinical medicine [1</w:t>
      </w:r>
      <w:r w:rsidR="00BB7E5D">
        <w:rPr>
          <w:rFonts w:cs="Times New Roman"/>
          <w:lang w:val="en-GB"/>
        </w:rPr>
        <w:softHyphen/>
        <w:t xml:space="preserve">–5]. </w:t>
      </w:r>
      <w:r w:rsidR="00AC6DA5">
        <w:rPr>
          <w:rFonts w:cs="Times New Roman"/>
          <w:lang w:val="en-GB"/>
        </w:rPr>
        <w:t>We offer some practical recommendations to address the constraints of time and assessments and to reconsider its relevance.</w:t>
      </w:r>
    </w:p>
    <w:p w14:paraId="79D7020E" w14:textId="377B6E3C" w:rsidR="0085454D" w:rsidRPr="00322E4F" w:rsidRDefault="00B8483A" w:rsidP="00322E4F">
      <w:pPr>
        <w:pStyle w:val="BodyA"/>
        <w:spacing w:before="100" w:after="200" w:line="480" w:lineRule="auto"/>
        <w:rPr>
          <w:rFonts w:eastAsia="Times New Roman" w:cs="Times New Roman"/>
          <w:b/>
          <w:bCs/>
          <w:lang w:val="en-GB"/>
        </w:rPr>
      </w:pPr>
      <w:r>
        <w:rPr>
          <w:rFonts w:ascii="Times New Roman" w:hAnsi="Times New Roman" w:cs="Times New Roman"/>
          <w:sz w:val="24"/>
          <w:szCs w:val="24"/>
          <w:lang w:val="en-GB"/>
        </w:rPr>
        <w:t xml:space="preserve">While </w:t>
      </w:r>
      <w:r w:rsidRPr="00F21BFC">
        <w:rPr>
          <w:rFonts w:ascii="Times New Roman" w:hAnsi="Times New Roman" w:cs="Times New Roman"/>
          <w:sz w:val="24"/>
          <w:szCs w:val="24"/>
          <w:lang w:val="en-GB"/>
        </w:rPr>
        <w:t xml:space="preserve">medical students </w:t>
      </w:r>
      <w:r>
        <w:rPr>
          <w:rFonts w:ascii="Times New Roman" w:hAnsi="Times New Roman" w:cs="Times New Roman"/>
          <w:sz w:val="24"/>
          <w:szCs w:val="24"/>
          <w:lang w:val="en-GB"/>
        </w:rPr>
        <w:t xml:space="preserve">are </w:t>
      </w:r>
      <w:r w:rsidR="00895CCF">
        <w:rPr>
          <w:rFonts w:ascii="Times New Roman" w:hAnsi="Times New Roman" w:cs="Times New Roman"/>
          <w:sz w:val="24"/>
          <w:szCs w:val="24"/>
          <w:lang w:val="en-GB"/>
        </w:rPr>
        <w:t xml:space="preserve">just starting to </w:t>
      </w:r>
      <w:r w:rsidRPr="00F21BFC">
        <w:rPr>
          <w:rFonts w:ascii="Times New Roman" w:hAnsi="Times New Roman" w:cs="Times New Roman"/>
          <w:sz w:val="24"/>
          <w:szCs w:val="24"/>
          <w:lang w:val="en-GB"/>
        </w:rPr>
        <w:t>develop</w:t>
      </w:r>
      <w:r w:rsidR="00895CCF">
        <w:rPr>
          <w:rFonts w:ascii="Times New Roman" w:hAnsi="Times New Roman" w:cs="Times New Roman"/>
          <w:sz w:val="24"/>
          <w:szCs w:val="24"/>
          <w:lang w:val="en-GB"/>
        </w:rPr>
        <w:t xml:space="preserve"> </w:t>
      </w:r>
      <w:r w:rsidRPr="00F21BFC">
        <w:rPr>
          <w:rFonts w:ascii="Times New Roman" w:hAnsi="Times New Roman" w:cs="Times New Roman"/>
          <w:sz w:val="24"/>
          <w:szCs w:val="24"/>
          <w:lang w:val="en-GB"/>
        </w:rPr>
        <w:t>strategies to simultaneously uphold the belief in biomedical certainty while comprehending its limits</w:t>
      </w:r>
      <w:r>
        <w:t xml:space="preserve">, </w:t>
      </w:r>
      <w:r w:rsidR="00702D8E" w:rsidRPr="00F21BFC">
        <w:rPr>
          <w:rFonts w:ascii="Times New Roman" w:hAnsi="Times New Roman" w:cs="Times New Roman"/>
          <w:sz w:val="24"/>
          <w:szCs w:val="24"/>
          <w:lang w:val="en-GB"/>
        </w:rPr>
        <w:t xml:space="preserve">this fluidity </w:t>
      </w:r>
      <w:r>
        <w:rPr>
          <w:rFonts w:ascii="Times New Roman" w:hAnsi="Times New Roman" w:cs="Times New Roman"/>
          <w:sz w:val="24"/>
          <w:szCs w:val="24"/>
          <w:lang w:val="en-GB"/>
        </w:rPr>
        <w:t>is often fostered as</w:t>
      </w:r>
      <w:r w:rsidR="00702D8E" w:rsidRPr="00F21BFC">
        <w:rPr>
          <w:rFonts w:ascii="Times New Roman" w:hAnsi="Times New Roman" w:cs="Times New Roman"/>
          <w:sz w:val="24"/>
          <w:szCs w:val="24"/>
          <w:lang w:val="en-GB"/>
        </w:rPr>
        <w:t xml:space="preserve"> an integral part of the practicing physicians’ worldview</w:t>
      </w:r>
      <w:r>
        <w:rPr>
          <w:rFonts w:ascii="Times New Roman" w:hAnsi="Times New Roman" w:cs="Times New Roman"/>
          <w:sz w:val="24"/>
          <w:szCs w:val="24"/>
          <w:lang w:val="en-GB"/>
        </w:rPr>
        <w:t xml:space="preserve"> through lifelong learning. </w:t>
      </w:r>
      <w:r w:rsidR="001758EB">
        <w:rPr>
          <w:rFonts w:ascii="Times New Roman" w:hAnsi="Times New Roman" w:cs="Times New Roman"/>
          <w:sz w:val="24"/>
          <w:szCs w:val="24"/>
          <w:lang w:val="en-GB"/>
        </w:rPr>
        <w:t xml:space="preserve">A continuous, </w:t>
      </w:r>
      <w:proofErr w:type="gramStart"/>
      <w:r w:rsidR="001758EB">
        <w:rPr>
          <w:rFonts w:ascii="Times New Roman" w:hAnsi="Times New Roman" w:cs="Times New Roman"/>
          <w:sz w:val="24"/>
          <w:szCs w:val="24"/>
          <w:lang w:val="en-GB"/>
        </w:rPr>
        <w:t>collaborative</w:t>
      </w:r>
      <w:proofErr w:type="gramEnd"/>
      <w:r w:rsidR="001758EB">
        <w:rPr>
          <w:rFonts w:ascii="Times New Roman" w:hAnsi="Times New Roman" w:cs="Times New Roman"/>
          <w:sz w:val="24"/>
          <w:szCs w:val="24"/>
          <w:lang w:val="en-GB"/>
        </w:rPr>
        <w:t xml:space="preserve"> and active lifelong learning is acknowledged as an essential competency that clinicians must possess to keep up to date with </w:t>
      </w:r>
      <w:r w:rsidR="00BB7E5D">
        <w:rPr>
          <w:rFonts w:ascii="Times New Roman" w:hAnsi="Times New Roman" w:cs="Times New Roman"/>
          <w:sz w:val="24"/>
          <w:szCs w:val="24"/>
          <w:lang w:val="en-GB"/>
        </w:rPr>
        <w:t>ongoing</w:t>
      </w:r>
      <w:r w:rsidR="001758EB">
        <w:rPr>
          <w:rFonts w:ascii="Times New Roman" w:hAnsi="Times New Roman" w:cs="Times New Roman"/>
          <w:sz w:val="24"/>
          <w:szCs w:val="24"/>
          <w:lang w:val="en-GB"/>
        </w:rPr>
        <w:t xml:space="preserve"> developments in medicine [</w:t>
      </w:r>
      <w:r w:rsidR="00C30028" w:rsidRPr="00322E4F">
        <w:rPr>
          <w:rFonts w:ascii="Times New Roman" w:hAnsi="Times New Roman" w:cs="Times New Roman"/>
          <w:sz w:val="24"/>
          <w:szCs w:val="24"/>
          <w:lang w:val="en-GB"/>
        </w:rPr>
        <w:t>4</w:t>
      </w:r>
      <w:r w:rsidR="00F67B70" w:rsidRPr="00322E4F">
        <w:rPr>
          <w:rFonts w:ascii="Times New Roman" w:hAnsi="Times New Roman" w:cs="Times New Roman"/>
          <w:sz w:val="24"/>
          <w:szCs w:val="24"/>
          <w:lang w:val="en-GB"/>
        </w:rPr>
        <w:t>3</w:t>
      </w:r>
      <w:r w:rsidR="001758EB">
        <w:rPr>
          <w:rFonts w:ascii="Times New Roman" w:hAnsi="Times New Roman" w:cs="Times New Roman"/>
          <w:sz w:val="24"/>
          <w:szCs w:val="24"/>
          <w:lang w:val="en-GB"/>
        </w:rPr>
        <w:t>]</w:t>
      </w:r>
      <w:r w:rsidR="00702D8E" w:rsidRPr="00F21BFC">
        <w:rPr>
          <w:rFonts w:ascii="Times New Roman" w:hAnsi="Times New Roman" w:cs="Times New Roman"/>
          <w:sz w:val="24"/>
          <w:szCs w:val="24"/>
          <w:lang w:val="en-GB"/>
        </w:rPr>
        <w:t>.</w:t>
      </w:r>
      <w:r w:rsidR="00250965">
        <w:rPr>
          <w:rFonts w:ascii="Times New Roman" w:hAnsi="Times New Roman" w:cs="Times New Roman"/>
          <w:sz w:val="24"/>
          <w:szCs w:val="24"/>
          <w:lang w:val="en-GB"/>
        </w:rPr>
        <w:t xml:space="preserve"> </w:t>
      </w:r>
    </w:p>
    <w:p w14:paraId="5CBCEA21" w14:textId="77777777" w:rsidR="004423E0" w:rsidRPr="007360BB" w:rsidRDefault="004423E0" w:rsidP="00AB6084">
      <w:pPr>
        <w:pStyle w:val="heading2"/>
      </w:pPr>
      <w:r w:rsidRPr="007360BB">
        <w:t xml:space="preserve">Practical recommendations </w:t>
      </w:r>
    </w:p>
    <w:p w14:paraId="737D3FEC" w14:textId="1540D2F5" w:rsidR="00AC6DA5" w:rsidRDefault="00AC6DA5" w:rsidP="00322E4F">
      <w:pPr>
        <w:pStyle w:val="Default"/>
        <w:numPr>
          <w:ilvl w:val="0"/>
          <w:numId w:val="4"/>
        </w:numPr>
        <w:spacing w:before="100" w:after="200" w:line="480" w:lineRule="auto"/>
        <w:rPr>
          <w:rFonts w:ascii="Times New Roman" w:hAnsi="Times New Roman" w:cs="Times New Roman"/>
          <w:sz w:val="24"/>
          <w:szCs w:val="24"/>
          <w:lang w:val="en-GB"/>
        </w:rPr>
      </w:pPr>
      <w:r>
        <w:rPr>
          <w:rFonts w:ascii="Times New Roman" w:hAnsi="Times New Roman" w:cs="Times New Roman"/>
          <w:sz w:val="24"/>
          <w:szCs w:val="24"/>
          <w:lang w:val="en-GB"/>
        </w:rPr>
        <w:t>To appreciate the ubiquity and relevance of uncertainty, i</w:t>
      </w:r>
      <w:r w:rsidRPr="00BB01D1">
        <w:rPr>
          <w:rFonts w:ascii="Times New Roman" w:hAnsi="Times New Roman" w:cs="Times New Roman"/>
          <w:sz w:val="24"/>
          <w:szCs w:val="24"/>
          <w:lang w:val="en-GB"/>
        </w:rPr>
        <w:t>ntroduce session</w:t>
      </w:r>
      <w:r w:rsidR="00BB7E5D">
        <w:rPr>
          <w:rFonts w:ascii="Times New Roman" w:hAnsi="Times New Roman" w:cs="Times New Roman"/>
          <w:sz w:val="24"/>
          <w:szCs w:val="24"/>
          <w:lang w:val="en-GB"/>
        </w:rPr>
        <w:t>s</w:t>
      </w:r>
      <w:r w:rsidRPr="00BB01D1">
        <w:rPr>
          <w:rFonts w:ascii="Times New Roman" w:hAnsi="Times New Roman" w:cs="Times New Roman"/>
          <w:sz w:val="24"/>
          <w:szCs w:val="24"/>
          <w:lang w:val="en-GB"/>
        </w:rPr>
        <w:t xml:space="preserve"> on the social construction of knowledge, the scientific method, history of science, philosophical underpinnings of positivism</w:t>
      </w:r>
      <w:r>
        <w:rPr>
          <w:rFonts w:ascii="Times New Roman" w:hAnsi="Times New Roman" w:cs="Times New Roman"/>
          <w:sz w:val="24"/>
          <w:szCs w:val="24"/>
          <w:lang w:val="en-GB"/>
        </w:rPr>
        <w:t xml:space="preserve"> and</w:t>
      </w:r>
      <w:r w:rsidRPr="00BB01D1">
        <w:rPr>
          <w:rFonts w:ascii="Times New Roman" w:hAnsi="Times New Roman" w:cs="Times New Roman"/>
          <w:sz w:val="24"/>
          <w:szCs w:val="24"/>
          <w:lang w:val="en-GB"/>
        </w:rPr>
        <w:t xml:space="preserve"> the construction of ‘evidence’. </w:t>
      </w:r>
    </w:p>
    <w:p w14:paraId="29EAF24A" w14:textId="584E92F3" w:rsidR="00AC6DA5" w:rsidRPr="00AC6DA5" w:rsidRDefault="00AC6DA5" w:rsidP="00322E4F">
      <w:pPr>
        <w:pStyle w:val="Default"/>
        <w:numPr>
          <w:ilvl w:val="0"/>
          <w:numId w:val="4"/>
        </w:numPr>
        <w:spacing w:before="100" w:after="20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Discuss the ubiquity and relevance of uncertainty in </w:t>
      </w:r>
      <w:r w:rsidRPr="007360BB">
        <w:rPr>
          <w:rFonts w:ascii="Times New Roman" w:hAnsi="Times New Roman" w:cs="Times New Roman"/>
          <w:sz w:val="24"/>
          <w:szCs w:val="24"/>
          <w:lang w:val="en-GB"/>
        </w:rPr>
        <w:t xml:space="preserve">discussion-based sessions to develop skills to recognise it and incorporate it in future practice. </w:t>
      </w:r>
    </w:p>
    <w:p w14:paraId="22799EA8" w14:textId="77777777" w:rsidR="00AC6DA5" w:rsidRDefault="008E768A" w:rsidP="00322E4F">
      <w:pPr>
        <w:pStyle w:val="Default"/>
        <w:numPr>
          <w:ilvl w:val="0"/>
          <w:numId w:val="4"/>
        </w:numPr>
        <w:spacing w:before="100" w:after="20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Consistently mention during the existing sessions </w:t>
      </w:r>
      <w:r w:rsidRPr="007360BB">
        <w:rPr>
          <w:rFonts w:ascii="Times New Roman" w:hAnsi="Times New Roman" w:cs="Times New Roman"/>
          <w:sz w:val="24"/>
          <w:szCs w:val="24"/>
          <w:lang w:val="en-GB"/>
        </w:rPr>
        <w:t>if other conceptualisations/protocols were hegemonic before the introduction of current guidelines</w:t>
      </w:r>
      <w:r w:rsidR="001202E2">
        <w:rPr>
          <w:rFonts w:ascii="Times New Roman" w:hAnsi="Times New Roman" w:cs="Times New Roman"/>
          <w:sz w:val="24"/>
          <w:szCs w:val="24"/>
          <w:lang w:val="en-GB"/>
        </w:rPr>
        <w:t>.</w:t>
      </w:r>
      <w:r w:rsidRPr="007360BB">
        <w:rPr>
          <w:rFonts w:ascii="Times New Roman" w:hAnsi="Times New Roman" w:cs="Times New Roman"/>
          <w:sz w:val="24"/>
          <w:szCs w:val="24"/>
          <w:lang w:val="en-GB"/>
        </w:rPr>
        <w:t xml:space="preserve"> </w:t>
      </w:r>
      <w:r w:rsidR="001202E2">
        <w:rPr>
          <w:rFonts w:ascii="Times New Roman" w:hAnsi="Times New Roman" w:cs="Times New Roman"/>
          <w:sz w:val="24"/>
          <w:szCs w:val="24"/>
          <w:lang w:val="en-GB"/>
        </w:rPr>
        <w:t>Succinctly contextualising existing protocols may help develop students’ understandings of uncertainty in time-constrained curricula.</w:t>
      </w:r>
    </w:p>
    <w:p w14:paraId="4E410822" w14:textId="2EC8690D" w:rsidR="008E768A" w:rsidRPr="007360BB" w:rsidRDefault="00AC6DA5" w:rsidP="00322E4F">
      <w:pPr>
        <w:pStyle w:val="Default"/>
        <w:numPr>
          <w:ilvl w:val="0"/>
          <w:numId w:val="4"/>
        </w:numPr>
        <w:spacing w:before="100" w:after="200" w:line="480" w:lineRule="auto"/>
        <w:rPr>
          <w:rFonts w:ascii="Times New Roman" w:hAnsi="Times New Roman" w:cs="Times New Roman"/>
          <w:sz w:val="24"/>
          <w:szCs w:val="24"/>
          <w:lang w:val="en-GB"/>
        </w:rPr>
      </w:pPr>
      <w:r w:rsidRPr="007360BB">
        <w:rPr>
          <w:rFonts w:ascii="Times New Roman" w:hAnsi="Times New Roman" w:cs="Times New Roman"/>
          <w:sz w:val="24"/>
          <w:szCs w:val="24"/>
          <w:lang w:val="en-GB"/>
        </w:rPr>
        <w:t xml:space="preserve">Modify the structure of assessments to incorporate possibilities of multiple answers, </w:t>
      </w:r>
      <w:proofErr w:type="gramStart"/>
      <w:r w:rsidRPr="007360BB">
        <w:rPr>
          <w:rFonts w:ascii="Times New Roman" w:hAnsi="Times New Roman" w:cs="Times New Roman"/>
          <w:sz w:val="24"/>
          <w:szCs w:val="24"/>
          <w:lang w:val="en-GB"/>
        </w:rPr>
        <w:t>viewpoints</w:t>
      </w:r>
      <w:proofErr w:type="gramEnd"/>
      <w:r w:rsidRPr="007360BB">
        <w:rPr>
          <w:rFonts w:ascii="Times New Roman" w:hAnsi="Times New Roman" w:cs="Times New Roman"/>
          <w:sz w:val="24"/>
          <w:szCs w:val="24"/>
          <w:lang w:val="en-GB"/>
        </w:rPr>
        <w:t xml:space="preserve"> and interpretations.</w:t>
      </w:r>
      <w:r w:rsidR="001202E2">
        <w:rPr>
          <w:rFonts w:ascii="Times New Roman" w:hAnsi="Times New Roman" w:cs="Times New Roman"/>
          <w:sz w:val="24"/>
          <w:szCs w:val="24"/>
          <w:lang w:val="en-GB"/>
        </w:rPr>
        <w:t xml:space="preserve"> </w:t>
      </w:r>
    </w:p>
    <w:p w14:paraId="5CC4D3C4" w14:textId="77777777" w:rsidR="004423E0" w:rsidRPr="007360BB" w:rsidRDefault="004423E0" w:rsidP="00AB6084">
      <w:pPr>
        <w:pStyle w:val="heading2"/>
      </w:pPr>
      <w:r w:rsidRPr="007360BB">
        <w:lastRenderedPageBreak/>
        <w:t>Strengths and limitations of the study</w:t>
      </w:r>
    </w:p>
    <w:p w14:paraId="05FCF2B4" w14:textId="7398FE40" w:rsidR="004423E0" w:rsidRPr="007360BB" w:rsidRDefault="004423E0" w:rsidP="004423E0">
      <w:pPr>
        <w:pStyle w:val="BodyA"/>
        <w:spacing w:before="100" w:after="200" w:line="480" w:lineRule="auto"/>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 xml:space="preserve">The strengths of the study include an interdisciplinary team and the employment of qualitative research methods which ensured that respondents’ voices emerged </w:t>
      </w:r>
      <w:r>
        <w:rPr>
          <w:rFonts w:ascii="Times New Roman" w:hAnsi="Times New Roman" w:cs="Times New Roman"/>
          <w:sz w:val="24"/>
          <w:szCs w:val="24"/>
          <w:lang w:val="en-GB"/>
        </w:rPr>
        <w:t>freely</w:t>
      </w:r>
      <w:r w:rsidRPr="007360BB">
        <w:rPr>
          <w:rFonts w:ascii="Times New Roman" w:hAnsi="Times New Roman" w:cs="Times New Roman"/>
          <w:sz w:val="24"/>
          <w:szCs w:val="24"/>
          <w:lang w:val="en-GB"/>
        </w:rPr>
        <w:t xml:space="preserve">. Data analysis was conducted by four analysts allowing different interpretations of data to be discussed. </w:t>
      </w:r>
      <w:r>
        <w:rPr>
          <w:rFonts w:ascii="Times New Roman" w:hAnsi="Times New Roman" w:cs="Times New Roman"/>
          <w:sz w:val="24"/>
          <w:szCs w:val="24"/>
          <w:lang w:val="en-GB"/>
        </w:rPr>
        <w:t xml:space="preserve">The </w:t>
      </w:r>
      <w:r w:rsidRPr="007360BB">
        <w:rPr>
          <w:rFonts w:ascii="Times New Roman" w:hAnsi="Times New Roman" w:cs="Times New Roman"/>
          <w:sz w:val="24"/>
          <w:szCs w:val="24"/>
          <w:lang w:val="en-GB"/>
        </w:rPr>
        <w:t>limitations</w:t>
      </w:r>
      <w:r>
        <w:rPr>
          <w:rFonts w:ascii="Times New Roman" w:hAnsi="Times New Roman" w:cs="Times New Roman"/>
          <w:sz w:val="24"/>
          <w:szCs w:val="24"/>
          <w:lang w:val="en-GB"/>
        </w:rPr>
        <w:t xml:space="preserve"> of the study include a possible occurrence of </w:t>
      </w:r>
      <w:r w:rsidR="00055767">
        <w:rPr>
          <w:rFonts w:ascii="Times New Roman" w:hAnsi="Times New Roman" w:cs="Times New Roman"/>
          <w:sz w:val="24"/>
          <w:szCs w:val="24"/>
          <w:lang w:val="en-GB"/>
        </w:rPr>
        <w:t xml:space="preserve">the </w:t>
      </w:r>
      <w:r w:rsidRPr="007360BB">
        <w:rPr>
          <w:rFonts w:ascii="Times New Roman" w:hAnsi="Times New Roman" w:cs="Times New Roman"/>
          <w:sz w:val="24"/>
          <w:szCs w:val="24"/>
          <w:lang w:val="en-GB"/>
        </w:rPr>
        <w:t xml:space="preserve">Hawthorne </w:t>
      </w:r>
      <w:r w:rsidRPr="00F67B70">
        <w:rPr>
          <w:rFonts w:ascii="Times New Roman" w:hAnsi="Times New Roman" w:cs="Times New Roman"/>
          <w:sz w:val="24"/>
          <w:szCs w:val="24"/>
          <w:lang w:val="en-GB"/>
        </w:rPr>
        <w:t>effect [4</w:t>
      </w:r>
      <w:r w:rsidR="00F67B70" w:rsidRPr="00F67B70">
        <w:rPr>
          <w:rFonts w:ascii="Times New Roman" w:hAnsi="Times New Roman" w:cs="Times New Roman"/>
          <w:sz w:val="24"/>
          <w:szCs w:val="24"/>
          <w:lang w:val="en-GB"/>
        </w:rPr>
        <w:t>4</w:t>
      </w:r>
      <w:r w:rsidRPr="00F67B70">
        <w:rPr>
          <w:rFonts w:ascii="Times New Roman" w:hAnsi="Times New Roman" w:cs="Times New Roman"/>
          <w:sz w:val="24"/>
          <w:szCs w:val="24"/>
          <w:lang w:val="en-GB"/>
        </w:rPr>
        <w:t>], the</w:t>
      </w:r>
      <w:r>
        <w:rPr>
          <w:rFonts w:ascii="Times New Roman" w:hAnsi="Times New Roman" w:cs="Times New Roman"/>
          <w:sz w:val="24"/>
          <w:szCs w:val="24"/>
          <w:lang w:val="en-GB"/>
        </w:rPr>
        <w:t xml:space="preserve"> focus on</w:t>
      </w:r>
      <w:r w:rsidRPr="007360BB">
        <w:rPr>
          <w:rFonts w:ascii="Times New Roman" w:hAnsi="Times New Roman" w:cs="Times New Roman"/>
          <w:sz w:val="24"/>
          <w:szCs w:val="24"/>
          <w:lang w:val="en-GB"/>
        </w:rPr>
        <w:t xml:space="preserve"> one </w:t>
      </w:r>
      <w:r>
        <w:rPr>
          <w:rFonts w:ascii="Times New Roman" w:hAnsi="Times New Roman" w:cs="Times New Roman"/>
          <w:sz w:val="24"/>
          <w:szCs w:val="24"/>
          <w:lang w:val="en-GB"/>
        </w:rPr>
        <w:t xml:space="preserve">integrated </w:t>
      </w:r>
      <w:r w:rsidRPr="007360BB">
        <w:rPr>
          <w:rFonts w:ascii="Times New Roman" w:hAnsi="Times New Roman" w:cs="Times New Roman"/>
          <w:sz w:val="24"/>
          <w:szCs w:val="24"/>
          <w:lang w:val="en-GB"/>
        </w:rPr>
        <w:t xml:space="preserve">medical </w:t>
      </w:r>
      <w:r>
        <w:rPr>
          <w:rFonts w:ascii="Times New Roman" w:hAnsi="Times New Roman" w:cs="Times New Roman"/>
          <w:sz w:val="24"/>
          <w:szCs w:val="24"/>
          <w:lang w:val="en-GB"/>
        </w:rPr>
        <w:t>curriculum</w:t>
      </w:r>
      <w:r w:rsidRPr="007360BB">
        <w:rPr>
          <w:rFonts w:ascii="Times New Roman" w:hAnsi="Times New Roman" w:cs="Times New Roman"/>
          <w:sz w:val="24"/>
          <w:szCs w:val="24"/>
          <w:lang w:val="en-GB"/>
        </w:rPr>
        <w:t xml:space="preserve"> in the UK</w:t>
      </w:r>
      <w:r>
        <w:rPr>
          <w:rFonts w:ascii="Times New Roman" w:hAnsi="Times New Roman" w:cs="Times New Roman"/>
          <w:sz w:val="24"/>
          <w:szCs w:val="24"/>
          <w:lang w:val="en-GB"/>
        </w:rPr>
        <w:t xml:space="preserve"> which makes generalisability of study findings difficult and the exclusive </w:t>
      </w:r>
      <w:r w:rsidRPr="007360BB">
        <w:rPr>
          <w:rFonts w:ascii="Times New Roman" w:hAnsi="Times New Roman" w:cs="Times New Roman"/>
          <w:sz w:val="24"/>
          <w:szCs w:val="24"/>
          <w:lang w:val="en-GB"/>
        </w:rPr>
        <w:t>focus on academic medical educators</w:t>
      </w:r>
      <w:r>
        <w:rPr>
          <w:rFonts w:ascii="Times New Roman" w:hAnsi="Times New Roman" w:cs="Times New Roman"/>
          <w:sz w:val="24"/>
          <w:szCs w:val="24"/>
          <w:lang w:val="en-GB"/>
        </w:rPr>
        <w:t>’ experiences</w:t>
      </w:r>
      <w:r w:rsidRPr="007360BB">
        <w:rPr>
          <w:rFonts w:ascii="Times New Roman" w:hAnsi="Times New Roman" w:cs="Times New Roman"/>
          <w:sz w:val="24"/>
          <w:szCs w:val="24"/>
          <w:lang w:val="en-GB"/>
        </w:rPr>
        <w:t>.</w:t>
      </w:r>
    </w:p>
    <w:p w14:paraId="53F79777" w14:textId="77777777" w:rsidR="004423E0" w:rsidRPr="007360BB" w:rsidRDefault="004423E0" w:rsidP="00AB6084">
      <w:pPr>
        <w:pStyle w:val="heading2"/>
      </w:pPr>
      <w:r w:rsidRPr="007360BB">
        <w:t>Future research directions</w:t>
      </w:r>
    </w:p>
    <w:p w14:paraId="5C7A9349" w14:textId="7F9AFDD7" w:rsidR="004423E0" w:rsidRPr="007360BB" w:rsidRDefault="004423E0" w:rsidP="004423E0">
      <w:pPr>
        <w:pStyle w:val="BodyA"/>
        <w:spacing w:before="100" w:after="200" w:line="480" w:lineRule="auto"/>
        <w:rPr>
          <w:rFonts w:ascii="Times New Roman" w:eastAsia="Times New Roman" w:hAnsi="Times New Roman" w:cs="Times New Roman"/>
          <w:sz w:val="24"/>
          <w:szCs w:val="24"/>
          <w:lang w:val="en-GB"/>
        </w:rPr>
      </w:pPr>
      <w:r w:rsidRPr="007360BB">
        <w:rPr>
          <w:rFonts w:ascii="Times New Roman" w:hAnsi="Times New Roman" w:cs="Times New Roman"/>
          <w:sz w:val="24"/>
          <w:szCs w:val="24"/>
          <w:lang w:val="en-GB"/>
        </w:rPr>
        <w:t>Future research projects could include voices of other stakeholders,</w:t>
      </w:r>
      <w:r w:rsidR="00BB7E5D">
        <w:rPr>
          <w:rFonts w:ascii="Times New Roman" w:hAnsi="Times New Roman" w:cs="Times New Roman"/>
          <w:sz w:val="24"/>
          <w:szCs w:val="24"/>
          <w:lang w:val="en-GB"/>
        </w:rPr>
        <w:t xml:space="preserve"> such as medical students,</w:t>
      </w:r>
      <w:r w:rsidRPr="007360BB">
        <w:rPr>
          <w:rFonts w:ascii="Times New Roman" w:hAnsi="Times New Roman" w:cs="Times New Roman"/>
          <w:sz w:val="24"/>
          <w:szCs w:val="24"/>
          <w:lang w:val="en-GB"/>
        </w:rPr>
        <w:t xml:space="preserve"> compare several medical schools with different characteristics or explore differences between biomedical knowledge as taught in different medical schools and clinical contexts. </w:t>
      </w:r>
    </w:p>
    <w:p w14:paraId="17693449" w14:textId="4F5EC28D" w:rsidR="004423E0" w:rsidRPr="007360BB" w:rsidRDefault="004423E0" w:rsidP="00AB6084">
      <w:pPr>
        <w:pStyle w:val="acknowledgements"/>
      </w:pPr>
      <w:r w:rsidRPr="007360BB">
        <w:rPr>
          <w:b/>
          <w:bCs/>
        </w:rPr>
        <w:t>Acknowledgements:</w:t>
      </w:r>
      <w:r w:rsidRPr="007360BB">
        <w:t xml:space="preserve"> We would like to thank all research participants for their time, </w:t>
      </w:r>
      <w:proofErr w:type="gramStart"/>
      <w:r w:rsidRPr="007360BB">
        <w:t>interest</w:t>
      </w:r>
      <w:proofErr w:type="gramEnd"/>
      <w:r w:rsidRPr="007360BB">
        <w:t xml:space="preserve"> and willingness to participate in this </w:t>
      </w:r>
      <w:r w:rsidR="00650ECA">
        <w:t>study</w:t>
      </w:r>
      <w:r w:rsidRPr="007360BB">
        <w:t xml:space="preserve">. </w:t>
      </w:r>
    </w:p>
    <w:p w14:paraId="4EFEA78A" w14:textId="77777777" w:rsidR="004423E0" w:rsidRDefault="004423E0" w:rsidP="004423E0">
      <w:pPr>
        <w:pStyle w:val="BodyA"/>
        <w:spacing w:before="100" w:after="200" w:line="480" w:lineRule="auto"/>
        <w:rPr>
          <w:rFonts w:ascii="Times New Roman" w:hAnsi="Times New Roman" w:cs="Times New Roman"/>
          <w:sz w:val="24"/>
          <w:szCs w:val="24"/>
          <w:lang w:val="en-GB"/>
        </w:rPr>
      </w:pPr>
    </w:p>
    <w:p w14:paraId="1AF086E5" w14:textId="3A078ED0" w:rsidR="004423E0" w:rsidRPr="007360BB" w:rsidRDefault="004423E0" w:rsidP="00AB6084">
      <w:pPr>
        <w:pStyle w:val="reference"/>
      </w:pPr>
      <w:r w:rsidRPr="007360BB">
        <w:t>References</w:t>
      </w:r>
    </w:p>
    <w:p w14:paraId="56F03D58" w14:textId="77777777" w:rsidR="00C30028" w:rsidRPr="004423E0" w:rsidRDefault="00C30028" w:rsidP="00C30028">
      <w:pPr>
        <w:pStyle w:val="reference"/>
        <w:numPr>
          <w:ilvl w:val="0"/>
          <w:numId w:val="3"/>
        </w:numPr>
      </w:pPr>
      <w:proofErr w:type="spellStart"/>
      <w:r w:rsidRPr="004423E0">
        <w:rPr>
          <w:shd w:val="clear" w:color="auto" w:fill="FFFFFF"/>
        </w:rPr>
        <w:t>Simpkin</w:t>
      </w:r>
      <w:proofErr w:type="spellEnd"/>
      <w:r w:rsidRPr="004423E0">
        <w:rPr>
          <w:shd w:val="clear" w:color="auto" w:fill="FFFFFF"/>
        </w:rPr>
        <w:t xml:space="preserve"> AL, </w:t>
      </w:r>
      <w:proofErr w:type="spellStart"/>
      <w:r w:rsidRPr="004423E0">
        <w:rPr>
          <w:shd w:val="clear" w:color="auto" w:fill="FFFFFF"/>
        </w:rPr>
        <w:t>Schwartzstein</w:t>
      </w:r>
      <w:proofErr w:type="spellEnd"/>
      <w:r w:rsidRPr="004423E0">
        <w:rPr>
          <w:shd w:val="clear" w:color="auto" w:fill="FFFFFF"/>
        </w:rPr>
        <w:t xml:space="preserve"> RM. Tolerating uncertainty—the next medical </w:t>
      </w:r>
      <w:proofErr w:type="gramStart"/>
      <w:r w:rsidRPr="004423E0">
        <w:rPr>
          <w:shd w:val="clear" w:color="auto" w:fill="FFFFFF"/>
        </w:rPr>
        <w:t>revolution?.</w:t>
      </w:r>
      <w:proofErr w:type="gramEnd"/>
      <w:r w:rsidRPr="004423E0">
        <w:rPr>
          <w:shd w:val="clear" w:color="auto" w:fill="FFFFFF"/>
        </w:rPr>
        <w:t xml:space="preserve"> New England Journal of Medicine. 2016 Nov 3;375(18).</w:t>
      </w:r>
    </w:p>
    <w:p w14:paraId="596E4790" w14:textId="77777777" w:rsidR="00C30028" w:rsidRPr="004423E0" w:rsidRDefault="00C30028" w:rsidP="00C30028">
      <w:pPr>
        <w:pStyle w:val="reference"/>
        <w:numPr>
          <w:ilvl w:val="0"/>
          <w:numId w:val="3"/>
        </w:numPr>
      </w:pPr>
      <w:proofErr w:type="spellStart"/>
      <w:r w:rsidRPr="004423E0">
        <w:rPr>
          <w:shd w:val="clear" w:color="auto" w:fill="FFFFFF"/>
        </w:rPr>
        <w:t>Fargason</w:t>
      </w:r>
      <w:proofErr w:type="spellEnd"/>
      <w:r w:rsidRPr="004423E0">
        <w:rPr>
          <w:shd w:val="clear" w:color="auto" w:fill="FFFFFF"/>
        </w:rPr>
        <w:t xml:space="preserve"> Jr CA, Evans HH, Ashworth CS, Capper SA. The importance of preparing medical students to manage different types of uncertainty. Academic medicine: journal of the Association of American Medical Colleges. 1997 Aug 1;72(8):688-92.</w:t>
      </w:r>
    </w:p>
    <w:p w14:paraId="76BC3D0B" w14:textId="77777777" w:rsidR="00C30028" w:rsidRPr="004423E0" w:rsidRDefault="00C30028" w:rsidP="00C30028">
      <w:pPr>
        <w:pStyle w:val="reference"/>
        <w:numPr>
          <w:ilvl w:val="0"/>
          <w:numId w:val="3"/>
        </w:numPr>
        <w:rPr>
          <w:u w:color="333333"/>
        </w:rPr>
      </w:pPr>
      <w:r w:rsidRPr="004423E0">
        <w:rPr>
          <w:u w:color="333333"/>
        </w:rPr>
        <w:t xml:space="preserve">Beresford E. Uncertainty and the shaping of medical decisions. </w:t>
      </w:r>
      <w:r w:rsidRPr="004423E0">
        <w:rPr>
          <w:i/>
          <w:iCs/>
          <w:u w:color="333333"/>
        </w:rPr>
        <w:t xml:space="preserve">Hastings </w:t>
      </w:r>
      <w:proofErr w:type="spellStart"/>
      <w:r w:rsidRPr="004423E0">
        <w:rPr>
          <w:i/>
          <w:iCs/>
          <w:u w:color="333333"/>
        </w:rPr>
        <w:t>Center</w:t>
      </w:r>
      <w:proofErr w:type="spellEnd"/>
      <w:r w:rsidRPr="004423E0">
        <w:rPr>
          <w:i/>
          <w:iCs/>
          <w:u w:color="333333"/>
        </w:rPr>
        <w:t xml:space="preserve"> Report </w:t>
      </w:r>
      <w:r w:rsidRPr="004423E0">
        <w:rPr>
          <w:u w:color="333333"/>
        </w:rPr>
        <w:t>1991; 21:4.</w:t>
      </w:r>
    </w:p>
    <w:p w14:paraId="2E7ED81E" w14:textId="77777777" w:rsidR="00C30028" w:rsidRPr="004423E0" w:rsidRDefault="00C30028" w:rsidP="00C30028">
      <w:pPr>
        <w:pStyle w:val="reference"/>
        <w:numPr>
          <w:ilvl w:val="0"/>
          <w:numId w:val="3"/>
        </w:numPr>
        <w:rPr>
          <w:shd w:val="clear" w:color="auto" w:fill="FFFFFF"/>
        </w:rPr>
      </w:pPr>
      <w:proofErr w:type="spellStart"/>
      <w:r w:rsidRPr="004423E0">
        <w:rPr>
          <w:shd w:val="clear" w:color="auto" w:fill="FFFFFF"/>
        </w:rPr>
        <w:t>Ilgen</w:t>
      </w:r>
      <w:proofErr w:type="spellEnd"/>
      <w:r w:rsidRPr="004423E0">
        <w:rPr>
          <w:shd w:val="clear" w:color="auto" w:fill="FFFFFF"/>
        </w:rPr>
        <w:t xml:space="preserve"> JS, </w:t>
      </w:r>
      <w:proofErr w:type="spellStart"/>
      <w:r w:rsidRPr="004423E0">
        <w:rPr>
          <w:shd w:val="clear" w:color="auto" w:fill="FFFFFF"/>
        </w:rPr>
        <w:t>Teunissen</w:t>
      </w:r>
      <w:proofErr w:type="spellEnd"/>
      <w:r w:rsidRPr="004423E0">
        <w:rPr>
          <w:shd w:val="clear" w:color="auto" w:fill="FFFFFF"/>
        </w:rPr>
        <w:t xml:space="preserve"> PW, de Bruin AB, Bowen JL, </w:t>
      </w:r>
      <w:proofErr w:type="spellStart"/>
      <w:r w:rsidRPr="004423E0">
        <w:rPr>
          <w:shd w:val="clear" w:color="auto" w:fill="FFFFFF"/>
        </w:rPr>
        <w:t>Regehr</w:t>
      </w:r>
      <w:proofErr w:type="spellEnd"/>
      <w:r w:rsidRPr="004423E0">
        <w:rPr>
          <w:shd w:val="clear" w:color="auto" w:fill="FFFFFF"/>
        </w:rPr>
        <w:t xml:space="preserve"> G. Warning bells: How clinicians leverage their discomfort to manage moments of uncertainty. Medical Education. 2021 Feb;55(2):233-41.</w:t>
      </w:r>
    </w:p>
    <w:p w14:paraId="5335B9F5" w14:textId="77777777" w:rsidR="00C30028" w:rsidRPr="004423E0" w:rsidRDefault="00C30028" w:rsidP="00C30028">
      <w:pPr>
        <w:pStyle w:val="reference"/>
        <w:numPr>
          <w:ilvl w:val="0"/>
          <w:numId w:val="3"/>
        </w:numPr>
      </w:pPr>
      <w:r w:rsidRPr="004423E0">
        <w:rPr>
          <w:shd w:val="clear" w:color="auto" w:fill="FFFFFF"/>
        </w:rPr>
        <w:t xml:space="preserve">Lingard L, Garwood K, </w:t>
      </w:r>
      <w:proofErr w:type="spellStart"/>
      <w:r w:rsidRPr="004423E0">
        <w:rPr>
          <w:shd w:val="clear" w:color="auto" w:fill="FFFFFF"/>
        </w:rPr>
        <w:t>Schryer</w:t>
      </w:r>
      <w:proofErr w:type="spellEnd"/>
      <w:r w:rsidRPr="004423E0">
        <w:rPr>
          <w:shd w:val="clear" w:color="auto" w:fill="FFFFFF"/>
        </w:rPr>
        <w:t xml:space="preserve"> CF, Spafford MM. A certain art of uncertainty: case presentation and the development of professional identity. Social science &amp; medicine. 2003 Feb 1;56(3):603-16.</w:t>
      </w:r>
    </w:p>
    <w:p w14:paraId="4F2BDBA5" w14:textId="77777777" w:rsidR="00C30028" w:rsidRPr="004423E0" w:rsidRDefault="00C30028" w:rsidP="00C30028">
      <w:pPr>
        <w:pStyle w:val="reference"/>
        <w:numPr>
          <w:ilvl w:val="0"/>
          <w:numId w:val="3"/>
        </w:numPr>
      </w:pPr>
      <w:proofErr w:type="spellStart"/>
      <w:r w:rsidRPr="004423E0">
        <w:rPr>
          <w:shd w:val="clear" w:color="auto" w:fill="FFFFFF"/>
        </w:rPr>
        <w:t>Sulik</w:t>
      </w:r>
      <w:proofErr w:type="spellEnd"/>
      <w:r w:rsidRPr="004423E0">
        <w:rPr>
          <w:shd w:val="clear" w:color="auto" w:fill="FFFFFF"/>
        </w:rPr>
        <w:t xml:space="preserve"> GA. Managing biomedical uncertainty: the technoscientific illness identity. Sociology of Health &amp; Illness. 2009 Nov;31(7):1059-76.</w:t>
      </w:r>
    </w:p>
    <w:p w14:paraId="60963B81" w14:textId="77777777" w:rsidR="00C30028" w:rsidRPr="004423E0" w:rsidRDefault="00C30028" w:rsidP="00C30028">
      <w:pPr>
        <w:pStyle w:val="reference"/>
        <w:numPr>
          <w:ilvl w:val="0"/>
          <w:numId w:val="3"/>
        </w:numPr>
      </w:pPr>
      <w:r w:rsidRPr="004423E0">
        <w:rPr>
          <w:shd w:val="clear" w:color="auto" w:fill="FFFFFF"/>
        </w:rPr>
        <w:t>Han PK, Klein WM, Arora NK. Varieties of uncertainty in health care: a conceptual taxonomy. Medical Decision Making. 2011 Nov;31(6):828-38.</w:t>
      </w:r>
    </w:p>
    <w:p w14:paraId="7E75B9A6" w14:textId="77777777" w:rsidR="00C30028" w:rsidRPr="004423E0" w:rsidRDefault="00C30028" w:rsidP="00C30028">
      <w:pPr>
        <w:pStyle w:val="reference"/>
        <w:numPr>
          <w:ilvl w:val="0"/>
          <w:numId w:val="3"/>
        </w:numPr>
      </w:pPr>
      <w:r w:rsidRPr="004423E0">
        <w:t xml:space="preserve">Fox R. Training for uncertainty. In: Merton R, Reader G, Kendall P, editors. </w:t>
      </w:r>
      <w:r w:rsidRPr="004423E0">
        <w:rPr>
          <w:i/>
          <w:iCs/>
        </w:rPr>
        <w:t xml:space="preserve">The student physician: </w:t>
      </w:r>
      <w:r w:rsidRPr="004423E0">
        <w:rPr>
          <w:i/>
          <w:iCs/>
          <w:u w:color="333333"/>
        </w:rPr>
        <w:t>introductory studies in the sociology of medical education</w:t>
      </w:r>
      <w:r w:rsidRPr="004423E0">
        <w:rPr>
          <w:u w:color="333333"/>
        </w:rPr>
        <w:t>. Cambridge, MA: Harvard University Press; 1957; 207-41.</w:t>
      </w:r>
    </w:p>
    <w:p w14:paraId="056003D4" w14:textId="77777777" w:rsidR="00C30028" w:rsidRPr="004423E0" w:rsidRDefault="00C30028" w:rsidP="00C30028">
      <w:pPr>
        <w:pStyle w:val="reference"/>
        <w:numPr>
          <w:ilvl w:val="0"/>
          <w:numId w:val="3"/>
        </w:numPr>
        <w:rPr>
          <w:u w:color="333333"/>
        </w:rPr>
      </w:pPr>
      <w:r w:rsidRPr="004423E0">
        <w:rPr>
          <w:u w:color="333333"/>
        </w:rPr>
        <w:lastRenderedPageBreak/>
        <w:t xml:space="preserve">Fox R. Medical Uncertainty Revisited. In: Albrecht GL, Fitzpatrick R, Scrimshaw S, editors. </w:t>
      </w:r>
      <w:r w:rsidRPr="004423E0">
        <w:rPr>
          <w:i/>
          <w:iCs/>
          <w:u w:color="333333"/>
        </w:rPr>
        <w:t>Handbook of Social Studies in Health and Medicine</w:t>
      </w:r>
      <w:r w:rsidRPr="004423E0">
        <w:rPr>
          <w:u w:color="333333"/>
        </w:rPr>
        <w:t xml:space="preserve">. London: Sage; 2000; 409-25. </w:t>
      </w:r>
    </w:p>
    <w:p w14:paraId="4F7F8C7E" w14:textId="77777777" w:rsidR="00C30028" w:rsidRPr="004423E0" w:rsidRDefault="00C30028" w:rsidP="00C30028">
      <w:pPr>
        <w:pStyle w:val="reference"/>
        <w:numPr>
          <w:ilvl w:val="0"/>
          <w:numId w:val="3"/>
        </w:numPr>
        <w:rPr>
          <w:u w:color="333333"/>
        </w:rPr>
      </w:pPr>
      <w:r w:rsidRPr="004423E0">
        <w:rPr>
          <w:u w:color="333333"/>
        </w:rPr>
        <w:t>Fox R. Is medical education asking too much of bioethics? </w:t>
      </w:r>
      <w:r w:rsidRPr="004423E0">
        <w:rPr>
          <w:i/>
          <w:iCs/>
          <w:u w:color="333333"/>
        </w:rPr>
        <w:t>Daedalus</w:t>
      </w:r>
      <w:r w:rsidRPr="004423E0">
        <w:rPr>
          <w:u w:color="333333"/>
        </w:rPr>
        <w:t xml:space="preserve"> 1999; 128:1-25.</w:t>
      </w:r>
    </w:p>
    <w:p w14:paraId="6B3DAB9E" w14:textId="77777777" w:rsidR="00C30028" w:rsidRPr="004423E0" w:rsidRDefault="00C30028" w:rsidP="00C30028">
      <w:pPr>
        <w:pStyle w:val="reference"/>
        <w:numPr>
          <w:ilvl w:val="0"/>
          <w:numId w:val="3"/>
        </w:numPr>
      </w:pPr>
      <w:r w:rsidRPr="004423E0">
        <w:t xml:space="preserve">Atkinson P. Training for certainty. </w:t>
      </w:r>
      <w:r w:rsidRPr="004423E0">
        <w:rPr>
          <w:i/>
          <w:iCs/>
        </w:rPr>
        <w:t>Social science &amp; medicine</w:t>
      </w:r>
      <w:r w:rsidRPr="004423E0">
        <w:t xml:space="preserve"> 1984; 19:949-56.</w:t>
      </w:r>
    </w:p>
    <w:p w14:paraId="37EDB12E" w14:textId="77777777" w:rsidR="00C30028" w:rsidRPr="004423E0" w:rsidRDefault="00C30028" w:rsidP="00C30028">
      <w:pPr>
        <w:pStyle w:val="reference"/>
        <w:numPr>
          <w:ilvl w:val="0"/>
          <w:numId w:val="3"/>
        </w:numPr>
      </w:pPr>
      <w:r w:rsidRPr="004423E0">
        <w:t xml:space="preserve">Walker VR. The siren songs of science: toward a taxonomy of scientific uncertainty for decisionmakers. Connecticut Law Review. </w:t>
      </w:r>
      <w:proofErr w:type="gramStart"/>
      <w:r w:rsidRPr="004423E0">
        <w:t>1991;23:567</w:t>
      </w:r>
      <w:proofErr w:type="gramEnd"/>
      <w:r w:rsidRPr="004423E0">
        <w:t xml:space="preserve">–626 </w:t>
      </w:r>
    </w:p>
    <w:p w14:paraId="34B2F107" w14:textId="77777777" w:rsidR="00C30028" w:rsidRPr="004423E0" w:rsidRDefault="00C30028" w:rsidP="00C30028">
      <w:pPr>
        <w:pStyle w:val="reference"/>
        <w:numPr>
          <w:ilvl w:val="0"/>
          <w:numId w:val="3"/>
        </w:numPr>
        <w:rPr>
          <w:color w:val="000000" w:themeColor="text1"/>
        </w:rPr>
      </w:pPr>
      <w:r w:rsidRPr="004423E0">
        <w:rPr>
          <w:color w:val="000000" w:themeColor="text1"/>
          <w:shd w:val="clear" w:color="auto" w:fill="FFFFFF"/>
        </w:rPr>
        <w:t xml:space="preserve">Hancock, J., Roberts, M., </w:t>
      </w:r>
      <w:proofErr w:type="spellStart"/>
      <w:r w:rsidRPr="004423E0">
        <w:rPr>
          <w:color w:val="000000" w:themeColor="text1"/>
          <w:shd w:val="clear" w:color="auto" w:fill="FFFFFF"/>
        </w:rPr>
        <w:t>Monrouxe</w:t>
      </w:r>
      <w:proofErr w:type="spellEnd"/>
      <w:r w:rsidRPr="004423E0">
        <w:rPr>
          <w:color w:val="000000" w:themeColor="text1"/>
          <w:shd w:val="clear" w:color="auto" w:fill="FFFFFF"/>
        </w:rPr>
        <w:t xml:space="preserve">, L. and </w:t>
      </w:r>
      <w:proofErr w:type="spellStart"/>
      <w:r w:rsidRPr="004423E0">
        <w:rPr>
          <w:color w:val="000000" w:themeColor="text1"/>
          <w:shd w:val="clear" w:color="auto" w:fill="FFFFFF"/>
        </w:rPr>
        <w:t>Mattick</w:t>
      </w:r>
      <w:proofErr w:type="spellEnd"/>
      <w:r w:rsidRPr="004423E0">
        <w:rPr>
          <w:color w:val="000000" w:themeColor="text1"/>
          <w:shd w:val="clear" w:color="auto" w:fill="FFFFFF"/>
        </w:rPr>
        <w:t>, K., 2015. Medical student and junior doctors’ tolerance of ambiguity: development of a new scale. </w:t>
      </w:r>
      <w:r w:rsidRPr="004423E0">
        <w:rPr>
          <w:i/>
          <w:iCs/>
          <w:color w:val="000000" w:themeColor="text1"/>
          <w:shd w:val="clear" w:color="auto" w:fill="FFFFFF"/>
        </w:rPr>
        <w:t>Advances in Health Sciences Education</w:t>
      </w:r>
      <w:r w:rsidRPr="004423E0">
        <w:rPr>
          <w:color w:val="000000" w:themeColor="text1"/>
          <w:shd w:val="clear" w:color="auto" w:fill="FFFFFF"/>
        </w:rPr>
        <w:t>, </w:t>
      </w:r>
      <w:r w:rsidRPr="004423E0">
        <w:rPr>
          <w:i/>
          <w:iCs/>
          <w:color w:val="000000" w:themeColor="text1"/>
          <w:shd w:val="clear" w:color="auto" w:fill="FFFFFF"/>
        </w:rPr>
        <w:t>20</w:t>
      </w:r>
      <w:r w:rsidRPr="004423E0">
        <w:rPr>
          <w:color w:val="000000" w:themeColor="text1"/>
          <w:shd w:val="clear" w:color="auto" w:fill="FFFFFF"/>
        </w:rPr>
        <w:t>(1), pp.113-130.</w:t>
      </w:r>
    </w:p>
    <w:p w14:paraId="4FD55FAD" w14:textId="77777777" w:rsidR="00C30028" w:rsidRDefault="00C30028" w:rsidP="00C30028">
      <w:pPr>
        <w:pStyle w:val="reference"/>
        <w:numPr>
          <w:ilvl w:val="0"/>
          <w:numId w:val="3"/>
        </w:numPr>
        <w:rPr>
          <w:shd w:val="clear" w:color="auto" w:fill="FFFFFF"/>
        </w:rPr>
      </w:pPr>
      <w:r w:rsidRPr="004423E0">
        <w:rPr>
          <w:shd w:val="clear" w:color="auto" w:fill="FFFFFF"/>
        </w:rPr>
        <w:t xml:space="preserve">Luther VP, Crandall SJ. Commentary: ambiguity and uncertainty: neglected elements of medical education </w:t>
      </w:r>
      <w:proofErr w:type="gramStart"/>
      <w:r w:rsidRPr="004423E0">
        <w:rPr>
          <w:shd w:val="clear" w:color="auto" w:fill="FFFFFF"/>
        </w:rPr>
        <w:t>curricula?.</w:t>
      </w:r>
      <w:proofErr w:type="gramEnd"/>
      <w:r w:rsidRPr="004423E0">
        <w:rPr>
          <w:shd w:val="clear" w:color="auto" w:fill="FFFFFF"/>
        </w:rPr>
        <w:t xml:space="preserve"> Academic Medicine. 2011 Jul 1;86(7):799-800.</w:t>
      </w:r>
    </w:p>
    <w:p w14:paraId="47C44A49" w14:textId="77777777" w:rsidR="00C30028" w:rsidRPr="004423E0" w:rsidRDefault="00C30028" w:rsidP="00C30028">
      <w:pPr>
        <w:pStyle w:val="reference"/>
        <w:numPr>
          <w:ilvl w:val="0"/>
          <w:numId w:val="3"/>
        </w:numPr>
      </w:pPr>
      <w:r w:rsidRPr="004423E0">
        <w:t xml:space="preserve">Kravitz RL, Duan N, </w:t>
      </w:r>
      <w:proofErr w:type="spellStart"/>
      <w:r w:rsidRPr="004423E0">
        <w:t>Braslow</w:t>
      </w:r>
      <w:proofErr w:type="spellEnd"/>
      <w:r w:rsidRPr="004423E0">
        <w:t xml:space="preserve"> J. Evidence</w:t>
      </w:r>
      <w:r w:rsidRPr="004423E0">
        <w:rPr>
          <w:rFonts w:eastAsia="Cambria Math"/>
        </w:rPr>
        <w:t>‐</w:t>
      </w:r>
      <w:r w:rsidRPr="004423E0">
        <w:t xml:space="preserve">based medicine, heterogeneity of treatment effects, and the trouble with averages. </w:t>
      </w:r>
      <w:r w:rsidRPr="004423E0">
        <w:rPr>
          <w:i/>
          <w:iCs/>
        </w:rPr>
        <w:t>Milbank Q</w:t>
      </w:r>
      <w:r w:rsidRPr="004423E0">
        <w:t xml:space="preserve"> </w:t>
      </w:r>
      <w:proofErr w:type="gramStart"/>
      <w:r w:rsidRPr="004423E0">
        <w:t>2004;82:661</w:t>
      </w:r>
      <w:proofErr w:type="gramEnd"/>
      <w:r w:rsidRPr="004423E0">
        <w:t>–87.</w:t>
      </w:r>
    </w:p>
    <w:p w14:paraId="5062B593" w14:textId="77777777" w:rsidR="00C30028" w:rsidRDefault="00C30028" w:rsidP="00C30028">
      <w:pPr>
        <w:pStyle w:val="reference"/>
        <w:numPr>
          <w:ilvl w:val="0"/>
          <w:numId w:val="3"/>
        </w:numPr>
      </w:pPr>
      <w:proofErr w:type="spellStart"/>
      <w:r w:rsidRPr="004423E0">
        <w:t>Sniderman</w:t>
      </w:r>
      <w:proofErr w:type="spellEnd"/>
      <w:r w:rsidRPr="004423E0">
        <w:t xml:space="preserve"> AD, </w:t>
      </w:r>
      <w:proofErr w:type="spellStart"/>
      <w:r w:rsidRPr="004423E0">
        <w:t>Furberg</w:t>
      </w:r>
      <w:proofErr w:type="spellEnd"/>
      <w:r w:rsidRPr="004423E0">
        <w:t xml:space="preserve"> CD. Why guideline</w:t>
      </w:r>
      <w:r w:rsidRPr="004423E0">
        <w:rPr>
          <w:rFonts w:eastAsia="Cambria Math"/>
        </w:rPr>
        <w:t>‐</w:t>
      </w:r>
      <w:r w:rsidRPr="004423E0">
        <w:t xml:space="preserve">making requires reform. </w:t>
      </w:r>
      <w:r w:rsidRPr="004423E0">
        <w:rPr>
          <w:i/>
          <w:iCs/>
        </w:rPr>
        <w:t>J Am Med Assoc</w:t>
      </w:r>
      <w:r w:rsidRPr="004423E0">
        <w:t xml:space="preserve"> </w:t>
      </w:r>
      <w:proofErr w:type="gramStart"/>
      <w:r w:rsidRPr="004423E0">
        <w:t>2009;301:429</w:t>
      </w:r>
      <w:proofErr w:type="gramEnd"/>
      <w:r w:rsidRPr="004423E0">
        <w:t>–31.</w:t>
      </w:r>
    </w:p>
    <w:p w14:paraId="75DCA72F" w14:textId="77777777" w:rsidR="00C30028" w:rsidRPr="004423E0" w:rsidRDefault="00C30028" w:rsidP="00C30028">
      <w:pPr>
        <w:pStyle w:val="reference"/>
        <w:numPr>
          <w:ilvl w:val="0"/>
          <w:numId w:val="3"/>
        </w:numPr>
        <w:rPr>
          <w:shd w:val="clear" w:color="auto" w:fill="FFFFFF"/>
        </w:rPr>
      </w:pPr>
      <w:r w:rsidRPr="004423E0">
        <w:rPr>
          <w:shd w:val="clear" w:color="auto" w:fill="FFFFFF"/>
        </w:rPr>
        <w:t>Harding S. Rethinking standpoint epistemology: What is “strong objectivity?”.</w:t>
      </w:r>
      <w:r w:rsidRPr="004423E0">
        <w:rPr>
          <w:i/>
          <w:iCs/>
          <w:shd w:val="clear" w:color="auto" w:fill="FFFFFF"/>
        </w:rPr>
        <w:t xml:space="preserve"> The Centennial Review</w:t>
      </w:r>
      <w:r w:rsidRPr="004423E0">
        <w:rPr>
          <w:shd w:val="clear" w:color="auto" w:fill="FFFFFF"/>
        </w:rPr>
        <w:t xml:space="preserve"> </w:t>
      </w:r>
      <w:proofErr w:type="gramStart"/>
      <w:r w:rsidRPr="004423E0">
        <w:rPr>
          <w:shd w:val="clear" w:color="auto" w:fill="FFFFFF"/>
        </w:rPr>
        <w:t>1992;36:437</w:t>
      </w:r>
      <w:proofErr w:type="gramEnd"/>
      <w:r w:rsidRPr="004423E0">
        <w:rPr>
          <w:shd w:val="clear" w:color="auto" w:fill="FFFFFF"/>
        </w:rPr>
        <w:t>-70.</w:t>
      </w:r>
    </w:p>
    <w:p w14:paraId="2D06ADA9" w14:textId="77777777" w:rsidR="00C30028" w:rsidRDefault="00C30028" w:rsidP="00C30028">
      <w:pPr>
        <w:pStyle w:val="reference"/>
        <w:numPr>
          <w:ilvl w:val="0"/>
          <w:numId w:val="3"/>
        </w:numPr>
        <w:rPr>
          <w:shd w:val="clear" w:color="auto" w:fill="FFFFFF"/>
        </w:rPr>
      </w:pPr>
      <w:r w:rsidRPr="004423E0">
        <w:rPr>
          <w:shd w:val="clear" w:color="auto" w:fill="FFFFFF"/>
        </w:rPr>
        <w:t xml:space="preserve">Kuhn TS. </w:t>
      </w:r>
      <w:r w:rsidRPr="004423E0">
        <w:rPr>
          <w:i/>
          <w:iCs/>
          <w:shd w:val="clear" w:color="auto" w:fill="FFFFFF"/>
        </w:rPr>
        <w:t>The Structure of Scientific Revolutions</w:t>
      </w:r>
      <w:r w:rsidRPr="004423E0">
        <w:rPr>
          <w:shd w:val="clear" w:color="auto" w:fill="FFFFFF"/>
        </w:rPr>
        <w:t>. Chicago: The University of Chicago Press; 2012 [1962].</w:t>
      </w:r>
    </w:p>
    <w:p w14:paraId="74410256" w14:textId="77777777" w:rsidR="00C30028" w:rsidRPr="004423E0" w:rsidRDefault="00C30028" w:rsidP="00C30028">
      <w:pPr>
        <w:pStyle w:val="reference"/>
        <w:numPr>
          <w:ilvl w:val="0"/>
          <w:numId w:val="3"/>
        </w:numPr>
        <w:rPr>
          <w:shd w:val="clear" w:color="auto" w:fill="FFFFFF"/>
        </w:rPr>
      </w:pPr>
      <w:proofErr w:type="spellStart"/>
      <w:r w:rsidRPr="004423E0">
        <w:t>Stoetzler</w:t>
      </w:r>
      <w:proofErr w:type="spellEnd"/>
      <w:r w:rsidRPr="004423E0">
        <w:t xml:space="preserve"> M, Yuval-Davis N. Standpoint theory, situated knowledge and the situated imagination. </w:t>
      </w:r>
      <w:r w:rsidRPr="004423E0">
        <w:rPr>
          <w:i/>
          <w:iCs/>
        </w:rPr>
        <w:t>Feminist theory</w:t>
      </w:r>
      <w:r w:rsidRPr="004423E0">
        <w:t xml:space="preserve"> </w:t>
      </w:r>
      <w:proofErr w:type="gramStart"/>
      <w:r w:rsidRPr="004423E0">
        <w:t>2002;3:315</w:t>
      </w:r>
      <w:proofErr w:type="gramEnd"/>
      <w:r w:rsidRPr="004423E0">
        <w:t>-33.</w:t>
      </w:r>
    </w:p>
    <w:p w14:paraId="7D038431" w14:textId="77777777" w:rsidR="00C30028" w:rsidRPr="004423E0" w:rsidRDefault="00C30028" w:rsidP="00C30028">
      <w:pPr>
        <w:pStyle w:val="reference"/>
        <w:numPr>
          <w:ilvl w:val="0"/>
          <w:numId w:val="3"/>
        </w:numPr>
        <w:rPr>
          <w:shd w:val="clear" w:color="auto" w:fill="FFFFFF"/>
        </w:rPr>
      </w:pPr>
      <w:proofErr w:type="spellStart"/>
      <w:r w:rsidRPr="004423E0">
        <w:t>Walby</w:t>
      </w:r>
      <w:proofErr w:type="spellEnd"/>
      <w:r w:rsidRPr="004423E0">
        <w:t xml:space="preserve"> S. Against Epistemological Chasms: The Science Question </w:t>
      </w:r>
      <w:r w:rsidRPr="004423E0">
        <w:rPr>
          <w:shd w:val="clear" w:color="auto" w:fill="FFFFFF"/>
        </w:rPr>
        <w:t xml:space="preserve">in Feminism Revisited. </w:t>
      </w:r>
      <w:r w:rsidRPr="004423E0">
        <w:rPr>
          <w:i/>
          <w:iCs/>
          <w:shd w:val="clear" w:color="auto" w:fill="FFFFFF"/>
        </w:rPr>
        <w:t xml:space="preserve">Signs </w:t>
      </w:r>
      <w:proofErr w:type="gramStart"/>
      <w:r w:rsidRPr="004423E0">
        <w:t>2001;</w:t>
      </w:r>
      <w:r w:rsidRPr="004423E0">
        <w:rPr>
          <w:shd w:val="clear" w:color="auto" w:fill="FFFFFF"/>
        </w:rPr>
        <w:t>26:485</w:t>
      </w:r>
      <w:proofErr w:type="gramEnd"/>
      <w:r w:rsidRPr="004423E0">
        <w:rPr>
          <w:shd w:val="clear" w:color="auto" w:fill="FFFFFF"/>
        </w:rPr>
        <w:t>–509.</w:t>
      </w:r>
    </w:p>
    <w:p w14:paraId="0AF33BD2" w14:textId="77777777" w:rsidR="00C30028" w:rsidRPr="004423E0" w:rsidRDefault="00C30028" w:rsidP="00C30028">
      <w:pPr>
        <w:pStyle w:val="reference"/>
        <w:numPr>
          <w:ilvl w:val="0"/>
          <w:numId w:val="3"/>
        </w:numPr>
      </w:pPr>
      <w:r w:rsidRPr="004423E0">
        <w:t xml:space="preserve">Smith D. </w:t>
      </w:r>
      <w:r w:rsidRPr="004423E0">
        <w:rPr>
          <w:i/>
          <w:iCs/>
        </w:rPr>
        <w:t>The Conceptual Practices of Power: A Feminist Sociology of Knowledge</w:t>
      </w:r>
      <w:r w:rsidRPr="004423E0">
        <w:t xml:space="preserve">. Boston, MA: </w:t>
      </w:r>
      <w:proofErr w:type="spellStart"/>
      <w:r w:rsidRPr="004423E0">
        <w:t>Northeastern</w:t>
      </w:r>
      <w:proofErr w:type="spellEnd"/>
      <w:r w:rsidRPr="004423E0">
        <w:t xml:space="preserve"> University Press; 1990. </w:t>
      </w:r>
    </w:p>
    <w:p w14:paraId="304AB00C" w14:textId="77777777" w:rsidR="00C30028" w:rsidRPr="004423E0" w:rsidRDefault="00C30028" w:rsidP="00C30028">
      <w:pPr>
        <w:pStyle w:val="reference"/>
        <w:numPr>
          <w:ilvl w:val="0"/>
          <w:numId w:val="3"/>
        </w:numPr>
        <w:rPr>
          <w:shd w:val="clear" w:color="auto" w:fill="FFFFFF"/>
        </w:rPr>
      </w:pPr>
      <w:proofErr w:type="spellStart"/>
      <w:r w:rsidRPr="004423E0">
        <w:t>Hekman</w:t>
      </w:r>
      <w:proofErr w:type="spellEnd"/>
      <w:r w:rsidRPr="004423E0">
        <w:t xml:space="preserve"> S. Truth and Method: Feminist Standpoint Theory </w:t>
      </w:r>
      <w:r w:rsidRPr="004423E0">
        <w:rPr>
          <w:shd w:val="clear" w:color="auto" w:fill="FFFFFF"/>
        </w:rPr>
        <w:t xml:space="preserve">Revisited. </w:t>
      </w:r>
      <w:r w:rsidRPr="004423E0">
        <w:rPr>
          <w:i/>
          <w:iCs/>
          <w:shd w:val="clear" w:color="auto" w:fill="FFFFFF"/>
        </w:rPr>
        <w:t xml:space="preserve">Signs </w:t>
      </w:r>
      <w:proofErr w:type="gramStart"/>
      <w:r w:rsidRPr="004423E0">
        <w:t>1997;</w:t>
      </w:r>
      <w:r w:rsidRPr="004423E0">
        <w:rPr>
          <w:shd w:val="clear" w:color="auto" w:fill="FFFFFF"/>
        </w:rPr>
        <w:t>22:341</w:t>
      </w:r>
      <w:proofErr w:type="gramEnd"/>
      <w:r w:rsidRPr="004423E0">
        <w:rPr>
          <w:shd w:val="clear" w:color="auto" w:fill="FFFFFF"/>
        </w:rPr>
        <w:t>–65.</w:t>
      </w:r>
    </w:p>
    <w:p w14:paraId="3C507E26" w14:textId="77777777" w:rsidR="00C30028" w:rsidRPr="004423E0" w:rsidRDefault="00C30028" w:rsidP="00C30028">
      <w:pPr>
        <w:pStyle w:val="reference"/>
        <w:numPr>
          <w:ilvl w:val="0"/>
          <w:numId w:val="3"/>
        </w:numPr>
        <w:rPr>
          <w:shd w:val="clear" w:color="auto" w:fill="FFFFFF"/>
        </w:rPr>
      </w:pPr>
      <w:r w:rsidRPr="004423E0">
        <w:t xml:space="preserve">Harding S. </w:t>
      </w:r>
      <w:r w:rsidRPr="004423E0">
        <w:rPr>
          <w:i/>
          <w:iCs/>
        </w:rPr>
        <w:t>Whose Science, Whose Knowledge?</w:t>
      </w:r>
      <w:r w:rsidRPr="004423E0">
        <w:t xml:space="preserve"> London: Open </w:t>
      </w:r>
      <w:r w:rsidRPr="004423E0">
        <w:rPr>
          <w:shd w:val="clear" w:color="auto" w:fill="FFFFFF"/>
        </w:rPr>
        <w:t>University Press; 1991.</w:t>
      </w:r>
    </w:p>
    <w:p w14:paraId="77043DB6" w14:textId="77777777" w:rsidR="00C30028" w:rsidRPr="0087493F" w:rsidRDefault="00C30028" w:rsidP="00C30028">
      <w:pPr>
        <w:pStyle w:val="reference"/>
        <w:numPr>
          <w:ilvl w:val="0"/>
          <w:numId w:val="3"/>
        </w:numPr>
        <w:rPr>
          <w:shd w:val="clear" w:color="auto" w:fill="FFFFFF"/>
        </w:rPr>
      </w:pPr>
      <w:r w:rsidRPr="004423E0">
        <w:t xml:space="preserve">Sprague J, </w:t>
      </w:r>
      <w:proofErr w:type="spellStart"/>
      <w:r w:rsidRPr="004423E0">
        <w:t>Kobrynowicz</w:t>
      </w:r>
      <w:proofErr w:type="spellEnd"/>
      <w:r w:rsidRPr="004423E0">
        <w:t xml:space="preserve"> D. A feminist epistemology. In: </w:t>
      </w:r>
      <w:proofErr w:type="spellStart"/>
      <w:r w:rsidRPr="004423E0">
        <w:t>Chafetz</w:t>
      </w:r>
      <w:proofErr w:type="spellEnd"/>
      <w:r w:rsidRPr="004423E0">
        <w:t xml:space="preserve"> JS, editor. </w:t>
      </w:r>
      <w:r w:rsidRPr="004423E0">
        <w:rPr>
          <w:i/>
          <w:iCs/>
        </w:rPr>
        <w:t>Handbook of the sociology of gender.</w:t>
      </w:r>
      <w:r w:rsidRPr="004423E0">
        <w:t xml:space="preserve"> Boston, MA: Springer; 2006; 25-43.</w:t>
      </w:r>
    </w:p>
    <w:p w14:paraId="78C05B03" w14:textId="77777777" w:rsidR="00C30028" w:rsidRPr="004423E0" w:rsidRDefault="00C30028" w:rsidP="00C30028">
      <w:pPr>
        <w:pStyle w:val="reference"/>
        <w:numPr>
          <w:ilvl w:val="0"/>
          <w:numId w:val="3"/>
        </w:numPr>
      </w:pPr>
      <w:proofErr w:type="spellStart"/>
      <w:r w:rsidRPr="004423E0">
        <w:rPr>
          <w:shd w:val="clear" w:color="auto" w:fill="FFFFFF"/>
        </w:rPr>
        <w:t>Durning</w:t>
      </w:r>
      <w:proofErr w:type="spellEnd"/>
      <w:r w:rsidRPr="004423E0">
        <w:rPr>
          <w:shd w:val="clear" w:color="auto" w:fill="FFFFFF"/>
        </w:rPr>
        <w:t xml:space="preserve"> SJ, </w:t>
      </w:r>
      <w:proofErr w:type="spellStart"/>
      <w:r w:rsidRPr="004423E0">
        <w:rPr>
          <w:shd w:val="clear" w:color="auto" w:fill="FFFFFF"/>
        </w:rPr>
        <w:t>Artino</w:t>
      </w:r>
      <w:proofErr w:type="spellEnd"/>
      <w:r w:rsidRPr="004423E0">
        <w:rPr>
          <w:shd w:val="clear" w:color="auto" w:fill="FFFFFF"/>
        </w:rPr>
        <w:t xml:space="preserve"> AR. </w:t>
      </w:r>
      <w:proofErr w:type="spellStart"/>
      <w:r w:rsidRPr="004423E0">
        <w:rPr>
          <w:shd w:val="clear" w:color="auto" w:fill="FFFFFF"/>
        </w:rPr>
        <w:t>Situativity</w:t>
      </w:r>
      <w:proofErr w:type="spellEnd"/>
      <w:r w:rsidRPr="004423E0">
        <w:rPr>
          <w:shd w:val="clear" w:color="auto" w:fill="FFFFFF"/>
        </w:rPr>
        <w:t xml:space="preserve"> theory: a perspective on how participants and the environment can interact: AMEE Guide no. 52. Medical teacher. 2011 Mar 1;33(3):188-99.</w:t>
      </w:r>
    </w:p>
    <w:p w14:paraId="06707183" w14:textId="77777777" w:rsidR="00C30028" w:rsidRPr="0087493F" w:rsidRDefault="00C30028" w:rsidP="00C30028">
      <w:pPr>
        <w:pStyle w:val="reference"/>
        <w:numPr>
          <w:ilvl w:val="0"/>
          <w:numId w:val="3"/>
        </w:numPr>
      </w:pPr>
      <w:proofErr w:type="spellStart"/>
      <w:r w:rsidRPr="004423E0">
        <w:rPr>
          <w:shd w:val="clear" w:color="auto" w:fill="FFFFFF"/>
        </w:rPr>
        <w:t>Saivyer</w:t>
      </w:r>
      <w:proofErr w:type="spellEnd"/>
      <w:r w:rsidRPr="004423E0">
        <w:rPr>
          <w:shd w:val="clear" w:color="auto" w:fill="FFFFFF"/>
        </w:rPr>
        <w:t xml:space="preserve"> RK, </w:t>
      </w:r>
      <w:proofErr w:type="spellStart"/>
      <w:r w:rsidRPr="004423E0">
        <w:rPr>
          <w:shd w:val="clear" w:color="auto" w:fill="FFFFFF"/>
        </w:rPr>
        <w:t>Greeno</w:t>
      </w:r>
      <w:proofErr w:type="spellEnd"/>
      <w:r w:rsidRPr="004423E0">
        <w:rPr>
          <w:shd w:val="clear" w:color="auto" w:fill="FFFFFF"/>
        </w:rPr>
        <w:t xml:space="preserve"> JG. </w:t>
      </w:r>
      <w:proofErr w:type="spellStart"/>
      <w:r w:rsidRPr="004423E0">
        <w:rPr>
          <w:shd w:val="clear" w:color="auto" w:fill="FFFFFF"/>
        </w:rPr>
        <w:t>Situativity</w:t>
      </w:r>
      <w:proofErr w:type="spellEnd"/>
      <w:r w:rsidRPr="004423E0">
        <w:rPr>
          <w:shd w:val="clear" w:color="auto" w:fill="FFFFFF"/>
        </w:rPr>
        <w:t xml:space="preserve"> and learning. The Cambridge handbook of situated cognition. 2009:304.</w:t>
      </w:r>
    </w:p>
    <w:p w14:paraId="22BF65F7" w14:textId="77777777" w:rsidR="00C30028" w:rsidRPr="004423E0" w:rsidRDefault="00C30028" w:rsidP="00C30028">
      <w:pPr>
        <w:pStyle w:val="reference"/>
        <w:numPr>
          <w:ilvl w:val="0"/>
          <w:numId w:val="3"/>
        </w:numPr>
      </w:pPr>
      <w:proofErr w:type="spellStart"/>
      <w:r w:rsidRPr="004423E0">
        <w:t>Kuper</w:t>
      </w:r>
      <w:proofErr w:type="spellEnd"/>
      <w:r w:rsidRPr="004423E0">
        <w:t xml:space="preserve"> A, </w:t>
      </w:r>
      <w:proofErr w:type="spellStart"/>
      <w:r w:rsidRPr="004423E0">
        <w:t>D’eon</w:t>
      </w:r>
      <w:proofErr w:type="spellEnd"/>
      <w:r w:rsidRPr="004423E0">
        <w:t xml:space="preserve"> M. Rethinking the basis of medical knowledge. </w:t>
      </w:r>
      <w:r w:rsidRPr="004423E0">
        <w:rPr>
          <w:i/>
          <w:iCs/>
        </w:rPr>
        <w:t xml:space="preserve">Med </w:t>
      </w:r>
      <w:proofErr w:type="spellStart"/>
      <w:r w:rsidRPr="004423E0">
        <w:rPr>
          <w:i/>
          <w:iCs/>
        </w:rPr>
        <w:t>Educ</w:t>
      </w:r>
      <w:proofErr w:type="spellEnd"/>
      <w:r w:rsidRPr="004423E0">
        <w:t xml:space="preserve"> </w:t>
      </w:r>
      <w:proofErr w:type="gramStart"/>
      <w:r w:rsidRPr="004423E0">
        <w:t>2011;45:36</w:t>
      </w:r>
      <w:proofErr w:type="gramEnd"/>
      <w:r w:rsidRPr="004423E0">
        <w:t>-43.</w:t>
      </w:r>
    </w:p>
    <w:p w14:paraId="23B77120" w14:textId="77777777" w:rsidR="00C30028" w:rsidRDefault="00C30028" w:rsidP="00C30028">
      <w:pPr>
        <w:pStyle w:val="reference"/>
        <w:numPr>
          <w:ilvl w:val="0"/>
          <w:numId w:val="3"/>
        </w:numPr>
        <w:rPr>
          <w:shd w:val="clear" w:color="auto" w:fill="FFFFFF"/>
        </w:rPr>
      </w:pPr>
      <w:r w:rsidRPr="004423E0">
        <w:rPr>
          <w:shd w:val="clear" w:color="auto" w:fill="FFFFFF"/>
        </w:rPr>
        <w:t xml:space="preserve">Hodges BD. The many and conflicting histories of medical education in Canada and the USA: an introduction to the paradigm wars. </w:t>
      </w:r>
      <w:r w:rsidRPr="004423E0">
        <w:rPr>
          <w:i/>
          <w:iCs/>
          <w:shd w:val="clear" w:color="auto" w:fill="FFFFFF"/>
        </w:rPr>
        <w:t xml:space="preserve">Med </w:t>
      </w:r>
      <w:proofErr w:type="spellStart"/>
      <w:r w:rsidRPr="004423E0">
        <w:rPr>
          <w:i/>
          <w:iCs/>
          <w:shd w:val="clear" w:color="auto" w:fill="FFFFFF"/>
        </w:rPr>
        <w:t>Educ</w:t>
      </w:r>
      <w:proofErr w:type="spellEnd"/>
      <w:r w:rsidRPr="004423E0">
        <w:rPr>
          <w:shd w:val="clear" w:color="auto" w:fill="FFFFFF"/>
        </w:rPr>
        <w:t xml:space="preserve"> </w:t>
      </w:r>
      <w:proofErr w:type="gramStart"/>
      <w:r w:rsidRPr="004423E0">
        <w:rPr>
          <w:shd w:val="clear" w:color="auto" w:fill="FFFFFF"/>
        </w:rPr>
        <w:t>2005;39:613</w:t>
      </w:r>
      <w:proofErr w:type="gramEnd"/>
      <w:r w:rsidRPr="004423E0">
        <w:rPr>
          <w:shd w:val="clear" w:color="auto" w:fill="FFFFFF"/>
        </w:rPr>
        <w:t>–21.</w:t>
      </w:r>
    </w:p>
    <w:p w14:paraId="4F7B9B89" w14:textId="77777777" w:rsidR="00C30028" w:rsidRPr="0087493F" w:rsidRDefault="00C30028" w:rsidP="00C30028">
      <w:pPr>
        <w:pStyle w:val="reference"/>
        <w:numPr>
          <w:ilvl w:val="0"/>
          <w:numId w:val="3"/>
        </w:numPr>
      </w:pPr>
      <w:proofErr w:type="spellStart"/>
      <w:r w:rsidRPr="004423E0">
        <w:rPr>
          <w:shd w:val="clear" w:color="auto" w:fill="FFFFFF"/>
        </w:rPr>
        <w:t>Lokugamage</w:t>
      </w:r>
      <w:proofErr w:type="spellEnd"/>
      <w:r w:rsidRPr="004423E0">
        <w:rPr>
          <w:shd w:val="clear" w:color="auto" w:fill="FFFFFF"/>
        </w:rPr>
        <w:t xml:space="preserve"> AU, </w:t>
      </w:r>
      <w:proofErr w:type="spellStart"/>
      <w:r w:rsidRPr="004423E0">
        <w:rPr>
          <w:shd w:val="clear" w:color="auto" w:fill="FFFFFF"/>
        </w:rPr>
        <w:t>Ahillan</w:t>
      </w:r>
      <w:proofErr w:type="spellEnd"/>
      <w:r w:rsidRPr="004423E0">
        <w:rPr>
          <w:shd w:val="clear" w:color="auto" w:fill="FFFFFF"/>
        </w:rPr>
        <w:t xml:space="preserve"> T, </w:t>
      </w:r>
      <w:proofErr w:type="spellStart"/>
      <w:r w:rsidRPr="004423E0">
        <w:rPr>
          <w:shd w:val="clear" w:color="auto" w:fill="FFFFFF"/>
        </w:rPr>
        <w:t>Pathberiya</w:t>
      </w:r>
      <w:proofErr w:type="spellEnd"/>
      <w:r w:rsidRPr="004423E0">
        <w:rPr>
          <w:shd w:val="clear" w:color="auto" w:fill="FFFFFF"/>
        </w:rPr>
        <w:t xml:space="preserve"> SD. Decolonising ideas of healing in medical education. Journal of medical ethics. 2020 Apr 1;46(4):265-72.</w:t>
      </w:r>
    </w:p>
    <w:p w14:paraId="540AB87A" w14:textId="77777777" w:rsidR="00C30028" w:rsidRDefault="00C30028" w:rsidP="00C30028">
      <w:pPr>
        <w:pStyle w:val="reference"/>
        <w:numPr>
          <w:ilvl w:val="0"/>
          <w:numId w:val="3"/>
        </w:numPr>
        <w:rPr>
          <w:shd w:val="clear" w:color="auto" w:fill="FFFFFF"/>
        </w:rPr>
      </w:pPr>
      <w:r w:rsidRPr="004423E0">
        <w:rPr>
          <w:shd w:val="clear" w:color="auto" w:fill="FFFFFF"/>
        </w:rPr>
        <w:t>Sharma M. Applying feminist theory to medical education. The Lancet. 2019 Feb 9;393(10171):570-8.</w:t>
      </w:r>
    </w:p>
    <w:p w14:paraId="3A53F4C4" w14:textId="77777777" w:rsidR="00C30028" w:rsidRPr="004423E0" w:rsidRDefault="00C30028" w:rsidP="00C30028">
      <w:pPr>
        <w:pStyle w:val="reference"/>
        <w:numPr>
          <w:ilvl w:val="0"/>
          <w:numId w:val="3"/>
        </w:numPr>
      </w:pPr>
      <w:r w:rsidRPr="004423E0">
        <w:rPr>
          <w:shd w:val="clear" w:color="auto" w:fill="FFFFFF"/>
        </w:rPr>
        <w:t>Goldenberg MJ. On evidence and evidence-based medicine: lessons from the philosophy of science. Social science &amp; medicine. 2006 Jun 1;62(11):2621-32.</w:t>
      </w:r>
    </w:p>
    <w:p w14:paraId="41E1D1E1" w14:textId="77777777" w:rsidR="00C30028" w:rsidRPr="0087493F" w:rsidRDefault="00C30028" w:rsidP="00C30028">
      <w:pPr>
        <w:pStyle w:val="reference"/>
        <w:numPr>
          <w:ilvl w:val="0"/>
          <w:numId w:val="3"/>
        </w:numPr>
      </w:pPr>
      <w:r w:rsidRPr="004423E0">
        <w:rPr>
          <w:shd w:val="clear" w:color="auto" w:fill="FFFFFF"/>
        </w:rPr>
        <w:t>Worrall J. Evidence: philosophy of science meets medicine. Journal of evaluation in clinical practice. 2010 Apr;16(2):356-62.</w:t>
      </w:r>
    </w:p>
    <w:p w14:paraId="0F3D73F1" w14:textId="77777777" w:rsidR="00C30028" w:rsidRDefault="00C30028" w:rsidP="00C30028">
      <w:pPr>
        <w:pStyle w:val="reference"/>
        <w:numPr>
          <w:ilvl w:val="0"/>
          <w:numId w:val="3"/>
        </w:numPr>
        <w:rPr>
          <w:u w:color="222222"/>
          <w:shd w:val="clear" w:color="auto" w:fill="FFFFFF"/>
        </w:rPr>
      </w:pPr>
      <w:r w:rsidRPr="004423E0">
        <w:rPr>
          <w:u w:color="222222"/>
          <w:shd w:val="clear" w:color="auto" w:fill="FFFFFF"/>
        </w:rPr>
        <w:t xml:space="preserve">Lambert H, </w:t>
      </w:r>
      <w:proofErr w:type="spellStart"/>
      <w:r w:rsidRPr="004423E0">
        <w:rPr>
          <w:u w:color="222222"/>
          <w:shd w:val="clear" w:color="auto" w:fill="FFFFFF"/>
        </w:rPr>
        <w:t>McKevitt</w:t>
      </w:r>
      <w:proofErr w:type="spellEnd"/>
      <w:r w:rsidRPr="004423E0">
        <w:rPr>
          <w:u w:color="222222"/>
          <w:shd w:val="clear" w:color="auto" w:fill="FFFFFF"/>
        </w:rPr>
        <w:t xml:space="preserve"> C. Anthropology in health research: from qualitative methods to </w:t>
      </w:r>
      <w:proofErr w:type="spellStart"/>
      <w:r w:rsidRPr="004423E0">
        <w:rPr>
          <w:u w:color="222222"/>
          <w:shd w:val="clear" w:color="auto" w:fill="FFFFFF"/>
        </w:rPr>
        <w:t>multidisciplinarity</w:t>
      </w:r>
      <w:proofErr w:type="spellEnd"/>
      <w:r w:rsidRPr="004423E0">
        <w:rPr>
          <w:u w:color="222222"/>
          <w:shd w:val="clear" w:color="auto" w:fill="FFFFFF"/>
        </w:rPr>
        <w:t xml:space="preserve">. </w:t>
      </w:r>
      <w:r w:rsidRPr="004423E0">
        <w:rPr>
          <w:i/>
          <w:iCs/>
          <w:u w:color="222222"/>
          <w:shd w:val="clear" w:color="auto" w:fill="FFFFFF"/>
        </w:rPr>
        <w:t>BMJ</w:t>
      </w:r>
      <w:r w:rsidRPr="004423E0">
        <w:rPr>
          <w:u w:color="222222"/>
          <w:shd w:val="clear" w:color="auto" w:fill="FFFFFF"/>
        </w:rPr>
        <w:t>. 2002; 325:210-3.</w:t>
      </w:r>
    </w:p>
    <w:p w14:paraId="439597CD" w14:textId="77777777" w:rsidR="00C30028" w:rsidRPr="0087493F" w:rsidRDefault="00C30028" w:rsidP="00C30028">
      <w:pPr>
        <w:pStyle w:val="reference"/>
        <w:numPr>
          <w:ilvl w:val="0"/>
          <w:numId w:val="3"/>
        </w:numPr>
      </w:pPr>
      <w:r w:rsidRPr="004423E0">
        <w:rPr>
          <w:shd w:val="clear" w:color="auto" w:fill="FFFFFF"/>
        </w:rPr>
        <w:t>Stebbins RA. Exploratory research in the social sciences. Sage; 2001 May 14.</w:t>
      </w:r>
    </w:p>
    <w:p w14:paraId="5CED769A" w14:textId="059BBD8B" w:rsidR="00C30028" w:rsidRPr="00322E4F" w:rsidRDefault="00C30028" w:rsidP="00C30028">
      <w:pPr>
        <w:pStyle w:val="reference"/>
        <w:numPr>
          <w:ilvl w:val="0"/>
          <w:numId w:val="3"/>
        </w:numPr>
      </w:pPr>
      <w:r w:rsidRPr="004423E0">
        <w:rPr>
          <w:shd w:val="clear" w:color="auto" w:fill="FFFFFF"/>
        </w:rPr>
        <w:t>Braun V, Clarke V. Using thematic analysis in psychology. Qualitative research in psychology. 2006 Jan 1;3(2):77-101.</w:t>
      </w:r>
    </w:p>
    <w:p w14:paraId="42C33B76" w14:textId="15CBA00F" w:rsidR="00F67B70" w:rsidRPr="00322E4F" w:rsidRDefault="00F67B70" w:rsidP="00F67B70">
      <w:pPr>
        <w:pStyle w:val="reference"/>
        <w:numPr>
          <w:ilvl w:val="0"/>
          <w:numId w:val="3"/>
        </w:numPr>
        <w:rPr>
          <w:shd w:val="clear" w:color="auto" w:fill="FFFFFF"/>
        </w:rPr>
      </w:pPr>
      <w:r w:rsidRPr="004423E0">
        <w:t xml:space="preserve">Bowen GA. Naturalistic inquiry and the saturation concept: a research note. </w:t>
      </w:r>
      <w:r w:rsidRPr="004423E0">
        <w:rPr>
          <w:i/>
          <w:iCs/>
        </w:rPr>
        <w:t>Qualitative Research</w:t>
      </w:r>
      <w:r w:rsidRPr="004423E0">
        <w:t>. 2008; 8:137-52.</w:t>
      </w:r>
    </w:p>
    <w:p w14:paraId="1CEBD7B3" w14:textId="77777777" w:rsidR="00C30028" w:rsidRDefault="00C30028" w:rsidP="00C30028">
      <w:pPr>
        <w:pStyle w:val="reference"/>
        <w:numPr>
          <w:ilvl w:val="0"/>
          <w:numId w:val="3"/>
        </w:numPr>
      </w:pPr>
      <w:r w:rsidRPr="004423E0">
        <w:t xml:space="preserve">Greenhalgh T, </w:t>
      </w:r>
      <w:proofErr w:type="spellStart"/>
      <w:r w:rsidRPr="004423E0">
        <w:t>Wieringa</w:t>
      </w:r>
      <w:proofErr w:type="spellEnd"/>
      <w:r w:rsidRPr="004423E0">
        <w:t xml:space="preserve"> S. Is it time to drop the ‘knowledge translation’ metaphor? A critical literature </w:t>
      </w:r>
      <w:proofErr w:type="gramStart"/>
      <w:r w:rsidRPr="004423E0">
        <w:t>review</w:t>
      </w:r>
      <w:proofErr w:type="gramEnd"/>
      <w:r w:rsidRPr="004423E0">
        <w:t xml:space="preserve">. </w:t>
      </w:r>
      <w:r w:rsidRPr="004423E0">
        <w:rPr>
          <w:i/>
          <w:iCs/>
        </w:rPr>
        <w:t xml:space="preserve">Journal of the Royal Society of Medicine </w:t>
      </w:r>
      <w:proofErr w:type="gramStart"/>
      <w:r w:rsidRPr="004423E0">
        <w:t>2011;104:501</w:t>
      </w:r>
      <w:proofErr w:type="gramEnd"/>
      <w:r w:rsidRPr="004423E0">
        <w:t>–9.</w:t>
      </w:r>
    </w:p>
    <w:p w14:paraId="1EBEBB22" w14:textId="77777777" w:rsidR="00C30028" w:rsidRPr="004423E0" w:rsidRDefault="00C30028" w:rsidP="00C30028">
      <w:pPr>
        <w:pStyle w:val="reference"/>
        <w:numPr>
          <w:ilvl w:val="0"/>
          <w:numId w:val="3"/>
        </w:numPr>
      </w:pPr>
      <w:r w:rsidRPr="004423E0">
        <w:t xml:space="preserve">Lock M, Gordon D, editors. </w:t>
      </w:r>
      <w:r w:rsidRPr="004423E0">
        <w:rPr>
          <w:i/>
          <w:iCs/>
        </w:rPr>
        <w:t>Biomedicine examined</w:t>
      </w:r>
      <w:r w:rsidRPr="004423E0">
        <w:t>. Springer Science &amp; Business Media; 2012.</w:t>
      </w:r>
    </w:p>
    <w:p w14:paraId="161DB74F" w14:textId="77777777" w:rsidR="00C30028" w:rsidRPr="004423E0" w:rsidRDefault="00C30028" w:rsidP="00C30028">
      <w:pPr>
        <w:pStyle w:val="reference"/>
        <w:numPr>
          <w:ilvl w:val="0"/>
          <w:numId w:val="3"/>
        </w:numPr>
      </w:pPr>
      <w:r w:rsidRPr="004423E0">
        <w:t xml:space="preserve">Berger PL, </w:t>
      </w:r>
      <w:proofErr w:type="spellStart"/>
      <w:r w:rsidRPr="004423E0">
        <w:t>Luckmann</w:t>
      </w:r>
      <w:proofErr w:type="spellEnd"/>
      <w:r w:rsidRPr="004423E0">
        <w:t xml:space="preserve"> T. </w:t>
      </w:r>
      <w:r w:rsidRPr="004423E0">
        <w:rPr>
          <w:i/>
          <w:iCs/>
        </w:rPr>
        <w:t>The social construction of reality: A treatise in the sociology of knowledge</w:t>
      </w:r>
      <w:r w:rsidRPr="004423E0">
        <w:t>. London: Penguin; 1991.</w:t>
      </w:r>
    </w:p>
    <w:p w14:paraId="0D0E0EC5" w14:textId="77777777" w:rsidR="00C30028" w:rsidRPr="004423E0" w:rsidRDefault="00C30028" w:rsidP="00C30028">
      <w:pPr>
        <w:pStyle w:val="reference"/>
        <w:numPr>
          <w:ilvl w:val="0"/>
          <w:numId w:val="3"/>
        </w:numPr>
      </w:pPr>
      <w:proofErr w:type="spellStart"/>
      <w:r w:rsidRPr="004423E0">
        <w:lastRenderedPageBreak/>
        <w:t>Shapin</w:t>
      </w:r>
      <w:proofErr w:type="spellEnd"/>
      <w:r w:rsidRPr="004423E0">
        <w:t xml:space="preserve"> S. Here and everywhere: Sociology of scientific knowledge. </w:t>
      </w:r>
      <w:r w:rsidRPr="004423E0">
        <w:rPr>
          <w:i/>
          <w:iCs/>
        </w:rPr>
        <w:t>Annual review of sociology</w:t>
      </w:r>
      <w:r w:rsidRPr="004423E0">
        <w:t xml:space="preserve"> </w:t>
      </w:r>
      <w:proofErr w:type="gramStart"/>
      <w:r w:rsidRPr="004423E0">
        <w:t>1995;21:289</w:t>
      </w:r>
      <w:proofErr w:type="gramEnd"/>
      <w:r w:rsidRPr="004423E0">
        <w:t>-321.</w:t>
      </w:r>
    </w:p>
    <w:p w14:paraId="6F595077" w14:textId="77777777" w:rsidR="00C30028" w:rsidRPr="004423E0" w:rsidRDefault="00C30028" w:rsidP="00C30028">
      <w:pPr>
        <w:pStyle w:val="reference"/>
        <w:numPr>
          <w:ilvl w:val="0"/>
          <w:numId w:val="3"/>
        </w:numPr>
      </w:pPr>
      <w:r w:rsidRPr="004423E0">
        <w:t xml:space="preserve">Mendelsohn E. </w:t>
      </w:r>
      <w:r w:rsidRPr="004423E0">
        <w:rPr>
          <w:i/>
          <w:iCs/>
        </w:rPr>
        <w:t>The Social Construction of Scientific Knowledge</w:t>
      </w:r>
      <w:r w:rsidRPr="004423E0">
        <w:t xml:space="preserve">. In: Mendelsohn E, </w:t>
      </w:r>
      <w:proofErr w:type="spellStart"/>
      <w:r w:rsidRPr="004423E0">
        <w:t>Weingart</w:t>
      </w:r>
      <w:proofErr w:type="spellEnd"/>
      <w:r w:rsidRPr="004423E0">
        <w:t xml:space="preserve"> P, Whitley R, editors. The Social Production of Scientific Knowledge. Sociology of the Sciences A Yearbook. Dordrecht: Springer; 1977.</w:t>
      </w:r>
    </w:p>
    <w:p w14:paraId="5070C836" w14:textId="77777777" w:rsidR="00C30028" w:rsidRDefault="00C30028" w:rsidP="00C30028">
      <w:pPr>
        <w:pStyle w:val="reference"/>
        <w:numPr>
          <w:ilvl w:val="0"/>
          <w:numId w:val="3"/>
        </w:numPr>
      </w:pPr>
      <w:r w:rsidRPr="004423E0">
        <w:t xml:space="preserve">Rouse J. </w:t>
      </w:r>
      <w:r w:rsidRPr="004423E0">
        <w:rPr>
          <w:i/>
          <w:iCs/>
        </w:rPr>
        <w:t>Feminism and the Social Construction of Scientific Knowledge</w:t>
      </w:r>
      <w:r w:rsidRPr="004423E0">
        <w:t>. In: Nelson LH, Nelson J, editors. Feminism, Science, and the Philosophy of Science. Dordrecht: Springer; 1996.</w:t>
      </w:r>
    </w:p>
    <w:p w14:paraId="11BD9783" w14:textId="77777777" w:rsidR="00C30028" w:rsidRPr="004423E0" w:rsidRDefault="00C30028" w:rsidP="00C30028">
      <w:pPr>
        <w:pStyle w:val="reference"/>
        <w:numPr>
          <w:ilvl w:val="0"/>
          <w:numId w:val="3"/>
        </w:numPr>
        <w:rPr>
          <w:u w:color="222222"/>
          <w:shd w:val="clear" w:color="auto" w:fill="FFFFFF"/>
        </w:rPr>
      </w:pPr>
      <w:r>
        <w:rPr>
          <w:u w:color="222222"/>
          <w:shd w:val="clear" w:color="auto" w:fill="FFFFFF"/>
        </w:rPr>
        <w:t>GMC. Continuing professional development. Guidance for all doctors. 2012. &lt;</w:t>
      </w:r>
      <w:r w:rsidRPr="001758EB">
        <w:t xml:space="preserve"> </w:t>
      </w:r>
      <w:r w:rsidRPr="001758EB">
        <w:rPr>
          <w:u w:color="222222"/>
          <w:shd w:val="clear" w:color="auto" w:fill="FFFFFF"/>
        </w:rPr>
        <w:t>https://www.gmc-uk.org/-/media/documents/cpd-guidance-for-all-doctors-0316_pdf-56438625.pdf</w:t>
      </w:r>
      <w:r>
        <w:rPr>
          <w:u w:color="222222"/>
          <w:shd w:val="clear" w:color="auto" w:fill="FFFFFF"/>
        </w:rPr>
        <w:t>&gt;</w:t>
      </w:r>
    </w:p>
    <w:p w14:paraId="316A328A" w14:textId="77777777" w:rsidR="00C30028" w:rsidRDefault="00C30028" w:rsidP="00C30028">
      <w:pPr>
        <w:pStyle w:val="reference"/>
        <w:numPr>
          <w:ilvl w:val="0"/>
          <w:numId w:val="3"/>
        </w:numPr>
        <w:rPr>
          <w:u w:color="222222"/>
          <w:shd w:val="clear" w:color="auto" w:fill="FFFFFF"/>
        </w:rPr>
      </w:pPr>
      <w:r w:rsidRPr="004423E0">
        <w:rPr>
          <w:u w:color="222222"/>
          <w:shd w:val="clear" w:color="auto" w:fill="FFFFFF"/>
        </w:rPr>
        <w:t xml:space="preserve">Adair JG. The Hawthorne effect: A reconsideration of the methodological artifact. </w:t>
      </w:r>
      <w:r w:rsidRPr="004423E0">
        <w:rPr>
          <w:i/>
          <w:iCs/>
          <w:u w:color="222222"/>
          <w:shd w:val="clear" w:color="auto" w:fill="FFFFFF"/>
        </w:rPr>
        <w:t xml:space="preserve">J </w:t>
      </w:r>
      <w:proofErr w:type="spellStart"/>
      <w:r w:rsidRPr="004423E0">
        <w:rPr>
          <w:i/>
          <w:iCs/>
          <w:u w:color="222222"/>
          <w:shd w:val="clear" w:color="auto" w:fill="FFFFFF"/>
        </w:rPr>
        <w:t>Appl</w:t>
      </w:r>
      <w:proofErr w:type="spellEnd"/>
      <w:r w:rsidRPr="004423E0">
        <w:rPr>
          <w:i/>
          <w:iCs/>
          <w:u w:color="222222"/>
          <w:shd w:val="clear" w:color="auto" w:fill="FFFFFF"/>
        </w:rPr>
        <w:t xml:space="preserve"> Psychol</w:t>
      </w:r>
      <w:r w:rsidRPr="004423E0">
        <w:rPr>
          <w:u w:color="222222"/>
          <w:shd w:val="clear" w:color="auto" w:fill="FFFFFF"/>
        </w:rPr>
        <w:t>. 1984; 69:334–45.</w:t>
      </w:r>
    </w:p>
    <w:p w14:paraId="574F28B0" w14:textId="77777777" w:rsidR="00AB6084" w:rsidRDefault="00AB6084" w:rsidP="00AB6084">
      <w:pPr>
        <w:pStyle w:val="tablelegend"/>
        <w:rPr>
          <w:b/>
          <w:bCs/>
        </w:rPr>
      </w:pPr>
    </w:p>
    <w:p w14:paraId="1528622B" w14:textId="494AD80C" w:rsidR="00AB6084" w:rsidRPr="007360BB" w:rsidRDefault="00AB6084" w:rsidP="00AB6084">
      <w:pPr>
        <w:pStyle w:val="tablelegend"/>
      </w:pPr>
      <w:r w:rsidRPr="007360BB">
        <w:rPr>
          <w:b/>
          <w:bCs/>
        </w:rPr>
        <w:t>Table 1:</w:t>
      </w:r>
      <w:r w:rsidRPr="007360BB">
        <w:t xml:space="preserve"> Characteristics of respondents. </w:t>
      </w:r>
    </w:p>
    <w:p w14:paraId="45481DEC" w14:textId="0732169B" w:rsidR="0000469A" w:rsidRDefault="0000469A" w:rsidP="004423E0">
      <w:pPr>
        <w:pStyle w:val="reference"/>
      </w:pPr>
    </w:p>
    <w:tbl>
      <w:tblPr>
        <w:tblStyle w:val="TableGrid"/>
        <w:tblW w:w="0" w:type="auto"/>
        <w:tblLook w:val="04A0" w:firstRow="1" w:lastRow="0" w:firstColumn="1" w:lastColumn="0" w:noHBand="0" w:noVBand="1"/>
      </w:tblPr>
      <w:tblGrid>
        <w:gridCol w:w="7927"/>
      </w:tblGrid>
      <w:tr w:rsidR="00AB6084" w14:paraId="0CD50E13" w14:textId="77777777" w:rsidTr="00C75DD2">
        <w:tc>
          <w:tcPr>
            <w:tcW w:w="7927" w:type="dxa"/>
          </w:tcPr>
          <w:tbl>
            <w:tblPr>
              <w:tblStyle w:val="TableGridLight"/>
              <w:tblW w:w="8482" w:type="dxa"/>
              <w:tblLook w:val="04A0" w:firstRow="1" w:lastRow="0" w:firstColumn="1" w:lastColumn="0" w:noHBand="0" w:noVBand="1"/>
            </w:tblPr>
            <w:tblGrid>
              <w:gridCol w:w="1367"/>
              <w:gridCol w:w="920"/>
              <w:gridCol w:w="3343"/>
              <w:gridCol w:w="2852"/>
            </w:tblGrid>
            <w:tr w:rsidR="00AB6084" w:rsidRPr="00AB6084" w14:paraId="2797258A" w14:textId="77777777" w:rsidTr="00AB6084">
              <w:trPr>
                <w:trHeight w:val="610"/>
              </w:trPr>
              <w:tc>
                <w:tcPr>
                  <w:tcW w:w="1367" w:type="dxa"/>
                </w:tcPr>
                <w:p w14:paraId="57C086A3"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b/>
                      <w:bCs/>
                      <w:sz w:val="20"/>
                      <w:szCs w:val="20"/>
                      <w:lang w:val="en-GB"/>
                      <w14:textOutline w14:w="12700" w14:cap="flat" w14:cmpd="sng" w14:algn="ctr">
                        <w14:noFill/>
                        <w14:prstDash w14:val="solid"/>
                        <w14:miter w14:lim="400000"/>
                      </w14:textOutline>
                    </w:rPr>
                    <w:t>Respondent identifier</w:t>
                  </w:r>
                </w:p>
              </w:tc>
              <w:tc>
                <w:tcPr>
                  <w:tcW w:w="920" w:type="dxa"/>
                </w:tcPr>
                <w:p w14:paraId="0FFA070A"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b/>
                      <w:bCs/>
                      <w:sz w:val="20"/>
                      <w:szCs w:val="20"/>
                      <w:lang w:val="en-GB"/>
                      <w14:textOutline w14:w="12700" w14:cap="flat" w14:cmpd="sng" w14:algn="ctr">
                        <w14:noFill/>
                        <w14:prstDash w14:val="solid"/>
                        <w14:miter w14:lim="400000"/>
                      </w14:textOutline>
                    </w:rPr>
                    <w:t>Gender</w:t>
                  </w:r>
                </w:p>
              </w:tc>
              <w:tc>
                <w:tcPr>
                  <w:tcW w:w="3343" w:type="dxa"/>
                </w:tcPr>
                <w:p w14:paraId="05ECCCB9" w14:textId="77777777" w:rsidR="00AB6084" w:rsidRPr="00AB6084" w:rsidRDefault="00AB6084" w:rsidP="00C75DD2">
                  <w:pPr>
                    <w:pStyle w:val="Body"/>
                    <w:tabs>
                      <w:tab w:val="left" w:pos="1440"/>
                      <w:tab w:val="left" w:pos="2880"/>
                    </w:tabs>
                    <w:suppressAutoHyphens/>
                    <w:outlineLvl w:val="0"/>
                    <w:rPr>
                      <w:rFonts w:cs="Times New Roman"/>
                      <w:sz w:val="20"/>
                      <w:szCs w:val="20"/>
                      <w:lang w:val="en-GB"/>
                    </w:rPr>
                  </w:pPr>
                  <w:r w:rsidRPr="00AB6084">
                    <w:rPr>
                      <w:rFonts w:cs="Times New Roman"/>
                      <w:b/>
                      <w:bCs/>
                      <w:sz w:val="20"/>
                      <w:szCs w:val="20"/>
                      <w:lang w:val="en-GB"/>
                      <w14:textOutline w14:w="12700" w14:cap="flat" w14:cmpd="sng" w14:algn="ctr">
                        <w14:noFill/>
                        <w14:prstDash w14:val="solid"/>
                        <w14:miter w14:lim="400000"/>
                      </w14:textOutline>
                    </w:rPr>
                    <w:t>Discipline</w:t>
                  </w:r>
                </w:p>
              </w:tc>
              <w:tc>
                <w:tcPr>
                  <w:tcW w:w="2852" w:type="dxa"/>
                </w:tcPr>
                <w:p w14:paraId="6876909F" w14:textId="77777777" w:rsidR="00AB6084" w:rsidRPr="00AB6084" w:rsidRDefault="00AB6084" w:rsidP="00C75DD2">
                  <w:pPr>
                    <w:pStyle w:val="Body"/>
                    <w:tabs>
                      <w:tab w:val="left" w:pos="1440"/>
                    </w:tabs>
                    <w:suppressAutoHyphens/>
                    <w:outlineLvl w:val="0"/>
                    <w:rPr>
                      <w:rFonts w:cs="Times New Roman"/>
                      <w:sz w:val="20"/>
                      <w:szCs w:val="20"/>
                      <w:lang w:val="en-GB"/>
                    </w:rPr>
                  </w:pPr>
                  <w:r w:rsidRPr="00AB6084">
                    <w:rPr>
                      <w:rFonts w:cs="Times New Roman"/>
                      <w:b/>
                      <w:bCs/>
                      <w:sz w:val="20"/>
                      <w:szCs w:val="20"/>
                      <w:lang w:val="en-GB"/>
                      <w14:textOutline w14:w="12700" w14:cap="flat" w14:cmpd="sng" w14:algn="ctr">
                        <w14:noFill/>
                        <w14:prstDash w14:val="solid"/>
                        <w14:miter w14:lim="400000"/>
                      </w14:textOutline>
                    </w:rPr>
                    <w:t>Years of teaching at the medical school</w:t>
                  </w:r>
                </w:p>
              </w:tc>
            </w:tr>
            <w:tr w:rsidR="00AB6084" w:rsidRPr="00AB6084" w14:paraId="7883F57C" w14:textId="77777777" w:rsidTr="00AB6084">
              <w:trPr>
                <w:trHeight w:val="610"/>
              </w:trPr>
              <w:tc>
                <w:tcPr>
                  <w:tcW w:w="1367" w:type="dxa"/>
                </w:tcPr>
                <w:p w14:paraId="6C87E9AF"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R1</w:t>
                  </w:r>
                </w:p>
              </w:tc>
              <w:tc>
                <w:tcPr>
                  <w:tcW w:w="920" w:type="dxa"/>
                </w:tcPr>
                <w:p w14:paraId="351CD483"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M</w:t>
                  </w:r>
                </w:p>
              </w:tc>
              <w:tc>
                <w:tcPr>
                  <w:tcW w:w="3343" w:type="dxa"/>
                </w:tcPr>
                <w:p w14:paraId="2E117BD5" w14:textId="77777777" w:rsidR="00AB6084" w:rsidRPr="00AB6084" w:rsidRDefault="00AB6084" w:rsidP="00C75DD2">
                  <w:pPr>
                    <w:pStyle w:val="Body"/>
                    <w:tabs>
                      <w:tab w:val="left" w:pos="1440"/>
                      <w:tab w:val="left" w:pos="288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Microbiology, infectious diseases</w:t>
                  </w:r>
                </w:p>
              </w:tc>
              <w:tc>
                <w:tcPr>
                  <w:tcW w:w="2852" w:type="dxa"/>
                </w:tcPr>
                <w:p w14:paraId="6FC876D6" w14:textId="77777777" w:rsidR="00AB6084" w:rsidRPr="00AB6084" w:rsidRDefault="00AB6084" w:rsidP="00C75DD2">
                  <w:pPr>
                    <w:pStyle w:val="Body"/>
                    <w:tabs>
                      <w:tab w:val="left" w:pos="144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13</w:t>
                  </w:r>
                </w:p>
              </w:tc>
            </w:tr>
            <w:tr w:rsidR="00AB6084" w:rsidRPr="00AB6084" w14:paraId="41F89874" w14:textId="77777777" w:rsidTr="00AB6084">
              <w:trPr>
                <w:trHeight w:val="320"/>
              </w:trPr>
              <w:tc>
                <w:tcPr>
                  <w:tcW w:w="1367" w:type="dxa"/>
                </w:tcPr>
                <w:p w14:paraId="796D9F16"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R2</w:t>
                  </w:r>
                </w:p>
              </w:tc>
              <w:tc>
                <w:tcPr>
                  <w:tcW w:w="920" w:type="dxa"/>
                </w:tcPr>
                <w:p w14:paraId="7D7D17BC"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F</w:t>
                  </w:r>
                </w:p>
              </w:tc>
              <w:tc>
                <w:tcPr>
                  <w:tcW w:w="3343" w:type="dxa"/>
                </w:tcPr>
                <w:p w14:paraId="4304742B" w14:textId="77777777" w:rsidR="00AB6084" w:rsidRPr="00AB6084" w:rsidRDefault="00AB6084" w:rsidP="00C75DD2">
                  <w:pPr>
                    <w:pStyle w:val="Body"/>
                    <w:tabs>
                      <w:tab w:val="left" w:pos="1440"/>
                      <w:tab w:val="left" w:pos="288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Anatomy, histology</w:t>
                  </w:r>
                </w:p>
              </w:tc>
              <w:tc>
                <w:tcPr>
                  <w:tcW w:w="2852" w:type="dxa"/>
                </w:tcPr>
                <w:p w14:paraId="1CE96C9E" w14:textId="77777777" w:rsidR="00AB6084" w:rsidRPr="00AB6084" w:rsidRDefault="00AB6084" w:rsidP="00C75DD2">
                  <w:pPr>
                    <w:pStyle w:val="Body"/>
                    <w:tabs>
                      <w:tab w:val="left" w:pos="144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1</w:t>
                  </w:r>
                </w:p>
              </w:tc>
            </w:tr>
            <w:tr w:rsidR="00AB6084" w:rsidRPr="00AB6084" w14:paraId="30F518AF" w14:textId="77777777" w:rsidTr="00AB6084">
              <w:trPr>
                <w:trHeight w:val="320"/>
              </w:trPr>
              <w:tc>
                <w:tcPr>
                  <w:tcW w:w="1367" w:type="dxa"/>
                </w:tcPr>
                <w:p w14:paraId="78FD76AD"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R3</w:t>
                  </w:r>
                </w:p>
              </w:tc>
              <w:tc>
                <w:tcPr>
                  <w:tcW w:w="920" w:type="dxa"/>
                </w:tcPr>
                <w:p w14:paraId="2EBEB133"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F</w:t>
                  </w:r>
                </w:p>
              </w:tc>
              <w:tc>
                <w:tcPr>
                  <w:tcW w:w="3343" w:type="dxa"/>
                </w:tcPr>
                <w:p w14:paraId="64A0D029" w14:textId="77777777" w:rsidR="00AB6084" w:rsidRPr="00AB6084" w:rsidRDefault="00AB6084" w:rsidP="00C75DD2">
                  <w:pPr>
                    <w:pStyle w:val="Body"/>
                    <w:tabs>
                      <w:tab w:val="left" w:pos="1440"/>
                      <w:tab w:val="left" w:pos="288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Immunology</w:t>
                  </w:r>
                </w:p>
              </w:tc>
              <w:tc>
                <w:tcPr>
                  <w:tcW w:w="2852" w:type="dxa"/>
                </w:tcPr>
                <w:p w14:paraId="085E9E8C" w14:textId="77777777" w:rsidR="00AB6084" w:rsidRPr="00AB6084" w:rsidRDefault="00AB6084" w:rsidP="00C75DD2">
                  <w:pPr>
                    <w:pStyle w:val="Body"/>
                    <w:tabs>
                      <w:tab w:val="left" w:pos="144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6</w:t>
                  </w:r>
                </w:p>
              </w:tc>
            </w:tr>
            <w:tr w:rsidR="00AB6084" w:rsidRPr="00AB6084" w14:paraId="3ACE1932" w14:textId="77777777" w:rsidTr="00AB6084">
              <w:trPr>
                <w:trHeight w:val="320"/>
              </w:trPr>
              <w:tc>
                <w:tcPr>
                  <w:tcW w:w="1367" w:type="dxa"/>
                </w:tcPr>
                <w:p w14:paraId="45C0B16A"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R4</w:t>
                  </w:r>
                </w:p>
              </w:tc>
              <w:tc>
                <w:tcPr>
                  <w:tcW w:w="920" w:type="dxa"/>
                </w:tcPr>
                <w:p w14:paraId="0C63000F"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M</w:t>
                  </w:r>
                </w:p>
              </w:tc>
              <w:tc>
                <w:tcPr>
                  <w:tcW w:w="3343" w:type="dxa"/>
                </w:tcPr>
                <w:p w14:paraId="4D05FD0A" w14:textId="77777777" w:rsidR="00AB6084" w:rsidRPr="00AB6084" w:rsidRDefault="00AB6084" w:rsidP="00C75DD2">
                  <w:pPr>
                    <w:pStyle w:val="Body"/>
                    <w:tabs>
                      <w:tab w:val="left" w:pos="1440"/>
                      <w:tab w:val="left" w:pos="288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Physiology</w:t>
                  </w:r>
                </w:p>
              </w:tc>
              <w:tc>
                <w:tcPr>
                  <w:tcW w:w="2852" w:type="dxa"/>
                </w:tcPr>
                <w:p w14:paraId="79C94E4F" w14:textId="77777777" w:rsidR="00AB6084" w:rsidRPr="00AB6084" w:rsidRDefault="00AB6084" w:rsidP="00C75DD2">
                  <w:pPr>
                    <w:pStyle w:val="Body"/>
                    <w:tabs>
                      <w:tab w:val="left" w:pos="144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8</w:t>
                  </w:r>
                </w:p>
              </w:tc>
            </w:tr>
            <w:tr w:rsidR="00AB6084" w:rsidRPr="00AB6084" w14:paraId="022B4E58" w14:textId="77777777" w:rsidTr="00AB6084">
              <w:trPr>
                <w:trHeight w:val="320"/>
              </w:trPr>
              <w:tc>
                <w:tcPr>
                  <w:tcW w:w="1367" w:type="dxa"/>
                </w:tcPr>
                <w:p w14:paraId="0FA96D9B"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R5</w:t>
                  </w:r>
                </w:p>
              </w:tc>
              <w:tc>
                <w:tcPr>
                  <w:tcW w:w="920" w:type="dxa"/>
                </w:tcPr>
                <w:p w14:paraId="71DE8FFF"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F</w:t>
                  </w:r>
                </w:p>
              </w:tc>
              <w:tc>
                <w:tcPr>
                  <w:tcW w:w="3343" w:type="dxa"/>
                </w:tcPr>
                <w:p w14:paraId="02472ECA" w14:textId="77777777" w:rsidR="00AB6084" w:rsidRPr="00AB6084" w:rsidRDefault="00AB6084" w:rsidP="00C75DD2">
                  <w:pPr>
                    <w:pStyle w:val="Body"/>
                    <w:tabs>
                      <w:tab w:val="left" w:pos="1440"/>
                      <w:tab w:val="left" w:pos="288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Muscle biology</w:t>
                  </w:r>
                </w:p>
              </w:tc>
              <w:tc>
                <w:tcPr>
                  <w:tcW w:w="2852" w:type="dxa"/>
                </w:tcPr>
                <w:p w14:paraId="7FDAA650" w14:textId="77777777" w:rsidR="00AB6084" w:rsidRPr="00AB6084" w:rsidRDefault="00AB6084" w:rsidP="00C75DD2">
                  <w:pPr>
                    <w:pStyle w:val="Body"/>
                    <w:tabs>
                      <w:tab w:val="left" w:pos="144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1</w:t>
                  </w:r>
                </w:p>
              </w:tc>
            </w:tr>
            <w:tr w:rsidR="00AB6084" w:rsidRPr="00AB6084" w14:paraId="67436434" w14:textId="77777777" w:rsidTr="00AB6084">
              <w:trPr>
                <w:trHeight w:val="320"/>
              </w:trPr>
              <w:tc>
                <w:tcPr>
                  <w:tcW w:w="1367" w:type="dxa"/>
                </w:tcPr>
                <w:p w14:paraId="52693326"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R6</w:t>
                  </w:r>
                </w:p>
              </w:tc>
              <w:tc>
                <w:tcPr>
                  <w:tcW w:w="920" w:type="dxa"/>
                </w:tcPr>
                <w:p w14:paraId="28DC26F4"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M</w:t>
                  </w:r>
                </w:p>
              </w:tc>
              <w:tc>
                <w:tcPr>
                  <w:tcW w:w="3343" w:type="dxa"/>
                </w:tcPr>
                <w:p w14:paraId="20CF2992" w14:textId="77777777" w:rsidR="00AB6084" w:rsidRPr="00AB6084" w:rsidRDefault="00AB6084" w:rsidP="00C75DD2">
                  <w:pPr>
                    <w:pStyle w:val="Body"/>
                    <w:tabs>
                      <w:tab w:val="left" w:pos="1440"/>
                      <w:tab w:val="left" w:pos="288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Pharmacology, physiology</w:t>
                  </w:r>
                </w:p>
              </w:tc>
              <w:tc>
                <w:tcPr>
                  <w:tcW w:w="2852" w:type="dxa"/>
                </w:tcPr>
                <w:p w14:paraId="467A9217" w14:textId="77777777" w:rsidR="00AB6084" w:rsidRPr="00AB6084" w:rsidRDefault="00AB6084" w:rsidP="00C75DD2">
                  <w:pPr>
                    <w:pStyle w:val="Body"/>
                    <w:tabs>
                      <w:tab w:val="left" w:pos="144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15</w:t>
                  </w:r>
                </w:p>
              </w:tc>
            </w:tr>
            <w:tr w:rsidR="00AB6084" w:rsidRPr="00AB6084" w14:paraId="14B138AC" w14:textId="77777777" w:rsidTr="00AB6084">
              <w:trPr>
                <w:trHeight w:val="320"/>
              </w:trPr>
              <w:tc>
                <w:tcPr>
                  <w:tcW w:w="1367" w:type="dxa"/>
                </w:tcPr>
                <w:p w14:paraId="1F6815A7"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R7</w:t>
                  </w:r>
                </w:p>
              </w:tc>
              <w:tc>
                <w:tcPr>
                  <w:tcW w:w="920" w:type="dxa"/>
                </w:tcPr>
                <w:p w14:paraId="77137DAF" w14:textId="77777777" w:rsidR="00AB6084" w:rsidRPr="00AB6084" w:rsidRDefault="00AB6084" w:rsidP="00C75DD2">
                  <w:pPr>
                    <w:pStyle w:val="Body"/>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M</w:t>
                  </w:r>
                </w:p>
              </w:tc>
              <w:tc>
                <w:tcPr>
                  <w:tcW w:w="3343" w:type="dxa"/>
                </w:tcPr>
                <w:p w14:paraId="41C9907F" w14:textId="77777777" w:rsidR="00AB6084" w:rsidRPr="00AB6084" w:rsidRDefault="00AB6084" w:rsidP="00C75DD2">
                  <w:pPr>
                    <w:pStyle w:val="Body"/>
                    <w:tabs>
                      <w:tab w:val="left" w:pos="1440"/>
                      <w:tab w:val="left" w:pos="288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Cell biology</w:t>
                  </w:r>
                </w:p>
              </w:tc>
              <w:tc>
                <w:tcPr>
                  <w:tcW w:w="2852" w:type="dxa"/>
                </w:tcPr>
                <w:p w14:paraId="6CB91D98" w14:textId="77777777" w:rsidR="00AB6084" w:rsidRPr="00AB6084" w:rsidRDefault="00AB6084" w:rsidP="00C75DD2">
                  <w:pPr>
                    <w:pStyle w:val="Body"/>
                    <w:tabs>
                      <w:tab w:val="left" w:pos="1440"/>
                    </w:tabs>
                    <w:suppressAutoHyphens/>
                    <w:outlineLvl w:val="0"/>
                    <w:rPr>
                      <w:rFonts w:cs="Times New Roman"/>
                      <w:sz w:val="20"/>
                      <w:szCs w:val="20"/>
                      <w:lang w:val="en-GB"/>
                    </w:rPr>
                  </w:pPr>
                  <w:r w:rsidRPr="00AB6084">
                    <w:rPr>
                      <w:rFonts w:cs="Times New Roman"/>
                      <w:sz w:val="20"/>
                      <w:szCs w:val="20"/>
                      <w:lang w:val="en-GB"/>
                      <w14:textOutline w14:w="12700" w14:cap="flat" w14:cmpd="sng" w14:algn="ctr">
                        <w14:noFill/>
                        <w14:prstDash w14:val="solid"/>
                        <w14:miter w14:lim="400000"/>
                      </w14:textOutline>
                    </w:rPr>
                    <w:t>4</w:t>
                  </w:r>
                </w:p>
              </w:tc>
            </w:tr>
          </w:tbl>
          <w:p w14:paraId="6DD7DA0D" w14:textId="77777777" w:rsidR="00AB6084" w:rsidRDefault="00AB6084" w:rsidP="00C75DD2"/>
        </w:tc>
      </w:tr>
    </w:tbl>
    <w:p w14:paraId="2799F108" w14:textId="42459EC6" w:rsidR="00AB6084" w:rsidRDefault="00AB6084" w:rsidP="004423E0">
      <w:pPr>
        <w:pStyle w:val="reference"/>
      </w:pPr>
    </w:p>
    <w:p w14:paraId="08DC65FF" w14:textId="0A419798" w:rsidR="00AB6084" w:rsidRDefault="00AB6084" w:rsidP="004423E0">
      <w:pPr>
        <w:pStyle w:val="reference"/>
      </w:pPr>
    </w:p>
    <w:p w14:paraId="0E9EC396" w14:textId="77777777" w:rsidR="00AB6084" w:rsidRPr="007360BB" w:rsidRDefault="00AB6084" w:rsidP="00AB6084">
      <w:pPr>
        <w:pStyle w:val="tablelegend"/>
      </w:pPr>
      <w:r w:rsidRPr="007360BB">
        <w:rPr>
          <w:b/>
          <w:bCs/>
        </w:rPr>
        <w:t>Table 2</w:t>
      </w:r>
      <w:r w:rsidRPr="007360BB">
        <w:t>: Examples of biomedical uncertainty in observed teaching sessions</w:t>
      </w:r>
    </w:p>
    <w:p w14:paraId="11615F4A" w14:textId="5F914EC8" w:rsidR="00AB6084" w:rsidRDefault="00AB6084" w:rsidP="004423E0">
      <w:pPr>
        <w:pStyle w:val="reference"/>
      </w:pPr>
    </w:p>
    <w:tbl>
      <w:tblPr>
        <w:tblStyle w:val="TableGridLight"/>
        <w:tblW w:w="0" w:type="auto"/>
        <w:tblLook w:val="04A0" w:firstRow="1" w:lastRow="0" w:firstColumn="1" w:lastColumn="0" w:noHBand="0" w:noVBand="1"/>
      </w:tblPr>
      <w:tblGrid>
        <w:gridCol w:w="3074"/>
        <w:gridCol w:w="4853"/>
      </w:tblGrid>
      <w:tr w:rsidR="00AB6084" w:rsidRPr="00AB6084" w14:paraId="138476D2" w14:textId="77777777" w:rsidTr="00AB6084">
        <w:tc>
          <w:tcPr>
            <w:tcW w:w="3256" w:type="dxa"/>
          </w:tcPr>
          <w:p w14:paraId="57E51208" w14:textId="77777777"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b/>
                <w:bCs/>
                <w:sz w:val="20"/>
                <w:szCs w:val="20"/>
                <w:lang w:val="en-GB"/>
              </w:rPr>
            </w:pPr>
            <w:r w:rsidRPr="00AB6084">
              <w:rPr>
                <w:rFonts w:ascii="Times New Roman" w:hAnsi="Times New Roman" w:cs="Times New Roman"/>
                <w:b/>
                <w:bCs/>
                <w:sz w:val="20"/>
                <w:szCs w:val="20"/>
                <w:lang w:val="en-GB"/>
              </w:rPr>
              <w:t>Session title and year</w:t>
            </w:r>
          </w:p>
        </w:tc>
        <w:tc>
          <w:tcPr>
            <w:tcW w:w="5236" w:type="dxa"/>
          </w:tcPr>
          <w:p w14:paraId="09F19241" w14:textId="77777777"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b/>
                <w:bCs/>
                <w:sz w:val="20"/>
                <w:szCs w:val="20"/>
                <w:lang w:val="en-GB"/>
              </w:rPr>
            </w:pPr>
            <w:r w:rsidRPr="00AB6084">
              <w:rPr>
                <w:rFonts w:ascii="Times New Roman" w:hAnsi="Times New Roman" w:cs="Times New Roman"/>
                <w:b/>
                <w:bCs/>
                <w:sz w:val="20"/>
                <w:szCs w:val="20"/>
                <w:lang w:val="en-GB"/>
              </w:rPr>
              <w:t>Example of biomedical uncertainty</w:t>
            </w:r>
          </w:p>
        </w:tc>
      </w:tr>
      <w:tr w:rsidR="00AB6084" w:rsidRPr="00AB6084" w14:paraId="03E4BF7F" w14:textId="77777777" w:rsidTr="00AB6084">
        <w:tc>
          <w:tcPr>
            <w:tcW w:w="3256" w:type="dxa"/>
          </w:tcPr>
          <w:p w14:paraId="5BCF1A66" w14:textId="77777777"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sz w:val="20"/>
                <w:szCs w:val="20"/>
                <w:lang w:val="en-GB"/>
              </w:rPr>
            </w:pPr>
            <w:r w:rsidRPr="00AB6084">
              <w:rPr>
                <w:rFonts w:ascii="Times New Roman" w:hAnsi="Times New Roman" w:cs="Times New Roman"/>
                <w:sz w:val="20"/>
                <w:szCs w:val="20"/>
                <w:lang w:val="en-GB"/>
              </w:rPr>
              <w:t>Renal physiology, Y1</w:t>
            </w:r>
          </w:p>
        </w:tc>
        <w:tc>
          <w:tcPr>
            <w:tcW w:w="5236" w:type="dxa"/>
          </w:tcPr>
          <w:p w14:paraId="3334992A" w14:textId="77777777"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sz w:val="20"/>
                <w:szCs w:val="20"/>
                <w:lang w:val="en-GB"/>
              </w:rPr>
            </w:pPr>
            <w:r w:rsidRPr="00AB6084">
              <w:rPr>
                <w:rFonts w:ascii="Times New Roman" w:hAnsi="Times New Roman" w:cs="Times New Roman"/>
                <w:sz w:val="20"/>
                <w:szCs w:val="20"/>
                <w:lang w:val="en-GB"/>
              </w:rPr>
              <w:t xml:space="preserve">The paradigm shift in the understanding of the role of the kidney in plasma pH regulation. </w:t>
            </w:r>
          </w:p>
        </w:tc>
      </w:tr>
      <w:tr w:rsidR="00AB6084" w:rsidRPr="00AB6084" w14:paraId="1719F4C4" w14:textId="77777777" w:rsidTr="00AB6084">
        <w:tc>
          <w:tcPr>
            <w:tcW w:w="3256" w:type="dxa"/>
          </w:tcPr>
          <w:p w14:paraId="79931970" w14:textId="77777777"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sz w:val="20"/>
                <w:szCs w:val="20"/>
                <w:lang w:val="en-GB"/>
              </w:rPr>
            </w:pPr>
            <w:r w:rsidRPr="00AB6084">
              <w:rPr>
                <w:rFonts w:ascii="Times New Roman" w:hAnsi="Times New Roman" w:cs="Times New Roman"/>
                <w:sz w:val="20"/>
                <w:szCs w:val="20"/>
                <w:lang w:val="en-GB"/>
              </w:rPr>
              <w:t>Genes and the basis of genetic medicine, Y1</w:t>
            </w:r>
          </w:p>
        </w:tc>
        <w:tc>
          <w:tcPr>
            <w:tcW w:w="5236" w:type="dxa"/>
          </w:tcPr>
          <w:p w14:paraId="1B43E7A2" w14:textId="126A1532"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sz w:val="20"/>
                <w:szCs w:val="20"/>
                <w:lang w:val="en-GB"/>
              </w:rPr>
            </w:pPr>
            <w:r w:rsidRPr="00AB6084">
              <w:rPr>
                <w:rFonts w:ascii="Times New Roman" w:hAnsi="Times New Roman" w:cs="Times New Roman"/>
                <w:sz w:val="20"/>
                <w:szCs w:val="20"/>
                <w:lang w:val="en-GB"/>
              </w:rPr>
              <w:t xml:space="preserve">The </w:t>
            </w:r>
            <w:r w:rsidR="001615C5" w:rsidRPr="00AB6084">
              <w:rPr>
                <w:rFonts w:ascii="Times New Roman" w:hAnsi="Times New Roman" w:cs="Times New Roman"/>
                <w:sz w:val="20"/>
                <w:szCs w:val="20"/>
                <w:lang w:val="en-GB"/>
              </w:rPr>
              <w:t>still</w:t>
            </w:r>
            <w:r w:rsidR="001615C5">
              <w:rPr>
                <w:rFonts w:ascii="Times New Roman" w:hAnsi="Times New Roman" w:cs="Times New Roman"/>
                <w:sz w:val="20"/>
                <w:szCs w:val="20"/>
                <w:lang w:val="en-GB"/>
              </w:rPr>
              <w:t>-</w:t>
            </w:r>
            <w:r w:rsidRPr="00AB6084">
              <w:rPr>
                <w:rFonts w:ascii="Times New Roman" w:hAnsi="Times New Roman" w:cs="Times New Roman"/>
                <w:sz w:val="20"/>
                <w:szCs w:val="20"/>
                <w:lang w:val="en-GB"/>
              </w:rPr>
              <w:t xml:space="preserve">evolving understanding of a ‘gene’ from a single strand </w:t>
            </w:r>
            <w:r w:rsidR="001615C5">
              <w:rPr>
                <w:rFonts w:ascii="Times New Roman" w:hAnsi="Times New Roman" w:cs="Times New Roman"/>
                <w:sz w:val="20"/>
                <w:szCs w:val="20"/>
                <w:lang w:val="en-GB"/>
              </w:rPr>
              <w:t xml:space="preserve">of </w:t>
            </w:r>
            <w:r w:rsidRPr="00AB6084">
              <w:rPr>
                <w:rFonts w:ascii="Times New Roman" w:hAnsi="Times New Roman" w:cs="Times New Roman"/>
                <w:sz w:val="20"/>
                <w:szCs w:val="20"/>
                <w:lang w:val="en-GB"/>
              </w:rPr>
              <w:t>DNA coding a single protein to a dispersed entity with multiple functions</w:t>
            </w:r>
            <w:r w:rsidR="001615C5">
              <w:rPr>
                <w:rFonts w:ascii="Times New Roman" w:hAnsi="Times New Roman" w:cs="Times New Roman"/>
                <w:sz w:val="20"/>
                <w:szCs w:val="20"/>
                <w:lang w:val="en-GB"/>
              </w:rPr>
              <w:t>,</w:t>
            </w:r>
            <w:r w:rsidRPr="00AB6084">
              <w:rPr>
                <w:rFonts w:ascii="Times New Roman" w:hAnsi="Times New Roman" w:cs="Times New Roman"/>
                <w:sz w:val="20"/>
                <w:szCs w:val="20"/>
                <w:lang w:val="en-GB"/>
              </w:rPr>
              <w:t xml:space="preserve"> which is still not fully understood</w:t>
            </w:r>
          </w:p>
        </w:tc>
      </w:tr>
      <w:tr w:rsidR="00AB6084" w:rsidRPr="00AB6084" w14:paraId="207CE003" w14:textId="77777777" w:rsidTr="00AB6084">
        <w:tc>
          <w:tcPr>
            <w:tcW w:w="3256" w:type="dxa"/>
          </w:tcPr>
          <w:p w14:paraId="59CFBE8C" w14:textId="77777777"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sz w:val="20"/>
                <w:szCs w:val="20"/>
                <w:lang w:val="en-GB"/>
              </w:rPr>
            </w:pPr>
            <w:r w:rsidRPr="00AB6084">
              <w:rPr>
                <w:rFonts w:ascii="Times New Roman" w:hAnsi="Times New Roman" w:cs="Times New Roman"/>
                <w:sz w:val="20"/>
                <w:szCs w:val="20"/>
                <w:lang w:val="en-GB"/>
              </w:rPr>
              <w:t>Pain physiology and pharmacology, Y2</w:t>
            </w:r>
          </w:p>
        </w:tc>
        <w:tc>
          <w:tcPr>
            <w:tcW w:w="5236" w:type="dxa"/>
          </w:tcPr>
          <w:p w14:paraId="11CDD54F" w14:textId="77777777"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sz w:val="20"/>
                <w:szCs w:val="20"/>
                <w:lang w:val="en-GB"/>
              </w:rPr>
            </w:pPr>
            <w:r w:rsidRPr="00AB6084">
              <w:rPr>
                <w:rFonts w:ascii="Times New Roman" w:hAnsi="Times New Roman" w:cs="Times New Roman"/>
                <w:sz w:val="20"/>
                <w:szCs w:val="20"/>
                <w:lang w:val="en-GB"/>
              </w:rPr>
              <w:t>We still do not know why the body changes from physiological to pathological pain</w:t>
            </w:r>
          </w:p>
        </w:tc>
      </w:tr>
      <w:tr w:rsidR="00AB6084" w:rsidRPr="00AB6084" w14:paraId="17054D45" w14:textId="77777777" w:rsidTr="00AB6084">
        <w:tc>
          <w:tcPr>
            <w:tcW w:w="3256" w:type="dxa"/>
          </w:tcPr>
          <w:p w14:paraId="71AAA249" w14:textId="77777777"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sz w:val="20"/>
                <w:szCs w:val="20"/>
                <w:lang w:val="en-GB"/>
              </w:rPr>
            </w:pPr>
            <w:r w:rsidRPr="00AB6084">
              <w:rPr>
                <w:rFonts w:ascii="Times New Roman" w:hAnsi="Times New Roman" w:cs="Times New Roman"/>
                <w:sz w:val="20"/>
                <w:szCs w:val="20"/>
                <w:lang w:val="en-GB"/>
              </w:rPr>
              <w:t>Human reproduction, Y1</w:t>
            </w:r>
          </w:p>
        </w:tc>
        <w:tc>
          <w:tcPr>
            <w:tcW w:w="5236" w:type="dxa"/>
          </w:tcPr>
          <w:p w14:paraId="3A20CA7F" w14:textId="77777777"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sz w:val="20"/>
                <w:szCs w:val="20"/>
                <w:lang w:val="en-GB"/>
              </w:rPr>
            </w:pPr>
            <w:r w:rsidRPr="00AB6084">
              <w:rPr>
                <w:rFonts w:ascii="Times New Roman" w:hAnsi="Times New Roman" w:cs="Times New Roman"/>
                <w:sz w:val="20"/>
                <w:szCs w:val="20"/>
                <w:lang w:val="en-GB"/>
              </w:rPr>
              <w:t>The evidence base for the management of infertility is not as strong as one might think</w:t>
            </w:r>
          </w:p>
        </w:tc>
      </w:tr>
      <w:tr w:rsidR="00AB6084" w:rsidRPr="00AB6084" w14:paraId="3E67B8A0" w14:textId="77777777" w:rsidTr="00AB6084">
        <w:tc>
          <w:tcPr>
            <w:tcW w:w="3256" w:type="dxa"/>
          </w:tcPr>
          <w:p w14:paraId="41720F75" w14:textId="77777777"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sz w:val="20"/>
                <w:szCs w:val="20"/>
                <w:lang w:val="en-GB"/>
              </w:rPr>
            </w:pPr>
            <w:r w:rsidRPr="00AB6084">
              <w:rPr>
                <w:rFonts w:ascii="Times New Roman" w:hAnsi="Times New Roman" w:cs="Times New Roman"/>
                <w:sz w:val="20"/>
                <w:szCs w:val="20"/>
                <w:lang w:val="en-GB"/>
              </w:rPr>
              <w:t>Neurobiology of pain, Y2</w:t>
            </w:r>
          </w:p>
        </w:tc>
        <w:tc>
          <w:tcPr>
            <w:tcW w:w="5236" w:type="dxa"/>
          </w:tcPr>
          <w:p w14:paraId="4FC7C89B" w14:textId="77777777" w:rsidR="00AB6084" w:rsidRPr="00AB6084" w:rsidRDefault="00AB6084" w:rsidP="00C75DD2">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00" w:after="200"/>
              <w:rPr>
                <w:rFonts w:ascii="Times New Roman" w:hAnsi="Times New Roman" w:cs="Times New Roman"/>
                <w:sz w:val="20"/>
                <w:szCs w:val="20"/>
                <w:lang w:val="en-GB"/>
              </w:rPr>
            </w:pPr>
            <w:r w:rsidRPr="00AB6084">
              <w:rPr>
                <w:rFonts w:ascii="Times New Roman" w:hAnsi="Times New Roman" w:cs="Times New Roman"/>
                <w:sz w:val="20"/>
                <w:szCs w:val="20"/>
                <w:lang w:val="en-GB"/>
              </w:rPr>
              <w:t>Functions of nociceptors are currently poorly understood</w:t>
            </w:r>
          </w:p>
        </w:tc>
      </w:tr>
    </w:tbl>
    <w:p w14:paraId="648831A2" w14:textId="57F4BCC3" w:rsidR="00AB6084" w:rsidRDefault="00AB6084" w:rsidP="004423E0">
      <w:pPr>
        <w:pStyle w:val="reference"/>
      </w:pPr>
    </w:p>
    <w:p w14:paraId="7C1AF716" w14:textId="77777777" w:rsidR="00AB6084" w:rsidRPr="007360BB" w:rsidRDefault="00AB6084" w:rsidP="00AB6084">
      <w:pPr>
        <w:pStyle w:val="tablelegend"/>
      </w:pPr>
      <w:r w:rsidRPr="007360BB">
        <w:rPr>
          <w:b/>
          <w:bCs/>
        </w:rPr>
        <w:t>Table 3</w:t>
      </w:r>
      <w:r w:rsidRPr="007360BB">
        <w:t xml:space="preserve">: Interview extracts of discipline-specific conceptualisations of biomedical uncertainty </w:t>
      </w:r>
    </w:p>
    <w:p w14:paraId="62FA7947" w14:textId="3E0B7CF9" w:rsidR="00AB6084" w:rsidRDefault="00AB6084" w:rsidP="004423E0">
      <w:pPr>
        <w:pStyle w:val="reference"/>
      </w:pPr>
    </w:p>
    <w:tbl>
      <w:tblPr>
        <w:tblStyle w:val="TableGridLight"/>
        <w:tblW w:w="5000" w:type="pct"/>
        <w:tblLayout w:type="fixed"/>
        <w:tblLook w:val="04A0" w:firstRow="1" w:lastRow="0" w:firstColumn="1" w:lastColumn="0" w:noHBand="0" w:noVBand="1"/>
      </w:tblPr>
      <w:tblGrid>
        <w:gridCol w:w="1413"/>
        <w:gridCol w:w="6514"/>
      </w:tblGrid>
      <w:tr w:rsidR="00AB6084" w:rsidRPr="007360BB" w14:paraId="4AC02BE0" w14:textId="77777777" w:rsidTr="00AB6084">
        <w:trPr>
          <w:trHeight w:val="20"/>
        </w:trPr>
        <w:tc>
          <w:tcPr>
            <w:tcW w:w="891" w:type="pct"/>
          </w:tcPr>
          <w:p w14:paraId="23463CFC" w14:textId="77777777" w:rsidR="00AB6084" w:rsidRPr="007360BB" w:rsidRDefault="00AB6084" w:rsidP="00C75DD2">
            <w:pPr>
              <w:pStyle w:val="BodyC"/>
              <w:tabs>
                <w:tab w:val="left" w:pos="1440"/>
              </w:tabs>
              <w:suppressAutoHyphens/>
              <w:outlineLvl w:val="0"/>
              <w:rPr>
                <w:rFonts w:cs="Times New Roman"/>
                <w:sz w:val="20"/>
                <w:szCs w:val="20"/>
                <w:lang w:val="en-GB"/>
              </w:rPr>
            </w:pPr>
            <w:r w:rsidRPr="007360BB">
              <w:rPr>
                <w:rFonts w:cs="Times New Roman"/>
                <w:b/>
                <w:bCs/>
                <w:sz w:val="20"/>
                <w:szCs w:val="20"/>
                <w:lang w:val="en-GB"/>
              </w:rPr>
              <w:t>Discipline</w:t>
            </w:r>
          </w:p>
        </w:tc>
        <w:tc>
          <w:tcPr>
            <w:tcW w:w="4109" w:type="pct"/>
          </w:tcPr>
          <w:p w14:paraId="589E44BF" w14:textId="77777777" w:rsidR="00AB6084" w:rsidRPr="007360BB" w:rsidRDefault="00AB6084" w:rsidP="00C75DD2">
            <w:pPr>
              <w:pStyle w:val="BodyC"/>
              <w:tabs>
                <w:tab w:val="left" w:pos="1440"/>
                <w:tab w:val="left" w:pos="2880"/>
                <w:tab w:val="left" w:pos="4320"/>
                <w:tab w:val="left" w:pos="5760"/>
              </w:tabs>
              <w:suppressAutoHyphens/>
              <w:outlineLvl w:val="0"/>
              <w:rPr>
                <w:rFonts w:cs="Times New Roman"/>
                <w:sz w:val="20"/>
                <w:szCs w:val="20"/>
                <w:lang w:val="en-GB"/>
              </w:rPr>
            </w:pPr>
            <w:r w:rsidRPr="007360BB">
              <w:rPr>
                <w:rFonts w:cs="Times New Roman"/>
                <w:b/>
                <w:bCs/>
                <w:sz w:val="20"/>
                <w:szCs w:val="20"/>
                <w:lang w:val="en-GB"/>
              </w:rPr>
              <w:t>Discipline-specific conceptualisation of biomedical uncertainty</w:t>
            </w:r>
          </w:p>
        </w:tc>
      </w:tr>
      <w:tr w:rsidR="00AB6084" w:rsidRPr="007360BB" w14:paraId="32B3CA16" w14:textId="77777777" w:rsidTr="00AB6084">
        <w:trPr>
          <w:trHeight w:val="20"/>
        </w:trPr>
        <w:tc>
          <w:tcPr>
            <w:tcW w:w="891" w:type="pct"/>
          </w:tcPr>
          <w:p w14:paraId="49601E12" w14:textId="77777777" w:rsidR="00AB6084" w:rsidRPr="007360BB" w:rsidRDefault="00AB6084" w:rsidP="00C75DD2">
            <w:pPr>
              <w:pStyle w:val="BodyC"/>
              <w:tabs>
                <w:tab w:val="left" w:pos="1440"/>
              </w:tabs>
              <w:suppressAutoHyphens/>
              <w:outlineLvl w:val="0"/>
              <w:rPr>
                <w:rFonts w:cs="Times New Roman"/>
                <w:sz w:val="20"/>
                <w:szCs w:val="20"/>
                <w:lang w:val="en-GB"/>
              </w:rPr>
            </w:pPr>
            <w:r w:rsidRPr="007360BB">
              <w:rPr>
                <w:rFonts w:cs="Times New Roman"/>
                <w:b/>
                <w:bCs/>
                <w:sz w:val="20"/>
                <w:szCs w:val="20"/>
                <w:lang w:val="en-GB"/>
              </w:rPr>
              <w:lastRenderedPageBreak/>
              <w:t>Microbiology</w:t>
            </w:r>
          </w:p>
        </w:tc>
        <w:tc>
          <w:tcPr>
            <w:tcW w:w="4109" w:type="pct"/>
          </w:tcPr>
          <w:p w14:paraId="076E6F62" w14:textId="77777777" w:rsidR="00AB6084" w:rsidRPr="007360BB" w:rsidRDefault="00AB6084" w:rsidP="00C75DD2">
            <w:pPr>
              <w:pStyle w:val="BodyA"/>
              <w:spacing w:before="100" w:after="200"/>
              <w:rPr>
                <w:rFonts w:ascii="Times New Roman" w:hAnsi="Times New Roman" w:cs="Times New Roman"/>
                <w:sz w:val="20"/>
                <w:szCs w:val="20"/>
                <w:lang w:val="en-GB"/>
              </w:rPr>
            </w:pPr>
            <w:r w:rsidRPr="007360BB">
              <w:rPr>
                <w:rFonts w:ascii="Times New Roman" w:hAnsi="Times New Roman" w:cs="Times New Roman"/>
                <w:sz w:val="20"/>
                <w:szCs w:val="20"/>
                <w:lang w:val="en-GB"/>
              </w:rPr>
              <w:t>‘</w:t>
            </w:r>
            <w:proofErr w:type="gramStart"/>
            <w:r w:rsidRPr="007360BB">
              <w:rPr>
                <w:rFonts w:ascii="Times New Roman" w:hAnsi="Times New Roman" w:cs="Times New Roman"/>
                <w:sz w:val="20"/>
                <w:szCs w:val="20"/>
                <w:lang w:val="en-GB"/>
              </w:rPr>
              <w:t>prescribing</w:t>
            </w:r>
            <w:proofErr w:type="gramEnd"/>
            <w:r w:rsidRPr="007360BB">
              <w:rPr>
                <w:rFonts w:ascii="Times New Roman" w:hAnsi="Times New Roman" w:cs="Times New Roman"/>
                <w:sz w:val="20"/>
                <w:szCs w:val="20"/>
                <w:lang w:val="en-GB"/>
              </w:rPr>
              <w:t xml:space="preserve"> guidelines change in response to development of reduced sensitivity to drugs that we would use previously. That occurs, as I said, in a temporal fashion through time, but also within geographical areas, within healthcare trusts, those things change, and they can change quickly. </w:t>
            </w:r>
            <w:proofErr w:type="gramStart"/>
            <w:r w:rsidRPr="007360BB">
              <w:rPr>
                <w:rFonts w:ascii="Times New Roman" w:hAnsi="Times New Roman" w:cs="Times New Roman"/>
                <w:sz w:val="20"/>
                <w:szCs w:val="20"/>
                <w:lang w:val="en-GB"/>
              </w:rPr>
              <w:t>So</w:t>
            </w:r>
            <w:proofErr w:type="gramEnd"/>
            <w:r w:rsidRPr="007360BB">
              <w:rPr>
                <w:rFonts w:ascii="Times New Roman" w:hAnsi="Times New Roman" w:cs="Times New Roman"/>
                <w:sz w:val="20"/>
                <w:szCs w:val="20"/>
                <w:lang w:val="en-GB"/>
              </w:rPr>
              <w:t xml:space="preserve"> whereas prescribing guidelines for certain drugs may take years to change, those for antimicrobials can sometimes change in a matter of months.’ (R1)</w:t>
            </w:r>
          </w:p>
        </w:tc>
      </w:tr>
      <w:tr w:rsidR="00AB6084" w:rsidRPr="007360BB" w14:paraId="2D031022" w14:textId="77777777" w:rsidTr="00AB6084">
        <w:trPr>
          <w:trHeight w:val="20"/>
        </w:trPr>
        <w:tc>
          <w:tcPr>
            <w:tcW w:w="891" w:type="pct"/>
          </w:tcPr>
          <w:p w14:paraId="365C6C69" w14:textId="77777777" w:rsidR="00AB6084" w:rsidRPr="007360BB" w:rsidRDefault="00AB6084" w:rsidP="00C75DD2">
            <w:pPr>
              <w:pStyle w:val="BodyC"/>
              <w:tabs>
                <w:tab w:val="left" w:pos="1440"/>
              </w:tabs>
              <w:suppressAutoHyphens/>
              <w:outlineLvl w:val="0"/>
              <w:rPr>
                <w:rFonts w:cs="Times New Roman"/>
                <w:sz w:val="20"/>
                <w:szCs w:val="20"/>
                <w:lang w:val="en-GB"/>
              </w:rPr>
            </w:pPr>
            <w:r w:rsidRPr="007360BB">
              <w:rPr>
                <w:rFonts w:cs="Times New Roman"/>
                <w:b/>
                <w:bCs/>
                <w:sz w:val="20"/>
                <w:szCs w:val="20"/>
                <w:lang w:val="en-GB"/>
              </w:rPr>
              <w:t>Immunology</w:t>
            </w:r>
          </w:p>
        </w:tc>
        <w:tc>
          <w:tcPr>
            <w:tcW w:w="4109" w:type="pct"/>
          </w:tcPr>
          <w:p w14:paraId="12B7B763" w14:textId="77777777" w:rsidR="00AB6084" w:rsidRPr="007360BB" w:rsidRDefault="00AB6084" w:rsidP="00C75DD2">
            <w:pPr>
              <w:pStyle w:val="BodyA"/>
              <w:spacing w:before="100" w:after="200"/>
              <w:rPr>
                <w:rFonts w:ascii="Times New Roman" w:hAnsi="Times New Roman" w:cs="Times New Roman"/>
                <w:sz w:val="20"/>
                <w:szCs w:val="20"/>
                <w:lang w:val="en-GB"/>
              </w:rPr>
            </w:pPr>
            <w:r w:rsidRPr="007360BB">
              <w:rPr>
                <w:rFonts w:ascii="Times New Roman" w:hAnsi="Times New Roman" w:cs="Times New Roman"/>
                <w:sz w:val="20"/>
                <w:szCs w:val="20"/>
                <w:lang w:val="en-GB"/>
              </w:rPr>
              <w:t>‘</w:t>
            </w:r>
            <w:proofErr w:type="gramStart"/>
            <w:r w:rsidRPr="007360BB">
              <w:rPr>
                <w:rFonts w:ascii="Times New Roman" w:hAnsi="Times New Roman" w:cs="Times New Roman"/>
                <w:sz w:val="20"/>
                <w:szCs w:val="20"/>
                <w:lang w:val="en-GB"/>
              </w:rPr>
              <w:t>there</w:t>
            </w:r>
            <w:proofErr w:type="gramEnd"/>
            <w:r w:rsidRPr="007360BB">
              <w:rPr>
                <w:rFonts w:ascii="Times New Roman" w:hAnsi="Times New Roman" w:cs="Times New Roman"/>
                <w:sz w:val="20"/>
                <w:szCs w:val="20"/>
                <w:lang w:val="en-GB"/>
              </w:rPr>
              <w:t xml:space="preserve"> are certain fundamental core concepts in immunology that we've had nailed down for several years, but otherwise, you could go month to month and new things are discovered […]. When I learned it how many years ago, I was taught about two types of T cells. Now when I started teaching here (5 years ago), I was talking to them about three types. Now we're up to four, five, six different types of T cells. Next year who knows how many different things there might be. It is an area that’s constantly evolving, constantly being researched.’ (R3)</w:t>
            </w:r>
          </w:p>
        </w:tc>
      </w:tr>
      <w:tr w:rsidR="00AB6084" w:rsidRPr="007360BB" w14:paraId="0A587971" w14:textId="77777777" w:rsidTr="00AB6084">
        <w:trPr>
          <w:trHeight w:val="20"/>
        </w:trPr>
        <w:tc>
          <w:tcPr>
            <w:tcW w:w="891" w:type="pct"/>
          </w:tcPr>
          <w:p w14:paraId="698EA08C" w14:textId="77777777" w:rsidR="00AB6084" w:rsidRPr="007360BB" w:rsidRDefault="00AB6084" w:rsidP="00C75DD2">
            <w:pPr>
              <w:pStyle w:val="BodyC"/>
              <w:tabs>
                <w:tab w:val="left" w:pos="1440"/>
              </w:tabs>
              <w:suppressAutoHyphens/>
              <w:outlineLvl w:val="0"/>
              <w:rPr>
                <w:rFonts w:cs="Times New Roman"/>
                <w:sz w:val="20"/>
                <w:szCs w:val="20"/>
                <w:lang w:val="en-GB"/>
              </w:rPr>
            </w:pPr>
            <w:r w:rsidRPr="007360BB">
              <w:rPr>
                <w:rFonts w:cs="Times New Roman"/>
                <w:b/>
                <w:bCs/>
                <w:sz w:val="20"/>
                <w:szCs w:val="20"/>
                <w:lang w:val="en-GB"/>
              </w:rPr>
              <w:t>Anatomy I</w:t>
            </w:r>
          </w:p>
        </w:tc>
        <w:tc>
          <w:tcPr>
            <w:tcW w:w="4109" w:type="pct"/>
          </w:tcPr>
          <w:p w14:paraId="1FB1FD8B" w14:textId="77777777" w:rsidR="00AB6084" w:rsidRPr="007360BB" w:rsidRDefault="00AB6084" w:rsidP="00C75DD2">
            <w:pPr>
              <w:pStyle w:val="BodyA"/>
              <w:spacing w:before="100" w:after="200"/>
              <w:rPr>
                <w:rFonts w:ascii="Times New Roman" w:hAnsi="Times New Roman" w:cs="Times New Roman"/>
                <w:sz w:val="20"/>
                <w:szCs w:val="20"/>
                <w:lang w:val="en-GB"/>
              </w:rPr>
            </w:pPr>
            <w:r w:rsidRPr="007360BB">
              <w:rPr>
                <w:rFonts w:ascii="Times New Roman" w:hAnsi="Times New Roman" w:cs="Times New Roman"/>
                <w:sz w:val="20"/>
                <w:szCs w:val="20"/>
                <w:lang w:val="en-GB"/>
              </w:rPr>
              <w:t>‘</w:t>
            </w:r>
            <w:proofErr w:type="gramStart"/>
            <w:r w:rsidRPr="007360BB">
              <w:rPr>
                <w:rFonts w:ascii="Times New Roman" w:hAnsi="Times New Roman" w:cs="Times New Roman"/>
                <w:sz w:val="20"/>
                <w:szCs w:val="20"/>
                <w:lang w:val="en-GB"/>
              </w:rPr>
              <w:t>you</w:t>
            </w:r>
            <w:proofErr w:type="gramEnd"/>
            <w:r w:rsidRPr="007360BB">
              <w:rPr>
                <w:rFonts w:ascii="Times New Roman" w:hAnsi="Times New Roman" w:cs="Times New Roman"/>
                <w:sz w:val="20"/>
                <w:szCs w:val="20"/>
                <w:lang w:val="en-GB"/>
              </w:rPr>
              <w:t xml:space="preserve"> can look for variations in the configurations of arteries or of nerves, and so what’s happened in anatomy is that a lot of this variation and uncertainty has actually been kind of condensed into we expect this, this is our normal anatomy. But I think it’s very unlikely that anyone in the world has the whole normal anatomy, because there are so many variations to muscles and arteries and nerves and brains that I don’t think anyone has, from beginning to end, what the textbook says they have.’ (R2)</w:t>
            </w:r>
          </w:p>
        </w:tc>
      </w:tr>
      <w:tr w:rsidR="00AB6084" w:rsidRPr="007360BB" w14:paraId="60145F86" w14:textId="77777777" w:rsidTr="00AB6084">
        <w:trPr>
          <w:trHeight w:val="20"/>
        </w:trPr>
        <w:tc>
          <w:tcPr>
            <w:tcW w:w="891" w:type="pct"/>
          </w:tcPr>
          <w:p w14:paraId="7F37A383" w14:textId="77777777" w:rsidR="00AB6084" w:rsidRPr="007360BB" w:rsidRDefault="00AB6084" w:rsidP="00C75DD2">
            <w:pPr>
              <w:pStyle w:val="BodyC"/>
              <w:tabs>
                <w:tab w:val="left" w:pos="1440"/>
              </w:tabs>
              <w:suppressAutoHyphens/>
              <w:outlineLvl w:val="0"/>
              <w:rPr>
                <w:rFonts w:cs="Times New Roman"/>
                <w:sz w:val="20"/>
                <w:szCs w:val="20"/>
                <w:lang w:val="en-GB"/>
              </w:rPr>
            </w:pPr>
            <w:r w:rsidRPr="007360BB">
              <w:rPr>
                <w:rFonts w:cs="Times New Roman"/>
                <w:b/>
                <w:bCs/>
                <w:sz w:val="20"/>
                <w:szCs w:val="20"/>
                <w:lang w:val="en-GB"/>
              </w:rPr>
              <w:t>Anatomy II</w:t>
            </w:r>
          </w:p>
        </w:tc>
        <w:tc>
          <w:tcPr>
            <w:tcW w:w="4109" w:type="pct"/>
          </w:tcPr>
          <w:p w14:paraId="1488D307" w14:textId="77777777" w:rsidR="00AB6084" w:rsidRPr="007360BB" w:rsidRDefault="00AB6084" w:rsidP="00C75DD2">
            <w:pPr>
              <w:pStyle w:val="BodyA"/>
              <w:spacing w:before="100" w:after="200"/>
              <w:rPr>
                <w:rFonts w:ascii="Times New Roman" w:hAnsi="Times New Roman" w:cs="Times New Roman"/>
                <w:sz w:val="20"/>
                <w:szCs w:val="20"/>
                <w:lang w:val="en-GB"/>
              </w:rPr>
            </w:pPr>
            <w:r w:rsidRPr="007360BB">
              <w:rPr>
                <w:rFonts w:ascii="Times New Roman" w:hAnsi="Times New Roman" w:cs="Times New Roman"/>
                <w:sz w:val="20"/>
                <w:szCs w:val="20"/>
                <w:lang w:val="en-GB"/>
              </w:rPr>
              <w:t xml:space="preserve">‘you’ll see these things occasionally where suddenly people discover a new organ and this is made a lot of in the newspapers, so most recently it was the </w:t>
            </w:r>
            <w:proofErr w:type="spellStart"/>
            <w:r w:rsidRPr="007360BB">
              <w:rPr>
                <w:rFonts w:ascii="Times New Roman" w:hAnsi="Times New Roman" w:cs="Times New Roman"/>
                <w:sz w:val="20"/>
                <w:szCs w:val="20"/>
                <w:lang w:val="en-GB"/>
              </w:rPr>
              <w:t>interstitium</w:t>
            </w:r>
            <w:proofErr w:type="spellEnd"/>
            <w:r w:rsidRPr="007360BB">
              <w:rPr>
                <w:rFonts w:ascii="Times New Roman" w:hAnsi="Times New Roman" w:cs="Times New Roman"/>
                <w:sz w:val="20"/>
                <w:szCs w:val="20"/>
                <w:lang w:val="en-GB"/>
              </w:rPr>
              <w:t xml:space="preserve">. […] So that has recently been designated by someone an organ. Now if that will remain an organ or if that were shouted down, that’s a different thing. But we’ve known for a substantial </w:t>
            </w:r>
            <w:proofErr w:type="gramStart"/>
            <w:r w:rsidRPr="007360BB">
              <w:rPr>
                <w:rFonts w:ascii="Times New Roman" w:hAnsi="Times New Roman" w:cs="Times New Roman"/>
                <w:sz w:val="20"/>
                <w:szCs w:val="20"/>
                <w:lang w:val="en-GB"/>
              </w:rPr>
              <w:t>period of time</w:t>
            </w:r>
            <w:proofErr w:type="gramEnd"/>
            <w:r w:rsidRPr="007360BB">
              <w:rPr>
                <w:rFonts w:ascii="Times New Roman" w:hAnsi="Times New Roman" w:cs="Times New Roman"/>
                <w:sz w:val="20"/>
                <w:szCs w:val="20"/>
                <w:lang w:val="en-GB"/>
              </w:rPr>
              <w:t xml:space="preserve"> that there was this interstitial fluid, but then the designation as an organ is fairly recent. And another example from a few years before that, we’ve discovered a new organ and what it was it was the mesentery. […] And this was recently designated an organ. And all the news stories sounded very much like humans have just discovered this thing. And it’s like well, we’ve always known that’s there, and it’s always had a name, it’s just now we’ve decided it’s an organ.’ (R2)</w:t>
            </w:r>
          </w:p>
        </w:tc>
      </w:tr>
      <w:tr w:rsidR="00AB6084" w:rsidRPr="007360BB" w14:paraId="025ED26D" w14:textId="77777777" w:rsidTr="00AB6084">
        <w:trPr>
          <w:trHeight w:val="20"/>
        </w:trPr>
        <w:tc>
          <w:tcPr>
            <w:tcW w:w="891" w:type="pct"/>
          </w:tcPr>
          <w:p w14:paraId="08A1896D" w14:textId="77777777" w:rsidR="00AB6084" w:rsidRPr="007360BB" w:rsidRDefault="00AB6084" w:rsidP="00C75DD2">
            <w:pPr>
              <w:pStyle w:val="BodyC"/>
              <w:tabs>
                <w:tab w:val="left" w:pos="1440"/>
              </w:tabs>
              <w:suppressAutoHyphens/>
              <w:outlineLvl w:val="0"/>
              <w:rPr>
                <w:rFonts w:cs="Times New Roman"/>
                <w:sz w:val="20"/>
                <w:szCs w:val="20"/>
                <w:lang w:val="en-GB"/>
              </w:rPr>
            </w:pPr>
            <w:r w:rsidRPr="007360BB">
              <w:rPr>
                <w:rFonts w:cs="Times New Roman"/>
                <w:b/>
                <w:bCs/>
                <w:sz w:val="20"/>
                <w:szCs w:val="20"/>
                <w:lang w:val="en-GB"/>
              </w:rPr>
              <w:t>Physiology</w:t>
            </w:r>
          </w:p>
        </w:tc>
        <w:tc>
          <w:tcPr>
            <w:tcW w:w="4109" w:type="pct"/>
          </w:tcPr>
          <w:p w14:paraId="3821C3BC" w14:textId="77777777" w:rsidR="00AB6084" w:rsidRPr="007360BB" w:rsidRDefault="00AB6084" w:rsidP="00C75DD2">
            <w:pPr>
              <w:pStyle w:val="BodyA"/>
              <w:spacing w:before="100" w:after="200"/>
              <w:rPr>
                <w:rFonts w:ascii="Times New Roman" w:hAnsi="Times New Roman" w:cs="Times New Roman"/>
                <w:sz w:val="20"/>
                <w:szCs w:val="20"/>
                <w:lang w:val="en-GB"/>
              </w:rPr>
            </w:pPr>
            <w:r w:rsidRPr="007360BB">
              <w:rPr>
                <w:rFonts w:ascii="Times New Roman" w:hAnsi="Times New Roman" w:cs="Times New Roman"/>
                <w:sz w:val="20"/>
                <w:szCs w:val="20"/>
                <w:lang w:val="en-GB"/>
              </w:rPr>
              <w:t>‘</w:t>
            </w:r>
            <w:proofErr w:type="gramStart"/>
            <w:r w:rsidRPr="007360BB">
              <w:rPr>
                <w:rFonts w:ascii="Times New Roman" w:hAnsi="Times New Roman" w:cs="Times New Roman"/>
                <w:sz w:val="20"/>
                <w:szCs w:val="20"/>
                <w:lang w:val="en-GB"/>
              </w:rPr>
              <w:t>we</w:t>
            </w:r>
            <w:proofErr w:type="gramEnd"/>
            <w:r w:rsidRPr="007360BB">
              <w:rPr>
                <w:rFonts w:ascii="Times New Roman" w:hAnsi="Times New Roman" w:cs="Times New Roman"/>
                <w:sz w:val="20"/>
                <w:szCs w:val="20"/>
                <w:lang w:val="en-GB"/>
              </w:rPr>
              <w:t xml:space="preserve"> know how a heart attack works, but how it’s triggered is different, so some things, the pathology stays the same, but the mechanism leading to that will change. There are things where it’s a bit of both, that basically some parts of these things are static. We know the answer or we’re </w:t>
            </w:r>
            <w:proofErr w:type="gramStart"/>
            <w:r w:rsidRPr="007360BB">
              <w:rPr>
                <w:rFonts w:ascii="Times New Roman" w:hAnsi="Times New Roman" w:cs="Times New Roman"/>
                <w:sz w:val="20"/>
                <w:szCs w:val="20"/>
                <w:lang w:val="en-GB"/>
              </w:rPr>
              <w:t>pretty certain</w:t>
            </w:r>
            <w:proofErr w:type="gramEnd"/>
            <w:r w:rsidRPr="007360BB">
              <w:rPr>
                <w:rFonts w:ascii="Times New Roman" w:hAnsi="Times New Roman" w:cs="Times New Roman"/>
                <w:sz w:val="20"/>
                <w:szCs w:val="20"/>
                <w:lang w:val="en-GB"/>
              </w:rPr>
              <w:t xml:space="preserve"> we know the answer, we just don't know how that happens, and it depends on the level of detail that we’re going into. (R4)’</w:t>
            </w:r>
          </w:p>
        </w:tc>
      </w:tr>
    </w:tbl>
    <w:p w14:paraId="59C630AD" w14:textId="77777777" w:rsidR="00AB6084" w:rsidRPr="004423E0" w:rsidRDefault="00AB6084" w:rsidP="004423E0">
      <w:pPr>
        <w:pStyle w:val="reference"/>
      </w:pPr>
    </w:p>
    <w:sectPr w:rsidR="00AB6084" w:rsidRPr="004423E0">
      <w:footerReference w:type="default" r:id="rId7"/>
      <w:pgSz w:w="11907" w:h="16840"/>
      <w:pgMar w:top="1418" w:right="1418" w:bottom="1134" w:left="25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162A" w14:textId="77777777" w:rsidR="001D2CA4" w:rsidRDefault="001D2CA4">
      <w:r>
        <w:separator/>
      </w:r>
    </w:p>
  </w:endnote>
  <w:endnote w:type="continuationSeparator" w:id="0">
    <w:p w14:paraId="5DA67C93" w14:textId="77777777" w:rsidR="001D2CA4" w:rsidRDefault="001D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6841" w14:textId="77777777" w:rsidR="00290907" w:rsidRDefault="00422CC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FC95" w14:textId="77777777" w:rsidR="001D2CA4" w:rsidRDefault="001D2CA4">
      <w:r>
        <w:separator/>
      </w:r>
    </w:p>
  </w:footnote>
  <w:footnote w:type="continuationSeparator" w:id="0">
    <w:p w14:paraId="0485CB35" w14:textId="77777777" w:rsidR="001D2CA4" w:rsidRDefault="001D2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BE0"/>
    <w:multiLevelType w:val="hybridMultilevel"/>
    <w:tmpl w:val="F9F00C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D1E0A"/>
    <w:multiLevelType w:val="hybridMultilevel"/>
    <w:tmpl w:val="2604A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97497"/>
    <w:multiLevelType w:val="hybridMultilevel"/>
    <w:tmpl w:val="3264B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5403C9"/>
    <w:multiLevelType w:val="hybridMultilevel"/>
    <w:tmpl w:val="3620E76C"/>
    <w:lvl w:ilvl="0" w:tplc="18CCAD20">
      <w:start w:val="1"/>
      <w:numFmt w:val="decimal"/>
      <w:lvlText w:val="%1."/>
      <w:lvlJc w:val="left"/>
      <w:pPr>
        <w:ind w:left="720" w:hanging="360"/>
      </w:pPr>
      <w:rPr>
        <w:rFonts w:cs="Arial"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9A"/>
    <w:rsid w:val="0000469A"/>
    <w:rsid w:val="000340E8"/>
    <w:rsid w:val="0004245F"/>
    <w:rsid w:val="00055767"/>
    <w:rsid w:val="000840ED"/>
    <w:rsid w:val="000D00E1"/>
    <w:rsid w:val="000F346D"/>
    <w:rsid w:val="001202E2"/>
    <w:rsid w:val="001615C5"/>
    <w:rsid w:val="00171037"/>
    <w:rsid w:val="001758EB"/>
    <w:rsid w:val="001A7CF7"/>
    <w:rsid w:val="001C4664"/>
    <w:rsid w:val="001D2CA4"/>
    <w:rsid w:val="002024F6"/>
    <w:rsid w:val="00227553"/>
    <w:rsid w:val="00231946"/>
    <w:rsid w:val="00250965"/>
    <w:rsid w:val="00290907"/>
    <w:rsid w:val="00297F60"/>
    <w:rsid w:val="00322E4F"/>
    <w:rsid w:val="00323BB0"/>
    <w:rsid w:val="00343899"/>
    <w:rsid w:val="00356CCF"/>
    <w:rsid w:val="00363524"/>
    <w:rsid w:val="0037458B"/>
    <w:rsid w:val="00375A6F"/>
    <w:rsid w:val="0038501B"/>
    <w:rsid w:val="00390834"/>
    <w:rsid w:val="00422720"/>
    <w:rsid w:val="00422CC8"/>
    <w:rsid w:val="004423E0"/>
    <w:rsid w:val="0045452F"/>
    <w:rsid w:val="004A4917"/>
    <w:rsid w:val="004C6B52"/>
    <w:rsid w:val="004F3A1C"/>
    <w:rsid w:val="004F5A08"/>
    <w:rsid w:val="005207E5"/>
    <w:rsid w:val="00597B34"/>
    <w:rsid w:val="005A4001"/>
    <w:rsid w:val="005F192C"/>
    <w:rsid w:val="00635BDD"/>
    <w:rsid w:val="00650ECA"/>
    <w:rsid w:val="00661F99"/>
    <w:rsid w:val="006E0B9B"/>
    <w:rsid w:val="006E6FB3"/>
    <w:rsid w:val="006E7725"/>
    <w:rsid w:val="00701E38"/>
    <w:rsid w:val="00702D8E"/>
    <w:rsid w:val="0071268F"/>
    <w:rsid w:val="007348B6"/>
    <w:rsid w:val="00746D64"/>
    <w:rsid w:val="00782EC5"/>
    <w:rsid w:val="007A3187"/>
    <w:rsid w:val="007C59DD"/>
    <w:rsid w:val="007D12C4"/>
    <w:rsid w:val="007F3BF5"/>
    <w:rsid w:val="0085454D"/>
    <w:rsid w:val="00864227"/>
    <w:rsid w:val="00895CCF"/>
    <w:rsid w:val="008C5987"/>
    <w:rsid w:val="008E768A"/>
    <w:rsid w:val="00900C7E"/>
    <w:rsid w:val="0090702F"/>
    <w:rsid w:val="00914792"/>
    <w:rsid w:val="009478C3"/>
    <w:rsid w:val="009D63CD"/>
    <w:rsid w:val="00A10E00"/>
    <w:rsid w:val="00A11D32"/>
    <w:rsid w:val="00A134EE"/>
    <w:rsid w:val="00A17FFA"/>
    <w:rsid w:val="00AB6084"/>
    <w:rsid w:val="00AC6DA5"/>
    <w:rsid w:val="00AE3C8D"/>
    <w:rsid w:val="00AE49A9"/>
    <w:rsid w:val="00B45720"/>
    <w:rsid w:val="00B50404"/>
    <w:rsid w:val="00B759CE"/>
    <w:rsid w:val="00B8483A"/>
    <w:rsid w:val="00BA2247"/>
    <w:rsid w:val="00BB7E5D"/>
    <w:rsid w:val="00C30028"/>
    <w:rsid w:val="00C32D7E"/>
    <w:rsid w:val="00C5149A"/>
    <w:rsid w:val="00C63B2A"/>
    <w:rsid w:val="00C674C0"/>
    <w:rsid w:val="00C94ECB"/>
    <w:rsid w:val="00CA2081"/>
    <w:rsid w:val="00CD720E"/>
    <w:rsid w:val="00CE5646"/>
    <w:rsid w:val="00D16DE2"/>
    <w:rsid w:val="00D75D81"/>
    <w:rsid w:val="00D805CB"/>
    <w:rsid w:val="00D81F16"/>
    <w:rsid w:val="00DE5C1B"/>
    <w:rsid w:val="00E10A47"/>
    <w:rsid w:val="00E90197"/>
    <w:rsid w:val="00EC2913"/>
    <w:rsid w:val="00EE4B25"/>
    <w:rsid w:val="00F67B70"/>
    <w:rsid w:val="00F70D19"/>
    <w:rsid w:val="00F73429"/>
    <w:rsid w:val="00FB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332C8"/>
  <w15:chartTrackingRefBased/>
  <w15:docId w15:val="{F756E4F0-3988-714F-93F0-D38A5E55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3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abbreviations">
    <w:name w:val="abbreviations"/>
    <w:basedOn w:val="abstract"/>
    <w:next w:val="Normal"/>
    <w:pPr>
      <w:tabs>
        <w:tab w:val="left" w:pos="3402"/>
      </w:tabs>
      <w:ind w:left="3402" w:hanging="3402"/>
    </w:pPr>
  </w:style>
  <w:style w:type="paragraph" w:customStyle="1" w:styleId="Title1">
    <w:name w:val="Titl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BodyA">
    <w:name w:val="Body A"/>
    <w:rsid w:val="004423E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pPr>
    <w:rPr>
      <w:i/>
    </w:rPr>
  </w:style>
  <w:style w:type="paragraph" w:customStyle="1" w:styleId="email">
    <w:name w:val="email"/>
    <w:basedOn w:val="Normal"/>
    <w:next w:val="url"/>
    <w:pPr>
      <w:spacing w:before="120"/>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rPr>
      <w:sz w:val="22"/>
    </w:r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character" w:customStyle="1" w:styleId="Hyperlink0">
    <w:name w:val="Hyperlink.0"/>
    <w:basedOn w:val="Hyperlink"/>
    <w:rsid w:val="004423E0"/>
    <w:rPr>
      <w:outline w:val="0"/>
      <w:color w:val="0000FF"/>
      <w:u w:val="single" w:color="0000FF"/>
    </w:rPr>
  </w:style>
  <w:style w:type="paragraph" w:customStyle="1" w:styleId="url">
    <w:name w:val="url"/>
    <w:basedOn w:val="email"/>
    <w:next w:val="Normal"/>
  </w:style>
  <w:style w:type="paragraph" w:customStyle="1" w:styleId="Default">
    <w:name w:val="Default"/>
    <w:rsid w:val="004423E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BodyB">
    <w:name w:val="Body B"/>
    <w:rsid w:val="004423E0"/>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
    <w:name w:val="Body"/>
    <w:rsid w:val="004423E0"/>
    <w:pPr>
      <w:pBdr>
        <w:top w:val="nil"/>
        <w:left w:val="nil"/>
        <w:bottom w:val="nil"/>
        <w:right w:val="nil"/>
        <w:between w:val="nil"/>
        <w:bar w:val="nil"/>
      </w:pBdr>
    </w:pPr>
    <w:rPr>
      <w:rFonts w:eastAsia="Arial Unicode MS" w:cs="Arial Unicode MS"/>
      <w:color w:val="000000"/>
      <w:sz w:val="24"/>
      <w:szCs w:val="24"/>
      <w:u w:color="000000"/>
      <w:bdr w:val="nil"/>
      <w:lang w:val="en-US"/>
      <w14:textOutline w14:w="0" w14:cap="flat" w14:cmpd="sng" w14:algn="ctr">
        <w14:noFill/>
        <w14:prstDash w14:val="solid"/>
        <w14:bevel/>
      </w14:textOutline>
    </w:rPr>
  </w:style>
  <w:style w:type="paragraph" w:customStyle="1" w:styleId="BodyC">
    <w:name w:val="Body C"/>
    <w:rsid w:val="004423E0"/>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Footnote">
    <w:name w:val="Footnote"/>
    <w:rsid w:val="004423E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styleId="NormalWeb">
    <w:name w:val="Normal (Web)"/>
    <w:basedOn w:val="Normal"/>
    <w:uiPriority w:val="99"/>
    <w:unhideWhenUsed/>
    <w:rsid w:val="004423E0"/>
    <w:pPr>
      <w:spacing w:before="100" w:beforeAutospacing="1" w:after="100" w:afterAutospacing="1"/>
    </w:pPr>
  </w:style>
  <w:style w:type="paragraph" w:styleId="CommentText">
    <w:name w:val="annotation text"/>
    <w:basedOn w:val="Normal"/>
    <w:link w:val="CommentTextChar"/>
    <w:uiPriority w:val="99"/>
    <w:unhideWhenUsed/>
    <w:rsid w:val="004423E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423E0"/>
    <w:rPr>
      <w:rFonts w:asciiTheme="minorHAnsi" w:eastAsiaTheme="minorHAnsi" w:hAnsiTheme="minorHAnsi" w:cstheme="minorBidi"/>
      <w:lang w:eastAsia="en-US"/>
    </w:rPr>
  </w:style>
  <w:style w:type="paragraph" w:styleId="ListParagraph">
    <w:name w:val="List Paragraph"/>
    <w:basedOn w:val="Normal"/>
    <w:uiPriority w:val="34"/>
    <w:qFormat/>
    <w:rsid w:val="004423E0"/>
    <w:pPr>
      <w:ind w:left="720"/>
      <w:contextualSpacing/>
    </w:pPr>
  </w:style>
  <w:style w:type="table" w:styleId="TableGrid">
    <w:name w:val="Table Grid"/>
    <w:basedOn w:val="TableNormal"/>
    <w:uiPriority w:val="39"/>
    <w:rsid w:val="004423E0"/>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423E0"/>
    <w:rPr>
      <w:color w:val="0563C1" w:themeColor="hyperlink"/>
      <w:u w:val="single"/>
    </w:rPr>
  </w:style>
  <w:style w:type="table" w:styleId="TableGridLight">
    <w:name w:val="Grid Table Light"/>
    <w:basedOn w:val="TableNormal"/>
    <w:uiPriority w:val="40"/>
    <w:rsid w:val="00AB60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rsid w:val="00B50404"/>
    <w:rPr>
      <w:sz w:val="16"/>
      <w:szCs w:val="16"/>
    </w:rPr>
  </w:style>
  <w:style w:type="paragraph" w:styleId="CommentSubject">
    <w:name w:val="annotation subject"/>
    <w:basedOn w:val="CommentText"/>
    <w:next w:val="CommentText"/>
    <w:link w:val="CommentSubjectChar"/>
    <w:rsid w:val="00B50404"/>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rsid w:val="00B50404"/>
    <w:rPr>
      <w:rFonts w:asciiTheme="minorHAnsi" w:eastAsiaTheme="minorHAnsi" w:hAnsiTheme="minorHAnsi" w:cstheme="minorBidi"/>
      <w:b/>
      <w:bCs/>
      <w:lang w:eastAsia="en-US"/>
    </w:rPr>
  </w:style>
  <w:style w:type="paragraph" w:styleId="Revision">
    <w:name w:val="Revision"/>
    <w:hidden/>
    <w:uiPriority w:val="99"/>
    <w:semiHidden/>
    <w:rsid w:val="00C674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5749</Words>
  <Characters>32771</Characters>
  <Application>Microsoft Office Word</Application>
  <DocSecurity>0</DocSecurity>
  <Lines>273</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38444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Eva Luksaite</dc:creator>
  <cp:keywords/>
  <dc:description>Springer Heidelberg 2005</dc:description>
  <cp:lastModifiedBy>Eva Luksaite</cp:lastModifiedBy>
  <cp:revision>2</cp:revision>
  <cp:lastPrinted>1997-08-25T16:11:00Z</cp:lastPrinted>
  <dcterms:created xsi:type="dcterms:W3CDTF">2021-12-07T15:35:00Z</dcterms:created>
  <dcterms:modified xsi:type="dcterms:W3CDTF">2021-12-07T15:35:00Z</dcterms:modified>
</cp:coreProperties>
</file>