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115A6" w14:textId="77777777" w:rsidR="00E65B26" w:rsidRPr="00795E6D" w:rsidRDefault="001F3644" w:rsidP="000E6DF0">
      <w:pPr>
        <w:pStyle w:val="NoSpacing"/>
        <w:jc w:val="center"/>
        <w:rPr>
          <w:rFonts w:ascii="Times New Roman" w:hAnsi="Times New Roman" w:cs="Times New Roman"/>
          <w:b/>
          <w:bCs/>
          <w:caps/>
        </w:rPr>
      </w:pPr>
      <w:r w:rsidRPr="00795E6D">
        <w:rPr>
          <w:rFonts w:ascii="Times New Roman" w:hAnsi="Times New Roman" w:cs="Times New Roman"/>
          <w:b/>
          <w:bCs/>
          <w:caps/>
        </w:rPr>
        <w:t>“</w:t>
      </w:r>
      <w:r w:rsidR="006366C9" w:rsidRPr="00795E6D">
        <w:rPr>
          <w:rFonts w:ascii="Times New Roman" w:hAnsi="Times New Roman" w:cs="Times New Roman"/>
          <w:b/>
          <w:bCs/>
          <w:caps/>
        </w:rPr>
        <w:t>This man with dementia</w:t>
      </w:r>
      <w:r w:rsidR="00B04048" w:rsidRPr="00795E6D">
        <w:rPr>
          <w:rFonts w:ascii="Times New Roman" w:hAnsi="Times New Roman" w:cs="Times New Roman"/>
          <w:b/>
          <w:bCs/>
          <w:caps/>
        </w:rPr>
        <w:t>”</w:t>
      </w:r>
      <w:r w:rsidR="009B5D67" w:rsidRPr="00795E6D">
        <w:rPr>
          <w:rStyle w:val="FootnoteReference"/>
          <w:rFonts w:ascii="Times New Roman" w:hAnsi="Times New Roman" w:cs="Times New Roman"/>
          <w:b/>
          <w:bCs/>
          <w:caps/>
        </w:rPr>
        <w:footnoteReference w:id="1"/>
      </w:r>
      <w:r w:rsidR="000028FE" w:rsidRPr="00795E6D">
        <w:rPr>
          <w:rFonts w:ascii="Times New Roman" w:hAnsi="Times New Roman" w:cs="Times New Roman"/>
          <w:b/>
          <w:bCs/>
          <w:caps/>
        </w:rPr>
        <w:t xml:space="preserve"> </w:t>
      </w:r>
      <w:r w:rsidR="007C0D0F" w:rsidRPr="00795E6D">
        <w:rPr>
          <w:rFonts w:ascii="Times New Roman" w:hAnsi="Times New Roman" w:cs="Times New Roman"/>
          <w:b/>
          <w:bCs/>
          <w:caps/>
        </w:rPr>
        <w:t>–</w:t>
      </w:r>
      <w:r w:rsidR="000028FE" w:rsidRPr="00795E6D">
        <w:rPr>
          <w:rFonts w:ascii="Times New Roman" w:hAnsi="Times New Roman" w:cs="Times New Roman"/>
          <w:b/>
          <w:bCs/>
          <w:caps/>
        </w:rPr>
        <w:t xml:space="preserve"> </w:t>
      </w:r>
      <w:r w:rsidR="007C0D0F" w:rsidRPr="00795E6D">
        <w:rPr>
          <w:rFonts w:ascii="Times New Roman" w:hAnsi="Times New Roman" w:cs="Times New Roman"/>
          <w:b/>
          <w:bCs/>
          <w:caps/>
        </w:rPr>
        <w:t>‘Othering’ the person</w:t>
      </w:r>
      <w:r w:rsidR="000028FE" w:rsidRPr="00795E6D">
        <w:rPr>
          <w:rFonts w:ascii="Times New Roman" w:hAnsi="Times New Roman" w:cs="Times New Roman"/>
          <w:b/>
          <w:bCs/>
          <w:caps/>
        </w:rPr>
        <w:t xml:space="preserve"> with dementia in the Court of Protection.</w:t>
      </w:r>
    </w:p>
    <w:p w14:paraId="66B86974" w14:textId="77777777" w:rsidR="006A2438" w:rsidRPr="000D3040" w:rsidRDefault="006A2438" w:rsidP="000E6DF0">
      <w:pPr>
        <w:pStyle w:val="NoSpacing"/>
        <w:jc w:val="both"/>
        <w:rPr>
          <w:rFonts w:ascii="Times New Roman" w:hAnsi="Times New Roman" w:cs="Times New Roman"/>
          <w:b/>
        </w:rPr>
      </w:pPr>
    </w:p>
    <w:p w14:paraId="4BB27369" w14:textId="77777777" w:rsidR="00D9376E" w:rsidRPr="000D3040" w:rsidRDefault="00D9376E" w:rsidP="000E6DF0">
      <w:pPr>
        <w:pStyle w:val="NoSpacing"/>
        <w:jc w:val="both"/>
        <w:rPr>
          <w:rFonts w:ascii="Times New Roman" w:hAnsi="Times New Roman" w:cs="Times New Roman"/>
        </w:rPr>
      </w:pPr>
    </w:p>
    <w:p w14:paraId="18026F0B" w14:textId="4E630C65" w:rsidR="00B31FE2" w:rsidRDefault="00D9376E" w:rsidP="00405255">
      <w:pPr>
        <w:pStyle w:val="NoSpacing"/>
        <w:jc w:val="both"/>
        <w:rPr>
          <w:rFonts w:ascii="Times New Roman" w:hAnsi="Times New Roman" w:cs="Times New Roman"/>
          <w:b/>
        </w:rPr>
      </w:pPr>
      <w:r w:rsidRPr="000D3040">
        <w:rPr>
          <w:rFonts w:ascii="Times New Roman" w:hAnsi="Times New Roman" w:cs="Times New Roman"/>
          <w:b/>
        </w:rPr>
        <w:t xml:space="preserve">Abstract: </w:t>
      </w:r>
      <w:r w:rsidR="00A865A0" w:rsidRPr="000D3040">
        <w:rPr>
          <w:rFonts w:ascii="Times New Roman" w:hAnsi="Times New Roman" w:cs="Times New Roman"/>
        </w:rPr>
        <w:t xml:space="preserve">In recent years, dementia has been subjected to an increasing ethical, legal and political gaze.  This article analyses how the Court of Protection considers the </w:t>
      </w:r>
      <w:r w:rsidR="008709A3" w:rsidRPr="000D3040">
        <w:rPr>
          <w:rFonts w:ascii="Times New Roman" w:hAnsi="Times New Roman" w:cs="Times New Roman"/>
        </w:rPr>
        <w:t>perspective</w:t>
      </w:r>
      <w:r w:rsidR="00A865A0" w:rsidRPr="000D3040">
        <w:rPr>
          <w:rFonts w:ascii="Times New Roman" w:hAnsi="Times New Roman" w:cs="Times New Roman"/>
        </w:rPr>
        <w:t xml:space="preserve"> of the person with dementia when making best interests decisions on their behalf under the </w:t>
      </w:r>
      <w:r w:rsidR="000E6DF0" w:rsidRPr="000D3040">
        <w:rPr>
          <w:rFonts w:ascii="Times New Roman" w:hAnsi="Times New Roman" w:cs="Times New Roman"/>
        </w:rPr>
        <w:t xml:space="preserve">Mental Capacity </w:t>
      </w:r>
      <w:r w:rsidR="00A865A0" w:rsidRPr="000D3040">
        <w:rPr>
          <w:rFonts w:ascii="Times New Roman" w:hAnsi="Times New Roman" w:cs="Times New Roman"/>
        </w:rPr>
        <w:t>Act</w:t>
      </w:r>
      <w:r w:rsidR="000E6DF0" w:rsidRPr="000D3040">
        <w:rPr>
          <w:rFonts w:ascii="Times New Roman" w:hAnsi="Times New Roman" w:cs="Times New Roman"/>
        </w:rPr>
        <w:t xml:space="preserve"> 2005</w:t>
      </w:r>
      <w:r w:rsidR="00A865A0" w:rsidRPr="000D3040">
        <w:rPr>
          <w:rFonts w:ascii="Times New Roman" w:hAnsi="Times New Roman" w:cs="Times New Roman"/>
        </w:rPr>
        <w:t xml:space="preserve">. </w:t>
      </w:r>
      <w:r w:rsidR="00CA0906">
        <w:rPr>
          <w:rFonts w:ascii="Times New Roman" w:hAnsi="Times New Roman" w:cs="Times New Roman"/>
          <w:lang w:val="en-US"/>
        </w:rPr>
        <w:t>The</w:t>
      </w:r>
      <w:r w:rsidR="00A32C29">
        <w:rPr>
          <w:rFonts w:ascii="Times New Roman" w:hAnsi="Times New Roman" w:cs="Times New Roman"/>
          <w:lang w:val="en-US"/>
        </w:rPr>
        <w:t xml:space="preserve"> </w:t>
      </w:r>
      <w:r w:rsidR="00B72333">
        <w:rPr>
          <w:rFonts w:ascii="Times New Roman" w:hAnsi="Times New Roman" w:cs="Times New Roman"/>
          <w:lang w:val="en-US"/>
        </w:rPr>
        <w:t>article</w:t>
      </w:r>
      <w:r w:rsidR="00582B28">
        <w:rPr>
          <w:rFonts w:ascii="Times New Roman" w:hAnsi="Times New Roman" w:cs="Times New Roman"/>
          <w:lang w:val="en-US"/>
        </w:rPr>
        <w:t xml:space="preserve"> draws upon feminist and disability literature to highlight how </w:t>
      </w:r>
      <w:r w:rsidR="00D94EB0" w:rsidRPr="000D3040">
        <w:rPr>
          <w:rFonts w:ascii="Times New Roman" w:hAnsi="Times New Roman" w:cs="Times New Roman"/>
          <w:lang w:val="en-US"/>
        </w:rPr>
        <w:t xml:space="preserve">the Court has, on occasions, </w:t>
      </w:r>
      <w:r w:rsidR="00582B28">
        <w:rPr>
          <w:rFonts w:ascii="Times New Roman" w:hAnsi="Times New Roman" w:cs="Times New Roman"/>
          <w:lang w:val="en-US"/>
        </w:rPr>
        <w:t>‘othered’</w:t>
      </w:r>
      <w:r w:rsidR="00D94EB0" w:rsidRPr="000D3040">
        <w:rPr>
          <w:rFonts w:ascii="Times New Roman" w:hAnsi="Times New Roman" w:cs="Times New Roman"/>
          <w:lang w:val="en-US"/>
        </w:rPr>
        <w:t xml:space="preserve"> the person with dementia </w:t>
      </w:r>
      <w:r w:rsidR="00582B28">
        <w:rPr>
          <w:rFonts w:ascii="Times New Roman" w:hAnsi="Times New Roman" w:cs="Times New Roman"/>
          <w:lang w:val="en-US"/>
        </w:rPr>
        <w:t>during the process of making</w:t>
      </w:r>
      <w:r w:rsidR="00D94EB0" w:rsidRPr="000D3040">
        <w:rPr>
          <w:rFonts w:ascii="Times New Roman" w:hAnsi="Times New Roman" w:cs="Times New Roman"/>
          <w:lang w:val="en-US"/>
        </w:rPr>
        <w:t xml:space="preserve"> best interests decisions</w:t>
      </w:r>
      <w:r w:rsidR="00582B28">
        <w:rPr>
          <w:rFonts w:ascii="Times New Roman" w:hAnsi="Times New Roman" w:cs="Times New Roman"/>
          <w:lang w:val="en-US"/>
        </w:rPr>
        <w:t>. This is de</w:t>
      </w:r>
      <w:r w:rsidR="00D94EB0" w:rsidRPr="000D3040">
        <w:rPr>
          <w:rFonts w:ascii="Times New Roman" w:hAnsi="Times New Roman" w:cs="Times New Roman"/>
          <w:lang w:val="en-US"/>
        </w:rPr>
        <w:t>spite law and policy increasingly emphasising that the views of the person who lack</w:t>
      </w:r>
      <w:r w:rsidR="00E772F5">
        <w:rPr>
          <w:rFonts w:ascii="Times New Roman" w:hAnsi="Times New Roman" w:cs="Times New Roman"/>
          <w:lang w:val="en-US"/>
        </w:rPr>
        <w:t>s</w:t>
      </w:r>
      <w:r w:rsidR="00D94EB0" w:rsidRPr="000D3040">
        <w:rPr>
          <w:rFonts w:ascii="Times New Roman" w:hAnsi="Times New Roman" w:cs="Times New Roman"/>
          <w:lang w:val="en-US"/>
        </w:rPr>
        <w:t xml:space="preserve"> capacity should be central to any best interests decision</w:t>
      </w:r>
      <w:r w:rsidR="00582B28">
        <w:rPr>
          <w:rFonts w:ascii="Times New Roman" w:hAnsi="Times New Roman" w:cs="Times New Roman"/>
          <w:lang w:val="en-US"/>
        </w:rPr>
        <w:t>, as well as emphasising the importance of de-stigmatisation of cognitive impairments, such as dementia</w:t>
      </w:r>
      <w:r w:rsidR="000E6DF0" w:rsidRPr="000D3040">
        <w:rPr>
          <w:rFonts w:ascii="Times New Roman" w:hAnsi="Times New Roman" w:cs="Times New Roman"/>
        </w:rPr>
        <w:t>. Finally,</w:t>
      </w:r>
      <w:r w:rsidR="007C0D0F" w:rsidRPr="000D3040">
        <w:rPr>
          <w:rFonts w:ascii="Times New Roman" w:hAnsi="Times New Roman" w:cs="Times New Roman"/>
        </w:rPr>
        <w:t xml:space="preserve"> using examples from recent cases,</w:t>
      </w:r>
      <w:r w:rsidR="000E6DF0" w:rsidRPr="000D3040">
        <w:rPr>
          <w:rFonts w:ascii="Times New Roman" w:hAnsi="Times New Roman" w:cs="Times New Roman"/>
        </w:rPr>
        <w:t xml:space="preserve"> </w:t>
      </w:r>
      <w:r w:rsidR="00CA0906">
        <w:rPr>
          <w:rFonts w:ascii="Times New Roman" w:hAnsi="Times New Roman" w:cs="Times New Roman"/>
          <w:lang w:val="en-US"/>
        </w:rPr>
        <w:t>it is</w:t>
      </w:r>
      <w:r w:rsidR="00D94EB0" w:rsidRPr="000D3040">
        <w:rPr>
          <w:rFonts w:ascii="Times New Roman" w:hAnsi="Times New Roman" w:cs="Times New Roman"/>
          <w:lang w:val="en-US"/>
        </w:rPr>
        <w:t xml:space="preserve"> argue</w:t>
      </w:r>
      <w:r w:rsidR="00CA0906">
        <w:rPr>
          <w:rFonts w:ascii="Times New Roman" w:hAnsi="Times New Roman" w:cs="Times New Roman"/>
          <w:lang w:val="en-US"/>
        </w:rPr>
        <w:t>d</w:t>
      </w:r>
      <w:r w:rsidR="00D94EB0" w:rsidRPr="000D3040">
        <w:rPr>
          <w:rFonts w:ascii="Times New Roman" w:hAnsi="Times New Roman" w:cs="Times New Roman"/>
          <w:lang w:val="en-US"/>
        </w:rPr>
        <w:t xml:space="preserve"> that by </w:t>
      </w:r>
      <w:r w:rsidR="00154C45">
        <w:rPr>
          <w:rFonts w:ascii="Times New Roman" w:hAnsi="Times New Roman" w:cs="Times New Roman"/>
          <w:lang w:val="en-US"/>
        </w:rPr>
        <w:t>adopting an intersubjective approach</w:t>
      </w:r>
      <w:r w:rsidR="000B7B10">
        <w:rPr>
          <w:rFonts w:ascii="Times New Roman" w:hAnsi="Times New Roman" w:cs="Times New Roman"/>
          <w:lang w:val="en-US"/>
        </w:rPr>
        <w:t xml:space="preserve">, and </w:t>
      </w:r>
      <w:r w:rsidR="00D94EB0" w:rsidRPr="000D3040">
        <w:rPr>
          <w:rFonts w:ascii="Times New Roman" w:hAnsi="Times New Roman" w:cs="Times New Roman"/>
          <w:lang w:val="en-US"/>
        </w:rPr>
        <w:t xml:space="preserve">by recognising and exploring the complexity of the relationships that the person with dementia has, the Court can go some way to avoiding the </w:t>
      </w:r>
      <w:r w:rsidR="00154C45">
        <w:rPr>
          <w:rFonts w:ascii="Times New Roman" w:hAnsi="Times New Roman" w:cs="Times New Roman"/>
          <w:lang w:val="en-US"/>
        </w:rPr>
        <w:t>process of ‘othering’</w:t>
      </w:r>
      <w:r w:rsidR="00D94EB0" w:rsidRPr="000D3040">
        <w:rPr>
          <w:rFonts w:ascii="Times New Roman" w:hAnsi="Times New Roman" w:cs="Times New Roman"/>
          <w:lang w:val="en-US"/>
        </w:rPr>
        <w:t>.</w:t>
      </w:r>
      <w:r w:rsidR="00D94EB0" w:rsidRPr="000D3040">
        <w:rPr>
          <w:rFonts w:ascii="Times New Roman" w:hAnsi="Times New Roman" w:cs="Times New Roman"/>
          <w:b/>
          <w:lang w:val="en-US"/>
        </w:rPr>
        <w:t xml:space="preserve">  </w:t>
      </w:r>
    </w:p>
    <w:p w14:paraId="306AC20D" w14:textId="77777777" w:rsidR="00405255" w:rsidRPr="00405255" w:rsidRDefault="00405255" w:rsidP="00405255">
      <w:pPr>
        <w:pStyle w:val="NoSpacing"/>
        <w:jc w:val="both"/>
        <w:rPr>
          <w:rFonts w:ascii="Times New Roman" w:hAnsi="Times New Roman" w:cs="Times New Roman"/>
          <w:b/>
        </w:rPr>
      </w:pPr>
    </w:p>
    <w:p w14:paraId="0AA34A63" w14:textId="77777777" w:rsidR="00405255" w:rsidRPr="000D3040" w:rsidRDefault="00405255" w:rsidP="00405255">
      <w:pPr>
        <w:pStyle w:val="NoSpacing"/>
        <w:jc w:val="both"/>
        <w:rPr>
          <w:rFonts w:ascii="Times New Roman" w:hAnsi="Times New Roman" w:cs="Times New Roman"/>
        </w:rPr>
      </w:pPr>
      <w:r w:rsidRPr="000D3040">
        <w:rPr>
          <w:rFonts w:ascii="Times New Roman" w:hAnsi="Times New Roman" w:cs="Times New Roman"/>
          <w:b/>
        </w:rPr>
        <w:t>Keywords:</w:t>
      </w:r>
      <w:r w:rsidRPr="000D3040">
        <w:rPr>
          <w:rFonts w:ascii="Times New Roman" w:hAnsi="Times New Roman" w:cs="Times New Roman"/>
        </w:rPr>
        <w:t xml:space="preserve"> best interests, dementia, Mental Capacity Act 2005, </w:t>
      </w:r>
      <w:r>
        <w:rPr>
          <w:rFonts w:ascii="Times New Roman" w:hAnsi="Times New Roman" w:cs="Times New Roman"/>
        </w:rPr>
        <w:t xml:space="preserve">othering, values and beliefs, </w:t>
      </w:r>
      <w:r w:rsidRPr="000D3040">
        <w:rPr>
          <w:rFonts w:ascii="Times New Roman" w:hAnsi="Times New Roman" w:cs="Times New Roman"/>
        </w:rPr>
        <w:t>wishes and feelings.</w:t>
      </w:r>
    </w:p>
    <w:p w14:paraId="35696D64" w14:textId="77777777" w:rsidR="00405255" w:rsidRPr="000D3040" w:rsidRDefault="00405255" w:rsidP="000E6DF0">
      <w:pPr>
        <w:pStyle w:val="NoSpacing"/>
        <w:spacing w:line="480" w:lineRule="auto"/>
        <w:jc w:val="both"/>
        <w:rPr>
          <w:rFonts w:ascii="Times New Roman" w:hAnsi="Times New Roman" w:cs="Times New Roman"/>
        </w:rPr>
      </w:pPr>
    </w:p>
    <w:p w14:paraId="28965C5D" w14:textId="77777777" w:rsidR="00644BB8" w:rsidRPr="00795E6D" w:rsidRDefault="007027F2" w:rsidP="000E6DF0">
      <w:pPr>
        <w:pStyle w:val="NoSpacing"/>
        <w:spacing w:line="480" w:lineRule="auto"/>
        <w:jc w:val="center"/>
        <w:rPr>
          <w:rFonts w:ascii="Times New Roman" w:hAnsi="Times New Roman" w:cs="Times New Roman"/>
        </w:rPr>
      </w:pPr>
      <w:r w:rsidRPr="00795E6D">
        <w:rPr>
          <w:rFonts w:ascii="Times New Roman" w:hAnsi="Times New Roman" w:cs="Times New Roman"/>
        </w:rPr>
        <w:t xml:space="preserve">I. </w:t>
      </w:r>
      <w:r w:rsidR="00E13496" w:rsidRPr="00795E6D">
        <w:rPr>
          <w:rFonts w:ascii="Times New Roman" w:hAnsi="Times New Roman" w:cs="Times New Roman"/>
        </w:rPr>
        <w:t>INTRODUCTION</w:t>
      </w:r>
      <w:r w:rsidR="002C074E">
        <w:rPr>
          <w:rFonts w:ascii="Times New Roman" w:hAnsi="Times New Roman" w:cs="Times New Roman"/>
        </w:rPr>
        <w:t>.</w:t>
      </w:r>
    </w:p>
    <w:p w14:paraId="2B6216C1" w14:textId="2C1F402D" w:rsidR="005B0651" w:rsidRPr="000D3040" w:rsidRDefault="00F673F4" w:rsidP="000E6DF0">
      <w:pPr>
        <w:pStyle w:val="NoSpacing"/>
        <w:spacing w:line="480" w:lineRule="auto"/>
        <w:jc w:val="both"/>
        <w:rPr>
          <w:rFonts w:ascii="Times New Roman" w:hAnsi="Times New Roman" w:cs="Times New Roman"/>
        </w:rPr>
      </w:pPr>
      <w:r w:rsidRPr="000D3040">
        <w:rPr>
          <w:rFonts w:ascii="Times New Roman" w:hAnsi="Times New Roman" w:cs="Times New Roman"/>
        </w:rPr>
        <w:t>T</w:t>
      </w:r>
      <w:r w:rsidR="00D66FB8" w:rsidRPr="000D3040">
        <w:rPr>
          <w:rFonts w:ascii="Times New Roman" w:hAnsi="Times New Roman" w:cs="Times New Roman"/>
        </w:rPr>
        <w:t xml:space="preserve">he number of </w:t>
      </w:r>
      <w:r w:rsidR="00222186" w:rsidRPr="000D3040">
        <w:rPr>
          <w:rFonts w:ascii="Times New Roman" w:hAnsi="Times New Roman" w:cs="Times New Roman"/>
        </w:rPr>
        <w:t>people</w:t>
      </w:r>
      <w:r w:rsidR="00D66FB8" w:rsidRPr="000D3040">
        <w:rPr>
          <w:rFonts w:ascii="Times New Roman" w:hAnsi="Times New Roman" w:cs="Times New Roman"/>
        </w:rPr>
        <w:t xml:space="preserve"> </w:t>
      </w:r>
      <w:r w:rsidR="00BA6C59">
        <w:rPr>
          <w:rFonts w:ascii="Times New Roman" w:hAnsi="Times New Roman" w:cs="Times New Roman"/>
        </w:rPr>
        <w:t>with</w:t>
      </w:r>
      <w:r w:rsidR="00D66FB8" w:rsidRPr="000D3040">
        <w:rPr>
          <w:rFonts w:ascii="Times New Roman" w:hAnsi="Times New Roman" w:cs="Times New Roman"/>
        </w:rPr>
        <w:t xml:space="preserve"> dementia</w:t>
      </w:r>
      <w:r w:rsidR="006366C9" w:rsidRPr="000D3040">
        <w:rPr>
          <w:rStyle w:val="FootnoteReference"/>
          <w:rFonts w:ascii="Times New Roman" w:hAnsi="Times New Roman" w:cs="Times New Roman"/>
        </w:rPr>
        <w:footnoteReference w:id="2"/>
      </w:r>
      <w:r w:rsidR="006366C9" w:rsidRPr="000D3040">
        <w:rPr>
          <w:rFonts w:ascii="Times New Roman" w:hAnsi="Times New Roman" w:cs="Times New Roman"/>
        </w:rPr>
        <w:t xml:space="preserve"> </w:t>
      </w:r>
      <w:r w:rsidR="00733113" w:rsidRPr="000D3040">
        <w:rPr>
          <w:rFonts w:ascii="Times New Roman" w:hAnsi="Times New Roman" w:cs="Times New Roman"/>
        </w:rPr>
        <w:t>in the United Kingdom</w:t>
      </w:r>
      <w:r w:rsidR="00D66FB8" w:rsidRPr="000D3040">
        <w:rPr>
          <w:rFonts w:ascii="Times New Roman" w:hAnsi="Times New Roman" w:cs="Times New Roman"/>
        </w:rPr>
        <w:t xml:space="preserve"> </w:t>
      </w:r>
      <w:r w:rsidR="00733113" w:rsidRPr="000D3040">
        <w:rPr>
          <w:rFonts w:ascii="Times New Roman" w:hAnsi="Times New Roman" w:cs="Times New Roman"/>
        </w:rPr>
        <w:t>stands at approximately 800,000,</w:t>
      </w:r>
      <w:r w:rsidR="004A069E" w:rsidRPr="000D3040">
        <w:rPr>
          <w:rFonts w:ascii="Times New Roman" w:hAnsi="Times New Roman" w:cs="Times New Roman"/>
        </w:rPr>
        <w:t xml:space="preserve"> </w:t>
      </w:r>
      <w:r w:rsidR="006366C9" w:rsidRPr="000D3040">
        <w:rPr>
          <w:rFonts w:ascii="Times New Roman" w:hAnsi="Times New Roman" w:cs="Times New Roman"/>
        </w:rPr>
        <w:t xml:space="preserve">and is </w:t>
      </w:r>
      <w:r w:rsidR="004A069E" w:rsidRPr="000D3040">
        <w:rPr>
          <w:rFonts w:ascii="Times New Roman" w:hAnsi="Times New Roman" w:cs="Times New Roman"/>
        </w:rPr>
        <w:t>estim</w:t>
      </w:r>
      <w:r w:rsidR="006366C9" w:rsidRPr="000D3040">
        <w:rPr>
          <w:rFonts w:ascii="Times New Roman" w:hAnsi="Times New Roman" w:cs="Times New Roman"/>
        </w:rPr>
        <w:t xml:space="preserve">ated to reach 1 million by 2025. </w:t>
      </w:r>
      <w:r w:rsidR="00611704" w:rsidRPr="000D3040">
        <w:rPr>
          <w:rFonts w:ascii="Times New Roman" w:hAnsi="Times New Roman" w:cs="Times New Roman"/>
        </w:rPr>
        <w:t>The prevalence of dementia</w:t>
      </w:r>
      <w:r w:rsidR="00D66FB8" w:rsidRPr="000D3040">
        <w:rPr>
          <w:rFonts w:ascii="Times New Roman" w:hAnsi="Times New Roman" w:cs="Times New Roman"/>
        </w:rPr>
        <w:t xml:space="preserve"> </w:t>
      </w:r>
      <w:r w:rsidR="006366C9" w:rsidRPr="000D3040">
        <w:rPr>
          <w:rFonts w:ascii="Times New Roman" w:hAnsi="Times New Roman" w:cs="Times New Roman"/>
        </w:rPr>
        <w:t>doubles for every five-</w:t>
      </w:r>
      <w:r w:rsidR="004A069E" w:rsidRPr="000D3040">
        <w:rPr>
          <w:rFonts w:ascii="Times New Roman" w:hAnsi="Times New Roman" w:cs="Times New Roman"/>
        </w:rPr>
        <w:t>year age group</w:t>
      </w:r>
      <w:r w:rsidR="006366C9" w:rsidRPr="000D3040">
        <w:rPr>
          <w:rFonts w:ascii="Times New Roman" w:hAnsi="Times New Roman" w:cs="Times New Roman"/>
        </w:rPr>
        <w:t xml:space="preserve"> meaning the oldest age groups are those most likely to be affected</w:t>
      </w:r>
      <w:r w:rsidR="004A069E" w:rsidRPr="000D3040">
        <w:rPr>
          <w:rFonts w:ascii="Times New Roman" w:hAnsi="Times New Roman" w:cs="Times New Roman"/>
        </w:rPr>
        <w:t>,</w:t>
      </w:r>
      <w:r w:rsidR="006141CC" w:rsidRPr="000D3040">
        <w:rPr>
          <w:rFonts w:ascii="Times New Roman" w:hAnsi="Times New Roman" w:cs="Times New Roman"/>
        </w:rPr>
        <w:t xml:space="preserve"> </w:t>
      </w:r>
      <w:r w:rsidR="00D66FB8" w:rsidRPr="000D3040">
        <w:rPr>
          <w:rFonts w:ascii="Times New Roman" w:hAnsi="Times New Roman" w:cs="Times New Roman"/>
        </w:rPr>
        <w:t>and</w:t>
      </w:r>
      <w:r w:rsidR="006366C9" w:rsidRPr="000D3040">
        <w:rPr>
          <w:rFonts w:ascii="Times New Roman" w:hAnsi="Times New Roman" w:cs="Times New Roman"/>
        </w:rPr>
        <w:t xml:space="preserve"> it</w:t>
      </w:r>
      <w:r w:rsidR="00D66FB8" w:rsidRPr="000D3040">
        <w:rPr>
          <w:rFonts w:ascii="Times New Roman" w:hAnsi="Times New Roman" w:cs="Times New Roman"/>
        </w:rPr>
        <w:t xml:space="preserve"> currently costs the economy an estimated £26 billion a year</w:t>
      </w:r>
      <w:r w:rsidR="00D66FB8" w:rsidRPr="000D3040">
        <w:rPr>
          <w:rStyle w:val="FootnoteReference"/>
          <w:rFonts w:ascii="Times New Roman" w:hAnsi="Times New Roman" w:cs="Times New Roman"/>
        </w:rPr>
        <w:footnoteReference w:id="3"/>
      </w:r>
      <w:r w:rsidR="00D66FB8" w:rsidRPr="000D3040">
        <w:rPr>
          <w:rFonts w:ascii="Times New Roman" w:hAnsi="Times New Roman" w:cs="Times New Roman"/>
        </w:rPr>
        <w:t xml:space="preserve">. </w:t>
      </w:r>
      <w:r w:rsidR="00C61E61" w:rsidRPr="000D3040">
        <w:rPr>
          <w:rFonts w:ascii="Times New Roman" w:hAnsi="Times New Roman" w:cs="Times New Roman"/>
        </w:rPr>
        <w:t>Furthermore</w:t>
      </w:r>
      <w:r w:rsidR="00030B19" w:rsidRPr="000D3040">
        <w:rPr>
          <w:rFonts w:ascii="Times New Roman" w:hAnsi="Times New Roman" w:cs="Times New Roman"/>
        </w:rPr>
        <w:t>, dementia impact</w:t>
      </w:r>
      <w:r w:rsidR="005B0651" w:rsidRPr="000D3040">
        <w:rPr>
          <w:rFonts w:ascii="Times New Roman" w:hAnsi="Times New Roman" w:cs="Times New Roman"/>
        </w:rPr>
        <w:t>s</w:t>
      </w:r>
      <w:r w:rsidR="00030B19" w:rsidRPr="000D3040">
        <w:rPr>
          <w:rFonts w:ascii="Times New Roman" w:hAnsi="Times New Roman" w:cs="Times New Roman"/>
        </w:rPr>
        <w:t xml:space="preserve"> t</w:t>
      </w:r>
      <w:r w:rsidR="00A6483F" w:rsidRPr="000D3040">
        <w:rPr>
          <w:rFonts w:ascii="Times New Roman" w:hAnsi="Times New Roman" w:cs="Times New Roman"/>
        </w:rPr>
        <w:t>he older individual in unique and</w:t>
      </w:r>
      <w:r w:rsidR="005B0651" w:rsidRPr="000D3040">
        <w:rPr>
          <w:rFonts w:ascii="Times New Roman" w:hAnsi="Times New Roman" w:cs="Times New Roman"/>
        </w:rPr>
        <w:t xml:space="preserve"> significant way</w:t>
      </w:r>
      <w:r w:rsidR="00A6483F" w:rsidRPr="000D3040">
        <w:rPr>
          <w:rFonts w:ascii="Times New Roman" w:hAnsi="Times New Roman" w:cs="Times New Roman"/>
        </w:rPr>
        <w:t>s</w:t>
      </w:r>
      <w:r w:rsidR="005B0651" w:rsidRPr="000D3040">
        <w:rPr>
          <w:rFonts w:ascii="Times New Roman" w:hAnsi="Times New Roman" w:cs="Times New Roman"/>
        </w:rPr>
        <w:t xml:space="preserve">, gradually causing </w:t>
      </w:r>
      <w:r w:rsidR="00030B19" w:rsidRPr="000D3040">
        <w:rPr>
          <w:rFonts w:ascii="Times New Roman" w:hAnsi="Times New Roman" w:cs="Times New Roman"/>
        </w:rPr>
        <w:t>memory loss</w:t>
      </w:r>
      <w:r w:rsidR="005B0651" w:rsidRPr="000D3040">
        <w:rPr>
          <w:rFonts w:ascii="Times New Roman" w:hAnsi="Times New Roman" w:cs="Times New Roman"/>
        </w:rPr>
        <w:t>, alterations in mood</w:t>
      </w:r>
      <w:r w:rsidR="00030B19" w:rsidRPr="000D3040">
        <w:rPr>
          <w:rFonts w:ascii="Times New Roman" w:hAnsi="Times New Roman" w:cs="Times New Roman"/>
        </w:rPr>
        <w:t xml:space="preserve">, </w:t>
      </w:r>
      <w:r w:rsidR="005B0651" w:rsidRPr="000D3040">
        <w:rPr>
          <w:rFonts w:ascii="Times New Roman" w:hAnsi="Times New Roman" w:cs="Times New Roman"/>
        </w:rPr>
        <w:t xml:space="preserve">as well as </w:t>
      </w:r>
      <w:r w:rsidR="00196F74" w:rsidRPr="000D3040">
        <w:rPr>
          <w:rFonts w:ascii="Times New Roman" w:hAnsi="Times New Roman" w:cs="Times New Roman"/>
        </w:rPr>
        <w:t>changes in personality</w:t>
      </w:r>
      <w:r w:rsidR="005B0651" w:rsidRPr="000D3040">
        <w:rPr>
          <w:rFonts w:ascii="Times New Roman" w:hAnsi="Times New Roman" w:cs="Times New Roman"/>
        </w:rPr>
        <w:t xml:space="preserve"> and emotions</w:t>
      </w:r>
      <w:r w:rsidR="00181434" w:rsidRPr="000D3040">
        <w:rPr>
          <w:rFonts w:ascii="Times New Roman" w:hAnsi="Times New Roman" w:cs="Times New Roman"/>
        </w:rPr>
        <w:t xml:space="preserve">, and frequently leading to other mental health issues such as </w:t>
      </w:r>
      <w:r w:rsidR="004A069E" w:rsidRPr="000D3040">
        <w:rPr>
          <w:rFonts w:ascii="Times New Roman" w:hAnsi="Times New Roman" w:cs="Times New Roman"/>
        </w:rPr>
        <w:t>clinical depression</w:t>
      </w:r>
      <w:r w:rsidR="006366C9" w:rsidRPr="000D3040">
        <w:rPr>
          <w:rFonts w:ascii="Times New Roman" w:hAnsi="Times New Roman" w:cs="Times New Roman"/>
        </w:rPr>
        <w:t xml:space="preserve">, </w:t>
      </w:r>
      <w:r w:rsidR="00280F3E" w:rsidRPr="000D3040">
        <w:rPr>
          <w:rFonts w:ascii="Times New Roman" w:hAnsi="Times New Roman" w:cs="Times New Roman"/>
        </w:rPr>
        <w:t>paranoid delusions</w:t>
      </w:r>
      <w:r w:rsidR="00154C45">
        <w:rPr>
          <w:rFonts w:ascii="Times New Roman" w:hAnsi="Times New Roman" w:cs="Times New Roman"/>
        </w:rPr>
        <w:t>,</w:t>
      </w:r>
      <w:r w:rsidR="00280F3E" w:rsidRPr="000D3040">
        <w:rPr>
          <w:rFonts w:ascii="Times New Roman" w:hAnsi="Times New Roman" w:cs="Times New Roman"/>
        </w:rPr>
        <w:t xml:space="preserve"> </w:t>
      </w:r>
      <w:r w:rsidR="006366C9" w:rsidRPr="000D3040">
        <w:rPr>
          <w:rFonts w:ascii="Times New Roman" w:hAnsi="Times New Roman" w:cs="Times New Roman"/>
        </w:rPr>
        <w:t xml:space="preserve">or </w:t>
      </w:r>
      <w:r w:rsidR="008659AC" w:rsidRPr="000D3040">
        <w:rPr>
          <w:rFonts w:ascii="Times New Roman" w:hAnsi="Times New Roman" w:cs="Times New Roman"/>
        </w:rPr>
        <w:t>neurologically debilitating illnesses such</w:t>
      </w:r>
      <w:r w:rsidR="006366C9" w:rsidRPr="000D3040">
        <w:rPr>
          <w:rFonts w:ascii="Times New Roman" w:hAnsi="Times New Roman" w:cs="Times New Roman"/>
        </w:rPr>
        <w:t xml:space="preserve"> as strokes.</w:t>
      </w:r>
      <w:r w:rsidR="00025671" w:rsidRPr="000D3040">
        <w:rPr>
          <w:rStyle w:val="FootnoteReference"/>
          <w:rFonts w:ascii="Times New Roman" w:hAnsi="Times New Roman" w:cs="Times New Roman"/>
        </w:rPr>
        <w:footnoteReference w:id="4"/>
      </w:r>
      <w:r w:rsidR="005B0651" w:rsidRPr="000D3040">
        <w:rPr>
          <w:rFonts w:ascii="Times New Roman" w:hAnsi="Times New Roman" w:cs="Times New Roman"/>
        </w:rPr>
        <w:t xml:space="preserve">  The </w:t>
      </w:r>
      <w:r w:rsidR="00181434" w:rsidRPr="000D3040">
        <w:rPr>
          <w:rFonts w:ascii="Times New Roman" w:hAnsi="Times New Roman" w:cs="Times New Roman"/>
        </w:rPr>
        <w:t>overall effect</w:t>
      </w:r>
      <w:r w:rsidR="005B0651" w:rsidRPr="000D3040">
        <w:rPr>
          <w:rFonts w:ascii="Times New Roman" w:hAnsi="Times New Roman" w:cs="Times New Roman"/>
        </w:rPr>
        <w:t xml:space="preserve"> of </w:t>
      </w:r>
      <w:r w:rsidR="005B0651" w:rsidRPr="000D3040">
        <w:rPr>
          <w:rFonts w:ascii="Times New Roman" w:hAnsi="Times New Roman" w:cs="Times New Roman"/>
        </w:rPr>
        <w:lastRenderedPageBreak/>
        <w:t>dementia</w:t>
      </w:r>
      <w:r w:rsidR="00AE055B" w:rsidRPr="000D3040">
        <w:rPr>
          <w:rFonts w:ascii="Times New Roman" w:hAnsi="Times New Roman" w:cs="Times New Roman"/>
        </w:rPr>
        <w:t>, then,</w:t>
      </w:r>
      <w:r w:rsidR="00B66B50">
        <w:rPr>
          <w:rFonts w:ascii="Times New Roman" w:hAnsi="Times New Roman" w:cs="Times New Roman"/>
        </w:rPr>
        <w:t xml:space="preserve"> is a gradual decline</w:t>
      </w:r>
      <w:r w:rsidR="005B0651" w:rsidRPr="000D3040">
        <w:rPr>
          <w:rFonts w:ascii="Times New Roman" w:hAnsi="Times New Roman" w:cs="Times New Roman"/>
        </w:rPr>
        <w:t xml:space="preserve"> in cognitive functioni</w:t>
      </w:r>
      <w:r w:rsidR="00EE0D88" w:rsidRPr="000D3040">
        <w:rPr>
          <w:rFonts w:ascii="Times New Roman" w:hAnsi="Times New Roman" w:cs="Times New Roman"/>
        </w:rPr>
        <w:t xml:space="preserve">ng such </w:t>
      </w:r>
      <w:r w:rsidR="00862806">
        <w:rPr>
          <w:rFonts w:ascii="Times New Roman" w:hAnsi="Times New Roman" w:cs="Times New Roman"/>
        </w:rPr>
        <w:t xml:space="preserve">that </w:t>
      </w:r>
      <w:r w:rsidR="005B0651" w:rsidRPr="000D3040">
        <w:rPr>
          <w:rFonts w:ascii="Times New Roman" w:hAnsi="Times New Roman" w:cs="Times New Roman"/>
        </w:rPr>
        <w:t xml:space="preserve">the individual </w:t>
      </w:r>
      <w:r w:rsidR="00B45AD4" w:rsidRPr="000D3040">
        <w:rPr>
          <w:rFonts w:ascii="Times New Roman" w:hAnsi="Times New Roman" w:cs="Times New Roman"/>
        </w:rPr>
        <w:t>becomes increasingly</w:t>
      </w:r>
      <w:r w:rsidR="005B0651" w:rsidRPr="000D3040">
        <w:rPr>
          <w:rFonts w:ascii="Times New Roman" w:hAnsi="Times New Roman" w:cs="Times New Roman"/>
        </w:rPr>
        <w:t xml:space="preserve"> reliant on care</w:t>
      </w:r>
      <w:r w:rsidRPr="000D3040">
        <w:rPr>
          <w:rFonts w:ascii="Times New Roman" w:hAnsi="Times New Roman" w:cs="Times New Roman"/>
        </w:rPr>
        <w:t>givers</w:t>
      </w:r>
      <w:r w:rsidR="005B0651" w:rsidRPr="000D3040">
        <w:rPr>
          <w:rFonts w:ascii="Times New Roman" w:hAnsi="Times New Roman" w:cs="Times New Roman"/>
        </w:rPr>
        <w:t xml:space="preserve"> to meet their </w:t>
      </w:r>
      <w:r w:rsidR="00227FD5" w:rsidRPr="000D3040">
        <w:rPr>
          <w:rFonts w:ascii="Times New Roman" w:hAnsi="Times New Roman" w:cs="Times New Roman"/>
        </w:rPr>
        <w:t>everyday</w:t>
      </w:r>
      <w:r w:rsidR="005B0651" w:rsidRPr="000D3040">
        <w:rPr>
          <w:rFonts w:ascii="Times New Roman" w:hAnsi="Times New Roman" w:cs="Times New Roman"/>
        </w:rPr>
        <w:t xml:space="preserve"> needs. </w:t>
      </w:r>
    </w:p>
    <w:p w14:paraId="6D0FC214" w14:textId="77777777" w:rsidR="005B0651" w:rsidRPr="000D3040" w:rsidRDefault="005B0651" w:rsidP="000E6DF0">
      <w:pPr>
        <w:pStyle w:val="NoSpacing"/>
        <w:spacing w:line="480" w:lineRule="auto"/>
        <w:jc w:val="both"/>
        <w:rPr>
          <w:rFonts w:ascii="Times New Roman" w:hAnsi="Times New Roman" w:cs="Times New Roman"/>
        </w:rPr>
      </w:pPr>
    </w:p>
    <w:p w14:paraId="10955C8D" w14:textId="2580953A" w:rsidR="00CD49F9" w:rsidRPr="000D3040" w:rsidRDefault="00196F74" w:rsidP="000E6DF0">
      <w:pPr>
        <w:pStyle w:val="NoSpacing"/>
        <w:spacing w:line="480" w:lineRule="auto"/>
        <w:jc w:val="both"/>
        <w:rPr>
          <w:rFonts w:ascii="Times New Roman" w:hAnsi="Times New Roman" w:cs="Times New Roman"/>
        </w:rPr>
      </w:pPr>
      <w:r w:rsidRPr="000D3040">
        <w:rPr>
          <w:rFonts w:ascii="Times New Roman" w:hAnsi="Times New Roman" w:cs="Times New Roman"/>
        </w:rPr>
        <w:t xml:space="preserve">Given </w:t>
      </w:r>
      <w:r w:rsidR="005B0651" w:rsidRPr="000D3040">
        <w:rPr>
          <w:rFonts w:ascii="Times New Roman" w:hAnsi="Times New Roman" w:cs="Times New Roman"/>
        </w:rPr>
        <w:t xml:space="preserve">the prevalence and form that </w:t>
      </w:r>
      <w:r w:rsidR="008659AC" w:rsidRPr="000D3040">
        <w:rPr>
          <w:rFonts w:ascii="Times New Roman" w:hAnsi="Times New Roman" w:cs="Times New Roman"/>
        </w:rPr>
        <w:t xml:space="preserve">dementia </w:t>
      </w:r>
      <w:r w:rsidR="005B0651" w:rsidRPr="000D3040">
        <w:rPr>
          <w:rFonts w:ascii="Times New Roman" w:hAnsi="Times New Roman" w:cs="Times New Roman"/>
        </w:rPr>
        <w:t>takes</w:t>
      </w:r>
      <w:r w:rsidRPr="000D3040">
        <w:rPr>
          <w:rFonts w:ascii="Times New Roman" w:hAnsi="Times New Roman" w:cs="Times New Roman"/>
        </w:rPr>
        <w:t>,</w:t>
      </w:r>
      <w:r w:rsidR="005B0651" w:rsidRPr="000D3040">
        <w:rPr>
          <w:rFonts w:ascii="Times New Roman" w:hAnsi="Times New Roman" w:cs="Times New Roman"/>
        </w:rPr>
        <w:t xml:space="preserve"> it is unsurprising that there has been a lengthy academic debate over how </w:t>
      </w:r>
      <w:r w:rsidR="008659AC" w:rsidRPr="000D3040">
        <w:rPr>
          <w:rFonts w:ascii="Times New Roman" w:hAnsi="Times New Roman" w:cs="Times New Roman"/>
        </w:rPr>
        <w:t xml:space="preserve">the illness </w:t>
      </w:r>
      <w:r w:rsidR="005B0651" w:rsidRPr="000D3040">
        <w:rPr>
          <w:rFonts w:ascii="Times New Roman" w:hAnsi="Times New Roman" w:cs="Times New Roman"/>
        </w:rPr>
        <w:t xml:space="preserve">interacts with an older person’s decision-making </w:t>
      </w:r>
      <w:r w:rsidR="000256ED" w:rsidRPr="000D3040">
        <w:rPr>
          <w:rFonts w:ascii="Times New Roman" w:hAnsi="Times New Roman" w:cs="Times New Roman"/>
        </w:rPr>
        <w:t>cap</w:t>
      </w:r>
      <w:r w:rsidR="005B0651" w:rsidRPr="000D3040">
        <w:rPr>
          <w:rFonts w:ascii="Times New Roman" w:hAnsi="Times New Roman" w:cs="Times New Roman"/>
        </w:rPr>
        <w:t>abilities</w:t>
      </w:r>
      <w:r w:rsidR="00D66FB8" w:rsidRPr="000D3040">
        <w:rPr>
          <w:rFonts w:ascii="Times New Roman" w:hAnsi="Times New Roman" w:cs="Times New Roman"/>
        </w:rPr>
        <w:t xml:space="preserve">.  </w:t>
      </w:r>
      <w:r w:rsidR="005B67FC" w:rsidRPr="000D3040">
        <w:rPr>
          <w:rFonts w:ascii="Times New Roman" w:hAnsi="Times New Roman" w:cs="Times New Roman"/>
        </w:rPr>
        <w:t>To date,</w:t>
      </w:r>
      <w:r w:rsidR="00D66FB8" w:rsidRPr="000D3040">
        <w:rPr>
          <w:rFonts w:ascii="Times New Roman" w:hAnsi="Times New Roman" w:cs="Times New Roman"/>
        </w:rPr>
        <w:t xml:space="preserve"> </w:t>
      </w:r>
      <w:r w:rsidR="00114F94" w:rsidRPr="000D3040">
        <w:rPr>
          <w:rFonts w:ascii="Times New Roman" w:hAnsi="Times New Roman" w:cs="Times New Roman"/>
        </w:rPr>
        <w:t xml:space="preserve">the </w:t>
      </w:r>
      <w:r w:rsidR="00FD347B" w:rsidRPr="000D3040">
        <w:rPr>
          <w:rFonts w:ascii="Times New Roman" w:hAnsi="Times New Roman" w:cs="Times New Roman"/>
        </w:rPr>
        <w:t>ethico-legal</w:t>
      </w:r>
      <w:r w:rsidR="005B0651" w:rsidRPr="000D3040">
        <w:rPr>
          <w:rFonts w:ascii="Times New Roman" w:hAnsi="Times New Roman" w:cs="Times New Roman"/>
        </w:rPr>
        <w:t xml:space="preserve"> </w:t>
      </w:r>
      <w:r w:rsidR="00CD49F9" w:rsidRPr="000D3040">
        <w:rPr>
          <w:rFonts w:ascii="Times New Roman" w:hAnsi="Times New Roman" w:cs="Times New Roman"/>
        </w:rPr>
        <w:t>literature</w:t>
      </w:r>
      <w:r w:rsidR="00D66FB8" w:rsidRPr="000D3040">
        <w:rPr>
          <w:rFonts w:ascii="Times New Roman" w:hAnsi="Times New Roman" w:cs="Times New Roman"/>
        </w:rPr>
        <w:t xml:space="preserve"> has been </w:t>
      </w:r>
      <w:r w:rsidR="005B67FC" w:rsidRPr="000D3040">
        <w:rPr>
          <w:rFonts w:ascii="Times New Roman" w:hAnsi="Times New Roman" w:cs="Times New Roman"/>
        </w:rPr>
        <w:t>predominantly</w:t>
      </w:r>
      <w:r w:rsidR="00D66FB8" w:rsidRPr="000D3040">
        <w:rPr>
          <w:rFonts w:ascii="Times New Roman" w:hAnsi="Times New Roman" w:cs="Times New Roman"/>
        </w:rPr>
        <w:t xml:space="preserve"> </w:t>
      </w:r>
      <w:r w:rsidRPr="000D3040">
        <w:rPr>
          <w:rFonts w:ascii="Times New Roman" w:hAnsi="Times New Roman" w:cs="Times New Roman"/>
        </w:rPr>
        <w:t xml:space="preserve">concerned </w:t>
      </w:r>
      <w:r w:rsidR="00D66FB8" w:rsidRPr="000D3040">
        <w:rPr>
          <w:rFonts w:ascii="Times New Roman" w:hAnsi="Times New Roman" w:cs="Times New Roman"/>
        </w:rPr>
        <w:t xml:space="preserve">with </w:t>
      </w:r>
      <w:r w:rsidR="00B31FE2" w:rsidRPr="000D3040">
        <w:rPr>
          <w:rFonts w:ascii="Times New Roman" w:hAnsi="Times New Roman" w:cs="Times New Roman"/>
        </w:rPr>
        <w:t xml:space="preserve">the validity of medical </w:t>
      </w:r>
      <w:r w:rsidR="00D66FB8" w:rsidRPr="000D3040">
        <w:rPr>
          <w:rFonts w:ascii="Times New Roman" w:hAnsi="Times New Roman" w:cs="Times New Roman"/>
        </w:rPr>
        <w:t>advance directives – and more specifically</w:t>
      </w:r>
      <w:r w:rsidR="00AE055B" w:rsidRPr="000D3040">
        <w:rPr>
          <w:rFonts w:ascii="Times New Roman" w:hAnsi="Times New Roman" w:cs="Times New Roman"/>
        </w:rPr>
        <w:t>,</w:t>
      </w:r>
      <w:r w:rsidR="00D66FB8" w:rsidRPr="000D3040">
        <w:rPr>
          <w:rFonts w:ascii="Times New Roman" w:hAnsi="Times New Roman" w:cs="Times New Roman"/>
        </w:rPr>
        <w:t xml:space="preserve"> the extent to which advance directives by someone </w:t>
      </w:r>
      <w:r w:rsidR="00D66FB8" w:rsidRPr="000D3040">
        <w:rPr>
          <w:rFonts w:ascii="Times New Roman" w:hAnsi="Times New Roman" w:cs="Times New Roman"/>
          <w:i/>
        </w:rPr>
        <w:t>without</w:t>
      </w:r>
      <w:r w:rsidR="00D66FB8" w:rsidRPr="000D3040">
        <w:rPr>
          <w:rFonts w:ascii="Times New Roman" w:hAnsi="Times New Roman" w:cs="Times New Roman"/>
        </w:rPr>
        <w:t xml:space="preserve"> dementia</w:t>
      </w:r>
      <w:r w:rsidR="00BA6C59">
        <w:rPr>
          <w:rFonts w:ascii="Times New Roman" w:hAnsi="Times New Roman" w:cs="Times New Roman"/>
        </w:rPr>
        <w:t xml:space="preserve"> </w:t>
      </w:r>
      <w:r w:rsidR="00D66FB8" w:rsidRPr="000D3040">
        <w:rPr>
          <w:rFonts w:ascii="Times New Roman" w:hAnsi="Times New Roman" w:cs="Times New Roman"/>
        </w:rPr>
        <w:t>can be binding on their later self</w:t>
      </w:r>
      <w:r w:rsidR="005B0651" w:rsidRPr="000D3040">
        <w:rPr>
          <w:rFonts w:ascii="Times New Roman" w:hAnsi="Times New Roman" w:cs="Times New Roman"/>
        </w:rPr>
        <w:t xml:space="preserve"> </w:t>
      </w:r>
      <w:r w:rsidR="005B0651" w:rsidRPr="000D3040">
        <w:rPr>
          <w:rFonts w:ascii="Times New Roman" w:hAnsi="Times New Roman" w:cs="Times New Roman"/>
          <w:i/>
        </w:rPr>
        <w:t>with</w:t>
      </w:r>
      <w:r w:rsidR="005B0651" w:rsidRPr="000D3040">
        <w:rPr>
          <w:rFonts w:ascii="Times New Roman" w:hAnsi="Times New Roman" w:cs="Times New Roman"/>
        </w:rPr>
        <w:t xml:space="preserve"> dementia. </w:t>
      </w:r>
      <w:r w:rsidR="00AD26FF" w:rsidRPr="000D3040">
        <w:rPr>
          <w:rFonts w:ascii="Times New Roman" w:hAnsi="Times New Roman" w:cs="Times New Roman"/>
        </w:rPr>
        <w:t xml:space="preserve"> </w:t>
      </w:r>
      <w:r w:rsidR="005B0651" w:rsidRPr="000D3040">
        <w:rPr>
          <w:rFonts w:ascii="Times New Roman" w:hAnsi="Times New Roman" w:cs="Times New Roman"/>
        </w:rPr>
        <w:t xml:space="preserve">In this respect, the debate has focussed </w:t>
      </w:r>
      <w:r w:rsidR="00114F94" w:rsidRPr="000D3040">
        <w:rPr>
          <w:rFonts w:ascii="Times New Roman" w:hAnsi="Times New Roman" w:cs="Times New Roman"/>
        </w:rPr>
        <w:t xml:space="preserve">on </w:t>
      </w:r>
      <w:r w:rsidR="005B0651" w:rsidRPr="000D3040">
        <w:rPr>
          <w:rFonts w:ascii="Times New Roman" w:hAnsi="Times New Roman" w:cs="Times New Roman"/>
        </w:rPr>
        <w:t>the ‘personhood problem’ – whether the person with dementia</w:t>
      </w:r>
      <w:r w:rsidR="00B45AD4" w:rsidRPr="000D3040">
        <w:rPr>
          <w:rFonts w:ascii="Times New Roman" w:hAnsi="Times New Roman" w:cs="Times New Roman"/>
        </w:rPr>
        <w:t xml:space="preserve"> is</w:t>
      </w:r>
      <w:r w:rsidR="005B0651" w:rsidRPr="000D3040">
        <w:rPr>
          <w:rFonts w:ascii="Times New Roman" w:hAnsi="Times New Roman" w:cs="Times New Roman"/>
        </w:rPr>
        <w:t xml:space="preserve"> the same ‘person’ as their former </w:t>
      </w:r>
      <w:r w:rsidR="00862806">
        <w:rPr>
          <w:rFonts w:ascii="Times New Roman" w:hAnsi="Times New Roman" w:cs="Times New Roman"/>
        </w:rPr>
        <w:t xml:space="preserve">‘un-demented’ </w:t>
      </w:r>
      <w:r w:rsidR="005B0651" w:rsidRPr="000D3040">
        <w:rPr>
          <w:rFonts w:ascii="Times New Roman" w:hAnsi="Times New Roman" w:cs="Times New Roman"/>
        </w:rPr>
        <w:t>self</w:t>
      </w:r>
      <w:r w:rsidR="00D66FB8" w:rsidRPr="000D3040">
        <w:rPr>
          <w:rFonts w:ascii="Times New Roman" w:hAnsi="Times New Roman" w:cs="Times New Roman"/>
        </w:rPr>
        <w:t>.</w:t>
      </w:r>
      <w:r w:rsidR="00AD26FF" w:rsidRPr="000D3040">
        <w:rPr>
          <w:rStyle w:val="FootnoteReference"/>
          <w:rFonts w:ascii="Times New Roman" w:hAnsi="Times New Roman" w:cs="Times New Roman"/>
        </w:rPr>
        <w:footnoteReference w:id="5"/>
      </w:r>
      <w:r w:rsidR="00AD26FF" w:rsidRPr="000D3040">
        <w:rPr>
          <w:rFonts w:ascii="Times New Roman" w:hAnsi="Times New Roman" w:cs="Times New Roman"/>
        </w:rPr>
        <w:t xml:space="preserve">  </w:t>
      </w:r>
      <w:r w:rsidR="00FD347B" w:rsidRPr="000D3040">
        <w:rPr>
          <w:rFonts w:ascii="Times New Roman" w:hAnsi="Times New Roman" w:cs="Times New Roman"/>
        </w:rPr>
        <w:t xml:space="preserve">If they are not the same person, as </w:t>
      </w:r>
      <w:r w:rsidR="00BA6C59">
        <w:rPr>
          <w:rFonts w:ascii="Times New Roman" w:hAnsi="Times New Roman" w:cs="Times New Roman"/>
        </w:rPr>
        <w:t>Dresser argues</w:t>
      </w:r>
      <w:r w:rsidR="00CD49F9" w:rsidRPr="000D3040">
        <w:rPr>
          <w:rStyle w:val="FootnoteReference"/>
          <w:rFonts w:ascii="Times New Roman" w:hAnsi="Times New Roman" w:cs="Times New Roman"/>
        </w:rPr>
        <w:footnoteReference w:id="6"/>
      </w:r>
      <w:r w:rsidR="00FD347B" w:rsidRPr="000D3040">
        <w:rPr>
          <w:rFonts w:ascii="Times New Roman" w:hAnsi="Times New Roman" w:cs="Times New Roman"/>
        </w:rPr>
        <w:t xml:space="preserve">, then previously stated wishes have little normative force and should have </w:t>
      </w:r>
      <w:r w:rsidR="00BA6C59">
        <w:rPr>
          <w:rFonts w:ascii="Times New Roman" w:hAnsi="Times New Roman" w:cs="Times New Roman"/>
        </w:rPr>
        <w:t>minimal impact on their ‘post-dementia’ selves</w:t>
      </w:r>
      <w:r w:rsidR="00FD347B" w:rsidRPr="000D3040">
        <w:rPr>
          <w:rFonts w:ascii="Times New Roman" w:hAnsi="Times New Roman" w:cs="Times New Roman"/>
        </w:rPr>
        <w:t xml:space="preserve">. </w:t>
      </w:r>
      <w:r w:rsidR="00181434" w:rsidRPr="000D3040">
        <w:rPr>
          <w:rFonts w:ascii="Times New Roman" w:hAnsi="Times New Roman" w:cs="Times New Roman"/>
        </w:rPr>
        <w:t xml:space="preserve">A key problem with this literature, however, is that </w:t>
      </w:r>
      <w:r w:rsidR="000B69C2" w:rsidRPr="000D3040">
        <w:rPr>
          <w:rFonts w:ascii="Times New Roman" w:hAnsi="Times New Roman" w:cs="Times New Roman"/>
        </w:rPr>
        <w:t xml:space="preserve">dichotomises the dementia patient, and </w:t>
      </w:r>
      <w:r w:rsidR="00AD26FF" w:rsidRPr="000D3040">
        <w:rPr>
          <w:rFonts w:ascii="Times New Roman" w:hAnsi="Times New Roman" w:cs="Times New Roman"/>
        </w:rPr>
        <w:t xml:space="preserve">frequently presents </w:t>
      </w:r>
      <w:r w:rsidR="00A96310" w:rsidRPr="000D3040">
        <w:rPr>
          <w:rFonts w:ascii="Times New Roman" w:hAnsi="Times New Roman" w:cs="Times New Roman"/>
        </w:rPr>
        <w:t xml:space="preserve">them </w:t>
      </w:r>
      <w:r w:rsidR="004E33E7" w:rsidRPr="000D3040">
        <w:rPr>
          <w:rFonts w:ascii="Times New Roman" w:hAnsi="Times New Roman" w:cs="Times New Roman"/>
        </w:rPr>
        <w:t>at two extremes</w:t>
      </w:r>
      <w:r w:rsidR="00601224">
        <w:rPr>
          <w:rFonts w:ascii="Times New Roman" w:hAnsi="Times New Roman" w:cs="Times New Roman"/>
        </w:rPr>
        <w:t>:</w:t>
      </w:r>
      <w:r w:rsidR="00AD26FF" w:rsidRPr="000D3040">
        <w:rPr>
          <w:rFonts w:ascii="Times New Roman" w:hAnsi="Times New Roman" w:cs="Times New Roman"/>
        </w:rPr>
        <w:t xml:space="preserve"> the </w:t>
      </w:r>
      <w:r w:rsidR="005B0651" w:rsidRPr="000D3040">
        <w:rPr>
          <w:rFonts w:ascii="Times New Roman" w:hAnsi="Times New Roman" w:cs="Times New Roman"/>
        </w:rPr>
        <w:t>‘</w:t>
      </w:r>
      <w:r w:rsidR="00AD26FF" w:rsidRPr="000D3040">
        <w:rPr>
          <w:rFonts w:ascii="Times New Roman" w:hAnsi="Times New Roman" w:cs="Times New Roman"/>
        </w:rPr>
        <w:t>un-demented</w:t>
      </w:r>
      <w:r w:rsidR="005B0651" w:rsidRPr="000D3040">
        <w:rPr>
          <w:rFonts w:ascii="Times New Roman" w:hAnsi="Times New Roman" w:cs="Times New Roman"/>
        </w:rPr>
        <w:t>’</w:t>
      </w:r>
      <w:r w:rsidR="00AD26FF" w:rsidRPr="000D3040">
        <w:rPr>
          <w:rFonts w:ascii="Times New Roman" w:hAnsi="Times New Roman" w:cs="Times New Roman"/>
        </w:rPr>
        <w:t>,</w:t>
      </w:r>
      <w:r w:rsidR="00256C76" w:rsidRPr="000D3040">
        <w:rPr>
          <w:rFonts w:ascii="Times New Roman" w:hAnsi="Times New Roman" w:cs="Times New Roman"/>
        </w:rPr>
        <w:t xml:space="preserve"> </w:t>
      </w:r>
      <w:r w:rsidR="00AD26FF" w:rsidRPr="000D3040">
        <w:rPr>
          <w:rFonts w:ascii="Times New Roman" w:hAnsi="Times New Roman" w:cs="Times New Roman"/>
        </w:rPr>
        <w:t xml:space="preserve">and the </w:t>
      </w:r>
      <w:r w:rsidR="005B0651" w:rsidRPr="000D3040">
        <w:rPr>
          <w:rFonts w:ascii="Times New Roman" w:hAnsi="Times New Roman" w:cs="Times New Roman"/>
        </w:rPr>
        <w:t>‘</w:t>
      </w:r>
      <w:r w:rsidR="00256C76" w:rsidRPr="000D3040">
        <w:rPr>
          <w:rFonts w:ascii="Times New Roman" w:hAnsi="Times New Roman" w:cs="Times New Roman"/>
        </w:rPr>
        <w:t xml:space="preserve">entirely </w:t>
      </w:r>
      <w:r w:rsidR="00AD26FF" w:rsidRPr="000D3040">
        <w:rPr>
          <w:rFonts w:ascii="Times New Roman" w:hAnsi="Times New Roman" w:cs="Times New Roman"/>
        </w:rPr>
        <w:t>demented</w:t>
      </w:r>
      <w:r w:rsidR="005B0651" w:rsidRPr="000D3040">
        <w:rPr>
          <w:rFonts w:ascii="Times New Roman" w:hAnsi="Times New Roman" w:cs="Times New Roman"/>
        </w:rPr>
        <w:t>’</w:t>
      </w:r>
      <w:r w:rsidR="00256C76" w:rsidRPr="000D3040">
        <w:rPr>
          <w:rFonts w:ascii="Times New Roman" w:hAnsi="Times New Roman" w:cs="Times New Roman"/>
        </w:rPr>
        <w:t xml:space="preserve"> person</w:t>
      </w:r>
      <w:r w:rsidR="009E33F8" w:rsidRPr="000D3040">
        <w:rPr>
          <w:rFonts w:ascii="Times New Roman" w:hAnsi="Times New Roman" w:cs="Times New Roman"/>
        </w:rPr>
        <w:t>.</w:t>
      </w:r>
      <w:r w:rsidR="00AE055B" w:rsidRPr="000D3040">
        <w:rPr>
          <w:rStyle w:val="FootnoteReference"/>
          <w:rFonts w:ascii="Times New Roman" w:hAnsi="Times New Roman" w:cs="Times New Roman"/>
        </w:rPr>
        <w:footnoteReference w:id="7"/>
      </w:r>
      <w:r w:rsidR="009E33F8" w:rsidRPr="000D3040">
        <w:rPr>
          <w:rFonts w:ascii="Times New Roman" w:hAnsi="Times New Roman" w:cs="Times New Roman"/>
        </w:rPr>
        <w:t xml:space="preserve"> </w:t>
      </w:r>
      <w:r w:rsidR="00256C76" w:rsidRPr="000D3040">
        <w:rPr>
          <w:rFonts w:ascii="Times New Roman" w:hAnsi="Times New Roman" w:cs="Times New Roman"/>
        </w:rPr>
        <w:t xml:space="preserve"> </w:t>
      </w:r>
      <w:r w:rsidR="00B45AD4" w:rsidRPr="000D3040">
        <w:rPr>
          <w:rFonts w:ascii="Times New Roman" w:hAnsi="Times New Roman" w:cs="Times New Roman"/>
        </w:rPr>
        <w:t>This</w:t>
      </w:r>
      <w:r w:rsidR="00256C76" w:rsidRPr="000D3040">
        <w:rPr>
          <w:rFonts w:ascii="Times New Roman" w:hAnsi="Times New Roman" w:cs="Times New Roman"/>
        </w:rPr>
        <w:t xml:space="preserve"> approach</w:t>
      </w:r>
      <w:r w:rsidR="008709A3" w:rsidRPr="000D3040">
        <w:rPr>
          <w:rFonts w:ascii="Times New Roman" w:hAnsi="Times New Roman" w:cs="Times New Roman"/>
        </w:rPr>
        <w:t xml:space="preserve"> </w:t>
      </w:r>
      <w:r w:rsidR="00B45AD4" w:rsidRPr="000D3040">
        <w:rPr>
          <w:rFonts w:ascii="Times New Roman" w:hAnsi="Times New Roman" w:cs="Times New Roman"/>
        </w:rPr>
        <w:t>masks the spectrum of symptoms that a person wit</w:t>
      </w:r>
      <w:r w:rsidR="008659AC" w:rsidRPr="000D3040">
        <w:rPr>
          <w:rFonts w:ascii="Times New Roman" w:hAnsi="Times New Roman" w:cs="Times New Roman"/>
        </w:rPr>
        <w:t xml:space="preserve">h dementia in fact experiences.  </w:t>
      </w:r>
      <w:r w:rsidR="00154C45">
        <w:rPr>
          <w:rFonts w:ascii="Times New Roman" w:hAnsi="Times New Roman" w:cs="Times New Roman"/>
        </w:rPr>
        <w:t>Persons</w:t>
      </w:r>
      <w:r w:rsidR="00154C45" w:rsidRPr="000D3040">
        <w:rPr>
          <w:rFonts w:ascii="Times New Roman" w:hAnsi="Times New Roman" w:cs="Times New Roman"/>
        </w:rPr>
        <w:t xml:space="preserve"> </w:t>
      </w:r>
      <w:r w:rsidR="00B45AD4" w:rsidRPr="000D3040">
        <w:rPr>
          <w:rFonts w:ascii="Times New Roman" w:hAnsi="Times New Roman" w:cs="Times New Roman"/>
        </w:rPr>
        <w:t xml:space="preserve">with dementia experience a gradual </w:t>
      </w:r>
      <w:r w:rsidR="00B66B50">
        <w:rPr>
          <w:rFonts w:ascii="Times New Roman" w:hAnsi="Times New Roman" w:cs="Times New Roman"/>
        </w:rPr>
        <w:t>change</w:t>
      </w:r>
      <w:r w:rsidR="00B45AD4" w:rsidRPr="000D3040">
        <w:rPr>
          <w:rFonts w:ascii="Times New Roman" w:hAnsi="Times New Roman" w:cs="Times New Roman"/>
        </w:rPr>
        <w:t xml:space="preserve"> in cognitive functioning, with fluctuations and lucid periods during their illness.  </w:t>
      </w:r>
    </w:p>
    <w:p w14:paraId="4D0C3443" w14:textId="77777777" w:rsidR="00CD49F9" w:rsidRPr="000D3040" w:rsidRDefault="00CD49F9" w:rsidP="000E6DF0">
      <w:pPr>
        <w:pStyle w:val="NoSpacing"/>
        <w:spacing w:line="480" w:lineRule="auto"/>
        <w:jc w:val="both"/>
        <w:rPr>
          <w:rFonts w:ascii="Times New Roman" w:hAnsi="Times New Roman" w:cs="Times New Roman"/>
        </w:rPr>
      </w:pPr>
    </w:p>
    <w:p w14:paraId="683DBA2A" w14:textId="50E98732" w:rsidR="002B2302" w:rsidRPr="000D3040" w:rsidRDefault="00181434" w:rsidP="000E6DF0">
      <w:pPr>
        <w:pStyle w:val="NoSpacing"/>
        <w:spacing w:line="480" w:lineRule="auto"/>
        <w:jc w:val="both"/>
        <w:rPr>
          <w:rFonts w:ascii="Times New Roman" w:hAnsi="Times New Roman" w:cs="Times New Roman"/>
        </w:rPr>
      </w:pPr>
      <w:r w:rsidRPr="000D3040">
        <w:rPr>
          <w:rFonts w:ascii="Times New Roman" w:hAnsi="Times New Roman" w:cs="Times New Roman"/>
        </w:rPr>
        <w:lastRenderedPageBreak/>
        <w:t xml:space="preserve">Furthermore, </w:t>
      </w:r>
      <w:r w:rsidR="00AE055B" w:rsidRPr="000D3040">
        <w:rPr>
          <w:rFonts w:ascii="Times New Roman" w:hAnsi="Times New Roman" w:cs="Times New Roman"/>
        </w:rPr>
        <w:t>the existing</w:t>
      </w:r>
      <w:r w:rsidR="00FD347B" w:rsidRPr="000D3040">
        <w:rPr>
          <w:rFonts w:ascii="Times New Roman" w:hAnsi="Times New Roman" w:cs="Times New Roman"/>
        </w:rPr>
        <w:t xml:space="preserve"> bioethics </w:t>
      </w:r>
      <w:r w:rsidR="00AE055B" w:rsidRPr="000D3040">
        <w:rPr>
          <w:rFonts w:ascii="Times New Roman" w:hAnsi="Times New Roman" w:cs="Times New Roman"/>
        </w:rPr>
        <w:t>literature</w:t>
      </w:r>
      <w:r w:rsidRPr="000D3040">
        <w:rPr>
          <w:rFonts w:ascii="Times New Roman" w:hAnsi="Times New Roman" w:cs="Times New Roman"/>
        </w:rPr>
        <w:t xml:space="preserve"> </w:t>
      </w:r>
      <w:r w:rsidR="00CD49F9" w:rsidRPr="000D3040">
        <w:rPr>
          <w:rFonts w:ascii="Times New Roman" w:hAnsi="Times New Roman" w:cs="Times New Roman"/>
        </w:rPr>
        <w:t>focuses</w:t>
      </w:r>
      <w:r w:rsidR="005B0651" w:rsidRPr="000D3040">
        <w:rPr>
          <w:rFonts w:ascii="Times New Roman" w:hAnsi="Times New Roman" w:cs="Times New Roman"/>
        </w:rPr>
        <w:t xml:space="preserve"> heavily on</w:t>
      </w:r>
      <w:r w:rsidR="008709A3" w:rsidRPr="000D3040">
        <w:rPr>
          <w:rFonts w:ascii="Times New Roman" w:hAnsi="Times New Roman" w:cs="Times New Roman"/>
        </w:rPr>
        <w:t xml:space="preserve"> assessing the importance of</w:t>
      </w:r>
      <w:r w:rsidR="005B0651" w:rsidRPr="000D3040">
        <w:rPr>
          <w:rFonts w:ascii="Times New Roman" w:hAnsi="Times New Roman" w:cs="Times New Roman"/>
        </w:rPr>
        <w:t xml:space="preserve"> cognitive </w:t>
      </w:r>
      <w:r w:rsidRPr="000D3040">
        <w:rPr>
          <w:rFonts w:ascii="Times New Roman" w:hAnsi="Times New Roman" w:cs="Times New Roman"/>
        </w:rPr>
        <w:t xml:space="preserve">functioning </w:t>
      </w:r>
      <w:r w:rsidR="005B0651" w:rsidRPr="000D3040">
        <w:rPr>
          <w:rFonts w:ascii="Times New Roman" w:hAnsi="Times New Roman" w:cs="Times New Roman"/>
        </w:rPr>
        <w:t>and psychological continuity for personhoo</w:t>
      </w:r>
      <w:r w:rsidR="00CD49F9" w:rsidRPr="000D3040">
        <w:rPr>
          <w:rFonts w:ascii="Times New Roman" w:hAnsi="Times New Roman" w:cs="Times New Roman"/>
        </w:rPr>
        <w:t>d</w:t>
      </w:r>
      <w:r w:rsidR="00862806">
        <w:rPr>
          <w:rFonts w:ascii="Times New Roman" w:hAnsi="Times New Roman" w:cs="Times New Roman"/>
        </w:rPr>
        <w:t>,</w:t>
      </w:r>
      <w:r w:rsidR="00F47DEE" w:rsidRPr="000D3040">
        <w:rPr>
          <w:rStyle w:val="FootnoteReference"/>
          <w:rFonts w:ascii="Times New Roman" w:hAnsi="Times New Roman" w:cs="Times New Roman"/>
        </w:rPr>
        <w:footnoteReference w:id="8"/>
      </w:r>
      <w:r w:rsidR="005B0651" w:rsidRPr="000D3040">
        <w:rPr>
          <w:rFonts w:ascii="Times New Roman" w:hAnsi="Times New Roman" w:cs="Times New Roman"/>
        </w:rPr>
        <w:t xml:space="preserve"> </w:t>
      </w:r>
      <w:r w:rsidRPr="000D3040">
        <w:rPr>
          <w:rFonts w:ascii="Times New Roman" w:hAnsi="Times New Roman" w:cs="Times New Roman"/>
        </w:rPr>
        <w:t>which</w:t>
      </w:r>
      <w:r w:rsidR="00560FEF" w:rsidRPr="000D3040">
        <w:rPr>
          <w:rFonts w:ascii="Times New Roman" w:hAnsi="Times New Roman" w:cs="Times New Roman"/>
        </w:rPr>
        <w:t xml:space="preserve"> is also </w:t>
      </w:r>
      <w:r w:rsidRPr="000D3040">
        <w:rPr>
          <w:rFonts w:ascii="Times New Roman" w:hAnsi="Times New Roman" w:cs="Times New Roman"/>
        </w:rPr>
        <w:t>problematic for those with dementia</w:t>
      </w:r>
      <w:r w:rsidR="00560FEF" w:rsidRPr="000D3040">
        <w:rPr>
          <w:rFonts w:ascii="Times New Roman" w:hAnsi="Times New Roman" w:cs="Times New Roman"/>
        </w:rPr>
        <w:t>, who</w:t>
      </w:r>
      <w:r w:rsidR="00CD49F9" w:rsidRPr="000D3040">
        <w:rPr>
          <w:rFonts w:ascii="Times New Roman" w:hAnsi="Times New Roman" w:cs="Times New Roman"/>
        </w:rPr>
        <w:t>,</w:t>
      </w:r>
      <w:r w:rsidR="00471D1B" w:rsidRPr="000D3040">
        <w:rPr>
          <w:rFonts w:ascii="Times New Roman" w:hAnsi="Times New Roman" w:cs="Times New Roman"/>
        </w:rPr>
        <w:t xml:space="preserve"> by virtue of the illness,</w:t>
      </w:r>
      <w:r w:rsidR="00560FEF" w:rsidRPr="000D3040">
        <w:rPr>
          <w:rFonts w:ascii="Times New Roman" w:hAnsi="Times New Roman" w:cs="Times New Roman"/>
        </w:rPr>
        <w:t xml:space="preserve"> experience a decline in both</w:t>
      </w:r>
      <w:r w:rsidR="005B0651" w:rsidRPr="000D3040">
        <w:rPr>
          <w:rFonts w:ascii="Times New Roman" w:hAnsi="Times New Roman" w:cs="Times New Roman"/>
        </w:rPr>
        <w:t>.</w:t>
      </w:r>
      <w:r w:rsidR="00560FEF" w:rsidRPr="000D3040">
        <w:rPr>
          <w:rStyle w:val="FootnoteReference"/>
          <w:rFonts w:ascii="Times New Roman" w:hAnsi="Times New Roman" w:cs="Times New Roman"/>
        </w:rPr>
        <w:footnoteReference w:id="9"/>
      </w:r>
      <w:r w:rsidR="005B0651" w:rsidRPr="000D3040">
        <w:rPr>
          <w:rFonts w:ascii="Times New Roman" w:hAnsi="Times New Roman" w:cs="Times New Roman"/>
        </w:rPr>
        <w:t xml:space="preserve">  </w:t>
      </w:r>
      <w:r w:rsidR="00611704" w:rsidRPr="000D3040">
        <w:rPr>
          <w:rFonts w:ascii="Times New Roman" w:hAnsi="Times New Roman" w:cs="Times New Roman"/>
        </w:rPr>
        <w:t>It is</w:t>
      </w:r>
      <w:r w:rsidR="00D94EB0" w:rsidRPr="000D3040">
        <w:rPr>
          <w:rFonts w:ascii="Times New Roman" w:hAnsi="Times New Roman" w:cs="Times New Roman"/>
        </w:rPr>
        <w:t xml:space="preserve"> therefore</w:t>
      </w:r>
      <w:r w:rsidR="00611704" w:rsidRPr="000D3040">
        <w:rPr>
          <w:rFonts w:ascii="Times New Roman" w:hAnsi="Times New Roman" w:cs="Times New Roman"/>
        </w:rPr>
        <w:t>, a</w:t>
      </w:r>
      <w:r w:rsidR="00B45AD4" w:rsidRPr="000D3040">
        <w:rPr>
          <w:rFonts w:ascii="Times New Roman" w:hAnsi="Times New Roman" w:cs="Times New Roman"/>
        </w:rPr>
        <w:t>s Rai argues</w:t>
      </w:r>
      <w:r w:rsidR="00611704" w:rsidRPr="000D3040">
        <w:rPr>
          <w:rFonts w:ascii="Times New Roman" w:hAnsi="Times New Roman" w:cs="Times New Roman"/>
        </w:rPr>
        <w:t>,</w:t>
      </w:r>
      <w:r w:rsidR="00560FEF" w:rsidRPr="000D3040">
        <w:rPr>
          <w:rFonts w:ascii="Times New Roman" w:hAnsi="Times New Roman" w:cs="Times New Roman"/>
        </w:rPr>
        <w:t xml:space="preserve"> </w:t>
      </w:r>
      <w:r w:rsidR="00611704" w:rsidRPr="000D3040">
        <w:rPr>
          <w:rFonts w:ascii="Times New Roman" w:hAnsi="Times New Roman" w:cs="Times New Roman"/>
        </w:rPr>
        <w:t>‘</w:t>
      </w:r>
      <w:r w:rsidR="00950D10" w:rsidRPr="000D3040">
        <w:rPr>
          <w:rFonts w:ascii="Times New Roman" w:hAnsi="Times New Roman" w:cs="Times New Roman"/>
        </w:rPr>
        <w:t>important…to recognis</w:t>
      </w:r>
      <w:r w:rsidR="000B69C2" w:rsidRPr="000D3040">
        <w:rPr>
          <w:rFonts w:ascii="Times New Roman" w:hAnsi="Times New Roman" w:cs="Times New Roman"/>
        </w:rPr>
        <w:t>e that loss of cognitive functions does not mean total loss of emotion and human values’</w:t>
      </w:r>
      <w:r w:rsidR="00601224">
        <w:rPr>
          <w:rFonts w:ascii="Times New Roman" w:hAnsi="Times New Roman" w:cs="Times New Roman"/>
        </w:rPr>
        <w:t>.</w:t>
      </w:r>
      <w:r w:rsidR="000B69C2" w:rsidRPr="000D3040">
        <w:rPr>
          <w:rStyle w:val="FootnoteReference"/>
          <w:rFonts w:ascii="Times New Roman" w:hAnsi="Times New Roman" w:cs="Times New Roman"/>
        </w:rPr>
        <w:footnoteReference w:id="10"/>
      </w:r>
      <w:r w:rsidR="002B2302" w:rsidRPr="000D3040">
        <w:rPr>
          <w:rFonts w:ascii="Times New Roman" w:hAnsi="Times New Roman" w:cs="Times New Roman"/>
        </w:rPr>
        <w:t xml:space="preserve"> </w:t>
      </w:r>
      <w:r w:rsidR="00950D10" w:rsidRPr="000D3040">
        <w:rPr>
          <w:rFonts w:ascii="Times New Roman" w:hAnsi="Times New Roman" w:cs="Times New Roman"/>
        </w:rPr>
        <w:t>T</w:t>
      </w:r>
      <w:r w:rsidR="004A069E" w:rsidRPr="000D3040">
        <w:rPr>
          <w:rFonts w:ascii="Times New Roman" w:hAnsi="Times New Roman" w:cs="Times New Roman"/>
        </w:rPr>
        <w:t xml:space="preserve">he fact that </w:t>
      </w:r>
      <w:r w:rsidR="00950D10" w:rsidRPr="000D3040">
        <w:rPr>
          <w:rFonts w:ascii="Times New Roman" w:hAnsi="Times New Roman" w:cs="Times New Roman"/>
        </w:rPr>
        <w:t>a person</w:t>
      </w:r>
      <w:r w:rsidRPr="000D3040">
        <w:rPr>
          <w:rFonts w:ascii="Times New Roman" w:hAnsi="Times New Roman" w:cs="Times New Roman"/>
        </w:rPr>
        <w:t xml:space="preserve"> with dementia</w:t>
      </w:r>
      <w:r w:rsidR="00BA6C59">
        <w:rPr>
          <w:rFonts w:ascii="Times New Roman" w:hAnsi="Times New Roman" w:cs="Times New Roman"/>
        </w:rPr>
        <w:t xml:space="preserve"> will have declining</w:t>
      </w:r>
      <w:r w:rsidR="004A069E" w:rsidRPr="000D3040">
        <w:rPr>
          <w:rFonts w:ascii="Times New Roman" w:hAnsi="Times New Roman" w:cs="Times New Roman"/>
        </w:rPr>
        <w:t xml:space="preserve"> rational thought processes, ‘does not mean they have lost the </w:t>
      </w:r>
      <w:r w:rsidR="00601224">
        <w:rPr>
          <w:rFonts w:ascii="Times New Roman" w:hAnsi="Times New Roman" w:cs="Times New Roman"/>
        </w:rPr>
        <w:t>ability to feel, care, or value’.</w:t>
      </w:r>
      <w:r w:rsidR="004A069E" w:rsidRPr="000D3040">
        <w:rPr>
          <w:rStyle w:val="FootnoteReference"/>
          <w:rFonts w:ascii="Times New Roman" w:hAnsi="Times New Roman" w:cs="Times New Roman"/>
        </w:rPr>
        <w:footnoteReference w:id="11"/>
      </w:r>
      <w:r w:rsidR="002B2302" w:rsidRPr="000D3040">
        <w:rPr>
          <w:rFonts w:ascii="Times New Roman" w:hAnsi="Times New Roman" w:cs="Times New Roman"/>
        </w:rPr>
        <w:t xml:space="preserve"> </w:t>
      </w:r>
      <w:r w:rsidR="00950D10" w:rsidRPr="00620049">
        <w:rPr>
          <w:rFonts w:ascii="Times New Roman" w:hAnsi="Times New Roman" w:cs="Times New Roman"/>
        </w:rPr>
        <w:t>F</w:t>
      </w:r>
      <w:r w:rsidR="00196F74" w:rsidRPr="00620049">
        <w:rPr>
          <w:rFonts w:ascii="Times New Roman" w:hAnsi="Times New Roman" w:cs="Times New Roman"/>
        </w:rPr>
        <w:t xml:space="preserve">ocussing on </w:t>
      </w:r>
      <w:r w:rsidR="002B2302" w:rsidRPr="00620049">
        <w:rPr>
          <w:rFonts w:ascii="Times New Roman" w:hAnsi="Times New Roman" w:cs="Times New Roman"/>
        </w:rPr>
        <w:t>cognitive functions</w:t>
      </w:r>
      <w:r w:rsidR="00227FD5" w:rsidRPr="00620049">
        <w:rPr>
          <w:rFonts w:ascii="Times New Roman" w:hAnsi="Times New Roman" w:cs="Times New Roman"/>
        </w:rPr>
        <w:t xml:space="preserve"> as a</w:t>
      </w:r>
      <w:r w:rsidR="00950D10" w:rsidRPr="00620049">
        <w:rPr>
          <w:rFonts w:ascii="Times New Roman" w:hAnsi="Times New Roman" w:cs="Times New Roman"/>
        </w:rPr>
        <w:t xml:space="preserve"> </w:t>
      </w:r>
      <w:r w:rsidR="00694C6B" w:rsidRPr="00620049">
        <w:rPr>
          <w:rFonts w:ascii="Times New Roman" w:hAnsi="Times New Roman" w:cs="Times New Roman"/>
        </w:rPr>
        <w:t>key</w:t>
      </w:r>
      <w:r w:rsidR="00950D10" w:rsidRPr="00620049">
        <w:rPr>
          <w:rFonts w:ascii="Times New Roman" w:hAnsi="Times New Roman" w:cs="Times New Roman"/>
        </w:rPr>
        <w:t xml:space="preserve"> marker of ‘personhood’</w:t>
      </w:r>
      <w:r w:rsidR="002B2302" w:rsidRPr="00620049">
        <w:rPr>
          <w:rFonts w:ascii="Times New Roman" w:hAnsi="Times New Roman" w:cs="Times New Roman"/>
        </w:rPr>
        <w:t xml:space="preserve"> </w:t>
      </w:r>
      <w:r w:rsidRPr="00620049">
        <w:rPr>
          <w:rFonts w:ascii="Times New Roman" w:hAnsi="Times New Roman" w:cs="Times New Roman"/>
        </w:rPr>
        <w:t xml:space="preserve">arguably </w:t>
      </w:r>
      <w:r w:rsidR="002B2302" w:rsidRPr="00620049">
        <w:rPr>
          <w:rFonts w:ascii="Times New Roman" w:hAnsi="Times New Roman" w:cs="Times New Roman"/>
        </w:rPr>
        <w:t xml:space="preserve">reduces the person with dementia to an isolated individual </w:t>
      </w:r>
      <w:r w:rsidR="00620049" w:rsidRPr="00620049">
        <w:rPr>
          <w:rFonts w:ascii="Times New Roman" w:hAnsi="Times New Roman" w:cs="Times New Roman"/>
        </w:rPr>
        <w:t>and pays little attention to their</w:t>
      </w:r>
      <w:r w:rsidR="002B2302" w:rsidRPr="00620049">
        <w:rPr>
          <w:rFonts w:ascii="Times New Roman" w:hAnsi="Times New Roman" w:cs="Times New Roman"/>
        </w:rPr>
        <w:t xml:space="preserve"> feelings</w:t>
      </w:r>
      <w:r w:rsidR="00C61E61" w:rsidRPr="00620049">
        <w:rPr>
          <w:rFonts w:ascii="Times New Roman" w:hAnsi="Times New Roman" w:cs="Times New Roman"/>
        </w:rPr>
        <w:t>,</w:t>
      </w:r>
      <w:r w:rsidR="002B2302" w:rsidRPr="00620049">
        <w:rPr>
          <w:rFonts w:ascii="Times New Roman" w:hAnsi="Times New Roman" w:cs="Times New Roman"/>
        </w:rPr>
        <w:t xml:space="preserve"> emotions</w:t>
      </w:r>
      <w:r w:rsidR="00C61E61" w:rsidRPr="00620049">
        <w:rPr>
          <w:rFonts w:ascii="Times New Roman" w:hAnsi="Times New Roman" w:cs="Times New Roman"/>
        </w:rPr>
        <w:t xml:space="preserve"> and relations</w:t>
      </w:r>
      <w:r w:rsidRPr="00620049">
        <w:rPr>
          <w:rFonts w:ascii="Times New Roman" w:hAnsi="Times New Roman" w:cs="Times New Roman"/>
        </w:rPr>
        <w:t>hips</w:t>
      </w:r>
      <w:r w:rsidR="00611704" w:rsidRPr="000D3040">
        <w:rPr>
          <w:rFonts w:ascii="Times New Roman" w:hAnsi="Times New Roman" w:cs="Times New Roman"/>
        </w:rPr>
        <w:t>. This is an approach that</w:t>
      </w:r>
      <w:r w:rsidRPr="000D3040">
        <w:rPr>
          <w:rFonts w:ascii="Times New Roman" w:hAnsi="Times New Roman" w:cs="Times New Roman"/>
        </w:rPr>
        <w:t xml:space="preserve"> has been</w:t>
      </w:r>
      <w:r w:rsidR="008659AC" w:rsidRPr="000D3040">
        <w:rPr>
          <w:rFonts w:ascii="Times New Roman" w:hAnsi="Times New Roman" w:cs="Times New Roman"/>
        </w:rPr>
        <w:t xml:space="preserve"> criticised</w:t>
      </w:r>
      <w:r w:rsidR="00611704" w:rsidRPr="000D3040">
        <w:rPr>
          <w:rFonts w:ascii="Times New Roman" w:hAnsi="Times New Roman" w:cs="Times New Roman"/>
        </w:rPr>
        <w:t xml:space="preserve"> for ignoring</w:t>
      </w:r>
      <w:r w:rsidR="002B2302" w:rsidRPr="000D3040">
        <w:rPr>
          <w:rFonts w:ascii="Times New Roman" w:hAnsi="Times New Roman" w:cs="Times New Roman"/>
        </w:rPr>
        <w:t xml:space="preserve"> the reality of </w:t>
      </w:r>
      <w:r w:rsidRPr="000D3040">
        <w:rPr>
          <w:rFonts w:ascii="Times New Roman" w:hAnsi="Times New Roman" w:cs="Times New Roman"/>
        </w:rPr>
        <w:t xml:space="preserve">life for those with dementia – </w:t>
      </w:r>
      <w:r w:rsidR="002B2302" w:rsidRPr="000D3040">
        <w:rPr>
          <w:rFonts w:ascii="Times New Roman" w:hAnsi="Times New Roman" w:cs="Times New Roman"/>
        </w:rPr>
        <w:t>they are</w:t>
      </w:r>
      <w:r w:rsidR="00611704" w:rsidRPr="000D3040">
        <w:rPr>
          <w:rFonts w:ascii="Times New Roman" w:hAnsi="Times New Roman" w:cs="Times New Roman"/>
        </w:rPr>
        <w:t>, as is any individual,</w:t>
      </w:r>
      <w:r w:rsidR="00B45AD4" w:rsidRPr="000D3040">
        <w:rPr>
          <w:rFonts w:ascii="Times New Roman" w:hAnsi="Times New Roman" w:cs="Times New Roman"/>
        </w:rPr>
        <w:t xml:space="preserve"> always</w:t>
      </w:r>
      <w:r w:rsidR="002B2302" w:rsidRPr="000D3040">
        <w:rPr>
          <w:rFonts w:ascii="Times New Roman" w:hAnsi="Times New Roman" w:cs="Times New Roman"/>
        </w:rPr>
        <w:t xml:space="preserve"> situated within a</w:t>
      </w:r>
      <w:r w:rsidRPr="000D3040">
        <w:rPr>
          <w:rFonts w:ascii="Times New Roman" w:hAnsi="Times New Roman" w:cs="Times New Roman"/>
        </w:rPr>
        <w:t xml:space="preserve"> </w:t>
      </w:r>
      <w:r w:rsidR="002B2302" w:rsidRPr="000D3040">
        <w:rPr>
          <w:rFonts w:ascii="Times New Roman" w:hAnsi="Times New Roman" w:cs="Times New Roman"/>
        </w:rPr>
        <w:t>complex web of relationships with other individuals, organisations and the state.</w:t>
      </w:r>
      <w:r w:rsidR="00611704" w:rsidRPr="000D3040">
        <w:rPr>
          <w:rStyle w:val="FootnoteReference"/>
          <w:rFonts w:ascii="Times New Roman" w:hAnsi="Times New Roman" w:cs="Times New Roman"/>
        </w:rPr>
        <w:footnoteReference w:id="12"/>
      </w:r>
      <w:r w:rsidR="00611704" w:rsidRPr="000D3040">
        <w:rPr>
          <w:rFonts w:ascii="Times New Roman" w:hAnsi="Times New Roman" w:cs="Times New Roman"/>
        </w:rPr>
        <w:t xml:space="preserve"> </w:t>
      </w:r>
      <w:r w:rsidR="002B2302" w:rsidRPr="000D3040">
        <w:rPr>
          <w:rFonts w:ascii="Times New Roman" w:hAnsi="Times New Roman" w:cs="Times New Roman"/>
        </w:rPr>
        <w:t xml:space="preserve"> </w:t>
      </w:r>
      <w:r w:rsidR="00611704" w:rsidRPr="000D3040">
        <w:rPr>
          <w:rFonts w:ascii="Times New Roman" w:hAnsi="Times New Roman" w:cs="Times New Roman"/>
        </w:rPr>
        <w:t xml:space="preserve"> To adopt</w:t>
      </w:r>
      <w:r w:rsidR="00950D10" w:rsidRPr="000D3040">
        <w:rPr>
          <w:rFonts w:ascii="Times New Roman" w:hAnsi="Times New Roman" w:cs="Times New Roman"/>
        </w:rPr>
        <w:t xml:space="preserve"> Hughes’ term, they are a ‘situated embodied agent’ – a person ‘who acts and interacts in a cultural and historical context in which he or she is embedded’.</w:t>
      </w:r>
      <w:r w:rsidR="00950D10" w:rsidRPr="000D3040">
        <w:rPr>
          <w:rStyle w:val="FootnoteReference"/>
          <w:rFonts w:ascii="Times New Roman" w:hAnsi="Times New Roman" w:cs="Times New Roman"/>
        </w:rPr>
        <w:footnoteReference w:id="13"/>
      </w:r>
      <w:r w:rsidR="00950D10" w:rsidRPr="000D3040">
        <w:rPr>
          <w:rFonts w:ascii="Times New Roman" w:hAnsi="Times New Roman" w:cs="Times New Roman"/>
        </w:rPr>
        <w:t xml:space="preserve">  </w:t>
      </w:r>
    </w:p>
    <w:p w14:paraId="231BD692" w14:textId="77777777" w:rsidR="002B2302" w:rsidRPr="000D3040" w:rsidRDefault="002B2302" w:rsidP="000E6DF0">
      <w:pPr>
        <w:pStyle w:val="NoSpacing"/>
        <w:spacing w:line="480" w:lineRule="auto"/>
        <w:jc w:val="both"/>
        <w:rPr>
          <w:rFonts w:ascii="Times New Roman" w:hAnsi="Times New Roman" w:cs="Times New Roman"/>
        </w:rPr>
      </w:pPr>
    </w:p>
    <w:p w14:paraId="2FD284D3" w14:textId="32A73233" w:rsidR="00365FFD" w:rsidRDefault="00950D10" w:rsidP="000E6DF0">
      <w:pPr>
        <w:pStyle w:val="NoSpacing"/>
        <w:spacing w:line="480" w:lineRule="auto"/>
        <w:jc w:val="both"/>
        <w:rPr>
          <w:rFonts w:ascii="Times New Roman" w:hAnsi="Times New Roman" w:cs="Times New Roman"/>
        </w:rPr>
      </w:pPr>
      <w:r w:rsidRPr="000D3040">
        <w:rPr>
          <w:rFonts w:ascii="Times New Roman" w:hAnsi="Times New Roman" w:cs="Times New Roman"/>
        </w:rPr>
        <w:t>Although</w:t>
      </w:r>
      <w:r w:rsidR="00B1580C" w:rsidRPr="000D3040">
        <w:rPr>
          <w:rFonts w:ascii="Times New Roman" w:hAnsi="Times New Roman" w:cs="Times New Roman"/>
        </w:rPr>
        <w:t xml:space="preserve"> dementia </w:t>
      </w:r>
      <w:r w:rsidRPr="000D3040">
        <w:rPr>
          <w:rFonts w:ascii="Times New Roman" w:hAnsi="Times New Roman" w:cs="Times New Roman"/>
        </w:rPr>
        <w:t>has become</w:t>
      </w:r>
      <w:r w:rsidR="00B1580C" w:rsidRPr="000D3040">
        <w:rPr>
          <w:rFonts w:ascii="Times New Roman" w:hAnsi="Times New Roman" w:cs="Times New Roman"/>
        </w:rPr>
        <w:t xml:space="preserve"> </w:t>
      </w:r>
      <w:r w:rsidR="00196F74" w:rsidRPr="000D3040">
        <w:rPr>
          <w:rFonts w:ascii="Times New Roman" w:hAnsi="Times New Roman" w:cs="Times New Roman"/>
        </w:rPr>
        <w:t>increasingly subjected to a political and legal gaze</w:t>
      </w:r>
      <w:r w:rsidRPr="000D3040">
        <w:rPr>
          <w:rFonts w:ascii="Times New Roman" w:hAnsi="Times New Roman" w:cs="Times New Roman"/>
        </w:rPr>
        <w:t xml:space="preserve"> in recent years</w:t>
      </w:r>
      <w:r w:rsidR="00B1580C" w:rsidRPr="000D3040">
        <w:rPr>
          <w:rFonts w:ascii="Times New Roman" w:hAnsi="Times New Roman" w:cs="Times New Roman"/>
        </w:rPr>
        <w:t xml:space="preserve">, as yet there has been little </w:t>
      </w:r>
      <w:r w:rsidR="00196F74" w:rsidRPr="000D3040">
        <w:rPr>
          <w:rFonts w:ascii="Times New Roman" w:hAnsi="Times New Roman" w:cs="Times New Roman"/>
        </w:rPr>
        <w:t xml:space="preserve">systematic </w:t>
      </w:r>
      <w:r w:rsidR="00B1580C" w:rsidRPr="000D3040">
        <w:rPr>
          <w:rFonts w:ascii="Times New Roman" w:hAnsi="Times New Roman" w:cs="Times New Roman"/>
        </w:rPr>
        <w:t xml:space="preserve">engagement with the way </w:t>
      </w:r>
      <w:r w:rsidR="00E2074F" w:rsidRPr="000D3040">
        <w:rPr>
          <w:rFonts w:ascii="Times New Roman" w:hAnsi="Times New Roman" w:cs="Times New Roman"/>
        </w:rPr>
        <w:t>in which</w:t>
      </w:r>
      <w:r w:rsidR="00B1580C" w:rsidRPr="000D3040">
        <w:rPr>
          <w:rFonts w:ascii="Times New Roman" w:hAnsi="Times New Roman" w:cs="Times New Roman"/>
        </w:rPr>
        <w:t xml:space="preserve"> </w:t>
      </w:r>
      <w:r w:rsidR="00196F74" w:rsidRPr="000D3040">
        <w:rPr>
          <w:rFonts w:ascii="Times New Roman" w:hAnsi="Times New Roman" w:cs="Times New Roman"/>
        </w:rPr>
        <w:t xml:space="preserve">the </w:t>
      </w:r>
      <w:r w:rsidRPr="000D3040">
        <w:rPr>
          <w:rFonts w:ascii="Times New Roman" w:hAnsi="Times New Roman" w:cs="Times New Roman"/>
        </w:rPr>
        <w:t>courts</w:t>
      </w:r>
      <w:r w:rsidR="00BA6C59">
        <w:rPr>
          <w:rFonts w:ascii="Times New Roman" w:hAnsi="Times New Roman" w:cs="Times New Roman"/>
        </w:rPr>
        <w:t xml:space="preserve"> interact </w:t>
      </w:r>
      <w:r w:rsidR="00F673F4" w:rsidRPr="000D3040">
        <w:rPr>
          <w:rFonts w:ascii="Times New Roman" w:hAnsi="Times New Roman" w:cs="Times New Roman"/>
        </w:rPr>
        <w:t xml:space="preserve">with </w:t>
      </w:r>
      <w:r w:rsidR="00227FD5" w:rsidRPr="000D3040">
        <w:rPr>
          <w:rFonts w:ascii="Times New Roman" w:hAnsi="Times New Roman" w:cs="Times New Roman"/>
        </w:rPr>
        <w:t>persons</w:t>
      </w:r>
      <w:r w:rsidR="00F673F4" w:rsidRPr="000D3040">
        <w:rPr>
          <w:rFonts w:ascii="Times New Roman" w:hAnsi="Times New Roman" w:cs="Times New Roman"/>
        </w:rPr>
        <w:t xml:space="preserve"> with dementia</w:t>
      </w:r>
      <w:r w:rsidRPr="000D3040">
        <w:rPr>
          <w:rFonts w:ascii="Times New Roman" w:hAnsi="Times New Roman" w:cs="Times New Roman"/>
        </w:rPr>
        <w:t>.</w:t>
      </w:r>
      <w:r w:rsidR="00A96310" w:rsidRPr="000D3040">
        <w:rPr>
          <w:rStyle w:val="FootnoteReference"/>
          <w:rFonts w:ascii="Times New Roman" w:hAnsi="Times New Roman" w:cs="Times New Roman"/>
        </w:rPr>
        <w:footnoteReference w:id="14"/>
      </w:r>
      <w:r w:rsidR="00B1580C" w:rsidRPr="000D3040">
        <w:rPr>
          <w:rFonts w:ascii="Times New Roman" w:hAnsi="Times New Roman" w:cs="Times New Roman"/>
        </w:rPr>
        <w:t xml:space="preserve">  </w:t>
      </w:r>
      <w:r w:rsidR="00AB2AE2" w:rsidRPr="000D3040">
        <w:rPr>
          <w:rFonts w:ascii="Times New Roman" w:hAnsi="Times New Roman" w:cs="Times New Roman"/>
        </w:rPr>
        <w:t xml:space="preserve">This article analyses how </w:t>
      </w:r>
      <w:r w:rsidR="00365FFD">
        <w:rPr>
          <w:rFonts w:ascii="Times New Roman" w:hAnsi="Times New Roman" w:cs="Times New Roman"/>
        </w:rPr>
        <w:t xml:space="preserve">the Court of </w:t>
      </w:r>
      <w:r w:rsidR="00365FFD">
        <w:rPr>
          <w:rFonts w:ascii="Times New Roman" w:hAnsi="Times New Roman" w:cs="Times New Roman"/>
        </w:rPr>
        <w:lastRenderedPageBreak/>
        <w:t>Protection engages with the person with dementia when making best interests decisions on their behalf under section 4 of the</w:t>
      </w:r>
      <w:r w:rsidR="00AB2AE2" w:rsidRPr="000D3040">
        <w:rPr>
          <w:rFonts w:ascii="Times New Roman" w:hAnsi="Times New Roman" w:cs="Times New Roman"/>
        </w:rPr>
        <w:t xml:space="preserve"> the Mental Capacity Act 2005</w:t>
      </w:r>
      <w:r w:rsidR="00365FFD">
        <w:rPr>
          <w:rFonts w:ascii="Times New Roman" w:hAnsi="Times New Roman" w:cs="Times New Roman"/>
        </w:rPr>
        <w:t>,</w:t>
      </w:r>
      <w:r w:rsidR="00AB2AE2" w:rsidRPr="000D3040">
        <w:rPr>
          <w:rStyle w:val="FootnoteReference"/>
          <w:rFonts w:ascii="Times New Roman" w:hAnsi="Times New Roman" w:cs="Times New Roman"/>
        </w:rPr>
        <w:footnoteReference w:id="15"/>
      </w:r>
      <w:r w:rsidR="00365FFD">
        <w:rPr>
          <w:rFonts w:ascii="Times New Roman" w:hAnsi="Times New Roman" w:cs="Times New Roman"/>
        </w:rPr>
        <w:t xml:space="preserve"> and in particular, how the Court considers the </w:t>
      </w:r>
      <w:r w:rsidR="00541348">
        <w:rPr>
          <w:rFonts w:ascii="Times New Roman" w:hAnsi="Times New Roman" w:cs="Times New Roman"/>
        </w:rPr>
        <w:t>perspective of the person with dementia</w:t>
      </w:r>
      <w:r w:rsidR="00365FFD">
        <w:rPr>
          <w:rFonts w:ascii="Times New Roman" w:hAnsi="Times New Roman" w:cs="Times New Roman"/>
        </w:rPr>
        <w:t>.</w:t>
      </w:r>
      <w:r w:rsidR="00AB2AE2" w:rsidRPr="000D3040">
        <w:rPr>
          <w:rFonts w:ascii="Times New Roman" w:hAnsi="Times New Roman" w:cs="Times New Roman"/>
        </w:rPr>
        <w:t xml:space="preserve">  </w:t>
      </w:r>
      <w:r w:rsidR="00A93EB6">
        <w:rPr>
          <w:rFonts w:ascii="Times New Roman" w:hAnsi="Times New Roman" w:cs="Times New Roman"/>
        </w:rPr>
        <w:t>Although</w:t>
      </w:r>
      <w:r w:rsidR="00AB2AE2">
        <w:rPr>
          <w:rFonts w:ascii="Times New Roman" w:hAnsi="Times New Roman" w:cs="Times New Roman"/>
        </w:rPr>
        <w:t xml:space="preserve"> the person’s own wishes are </w:t>
      </w:r>
      <w:r w:rsidR="00365FFD">
        <w:rPr>
          <w:rFonts w:ascii="Times New Roman" w:hAnsi="Times New Roman" w:cs="Times New Roman"/>
        </w:rPr>
        <w:t xml:space="preserve">also </w:t>
      </w:r>
      <w:r w:rsidR="00AB2AE2">
        <w:rPr>
          <w:rFonts w:ascii="Times New Roman" w:hAnsi="Times New Roman" w:cs="Times New Roman"/>
        </w:rPr>
        <w:t xml:space="preserve">an important feature of the </w:t>
      </w:r>
      <w:r w:rsidR="00A93EB6">
        <w:rPr>
          <w:rFonts w:ascii="Times New Roman" w:hAnsi="Times New Roman" w:cs="Times New Roman"/>
        </w:rPr>
        <w:t xml:space="preserve">initial </w:t>
      </w:r>
      <w:r w:rsidR="00AB2AE2">
        <w:rPr>
          <w:rFonts w:ascii="Times New Roman" w:hAnsi="Times New Roman" w:cs="Times New Roman"/>
        </w:rPr>
        <w:t xml:space="preserve">capacity assessment process, </w:t>
      </w:r>
      <w:r w:rsidR="000E4C2E">
        <w:rPr>
          <w:rFonts w:ascii="Times New Roman" w:hAnsi="Times New Roman" w:cs="Times New Roman"/>
        </w:rPr>
        <w:t xml:space="preserve">many people with dementia who come before the Court </w:t>
      </w:r>
      <w:r w:rsidR="000E4C2E">
        <w:rPr>
          <w:rFonts w:ascii="Times New Roman" w:hAnsi="Times New Roman" w:cs="Times New Roman"/>
          <w:i/>
        </w:rPr>
        <w:t xml:space="preserve">will </w:t>
      </w:r>
      <w:r w:rsidR="000E4C2E">
        <w:rPr>
          <w:rFonts w:ascii="Times New Roman" w:hAnsi="Times New Roman" w:cs="Times New Roman"/>
        </w:rPr>
        <w:t xml:space="preserve">be </w:t>
      </w:r>
      <w:r w:rsidR="00601224">
        <w:rPr>
          <w:rFonts w:ascii="Times New Roman" w:hAnsi="Times New Roman" w:cs="Times New Roman"/>
        </w:rPr>
        <w:t>deemed to lack capacity</w:t>
      </w:r>
      <w:r w:rsidR="000E4C2E">
        <w:rPr>
          <w:rFonts w:ascii="Times New Roman" w:hAnsi="Times New Roman" w:cs="Times New Roman"/>
        </w:rPr>
        <w:t xml:space="preserve"> </w:t>
      </w:r>
      <w:r w:rsidR="00365FFD">
        <w:rPr>
          <w:rFonts w:ascii="Times New Roman" w:hAnsi="Times New Roman" w:cs="Times New Roman"/>
        </w:rPr>
        <w:t xml:space="preserve">and </w:t>
      </w:r>
      <w:r w:rsidR="000E4C2E">
        <w:rPr>
          <w:rFonts w:ascii="Times New Roman" w:hAnsi="Times New Roman" w:cs="Times New Roman"/>
        </w:rPr>
        <w:t>it is</w:t>
      </w:r>
      <w:r w:rsidR="00365FFD">
        <w:rPr>
          <w:rFonts w:ascii="Times New Roman" w:hAnsi="Times New Roman" w:cs="Times New Roman"/>
        </w:rPr>
        <w:t xml:space="preserve"> therefore</w:t>
      </w:r>
      <w:r w:rsidR="000E4C2E">
        <w:rPr>
          <w:rFonts w:ascii="Times New Roman" w:hAnsi="Times New Roman" w:cs="Times New Roman"/>
        </w:rPr>
        <w:t xml:space="preserve"> especially salient to consider these issues in relation to best interests decision-making</w:t>
      </w:r>
      <w:r w:rsidR="00AB2AE2">
        <w:rPr>
          <w:rFonts w:ascii="Times New Roman" w:hAnsi="Times New Roman" w:cs="Times New Roman"/>
        </w:rPr>
        <w:t xml:space="preserve">. </w:t>
      </w:r>
    </w:p>
    <w:p w14:paraId="047F35DC" w14:textId="77777777" w:rsidR="00365FFD" w:rsidRDefault="00365FFD" w:rsidP="000E6DF0">
      <w:pPr>
        <w:pStyle w:val="NoSpacing"/>
        <w:spacing w:line="480" w:lineRule="auto"/>
        <w:jc w:val="both"/>
        <w:rPr>
          <w:rFonts w:ascii="Times New Roman" w:hAnsi="Times New Roman" w:cs="Times New Roman"/>
        </w:rPr>
      </w:pPr>
    </w:p>
    <w:p w14:paraId="7E03556F" w14:textId="0CE9BD6F" w:rsidR="005D32DE" w:rsidRDefault="00A93EB6" w:rsidP="000E6DF0">
      <w:pPr>
        <w:pStyle w:val="NoSpacing"/>
        <w:spacing w:line="480" w:lineRule="auto"/>
        <w:jc w:val="both"/>
        <w:rPr>
          <w:rFonts w:ascii="Times New Roman" w:hAnsi="Times New Roman" w:cs="Times New Roman"/>
        </w:rPr>
      </w:pPr>
      <w:r>
        <w:rPr>
          <w:rFonts w:ascii="Times New Roman" w:hAnsi="Times New Roman" w:cs="Times New Roman"/>
        </w:rPr>
        <w:t>Through an analysis of these decisions it</w:t>
      </w:r>
      <w:r w:rsidR="009E33F8" w:rsidRPr="000D3040">
        <w:rPr>
          <w:rFonts w:ascii="Times New Roman" w:hAnsi="Times New Roman" w:cs="Times New Roman"/>
        </w:rPr>
        <w:t xml:space="preserve"> is argued that </w:t>
      </w:r>
      <w:r w:rsidR="000256ED" w:rsidRPr="000D3040">
        <w:rPr>
          <w:rFonts w:ascii="Times New Roman" w:hAnsi="Times New Roman" w:cs="Times New Roman"/>
        </w:rPr>
        <w:t>the Court’s approac</w:t>
      </w:r>
      <w:r w:rsidR="00227FD5" w:rsidRPr="000D3040">
        <w:rPr>
          <w:rFonts w:ascii="Times New Roman" w:hAnsi="Times New Roman" w:cs="Times New Roman"/>
        </w:rPr>
        <w:t>h to the person with dementia has</w:t>
      </w:r>
      <w:r w:rsidR="008709A3" w:rsidRPr="000D3040">
        <w:rPr>
          <w:rFonts w:ascii="Times New Roman" w:hAnsi="Times New Roman" w:cs="Times New Roman"/>
        </w:rPr>
        <w:t>, on occasions,</w:t>
      </w:r>
      <w:r w:rsidR="00227FD5" w:rsidRPr="000D3040">
        <w:rPr>
          <w:rFonts w:ascii="Times New Roman" w:hAnsi="Times New Roman" w:cs="Times New Roman"/>
        </w:rPr>
        <w:t xml:space="preserve"> been</w:t>
      </w:r>
      <w:r w:rsidR="000256ED" w:rsidRPr="000D3040">
        <w:rPr>
          <w:rFonts w:ascii="Times New Roman" w:hAnsi="Times New Roman" w:cs="Times New Roman"/>
        </w:rPr>
        <w:t xml:space="preserve"> </w:t>
      </w:r>
      <w:r w:rsidR="00CD49F9" w:rsidRPr="000D3040">
        <w:rPr>
          <w:rFonts w:ascii="Times New Roman" w:hAnsi="Times New Roman" w:cs="Times New Roman"/>
        </w:rPr>
        <w:t>constructed around</w:t>
      </w:r>
      <w:r w:rsidR="00365FFD">
        <w:rPr>
          <w:rFonts w:ascii="Times New Roman" w:hAnsi="Times New Roman" w:cs="Times New Roman"/>
        </w:rPr>
        <w:t xml:space="preserve"> a ‘comparator’ </w:t>
      </w:r>
      <w:r w:rsidR="00CD49F9" w:rsidRPr="000D3040">
        <w:rPr>
          <w:rFonts w:ascii="Times New Roman" w:hAnsi="Times New Roman" w:cs="Times New Roman"/>
        </w:rPr>
        <w:t>that render</w:t>
      </w:r>
      <w:r w:rsidR="00365FFD">
        <w:rPr>
          <w:rFonts w:ascii="Times New Roman" w:hAnsi="Times New Roman" w:cs="Times New Roman"/>
        </w:rPr>
        <w:t>s</w:t>
      </w:r>
      <w:r w:rsidR="00CD49F9" w:rsidRPr="000D3040">
        <w:rPr>
          <w:rFonts w:ascii="Times New Roman" w:hAnsi="Times New Roman" w:cs="Times New Roman"/>
        </w:rPr>
        <w:t xml:space="preserve"> the person with dementia as ‘Other’ </w:t>
      </w:r>
      <w:r w:rsidR="009E33F8" w:rsidRPr="000D3040">
        <w:rPr>
          <w:rFonts w:ascii="Times New Roman" w:hAnsi="Times New Roman" w:cs="Times New Roman"/>
        </w:rPr>
        <w:t>–</w:t>
      </w:r>
      <w:r w:rsidR="00B274FA">
        <w:rPr>
          <w:rFonts w:ascii="Times New Roman" w:hAnsi="Times New Roman" w:cs="Times New Roman"/>
        </w:rPr>
        <w:t xml:space="preserve"> </w:t>
      </w:r>
      <w:r w:rsidR="004D7A69">
        <w:rPr>
          <w:rFonts w:ascii="Times New Roman" w:hAnsi="Times New Roman" w:cs="Times New Roman"/>
        </w:rPr>
        <w:t xml:space="preserve">unjustifiably </w:t>
      </w:r>
      <w:r w:rsidR="00441966">
        <w:rPr>
          <w:rFonts w:ascii="Times New Roman" w:hAnsi="Times New Roman" w:cs="Times New Roman"/>
        </w:rPr>
        <w:t xml:space="preserve">marginalising them, and </w:t>
      </w:r>
      <w:r w:rsidR="009C1D4C" w:rsidRPr="000D3040">
        <w:rPr>
          <w:rFonts w:ascii="Times New Roman" w:hAnsi="Times New Roman" w:cs="Times New Roman"/>
        </w:rPr>
        <w:t>portraying them as ‘deviant</w:t>
      </w:r>
      <w:r w:rsidR="009E33F8" w:rsidRPr="000D3040">
        <w:rPr>
          <w:rFonts w:ascii="Times New Roman" w:hAnsi="Times New Roman" w:cs="Times New Roman"/>
        </w:rPr>
        <w:t>’.</w:t>
      </w:r>
      <w:r w:rsidR="00EF4926" w:rsidRPr="000D3040">
        <w:rPr>
          <w:rStyle w:val="FootnoteReference"/>
          <w:rFonts w:ascii="Times New Roman" w:hAnsi="Times New Roman" w:cs="Times New Roman"/>
        </w:rPr>
        <w:footnoteReference w:id="16"/>
      </w:r>
      <w:r w:rsidR="009E33F8" w:rsidRPr="000D3040">
        <w:rPr>
          <w:rFonts w:ascii="Times New Roman" w:hAnsi="Times New Roman" w:cs="Times New Roman"/>
        </w:rPr>
        <w:t xml:space="preserve">   </w:t>
      </w:r>
      <w:r w:rsidR="001D4225">
        <w:rPr>
          <w:rFonts w:ascii="Times New Roman" w:hAnsi="Times New Roman" w:cs="Times New Roman"/>
        </w:rPr>
        <w:t>In this respect, the</w:t>
      </w:r>
      <w:r w:rsidR="005D32DE" w:rsidRPr="000D3040">
        <w:rPr>
          <w:rFonts w:ascii="Times New Roman" w:hAnsi="Times New Roman" w:cs="Times New Roman"/>
        </w:rPr>
        <w:t xml:space="preserve"> argument</w:t>
      </w:r>
      <w:r w:rsidR="001D4225">
        <w:rPr>
          <w:rFonts w:ascii="Times New Roman" w:hAnsi="Times New Roman" w:cs="Times New Roman"/>
        </w:rPr>
        <w:t xml:space="preserve"> presented in this paper</w:t>
      </w:r>
      <w:r w:rsidR="005D32DE" w:rsidRPr="000D3040">
        <w:rPr>
          <w:rFonts w:ascii="Times New Roman" w:hAnsi="Times New Roman" w:cs="Times New Roman"/>
        </w:rPr>
        <w:t xml:space="preserve"> goes beyond Donnelly’s early concerns that section 4 </w:t>
      </w:r>
      <w:r w:rsidR="00B274FA">
        <w:rPr>
          <w:rFonts w:ascii="Times New Roman" w:hAnsi="Times New Roman" w:cs="Times New Roman"/>
        </w:rPr>
        <w:t xml:space="preserve">of the Act </w:t>
      </w:r>
      <w:r w:rsidR="005D32DE" w:rsidRPr="000D3040">
        <w:rPr>
          <w:rFonts w:ascii="Times New Roman" w:hAnsi="Times New Roman" w:cs="Times New Roman"/>
        </w:rPr>
        <w:t>risked paying only ‘tokenistic’ regard to the views of the person lacking capacity</w:t>
      </w:r>
      <w:r w:rsidR="00B274FA">
        <w:rPr>
          <w:rFonts w:ascii="Times New Roman" w:hAnsi="Times New Roman" w:cs="Times New Roman"/>
        </w:rPr>
        <w:t>.</w:t>
      </w:r>
      <w:r w:rsidR="005D32DE" w:rsidRPr="000D3040">
        <w:rPr>
          <w:rStyle w:val="FootnoteReference"/>
          <w:rFonts w:ascii="Times New Roman" w:hAnsi="Times New Roman" w:cs="Times New Roman"/>
        </w:rPr>
        <w:footnoteReference w:id="17"/>
      </w:r>
      <w:r w:rsidR="00676016">
        <w:rPr>
          <w:rFonts w:ascii="Times New Roman" w:hAnsi="Times New Roman" w:cs="Times New Roman"/>
        </w:rPr>
        <w:t xml:space="preserve"> </w:t>
      </w:r>
      <w:r w:rsidR="00AB2AE2">
        <w:rPr>
          <w:rFonts w:ascii="Times New Roman" w:hAnsi="Times New Roman" w:cs="Times New Roman"/>
        </w:rPr>
        <w:t>This is notwithstandi</w:t>
      </w:r>
      <w:r w:rsidR="001D4225">
        <w:rPr>
          <w:rFonts w:ascii="Times New Roman" w:hAnsi="Times New Roman" w:cs="Times New Roman"/>
        </w:rPr>
        <w:t>ng</w:t>
      </w:r>
      <w:r w:rsidR="004D7A69">
        <w:rPr>
          <w:rFonts w:ascii="Times New Roman" w:hAnsi="Times New Roman" w:cs="Times New Roman"/>
        </w:rPr>
        <w:t xml:space="preserve"> the fact that</w:t>
      </w:r>
      <w:r w:rsidR="00441966">
        <w:rPr>
          <w:rFonts w:ascii="Times New Roman" w:hAnsi="Times New Roman" w:cs="Times New Roman"/>
        </w:rPr>
        <w:t xml:space="preserve"> </w:t>
      </w:r>
      <w:r w:rsidR="00AB2AE2" w:rsidRPr="000D3040">
        <w:rPr>
          <w:rFonts w:ascii="Times New Roman" w:hAnsi="Times New Roman" w:cs="Times New Roman"/>
        </w:rPr>
        <w:t>‘best interests’</w:t>
      </w:r>
      <w:r w:rsidR="00643281">
        <w:rPr>
          <w:rFonts w:ascii="Times New Roman" w:hAnsi="Times New Roman" w:cs="Times New Roman"/>
        </w:rPr>
        <w:t xml:space="preserve"> </w:t>
      </w:r>
      <w:r w:rsidR="00441966">
        <w:rPr>
          <w:rFonts w:ascii="Times New Roman" w:hAnsi="Times New Roman" w:cs="Times New Roman"/>
        </w:rPr>
        <w:t>as a legal tool</w:t>
      </w:r>
      <w:r w:rsidR="004D7A69">
        <w:rPr>
          <w:rFonts w:ascii="Times New Roman" w:hAnsi="Times New Roman" w:cs="Times New Roman"/>
        </w:rPr>
        <w:t xml:space="preserve"> has developed over a number of years</w:t>
      </w:r>
      <w:r w:rsidR="00AB2AE2" w:rsidRPr="000D3040">
        <w:rPr>
          <w:rFonts w:ascii="Times New Roman" w:hAnsi="Times New Roman" w:cs="Times New Roman"/>
        </w:rPr>
        <w:t xml:space="preserve"> to better incorp</w:t>
      </w:r>
      <w:r w:rsidR="00E772F5">
        <w:rPr>
          <w:rFonts w:ascii="Times New Roman" w:hAnsi="Times New Roman" w:cs="Times New Roman"/>
        </w:rPr>
        <w:t>orate the person’s own views in</w:t>
      </w:r>
      <w:r w:rsidR="00AB2AE2" w:rsidRPr="000D3040">
        <w:rPr>
          <w:rFonts w:ascii="Times New Roman" w:hAnsi="Times New Roman" w:cs="Times New Roman"/>
        </w:rPr>
        <w:t>to the decision-making process,</w:t>
      </w:r>
      <w:r w:rsidR="004D7A69">
        <w:rPr>
          <w:rFonts w:ascii="Times New Roman" w:hAnsi="Times New Roman" w:cs="Times New Roman"/>
        </w:rPr>
        <w:t xml:space="preserve"> and remove stigma associated with cognitive impairments</w:t>
      </w:r>
      <w:r w:rsidR="00643281">
        <w:rPr>
          <w:rFonts w:ascii="Times New Roman" w:hAnsi="Times New Roman" w:cs="Times New Roman"/>
        </w:rPr>
        <w:t>,</w:t>
      </w:r>
      <w:r w:rsidR="004D7A69">
        <w:rPr>
          <w:rStyle w:val="FootnoteReference"/>
          <w:rFonts w:ascii="Times New Roman" w:hAnsi="Times New Roman" w:cs="Times New Roman"/>
        </w:rPr>
        <w:footnoteReference w:id="18"/>
      </w:r>
      <w:r w:rsidR="004D7A69">
        <w:rPr>
          <w:rFonts w:ascii="Times New Roman" w:hAnsi="Times New Roman" w:cs="Times New Roman"/>
        </w:rPr>
        <w:t xml:space="preserve"> </w:t>
      </w:r>
      <w:r w:rsidR="00AB2AE2" w:rsidRPr="000D3040">
        <w:rPr>
          <w:rFonts w:ascii="Times New Roman" w:hAnsi="Times New Roman" w:cs="Times New Roman"/>
        </w:rPr>
        <w:t xml:space="preserve"> thereby </w:t>
      </w:r>
      <w:r w:rsidR="004D7A69">
        <w:rPr>
          <w:rFonts w:ascii="Times New Roman" w:hAnsi="Times New Roman" w:cs="Times New Roman"/>
        </w:rPr>
        <w:t>developing in such a way as</w:t>
      </w:r>
      <w:r w:rsidR="00AB2AE2" w:rsidRPr="000D3040">
        <w:rPr>
          <w:rFonts w:ascii="Times New Roman" w:hAnsi="Times New Roman" w:cs="Times New Roman"/>
        </w:rPr>
        <w:t xml:space="preserve"> to avoid opportunities for ‘othering’.</w:t>
      </w:r>
      <w:r w:rsidR="00AB2AE2">
        <w:rPr>
          <w:rFonts w:ascii="Times New Roman" w:hAnsi="Times New Roman" w:cs="Times New Roman"/>
        </w:rPr>
        <w:t xml:space="preserve"> </w:t>
      </w:r>
      <w:r w:rsidR="009E33F8" w:rsidRPr="000D3040">
        <w:rPr>
          <w:rFonts w:ascii="Times New Roman" w:hAnsi="Times New Roman" w:cs="Times New Roman"/>
        </w:rPr>
        <w:t xml:space="preserve">In </w:t>
      </w:r>
      <w:r w:rsidR="00C9157E">
        <w:rPr>
          <w:rFonts w:ascii="Times New Roman" w:hAnsi="Times New Roman" w:cs="Times New Roman"/>
        </w:rPr>
        <w:t xml:space="preserve">Section V, </w:t>
      </w:r>
      <w:r w:rsidR="001D4225">
        <w:rPr>
          <w:rFonts w:ascii="Times New Roman" w:hAnsi="Times New Roman" w:cs="Times New Roman"/>
        </w:rPr>
        <w:t>it is</w:t>
      </w:r>
      <w:r w:rsidR="009E33F8" w:rsidRPr="000D3040">
        <w:rPr>
          <w:rFonts w:ascii="Times New Roman" w:hAnsi="Times New Roman" w:cs="Times New Roman"/>
        </w:rPr>
        <w:t xml:space="preserve"> argue</w:t>
      </w:r>
      <w:r w:rsidR="001D4225">
        <w:rPr>
          <w:rFonts w:ascii="Times New Roman" w:hAnsi="Times New Roman" w:cs="Times New Roman"/>
        </w:rPr>
        <w:t>d</w:t>
      </w:r>
      <w:r w:rsidR="009E33F8" w:rsidRPr="000D3040">
        <w:rPr>
          <w:rFonts w:ascii="Times New Roman" w:hAnsi="Times New Roman" w:cs="Times New Roman"/>
        </w:rPr>
        <w:t xml:space="preserve"> that by </w:t>
      </w:r>
      <w:r w:rsidR="00C9157E">
        <w:rPr>
          <w:rFonts w:ascii="Times New Roman" w:hAnsi="Times New Roman" w:cs="Times New Roman"/>
        </w:rPr>
        <w:t xml:space="preserve">adopting an intersubjective approach, and by </w:t>
      </w:r>
      <w:r w:rsidR="00953DF4" w:rsidRPr="000D3040">
        <w:rPr>
          <w:rFonts w:ascii="Times New Roman" w:hAnsi="Times New Roman" w:cs="Times New Roman"/>
        </w:rPr>
        <w:t>exploring</w:t>
      </w:r>
      <w:r w:rsidR="003F0A78" w:rsidRPr="000D3040">
        <w:rPr>
          <w:rFonts w:ascii="Times New Roman" w:hAnsi="Times New Roman" w:cs="Times New Roman"/>
        </w:rPr>
        <w:t xml:space="preserve"> the complex labyrinth of relations that an individual with dementia has</w:t>
      </w:r>
      <w:r w:rsidR="00BA6C59">
        <w:rPr>
          <w:rFonts w:ascii="Times New Roman" w:hAnsi="Times New Roman" w:cs="Times New Roman"/>
        </w:rPr>
        <w:t xml:space="preserve">, </w:t>
      </w:r>
      <w:r w:rsidR="009E33F8" w:rsidRPr="000D3040">
        <w:rPr>
          <w:rFonts w:ascii="Times New Roman" w:hAnsi="Times New Roman" w:cs="Times New Roman"/>
        </w:rPr>
        <w:t xml:space="preserve">the Court can go some way to </w:t>
      </w:r>
      <w:r w:rsidR="002C5FFF" w:rsidRPr="000D3040">
        <w:rPr>
          <w:rFonts w:ascii="Times New Roman" w:hAnsi="Times New Roman" w:cs="Times New Roman"/>
        </w:rPr>
        <w:t xml:space="preserve">avoiding </w:t>
      </w:r>
      <w:r w:rsidR="00C9157E">
        <w:rPr>
          <w:rFonts w:ascii="Times New Roman" w:hAnsi="Times New Roman" w:cs="Times New Roman"/>
        </w:rPr>
        <w:t>this process of</w:t>
      </w:r>
      <w:r w:rsidR="00862806">
        <w:rPr>
          <w:rFonts w:ascii="Times New Roman" w:hAnsi="Times New Roman" w:cs="Times New Roman"/>
        </w:rPr>
        <w:t xml:space="preserve"> ‘othering’</w:t>
      </w:r>
      <w:r w:rsidR="00953DF4" w:rsidRPr="000D3040">
        <w:rPr>
          <w:rFonts w:ascii="Times New Roman" w:hAnsi="Times New Roman" w:cs="Times New Roman"/>
        </w:rPr>
        <w:t>.</w:t>
      </w:r>
      <w:r w:rsidR="00BB6A65" w:rsidRPr="000D3040">
        <w:rPr>
          <w:rFonts w:ascii="Times New Roman" w:hAnsi="Times New Roman" w:cs="Times New Roman"/>
        </w:rPr>
        <w:t xml:space="preserve"> </w:t>
      </w:r>
      <w:r w:rsidR="00441966">
        <w:rPr>
          <w:rFonts w:ascii="Times New Roman" w:hAnsi="Times New Roman" w:cs="Times New Roman"/>
        </w:rPr>
        <w:t xml:space="preserve">It is worth noting from the outset that this paper is not concerned with judgments emanating from the Court as to </w:t>
      </w:r>
      <w:r w:rsidR="00441966">
        <w:rPr>
          <w:rFonts w:ascii="Times New Roman" w:hAnsi="Times New Roman" w:cs="Times New Roman"/>
        </w:rPr>
        <w:lastRenderedPageBreak/>
        <w:t>whether a person has capacity or not – nor, therefore, is it concerned with an in depth of analysis of the binary notion of capacity contained within the Act for persons with dementia</w:t>
      </w:r>
      <w:r w:rsidR="008F24F4">
        <w:rPr>
          <w:rFonts w:ascii="Times New Roman" w:hAnsi="Times New Roman" w:cs="Times New Roman"/>
        </w:rPr>
        <w:t>. This has been discussed</w:t>
      </w:r>
      <w:r w:rsidR="00441966">
        <w:rPr>
          <w:rFonts w:ascii="Times New Roman" w:hAnsi="Times New Roman" w:cs="Times New Roman"/>
        </w:rPr>
        <w:t xml:space="preserve"> elsewhere.</w:t>
      </w:r>
      <w:r w:rsidR="00441966">
        <w:rPr>
          <w:rStyle w:val="FootnoteReference"/>
          <w:rFonts w:ascii="Times New Roman" w:hAnsi="Times New Roman" w:cs="Times New Roman"/>
        </w:rPr>
        <w:footnoteReference w:id="19"/>
      </w:r>
      <w:r w:rsidR="00441966">
        <w:rPr>
          <w:rFonts w:ascii="Times New Roman" w:hAnsi="Times New Roman" w:cs="Times New Roman"/>
        </w:rPr>
        <w:t xml:space="preserve"> </w:t>
      </w:r>
      <w:r w:rsidR="00E126C4">
        <w:rPr>
          <w:rFonts w:ascii="Times New Roman" w:hAnsi="Times New Roman" w:cs="Times New Roman"/>
        </w:rPr>
        <w:t>The paper focusses</w:t>
      </w:r>
      <w:r w:rsidR="00441966">
        <w:rPr>
          <w:rFonts w:ascii="Times New Roman" w:hAnsi="Times New Roman" w:cs="Times New Roman"/>
        </w:rPr>
        <w:t xml:space="preserve"> on the issue of whether the Court of Protection utilises the process of ‘othering’ when making best interests decisions on behalf of persons with dementia who are deemed to lack capacity.</w:t>
      </w:r>
    </w:p>
    <w:p w14:paraId="446E9C4D" w14:textId="77777777" w:rsidR="0036021A" w:rsidRDefault="0036021A" w:rsidP="000E6DF0">
      <w:pPr>
        <w:pStyle w:val="NoSpacing"/>
        <w:spacing w:line="480" w:lineRule="auto"/>
        <w:jc w:val="both"/>
        <w:rPr>
          <w:rFonts w:ascii="Times New Roman" w:hAnsi="Times New Roman" w:cs="Times New Roman"/>
        </w:rPr>
      </w:pPr>
    </w:p>
    <w:p w14:paraId="18240FF6" w14:textId="77777777" w:rsidR="00AB2AE2" w:rsidRPr="00795E6D" w:rsidRDefault="00AB2AE2" w:rsidP="00AB2AE2">
      <w:pPr>
        <w:jc w:val="center"/>
        <w:rPr>
          <w:bCs/>
          <w:caps/>
        </w:rPr>
      </w:pPr>
      <w:r w:rsidRPr="00795E6D">
        <w:rPr>
          <w:bCs/>
          <w:caps/>
        </w:rPr>
        <w:t>II. ‘Othering’ the Person with Dementia</w:t>
      </w:r>
      <w:r w:rsidR="002C074E">
        <w:rPr>
          <w:bCs/>
          <w:caps/>
        </w:rPr>
        <w:t>.</w:t>
      </w:r>
    </w:p>
    <w:p w14:paraId="3A8501BF" w14:textId="77777777" w:rsidR="00AB2AE2" w:rsidRPr="00EF1050" w:rsidRDefault="00AB2AE2" w:rsidP="00AB2AE2">
      <w:pPr>
        <w:jc w:val="center"/>
        <w:rPr>
          <w:rFonts w:ascii="Calibri" w:hAnsi="Calibri"/>
          <w:b/>
          <w:bCs/>
          <w:caps/>
        </w:rPr>
      </w:pPr>
    </w:p>
    <w:p w14:paraId="6F19AA64" w14:textId="2D485EAC" w:rsidR="00C6057B" w:rsidRDefault="00AB2AE2" w:rsidP="00AB2AE2">
      <w:pPr>
        <w:spacing w:line="480" w:lineRule="auto"/>
        <w:jc w:val="both"/>
      </w:pPr>
      <w:r w:rsidRPr="000D3040">
        <w:t>The notion that certain individuals are ‘othered’, or that they somehow hold a fundamental</w:t>
      </w:r>
      <w:r w:rsidR="008D5E13">
        <w:t xml:space="preserve">ly lower </w:t>
      </w:r>
      <w:r w:rsidRPr="000D3040">
        <w:t xml:space="preserve">moral status </w:t>
      </w:r>
      <w:r w:rsidR="008D5E13">
        <w:t>because of differences in their embodiment or psychological functioning i</w:t>
      </w:r>
      <w:r w:rsidRPr="000D3040">
        <w:t xml:space="preserve">s well documented in a number of scholarly domains.  Feminist and disability theorists, among others, have long argued that because of the </w:t>
      </w:r>
      <w:r w:rsidR="00E126C4">
        <w:t xml:space="preserve">masculine, </w:t>
      </w:r>
      <w:r w:rsidRPr="000D3040">
        <w:t>healthy bodied</w:t>
      </w:r>
      <w:r w:rsidR="00E126C4">
        <w:t>, rational, autonomous, and self-sufficient</w:t>
      </w:r>
      <w:r w:rsidRPr="000D3040">
        <w:t xml:space="preserve"> </w:t>
      </w:r>
      <w:r w:rsidR="00BA6C59">
        <w:t>ideal</w:t>
      </w:r>
      <w:r w:rsidR="008D5E13">
        <w:t xml:space="preserve"> that is inherent within law and society</w:t>
      </w:r>
      <w:r w:rsidRPr="000D3040">
        <w:t>, anybody who does not conform t</w:t>
      </w:r>
      <w:r w:rsidR="00BA6C59">
        <w:t xml:space="preserve">o </w:t>
      </w:r>
      <w:r w:rsidR="00E126C4">
        <w:t>this is</w:t>
      </w:r>
      <w:r w:rsidR="00BA6C59">
        <w:t xml:space="preserve"> considered ‘Other’ – deviant from th</w:t>
      </w:r>
      <w:r w:rsidR="008D5E13">
        <w:t>is</w:t>
      </w:r>
      <w:r w:rsidRPr="000D3040">
        <w:t xml:space="preserve"> pre-defined and idealistic norm.</w:t>
      </w:r>
      <w:r w:rsidRPr="000D3040">
        <w:rPr>
          <w:rStyle w:val="FootnoteReference"/>
        </w:rPr>
        <w:footnoteReference w:id="20"/>
      </w:r>
      <w:r w:rsidRPr="000D3040">
        <w:t xml:space="preserve">  As Shildrick argues in respect of disability and illness ‘[o]nce it is broken, that is diseased, damaged, or otherwise unwhole…[t]he body is now perceived, but is experienced as other’.</w:t>
      </w:r>
      <w:r w:rsidRPr="000D3040">
        <w:rPr>
          <w:rStyle w:val="FootnoteReference"/>
        </w:rPr>
        <w:footnoteReference w:id="21"/>
      </w:r>
      <w:r w:rsidRPr="000D3040">
        <w:t xml:space="preserve"> In effect, when a </w:t>
      </w:r>
      <w:r w:rsidR="007A350D">
        <w:t>person</w:t>
      </w:r>
      <w:r w:rsidRPr="000D3040">
        <w:t xml:space="preserve"> does not conform to what is perceived </w:t>
      </w:r>
      <w:r w:rsidR="007A350D">
        <w:t>to be</w:t>
      </w:r>
      <w:r w:rsidRPr="000D3040">
        <w:t xml:space="preserve"> </w:t>
      </w:r>
      <w:r w:rsidR="00E126C4">
        <w:t>the ideal</w:t>
      </w:r>
      <w:r w:rsidRPr="000D3040">
        <w:t>, they are categorised as ‘abnormal’</w:t>
      </w:r>
      <w:r w:rsidR="007A350D">
        <w:t xml:space="preserve"> </w:t>
      </w:r>
      <w:r w:rsidR="007A350D">
        <w:rPr>
          <w:i/>
        </w:rPr>
        <w:t xml:space="preserve">because of </w:t>
      </w:r>
      <w:r w:rsidR="007A350D">
        <w:t>their difference</w:t>
      </w:r>
      <w:r w:rsidRPr="000D3040">
        <w:t xml:space="preserve"> - something to be contained, feared and kept at arm’s length</w:t>
      </w:r>
      <w:r w:rsidR="002F1D9B">
        <w:t>,</w:t>
      </w:r>
      <w:r w:rsidR="00C6057B">
        <w:t xml:space="preserve"> and in a legal context, </w:t>
      </w:r>
      <w:r w:rsidR="008366D3">
        <w:t xml:space="preserve">this </w:t>
      </w:r>
      <w:r w:rsidR="00C6057B">
        <w:t>impacts how the court perceives and interacts with the person. This</w:t>
      </w:r>
      <w:r w:rsidR="00ED5125">
        <w:t xml:space="preserve"> process</w:t>
      </w:r>
      <w:r w:rsidR="00C6057B">
        <w:t xml:space="preserve">, </w:t>
      </w:r>
      <w:r w:rsidR="002F1D9B">
        <w:lastRenderedPageBreak/>
        <w:t>as Keywood argues in relation to anorexia nervosa</w:t>
      </w:r>
      <w:r w:rsidR="00ED5125">
        <w:t>,</w:t>
      </w:r>
      <w:r w:rsidR="002F1D9B">
        <w:t xml:space="preserve"> ‘…</w:t>
      </w:r>
      <w:r w:rsidRPr="000D3040">
        <w:t>.</w:t>
      </w:r>
      <w:r w:rsidR="00A3655A">
        <w:t>produces an identity of madness, of otherness, which of itself purports to necessitate her differential</w:t>
      </w:r>
      <w:r w:rsidR="00042FA2">
        <w:t xml:space="preserve"> medical </w:t>
      </w:r>
      <w:r w:rsidR="00A3655A">
        <w:t>treatment</w:t>
      </w:r>
      <w:r w:rsidR="00032753">
        <w:t>’</w:t>
      </w:r>
      <w:r w:rsidR="00A3655A">
        <w:t>.</w:t>
      </w:r>
      <w:r w:rsidR="002F1D9B">
        <w:rPr>
          <w:rStyle w:val="FootnoteReference"/>
        </w:rPr>
        <w:footnoteReference w:id="22"/>
      </w:r>
      <w:r w:rsidR="00A3655A">
        <w:t xml:space="preserve"> </w:t>
      </w:r>
      <w:r w:rsidR="0038462F">
        <w:t xml:space="preserve">They are deemed to have a fundamentally lower moral status because of </w:t>
      </w:r>
      <w:r w:rsidR="00B72333">
        <w:t>differences</w:t>
      </w:r>
      <w:r w:rsidR="0038462F">
        <w:t xml:space="preserve"> in their corporeal or cognitive functioning, which, in turn, serves to reaffirm the initial idealistic paradigm, and further entrench power imbalances</w:t>
      </w:r>
      <w:r w:rsidR="00B274FA">
        <w:t xml:space="preserve"> between the person and the Court</w:t>
      </w:r>
      <w:r w:rsidR="0038462F">
        <w:t>.</w:t>
      </w:r>
    </w:p>
    <w:p w14:paraId="1EA4416F" w14:textId="77777777" w:rsidR="00C6057B" w:rsidRDefault="00C6057B" w:rsidP="00AB2AE2">
      <w:pPr>
        <w:spacing w:line="480" w:lineRule="auto"/>
        <w:jc w:val="both"/>
      </w:pPr>
    </w:p>
    <w:p w14:paraId="1BA0CAC4" w14:textId="0F8B0C1A" w:rsidR="00AB2AE2" w:rsidRPr="008F24F4" w:rsidRDefault="006F1AC2" w:rsidP="00AB2AE2">
      <w:pPr>
        <w:spacing w:line="480" w:lineRule="auto"/>
        <w:jc w:val="both"/>
      </w:pPr>
      <w:r>
        <w:t>The</w:t>
      </w:r>
      <w:r w:rsidR="00AB2AE2" w:rsidRPr="000D3040">
        <w:t xml:space="preserve"> very terms of the </w:t>
      </w:r>
      <w:r w:rsidR="00862806">
        <w:t xml:space="preserve">Mental Capacity Act </w:t>
      </w:r>
      <w:r w:rsidR="00EC7753">
        <w:t>potentially make this process of ‘othering’ in mental capacity jurisprudence more likely</w:t>
      </w:r>
      <w:r w:rsidR="00AB2AE2" w:rsidRPr="000D3040">
        <w:t>.  In distinguishing a binary between those who have or do not have capacity</w:t>
      </w:r>
      <w:r w:rsidR="00EC7753">
        <w:t xml:space="preserve"> based, in part, on a diagnostic element,</w:t>
      </w:r>
      <w:r w:rsidR="00EC7753">
        <w:rPr>
          <w:rStyle w:val="FootnoteReference"/>
        </w:rPr>
        <w:footnoteReference w:id="23"/>
      </w:r>
      <w:r w:rsidR="00AB2AE2" w:rsidRPr="000D3040">
        <w:t xml:space="preserve"> and only intervening in relation to those who do </w:t>
      </w:r>
      <w:r w:rsidR="00AB2AE2" w:rsidRPr="00BA6C59">
        <w:rPr>
          <w:i/>
        </w:rPr>
        <w:t>not</w:t>
      </w:r>
      <w:r w:rsidR="00EC7753">
        <w:rPr>
          <w:i/>
        </w:rPr>
        <w:t xml:space="preserve"> </w:t>
      </w:r>
      <w:r w:rsidR="00EC7753">
        <w:t>have capacity</w:t>
      </w:r>
      <w:r w:rsidR="00AB2AE2" w:rsidRPr="000D3040">
        <w:t>, the Act itself already explicitly recognises and asserts a ‘difference’.</w:t>
      </w:r>
      <w:r w:rsidR="00AB2AE2" w:rsidRPr="000D3040">
        <w:rPr>
          <w:rStyle w:val="FootnoteReference"/>
        </w:rPr>
        <w:footnoteReference w:id="24"/>
      </w:r>
      <w:r w:rsidR="00AB2AE2" w:rsidRPr="000D3040">
        <w:t xml:space="preserve">  This difference is between the person with dementia, for example, who is found to lack capacity and therefore</w:t>
      </w:r>
      <w:r w:rsidR="00EC7753">
        <w:t xml:space="preserve"> loses</w:t>
      </w:r>
      <w:r w:rsidR="00AB2AE2" w:rsidRPr="000D3040">
        <w:t xml:space="preserve"> </w:t>
      </w:r>
      <w:r w:rsidR="00EC7753">
        <w:t>decision-making power</w:t>
      </w:r>
      <w:r w:rsidR="00AB2AE2" w:rsidRPr="000D3040">
        <w:t xml:space="preserve"> under the Act, as opposed to ‘normal’ persons who </w:t>
      </w:r>
      <w:r w:rsidR="00AB2AE2">
        <w:t>have</w:t>
      </w:r>
      <w:r w:rsidR="00AB2AE2" w:rsidRPr="000D3040">
        <w:t xml:space="preserve"> capacity</w:t>
      </w:r>
      <w:r w:rsidR="00AB2AE2" w:rsidRPr="000D3040">
        <w:rPr>
          <w:rStyle w:val="FootnoteReference"/>
        </w:rPr>
        <w:footnoteReference w:id="25"/>
      </w:r>
      <w:r w:rsidR="00AB2AE2" w:rsidRPr="000D3040">
        <w:t xml:space="preserve"> - and for whom the Act does not deem intervention appropriate</w:t>
      </w:r>
      <w:r w:rsidR="00EC7753">
        <w:t xml:space="preserve"> and who therefore retain the power to make their own decisions</w:t>
      </w:r>
      <w:r w:rsidR="00AB2AE2" w:rsidRPr="000D3040">
        <w:t>.</w:t>
      </w:r>
      <w:r w:rsidR="00EC7753">
        <w:rPr>
          <w:rStyle w:val="FootnoteReference"/>
        </w:rPr>
        <w:footnoteReference w:id="26"/>
      </w:r>
      <w:r w:rsidR="00AB2AE2" w:rsidRPr="000D3040">
        <w:t xml:space="preserve">  </w:t>
      </w:r>
      <w:r w:rsidR="008F24F4">
        <w:t xml:space="preserve">Moreover, when a person </w:t>
      </w:r>
      <w:r w:rsidR="008F24F4">
        <w:rPr>
          <w:i/>
        </w:rPr>
        <w:t xml:space="preserve">does </w:t>
      </w:r>
      <w:r w:rsidR="008F24F4">
        <w:t>lack capacity, there is already clear evidence before the Court of how they fail to live up to the standard contained within th</w:t>
      </w:r>
      <w:r w:rsidR="005F3216">
        <w:t>e Act itself – their failure to</w:t>
      </w:r>
      <w:r w:rsidR="008F24F4">
        <w:t xml:space="preserve"> fulfil the functional test contained in section 3.</w:t>
      </w:r>
      <w:r w:rsidR="008F24F4">
        <w:rPr>
          <w:rStyle w:val="FootnoteReference"/>
        </w:rPr>
        <w:footnoteReference w:id="27"/>
      </w:r>
    </w:p>
    <w:p w14:paraId="028F7488" w14:textId="77777777" w:rsidR="00AB2AE2" w:rsidRPr="000D3040" w:rsidRDefault="00AB2AE2" w:rsidP="00AB2AE2">
      <w:pPr>
        <w:spacing w:line="480" w:lineRule="auto"/>
        <w:jc w:val="both"/>
      </w:pPr>
    </w:p>
    <w:p w14:paraId="261419F7" w14:textId="0E2952D9" w:rsidR="00E126C4" w:rsidRDefault="00EC7753" w:rsidP="00AB2AE2">
      <w:pPr>
        <w:spacing w:line="480" w:lineRule="auto"/>
        <w:jc w:val="both"/>
      </w:pPr>
      <w:r>
        <w:t xml:space="preserve">At this point, however, </w:t>
      </w:r>
      <w:r w:rsidR="00961B6B">
        <w:t xml:space="preserve">it </w:t>
      </w:r>
      <w:r w:rsidR="00643281">
        <w:t xml:space="preserve">is important to note a </w:t>
      </w:r>
      <w:r w:rsidR="00961B6B">
        <w:t>distinction. Asserting a ‘difference</w:t>
      </w:r>
      <w:r w:rsidR="00AB2AE2" w:rsidRPr="000D3040">
        <w:t>’ is</w:t>
      </w:r>
      <w:r w:rsidR="00961B6B">
        <w:t>, in itself,</w:t>
      </w:r>
      <w:r w:rsidR="00AB2AE2" w:rsidRPr="000D3040">
        <w:t xml:space="preserve"> </w:t>
      </w:r>
      <w:r w:rsidR="00961B6B">
        <w:t>un</w:t>
      </w:r>
      <w:r w:rsidR="00AB2AE2" w:rsidRPr="000D3040">
        <w:t xml:space="preserve">problematic.  </w:t>
      </w:r>
      <w:r w:rsidR="00AF2963">
        <w:t xml:space="preserve">Indeed one prominent disability theorist, Tom Shakespeare, citing Lennard Davis, argues that impairments </w:t>
      </w:r>
      <w:r w:rsidR="00B72333" w:rsidRPr="00ED5125">
        <w:rPr>
          <w:i/>
        </w:rPr>
        <w:t>should</w:t>
      </w:r>
      <w:r w:rsidR="00427A38">
        <w:t xml:space="preserve"> be understood</w:t>
      </w:r>
      <w:r w:rsidR="00AF2963">
        <w:t xml:space="preserve"> as</w:t>
      </w:r>
      <w:r w:rsidR="00B72333">
        <w:t xml:space="preserve"> differences: </w:t>
      </w:r>
      <w:r w:rsidR="00427A38">
        <w:t>‘Disability is not so much the lack of a sense or the presence of a physical or mental impairment as it is the reception and construction of that difference’.</w:t>
      </w:r>
      <w:r w:rsidR="00427A38">
        <w:rPr>
          <w:rStyle w:val="FootnoteReference"/>
        </w:rPr>
        <w:footnoteReference w:id="28"/>
      </w:r>
      <w:r w:rsidR="00542D09">
        <w:t xml:space="preserve"> </w:t>
      </w:r>
      <w:r w:rsidR="00427A38">
        <w:t>Moreover,</w:t>
      </w:r>
      <w:r w:rsidR="00542D09">
        <w:t xml:space="preserve"> Shakespeare goes on to argue that impairments</w:t>
      </w:r>
      <w:r w:rsidR="00427A38">
        <w:t xml:space="preserve"> </w:t>
      </w:r>
      <w:r w:rsidR="00ED5125" w:rsidRPr="00ED5125">
        <w:t>should also be</w:t>
      </w:r>
      <w:r w:rsidR="00042FA2">
        <w:t xml:space="preserve"> </w:t>
      </w:r>
      <w:r w:rsidR="00AF2963">
        <w:t xml:space="preserve">taken into </w:t>
      </w:r>
      <w:r w:rsidR="00ED5125">
        <w:t>consideration</w:t>
      </w:r>
      <w:r w:rsidR="00427A38">
        <w:t xml:space="preserve">, for example, </w:t>
      </w:r>
      <w:r w:rsidR="00542D09">
        <w:t>in the allocation of welfare benefits</w:t>
      </w:r>
      <w:r w:rsidR="007431D6">
        <w:t>, or</w:t>
      </w:r>
      <w:r w:rsidR="00542D09">
        <w:t xml:space="preserve"> psychological and social support</w:t>
      </w:r>
      <w:r w:rsidR="007431D6">
        <w:t xml:space="preserve"> mechanisms</w:t>
      </w:r>
      <w:r w:rsidR="00542D09">
        <w:t>.</w:t>
      </w:r>
      <w:r w:rsidR="00542D09">
        <w:rPr>
          <w:rStyle w:val="FootnoteReference"/>
        </w:rPr>
        <w:footnoteReference w:id="29"/>
      </w:r>
      <w:r w:rsidR="00AB2AE2" w:rsidRPr="00AF2963">
        <w:t xml:space="preserve"> </w:t>
      </w:r>
      <w:r w:rsidR="00AB2AE2" w:rsidRPr="000D3040">
        <w:t>What the literature on ‘othering’ is keen to stress, however, is that this process</w:t>
      </w:r>
      <w:r w:rsidR="00042FA2">
        <w:t xml:space="preserve"> of differentiation</w:t>
      </w:r>
      <w:r w:rsidR="00AB2AE2" w:rsidRPr="000D3040">
        <w:t xml:space="preserve"> becomes </w:t>
      </w:r>
      <w:r w:rsidR="00B274FA">
        <w:t>‘othering’ -</w:t>
      </w:r>
      <w:r w:rsidR="00E43531">
        <w:t xml:space="preserve"> and therefore problematic</w:t>
      </w:r>
      <w:r w:rsidR="00B274FA">
        <w:t xml:space="preserve"> -</w:t>
      </w:r>
      <w:r w:rsidR="00AB2AE2" w:rsidRPr="000D3040">
        <w:t xml:space="preserve"> when negative moral judgments and assumptions </w:t>
      </w:r>
      <w:r w:rsidR="00AB2AE2">
        <w:t>are assigned to the ‘O</w:t>
      </w:r>
      <w:r w:rsidR="00AB2AE2" w:rsidRPr="000D3040">
        <w:t>ther’ so as to marginalise or dehumanise them, or assert that they have a lower moral status</w:t>
      </w:r>
      <w:r w:rsidR="00E43531">
        <w:t xml:space="preserve">, because of such </w:t>
      </w:r>
      <w:r w:rsidR="00042FA2">
        <w:t>differences</w:t>
      </w:r>
      <w:r w:rsidR="000E4C2E">
        <w:t xml:space="preserve">. </w:t>
      </w:r>
      <w:r w:rsidR="00AB2AE2">
        <w:t xml:space="preserve"> </w:t>
      </w:r>
      <w:r w:rsidR="000E4C2E">
        <w:t>A</w:t>
      </w:r>
      <w:r w:rsidR="00AB2AE2">
        <w:t>s</w:t>
      </w:r>
      <w:r w:rsidR="000E4C2E">
        <w:t xml:space="preserve"> </w:t>
      </w:r>
      <w:r w:rsidR="00AB2AE2">
        <w:t>MacK</w:t>
      </w:r>
      <w:r w:rsidR="000E4C2E">
        <w:t>innon notes in a feminist context</w:t>
      </w:r>
      <w:r w:rsidR="00601224">
        <w:t>,</w:t>
      </w:r>
      <w:r w:rsidR="00AB2AE2">
        <w:rPr>
          <w:rStyle w:val="FootnoteReference"/>
        </w:rPr>
        <w:footnoteReference w:id="30"/>
      </w:r>
      <w:r w:rsidR="00AB2AE2">
        <w:t xml:space="preserve"> the </w:t>
      </w:r>
      <w:r w:rsidR="00E43531">
        <w:t xml:space="preserve">problem of ‘othering’, </w:t>
      </w:r>
      <w:r w:rsidR="00AB2AE2">
        <w:t>lies in the voice of the ‘Other’ being at the bottom</w:t>
      </w:r>
      <w:r w:rsidR="00AB2AE2" w:rsidRPr="000D3040">
        <w:t xml:space="preserve">. </w:t>
      </w:r>
      <w:r w:rsidR="00C22C92">
        <w:t>This</w:t>
      </w:r>
      <w:r w:rsidR="00AB2AE2" w:rsidRPr="000D3040">
        <w:t xml:space="preserve"> may occur</w:t>
      </w:r>
      <w:r w:rsidR="00C22C92">
        <w:t>, for example,</w:t>
      </w:r>
      <w:r w:rsidR="00AB2AE2" w:rsidRPr="000D3040">
        <w:t xml:space="preserve"> when the Court constructs its own </w:t>
      </w:r>
      <w:r w:rsidR="00E43531">
        <w:t>ideal</w:t>
      </w:r>
      <w:r w:rsidR="00AB2AE2" w:rsidRPr="000D3040">
        <w:t xml:space="preserve"> and paints a picture of the </w:t>
      </w:r>
      <w:r w:rsidR="00E43531">
        <w:t xml:space="preserve">person with </w:t>
      </w:r>
      <w:r w:rsidR="00AB2AE2" w:rsidRPr="000D3040">
        <w:t>dementia as ‘falling short’ of this</w:t>
      </w:r>
      <w:r w:rsidR="00042FA2">
        <w:t>,</w:t>
      </w:r>
      <w:r w:rsidR="00AB2AE2" w:rsidRPr="000D3040">
        <w:t xml:space="preserve"> </w:t>
      </w:r>
      <w:r w:rsidR="00E43531">
        <w:t>s</w:t>
      </w:r>
      <w:r w:rsidR="007E24D4">
        <w:t xml:space="preserve">o as to reaffirm the correctness of its original paradigmatic standard, and, to adopt Keywood’s terminology, to </w:t>
      </w:r>
      <w:r w:rsidR="007E24D4" w:rsidRPr="00D570A8">
        <w:rPr>
          <w:i/>
        </w:rPr>
        <w:t>validate</w:t>
      </w:r>
      <w:r w:rsidR="007E24D4">
        <w:t xml:space="preserve"> their ‘differential treatment’</w:t>
      </w:r>
      <w:r w:rsidR="00AB2AE2" w:rsidRPr="000D3040">
        <w:t>.</w:t>
      </w:r>
      <w:r w:rsidR="007E24D4">
        <w:rPr>
          <w:rStyle w:val="FootnoteReference"/>
        </w:rPr>
        <w:footnoteReference w:id="31"/>
      </w:r>
      <w:r w:rsidR="00AB2AE2" w:rsidRPr="000D3040">
        <w:t xml:space="preserve"> </w:t>
      </w:r>
    </w:p>
    <w:p w14:paraId="44EBEC7D" w14:textId="77777777" w:rsidR="00E126C4" w:rsidRDefault="00E126C4" w:rsidP="00AB2AE2">
      <w:pPr>
        <w:spacing w:line="480" w:lineRule="auto"/>
        <w:jc w:val="both"/>
      </w:pPr>
    </w:p>
    <w:p w14:paraId="54764924" w14:textId="7FF8181D" w:rsidR="00AB2AE2" w:rsidRPr="00267CFA" w:rsidRDefault="00E126C4" w:rsidP="00AB2AE2">
      <w:pPr>
        <w:spacing w:line="480" w:lineRule="auto"/>
        <w:jc w:val="both"/>
      </w:pPr>
      <w:r>
        <w:t>Used in this manner</w:t>
      </w:r>
      <w:r w:rsidR="00E43531">
        <w:t xml:space="preserve">, </w:t>
      </w:r>
      <w:r w:rsidR="00AB2AE2" w:rsidRPr="000D3040">
        <w:t xml:space="preserve">‘othering’ </w:t>
      </w:r>
      <w:r w:rsidR="00E43531">
        <w:t xml:space="preserve">essentially </w:t>
      </w:r>
      <w:r w:rsidR="00AB2AE2" w:rsidRPr="000D3040">
        <w:t>requires two elements.  The first is the presence of a comparator – or some ideal of what a ‘normal person’ should be able to do</w:t>
      </w:r>
      <w:r w:rsidR="000E4C2E">
        <w:t xml:space="preserve"> – an entity not entirely unfamiliar in mental capacity law.</w:t>
      </w:r>
      <w:r w:rsidR="00AB2AE2" w:rsidRPr="000D3040">
        <w:rPr>
          <w:rStyle w:val="FootnoteReference"/>
        </w:rPr>
        <w:footnoteReference w:id="32"/>
      </w:r>
      <w:r w:rsidR="00AB2AE2" w:rsidRPr="000D3040">
        <w:t xml:space="preserve"> In feminist discourse this comparator is </w:t>
      </w:r>
      <w:r w:rsidR="00AB2AE2" w:rsidRPr="000D3040">
        <w:lastRenderedPageBreak/>
        <w:t>the self-sufficient</w:t>
      </w:r>
      <w:r>
        <w:t xml:space="preserve">, rational and autonomous, </w:t>
      </w:r>
      <w:r w:rsidR="00AB2AE2" w:rsidRPr="000D3040">
        <w:t>masculine identity. In disability discourse, particularly for critics of the medical model of disability, this is the construction of the norm as the</w:t>
      </w:r>
      <w:r w:rsidR="00B72333">
        <w:t xml:space="preserve"> fully functioning,</w:t>
      </w:r>
      <w:r w:rsidR="00AB2AE2" w:rsidRPr="000D3040">
        <w:t xml:space="preserve"> healthy </w:t>
      </w:r>
      <w:r w:rsidR="00B72333">
        <w:t>and</w:t>
      </w:r>
      <w:r w:rsidR="00AB2AE2" w:rsidRPr="000D3040">
        <w:t xml:space="preserve"> unimpaired body.  The second </w:t>
      </w:r>
      <w:r w:rsidR="00AB2AE2">
        <w:t xml:space="preserve">crucial </w:t>
      </w:r>
      <w:r w:rsidR="00AB2AE2" w:rsidRPr="000D3040">
        <w:t>feature of such an ‘othering’ analysis is that there must be stigma associated with the person by virtue of their failure to meet this standard. As Weicht notes</w:t>
      </w:r>
      <w:r w:rsidR="00601224">
        <w:t>,</w:t>
      </w:r>
      <w:r w:rsidR="00AB2AE2" w:rsidRPr="000D3040">
        <w:rPr>
          <w:rStyle w:val="FootnoteReference"/>
        </w:rPr>
        <w:footnoteReference w:id="33"/>
      </w:r>
      <w:r w:rsidR="00AB2AE2" w:rsidRPr="000D3040">
        <w:t xml:space="preserve"> in the case of dementia, it is that it is undesirable, feared and rejected – the ‘confused, helpless’ dementia sufferer.</w:t>
      </w:r>
      <w:r w:rsidR="00AB2AE2" w:rsidRPr="000D3040">
        <w:rPr>
          <w:rStyle w:val="FootnoteReference"/>
        </w:rPr>
        <w:footnoteReference w:id="34"/>
      </w:r>
      <w:r w:rsidR="007E24D4">
        <w:t xml:space="preserve"> As will be shown in Section IV, these two elements</w:t>
      </w:r>
      <w:r w:rsidR="00042FA2">
        <w:t xml:space="preserve"> to the process of ‘othering’</w:t>
      </w:r>
      <w:r w:rsidR="007E24D4">
        <w:t xml:space="preserve"> are not mutually exclu</w:t>
      </w:r>
      <w:r w:rsidR="00BE0135">
        <w:t xml:space="preserve">sive. Indeed, </w:t>
      </w:r>
      <w:r w:rsidR="00ED5125">
        <w:t>they are</w:t>
      </w:r>
      <w:r w:rsidR="000B7B10">
        <w:t xml:space="preserve"> mutually dependent </w:t>
      </w:r>
      <w:r w:rsidR="007E24D4">
        <w:t xml:space="preserve">for the process of </w:t>
      </w:r>
      <w:r w:rsidR="00267CFA">
        <w:t>‘</w:t>
      </w:r>
      <w:r w:rsidR="007E24D4">
        <w:t>othering</w:t>
      </w:r>
      <w:r w:rsidR="00267CFA">
        <w:t>’</w:t>
      </w:r>
      <w:r w:rsidR="00042FA2">
        <w:t xml:space="preserve"> to occur, and </w:t>
      </w:r>
      <w:r w:rsidR="000B7B10">
        <w:t xml:space="preserve">they </w:t>
      </w:r>
      <w:r w:rsidR="00042FA2">
        <w:t>operate in a circular way</w:t>
      </w:r>
      <w:r>
        <w:t>. T</w:t>
      </w:r>
      <w:r w:rsidR="00643281">
        <w:t xml:space="preserve">he </w:t>
      </w:r>
      <w:r w:rsidR="00267CFA">
        <w:t xml:space="preserve">reason a person or class of persons can </w:t>
      </w:r>
      <w:r w:rsidR="00CF400A">
        <w:t>be marginalised or classed as d</w:t>
      </w:r>
      <w:r w:rsidR="00267CFA">
        <w:t xml:space="preserve">eviant is </w:t>
      </w:r>
      <w:r w:rsidR="00267CFA">
        <w:rPr>
          <w:i/>
        </w:rPr>
        <w:t xml:space="preserve">because of </w:t>
      </w:r>
      <w:r w:rsidR="00267CFA">
        <w:t xml:space="preserve">the </w:t>
      </w:r>
      <w:r w:rsidR="00042FA2">
        <w:t xml:space="preserve">initial </w:t>
      </w:r>
      <w:r w:rsidR="00267CFA">
        <w:t xml:space="preserve">comparator, and </w:t>
      </w:r>
      <w:r w:rsidR="000B7B10">
        <w:t>their failure</w:t>
      </w:r>
      <w:r w:rsidR="00267CFA">
        <w:t xml:space="preserve"> to meet this </w:t>
      </w:r>
      <w:r w:rsidR="00ED5125">
        <w:t>ideal</w:t>
      </w:r>
      <w:r w:rsidR="001A3C90">
        <w:t xml:space="preserve">, which is then used </w:t>
      </w:r>
      <w:r w:rsidR="00042FA2">
        <w:t xml:space="preserve">as evidence </w:t>
      </w:r>
      <w:r w:rsidR="00B274FA">
        <w:t>to prove the correctness</w:t>
      </w:r>
      <w:r w:rsidR="001A3C90">
        <w:t xml:space="preserve"> of the </w:t>
      </w:r>
      <w:r w:rsidR="00ED5125">
        <w:t>idealistic standard</w:t>
      </w:r>
      <w:r w:rsidR="00267CFA">
        <w:t>. ‘Othering’ as a process, then, does not take place between individuals – someone who lacks capacity is not necessarily deemed ‘other’ to someone with capacity. ‘</w:t>
      </w:r>
      <w:r w:rsidR="004D1C7F">
        <w:t>Othering’, as characterised for the purpose of this paper,</w:t>
      </w:r>
      <w:r w:rsidR="00267CFA">
        <w:t xml:space="preserve"> is between persons or groups of persons, and the more abstract </w:t>
      </w:r>
      <w:r w:rsidR="001A3C90">
        <w:t xml:space="preserve">and invidious </w:t>
      </w:r>
      <w:r w:rsidR="00267CFA">
        <w:t xml:space="preserve">notion of the </w:t>
      </w:r>
      <w:r w:rsidR="00CF400A">
        <w:t xml:space="preserve">rational and able-bodied </w:t>
      </w:r>
      <w:r w:rsidR="00267CFA">
        <w:t>ideal</w:t>
      </w:r>
      <w:r w:rsidR="004D1C7F">
        <w:t xml:space="preserve"> outlined above</w:t>
      </w:r>
      <w:r w:rsidR="00267CFA">
        <w:t>.</w:t>
      </w:r>
    </w:p>
    <w:p w14:paraId="58E0CBB6" w14:textId="77777777" w:rsidR="00AB2AE2" w:rsidRPr="000D3040" w:rsidRDefault="00AB2AE2" w:rsidP="00AB2AE2">
      <w:pPr>
        <w:spacing w:line="480" w:lineRule="auto"/>
        <w:jc w:val="both"/>
      </w:pPr>
    </w:p>
    <w:p w14:paraId="42F3E999" w14:textId="41C7A9A6" w:rsidR="00AB2AE2" w:rsidRPr="00C22C92" w:rsidRDefault="00AB2AE2" w:rsidP="00AB2AE2">
      <w:pPr>
        <w:spacing w:line="480" w:lineRule="auto"/>
        <w:jc w:val="both"/>
        <w:rPr>
          <w:b/>
          <w:i/>
        </w:rPr>
      </w:pPr>
      <w:r w:rsidRPr="000D3040">
        <w:t xml:space="preserve">This process of ‘othering’ is particularly </w:t>
      </w:r>
      <w:r>
        <w:t>prevalent among</w:t>
      </w:r>
      <w:r w:rsidRPr="000D3040">
        <w:t xml:space="preserve"> persons with dementia</w:t>
      </w:r>
      <w:r w:rsidR="004D1C7F">
        <w:t xml:space="preserve"> in society</w:t>
      </w:r>
      <w:r w:rsidR="003A4C5B">
        <w:t xml:space="preserve"> more generally</w:t>
      </w:r>
      <w:r w:rsidRPr="000D3040">
        <w:t>. As both Francis</w:t>
      </w:r>
      <w:r w:rsidRPr="000D3040">
        <w:rPr>
          <w:rStyle w:val="FootnoteReference"/>
        </w:rPr>
        <w:footnoteReference w:id="35"/>
      </w:r>
      <w:r w:rsidRPr="000D3040">
        <w:t xml:space="preserve"> and Kitwood</w:t>
      </w:r>
      <w:r w:rsidRPr="000D3040">
        <w:rPr>
          <w:rStyle w:val="FootnoteReference"/>
        </w:rPr>
        <w:footnoteReference w:id="36"/>
      </w:r>
      <w:r w:rsidRPr="000D3040">
        <w:t xml:space="preserve"> note, the loss of cognitive </w:t>
      </w:r>
      <w:r w:rsidRPr="000D3040">
        <w:lastRenderedPageBreak/>
        <w:t>functions because of dementia ultimately ends up depersonalising or medicalising the individual such that they become almost a non-human entity – ‘a pathetic ghost’</w:t>
      </w:r>
      <w:r w:rsidR="003200D0">
        <w:t>,</w:t>
      </w:r>
      <w:r w:rsidRPr="000D3040">
        <w:rPr>
          <w:rStyle w:val="FootnoteReference"/>
        </w:rPr>
        <w:footnoteReference w:id="37"/>
      </w:r>
      <w:r w:rsidRPr="000D3040">
        <w:t xml:space="preserve"> or suffering a ‘living death, a never ending funeral, and a private hell of devastation’</w:t>
      </w:r>
      <w:r w:rsidRPr="000D3040">
        <w:rPr>
          <w:rStyle w:val="FootnoteReference"/>
        </w:rPr>
        <w:footnoteReference w:id="38"/>
      </w:r>
      <w:r w:rsidRPr="000D3040">
        <w:t xml:space="preserve"> – </w:t>
      </w:r>
      <w:r>
        <w:t xml:space="preserve">forsaking the </w:t>
      </w:r>
      <w:r w:rsidR="00B4682A">
        <w:t>“</w:t>
      </w:r>
      <w:r>
        <w:t>unified</w:t>
      </w:r>
      <w:r w:rsidR="00B4682A">
        <w:t>”</w:t>
      </w:r>
      <w:r>
        <w:t xml:space="preserve"> person in favour of a medicalised </w:t>
      </w:r>
      <w:r w:rsidR="00E126C4">
        <w:t xml:space="preserve">and stigmatised </w:t>
      </w:r>
      <w:r>
        <w:t xml:space="preserve">notion of the person </w:t>
      </w:r>
      <w:r w:rsidRPr="00E05D0F">
        <w:t>with dementia</w:t>
      </w:r>
      <w:r w:rsidR="003200D0">
        <w:rPr>
          <w:i/>
        </w:rPr>
        <w:t>.</w:t>
      </w:r>
      <w:r w:rsidRPr="000D3040">
        <w:rPr>
          <w:rStyle w:val="FootnoteReference"/>
        </w:rPr>
        <w:footnoteReference w:id="39"/>
      </w:r>
      <w:r w:rsidRPr="000D3040">
        <w:t xml:space="preserve">  Empirical research also suggests that this is an existential reality for those living with dementia.  </w:t>
      </w:r>
      <w:r w:rsidR="00CF400A">
        <w:t>Given</w:t>
      </w:r>
      <w:r w:rsidRPr="000D3040">
        <w:t xml:space="preserve"> their</w:t>
      </w:r>
      <w:r>
        <w:t xml:space="preserve"> diagnosis and </w:t>
      </w:r>
      <w:r w:rsidR="00862806">
        <w:t>subsequ</w:t>
      </w:r>
      <w:r>
        <w:t>ent</w:t>
      </w:r>
      <w:r w:rsidRPr="000D3040">
        <w:t xml:space="preserve"> declining abilities, there remains a constant struggle for the person with dementia</w:t>
      </w:r>
      <w:r w:rsidR="007C5A60">
        <w:t>. This</w:t>
      </w:r>
      <w:r w:rsidRPr="000D3040">
        <w:t xml:space="preserve"> struggle</w:t>
      </w:r>
      <w:r w:rsidR="007C5A60">
        <w:t xml:space="preserve"> is</w:t>
      </w:r>
      <w:r w:rsidR="00B274FA">
        <w:t xml:space="preserve"> between</w:t>
      </w:r>
      <w:r w:rsidR="007C5A60">
        <w:t>, on the one hand,</w:t>
      </w:r>
      <w:r w:rsidRPr="000D3040">
        <w:t xml:space="preserve"> feeling like a valued and meaningful member of society</w:t>
      </w:r>
      <w:r w:rsidR="007C5A60">
        <w:t xml:space="preserve"> who can continue to perform the everyday tasks they were able to perform before they had dementia</w:t>
      </w:r>
      <w:r w:rsidRPr="000D3040">
        <w:t>, and</w:t>
      </w:r>
      <w:r w:rsidR="007C5A60">
        <w:t>, on the other,</w:t>
      </w:r>
      <w:r w:rsidRPr="000D3040">
        <w:t xml:space="preserve"> feeling </w:t>
      </w:r>
      <w:r w:rsidR="00862806">
        <w:t>worthless</w:t>
      </w:r>
      <w:r w:rsidR="00B4682A">
        <w:t xml:space="preserve"> and disempowered because of social attitudes about dementia</w:t>
      </w:r>
      <w:r w:rsidR="007C5A60">
        <w:t xml:space="preserve"> and because of the symptoms associated with condition</w:t>
      </w:r>
      <w:r w:rsidRPr="000D3040">
        <w:t xml:space="preserve">. This devaluation </w:t>
      </w:r>
      <w:r w:rsidR="00E126C4">
        <w:t>can occur to a large extent</w:t>
      </w:r>
      <w:r w:rsidR="0026719F">
        <w:t xml:space="preserve"> from how others interact with the person with dementia, and consequently </w:t>
      </w:r>
      <w:r w:rsidRPr="000D3040">
        <w:t>impacts negatively on a person’s sense of self-worth.</w:t>
      </w:r>
      <w:r w:rsidRPr="000D3040">
        <w:rPr>
          <w:rStyle w:val="FootnoteReference"/>
        </w:rPr>
        <w:footnoteReference w:id="40"/>
      </w:r>
      <w:r w:rsidRPr="000D3040">
        <w:t xml:space="preserve"> </w:t>
      </w:r>
      <w:r w:rsidR="0026719F">
        <w:t xml:space="preserve"> </w:t>
      </w:r>
      <w:r w:rsidRPr="000D3040">
        <w:t xml:space="preserve">Identifying an individual in terms of their diagnosis creates a moral and psychological distance between what is considered ‘them’ (the </w:t>
      </w:r>
      <w:r w:rsidR="00862806">
        <w:t>person</w:t>
      </w:r>
      <w:r w:rsidRPr="000D3040">
        <w:t xml:space="preserve"> with dementia) and ‘us’ (the healthy </w:t>
      </w:r>
      <w:r w:rsidR="00862806">
        <w:t>person</w:t>
      </w:r>
      <w:r w:rsidRPr="00611BBB">
        <w:t>).</w:t>
      </w:r>
      <w:r w:rsidRPr="00611BBB">
        <w:rPr>
          <w:rStyle w:val="FootnoteReference"/>
        </w:rPr>
        <w:footnoteReference w:id="41"/>
      </w:r>
      <w:r w:rsidRPr="00611BBB">
        <w:t xml:space="preserve">  Sabat and Harré</w:t>
      </w:r>
      <w:r w:rsidRPr="00611BBB">
        <w:rPr>
          <w:i/>
        </w:rPr>
        <w:t xml:space="preserve"> </w:t>
      </w:r>
      <w:r w:rsidR="0026719F">
        <w:t>convincingly argue</w:t>
      </w:r>
      <w:r w:rsidR="00CF400A">
        <w:t xml:space="preserve"> that if</w:t>
      </w:r>
      <w:r w:rsidR="00643281">
        <w:t>, for example,</w:t>
      </w:r>
      <w:r w:rsidR="00CF400A">
        <w:t xml:space="preserve"> perceived difficult behaviour by persons with dementia</w:t>
      </w:r>
      <w:r w:rsidRPr="00611BBB">
        <w:t xml:space="preserve"> </w:t>
      </w:r>
    </w:p>
    <w:p w14:paraId="22555C50" w14:textId="77777777" w:rsidR="00AB2AE2" w:rsidRPr="00611BBB" w:rsidRDefault="00AB2AE2" w:rsidP="00AB2AE2">
      <w:pPr>
        <w:spacing w:line="480" w:lineRule="auto"/>
        <w:ind w:left="567" w:right="751"/>
        <w:jc w:val="both"/>
      </w:pPr>
      <w:r w:rsidRPr="00611BBB">
        <w:lastRenderedPageBreak/>
        <w:t>…is founded on story lines that paint the sufferer as inadequate, confused, helpless…then that person will be so positioned and will have his…behaviour interpreted by others in such a way as to confirm the initial storyline…’.</w:t>
      </w:r>
      <w:r w:rsidRPr="00611BBB">
        <w:rPr>
          <w:rStyle w:val="FootnoteReference"/>
        </w:rPr>
        <w:footnoteReference w:id="42"/>
      </w:r>
      <w:r w:rsidRPr="00611BBB">
        <w:t xml:space="preserve"> </w:t>
      </w:r>
    </w:p>
    <w:p w14:paraId="5D8D1F91" w14:textId="23C409F1" w:rsidR="00D43C09" w:rsidRDefault="00AB2AE2" w:rsidP="00B64727">
      <w:pPr>
        <w:spacing w:line="480" w:lineRule="auto"/>
        <w:jc w:val="both"/>
      </w:pPr>
      <w:r w:rsidRPr="00611BBB">
        <w:t xml:space="preserve">Rather than seeing behaviours such as aggression or frustration as ‘just another symptom of dementia’, greater emphasis should be placed on </w:t>
      </w:r>
      <w:r w:rsidRPr="00611BBB">
        <w:rPr>
          <w:i/>
        </w:rPr>
        <w:t xml:space="preserve">understanding </w:t>
      </w:r>
      <w:r w:rsidRPr="00611BBB">
        <w:t xml:space="preserve">what are perceived to be the symptoms of dementia.  In order to do this there is no choice but to better understand the current lived experiences of the person with dementia, and as </w:t>
      </w:r>
      <w:r w:rsidR="003200D0">
        <w:t xml:space="preserve">shall be </w:t>
      </w:r>
      <w:r w:rsidR="007C5A60">
        <w:t xml:space="preserve">explored and </w:t>
      </w:r>
      <w:r w:rsidR="003200D0">
        <w:t>argued later</w:t>
      </w:r>
      <w:r w:rsidRPr="00611BBB">
        <w:t xml:space="preserve">, one way this could be achieved is by </w:t>
      </w:r>
      <w:r w:rsidR="00CF400A">
        <w:t>adopting an intersubjective approach</w:t>
      </w:r>
      <w:r w:rsidRPr="00611BBB">
        <w:t>.</w:t>
      </w:r>
      <w:r w:rsidRPr="00611BBB">
        <w:rPr>
          <w:rStyle w:val="FootnoteReference"/>
        </w:rPr>
        <w:footnoteReference w:id="43"/>
      </w:r>
      <w:r w:rsidRPr="00611BBB">
        <w:t xml:space="preserve"> </w:t>
      </w:r>
    </w:p>
    <w:p w14:paraId="5FA8D9FB" w14:textId="77777777" w:rsidR="00D43C09" w:rsidRDefault="00D43C09" w:rsidP="00B64727">
      <w:pPr>
        <w:spacing w:line="480" w:lineRule="auto"/>
        <w:jc w:val="both"/>
      </w:pPr>
    </w:p>
    <w:p w14:paraId="3AB76263" w14:textId="763147D1" w:rsidR="00337D44" w:rsidRDefault="00CC3C71" w:rsidP="00B64727">
      <w:pPr>
        <w:spacing w:line="480" w:lineRule="auto"/>
        <w:jc w:val="both"/>
      </w:pPr>
      <w:r>
        <w:t xml:space="preserve">If, as is contended in this paper, ‘othering’ is </w:t>
      </w:r>
      <w:r w:rsidR="00CF400A">
        <w:t xml:space="preserve">indeed </w:t>
      </w:r>
      <w:r>
        <w:t>present within c</w:t>
      </w:r>
      <w:r w:rsidR="00CF400A">
        <w:t>ertain Court of Protection judgments</w:t>
      </w:r>
      <w:r>
        <w:t xml:space="preserve">, then not only is such ‘othering’ problematic because it goes against the very ethos of empowerment that underpins the </w:t>
      </w:r>
      <w:r w:rsidR="00CF400A">
        <w:t xml:space="preserve">Mental Capacity </w:t>
      </w:r>
      <w:r>
        <w:t>Act - but also perpetuates the marginalisation widespread in society more generally of pers</w:t>
      </w:r>
      <w:r w:rsidR="00B274FA">
        <w:t>ons with dementia. E</w:t>
      </w:r>
      <w:r w:rsidR="00D43C09">
        <w:t>mpirical research</w:t>
      </w:r>
      <w:r>
        <w:t xml:space="preserve"> also indicates that such marginalisation </w:t>
      </w:r>
      <w:r w:rsidR="00D43C09">
        <w:t>based</w:t>
      </w:r>
      <w:r w:rsidR="00B274FA">
        <w:t xml:space="preserve"> on their medical condition a</w:t>
      </w:r>
      <w:r>
        <w:t xml:space="preserve">dds to feelings of disempowerment for persons with dementia. </w:t>
      </w:r>
      <w:r w:rsidR="00337D44">
        <w:t xml:space="preserve">In a recent survey by </w:t>
      </w:r>
      <w:r w:rsidR="00CF400A">
        <w:t xml:space="preserve">the </w:t>
      </w:r>
      <w:r w:rsidR="00337D44">
        <w:t>Alzheimer’s Society into awareness of the Mental Capacity Act among persons with dementia and their carers, one respondent with dementia notes this in a particularly powerful statement:</w:t>
      </w:r>
    </w:p>
    <w:p w14:paraId="194306E3" w14:textId="4470F547" w:rsidR="00337D44" w:rsidRDefault="00337D44" w:rsidP="00337D44">
      <w:pPr>
        <w:spacing w:line="480" w:lineRule="auto"/>
        <w:ind w:left="720" w:right="628"/>
        <w:jc w:val="both"/>
      </w:pPr>
      <w:r>
        <w:t xml:space="preserve">I don’t understand why people don’t think to tell us such important things, yes I have a diagnosis of dementia but that doesn’t mean I shouldn’t be told about my rights and the things that affect me. From what you have told me </w:t>
      </w:r>
      <w:r>
        <w:lastRenderedPageBreak/>
        <w:t>today I can use the law to plan ahead for my future, as well as to know that I should be involved in decisions and helped to make them. Everybody with dementia should be told about this, and a failure is just making assumptions about our condition, something you said this law said shouldn’t happen.</w:t>
      </w:r>
      <w:r w:rsidR="00030580">
        <w:rPr>
          <w:rStyle w:val="FootnoteReference"/>
        </w:rPr>
        <w:footnoteReference w:id="44"/>
      </w:r>
    </w:p>
    <w:p w14:paraId="3FC338B6" w14:textId="439342DE" w:rsidR="00B64727" w:rsidRDefault="00B64727" w:rsidP="00337D44">
      <w:pPr>
        <w:spacing w:line="480" w:lineRule="auto"/>
        <w:jc w:val="both"/>
      </w:pPr>
      <w:r w:rsidRPr="000D3040">
        <w:t xml:space="preserve">In light of </w:t>
      </w:r>
      <w:r>
        <w:t>these arguments,</w:t>
      </w:r>
      <w:r w:rsidRPr="000D3040">
        <w:t xml:space="preserve"> the </w:t>
      </w:r>
      <w:r>
        <w:t xml:space="preserve">next </w:t>
      </w:r>
      <w:r w:rsidRPr="000D3040">
        <w:t xml:space="preserve">section of the paper considers how </w:t>
      </w:r>
      <w:r w:rsidR="00AE2531">
        <w:t>the law</w:t>
      </w:r>
      <w:r w:rsidRPr="000D3040">
        <w:t xml:space="preserve"> has </w:t>
      </w:r>
      <w:r w:rsidR="00CF400A">
        <w:t xml:space="preserve">in fact </w:t>
      </w:r>
      <w:r w:rsidRPr="000D3040">
        <w:t xml:space="preserve">developed so as to better incorporate the person’s own </w:t>
      </w:r>
      <w:r w:rsidR="00CF400A">
        <w:t>perspective</w:t>
      </w:r>
      <w:r w:rsidRPr="000D3040">
        <w:t xml:space="preserve"> i</w:t>
      </w:r>
      <w:r w:rsidR="00E772F5">
        <w:t>n</w:t>
      </w:r>
      <w:r w:rsidRPr="000D3040">
        <w:t xml:space="preserve">to the decision-making process, thereby explicitly attempting to avoid opportunities for such ‘othering’. </w:t>
      </w:r>
    </w:p>
    <w:p w14:paraId="66FFF34D" w14:textId="77777777" w:rsidR="007E24D4" w:rsidRPr="000D3040" w:rsidRDefault="007E24D4" w:rsidP="00B64727">
      <w:pPr>
        <w:spacing w:line="480" w:lineRule="auto"/>
        <w:jc w:val="both"/>
      </w:pPr>
    </w:p>
    <w:p w14:paraId="3F637B2E" w14:textId="037915F2" w:rsidR="00BE5BFE" w:rsidRPr="00A93EB6" w:rsidRDefault="007027F2" w:rsidP="000D3040">
      <w:pPr>
        <w:pStyle w:val="NoSpacing"/>
        <w:jc w:val="center"/>
        <w:rPr>
          <w:rFonts w:ascii="Times New Roman" w:hAnsi="Times New Roman" w:cs="Times New Roman"/>
        </w:rPr>
      </w:pPr>
      <w:r w:rsidRPr="00A93EB6">
        <w:rPr>
          <w:rFonts w:ascii="Times New Roman" w:hAnsi="Times New Roman" w:cs="Times New Roman"/>
        </w:rPr>
        <w:t>I</w:t>
      </w:r>
      <w:r w:rsidR="00E468F6">
        <w:rPr>
          <w:rFonts w:ascii="Times New Roman" w:hAnsi="Times New Roman" w:cs="Times New Roman"/>
        </w:rPr>
        <w:t>I</w:t>
      </w:r>
      <w:r w:rsidRPr="00A93EB6">
        <w:rPr>
          <w:rFonts w:ascii="Times New Roman" w:hAnsi="Times New Roman" w:cs="Times New Roman"/>
        </w:rPr>
        <w:t xml:space="preserve">I. </w:t>
      </w:r>
      <w:r w:rsidR="009C1D4C" w:rsidRPr="00A93EB6">
        <w:rPr>
          <w:rFonts w:ascii="Times New Roman" w:hAnsi="Times New Roman" w:cs="Times New Roman"/>
        </w:rPr>
        <w:t>INTEGRATING</w:t>
      </w:r>
      <w:r w:rsidR="00E772F5">
        <w:rPr>
          <w:rFonts w:ascii="Times New Roman" w:hAnsi="Times New Roman" w:cs="Times New Roman"/>
        </w:rPr>
        <w:t xml:space="preserve"> THE PERSON LACKING CAPACITY IN</w:t>
      </w:r>
      <w:r w:rsidR="009C1D4C" w:rsidRPr="00A93EB6">
        <w:rPr>
          <w:rFonts w:ascii="Times New Roman" w:hAnsi="Times New Roman" w:cs="Times New Roman"/>
        </w:rPr>
        <w:t>TO BEST INTERESTS DECISION-MAKING</w:t>
      </w:r>
      <w:r w:rsidR="00D51305" w:rsidRPr="00A93EB6">
        <w:rPr>
          <w:rFonts w:ascii="Times New Roman" w:hAnsi="Times New Roman" w:cs="Times New Roman"/>
        </w:rPr>
        <w:t xml:space="preserve">: </w:t>
      </w:r>
      <w:r w:rsidR="00BA6C59">
        <w:rPr>
          <w:rFonts w:ascii="Times New Roman" w:hAnsi="Times New Roman" w:cs="Times New Roman"/>
        </w:rPr>
        <w:t xml:space="preserve">AN </w:t>
      </w:r>
      <w:r w:rsidR="00CE2B0C">
        <w:rPr>
          <w:rFonts w:ascii="Times New Roman" w:hAnsi="Times New Roman" w:cs="Times New Roman"/>
        </w:rPr>
        <w:t>ATTEMPT</w:t>
      </w:r>
      <w:r w:rsidR="00BA6C59">
        <w:rPr>
          <w:rFonts w:ascii="Times New Roman" w:hAnsi="Times New Roman" w:cs="Times New Roman"/>
        </w:rPr>
        <w:t xml:space="preserve"> TO AVOID</w:t>
      </w:r>
      <w:r w:rsidR="00D51305" w:rsidRPr="00A93EB6">
        <w:rPr>
          <w:rFonts w:ascii="Times New Roman" w:hAnsi="Times New Roman" w:cs="Times New Roman"/>
        </w:rPr>
        <w:t xml:space="preserve"> ‘OTHER</w:t>
      </w:r>
      <w:r w:rsidR="00BA6C59">
        <w:rPr>
          <w:rFonts w:ascii="Times New Roman" w:hAnsi="Times New Roman" w:cs="Times New Roman"/>
        </w:rPr>
        <w:t>ING</w:t>
      </w:r>
      <w:r w:rsidR="00D51305" w:rsidRPr="00A93EB6">
        <w:rPr>
          <w:rFonts w:ascii="Times New Roman" w:hAnsi="Times New Roman" w:cs="Times New Roman"/>
        </w:rPr>
        <w:t>’?</w:t>
      </w:r>
    </w:p>
    <w:p w14:paraId="66795E1D" w14:textId="77777777" w:rsidR="000D3040" w:rsidRPr="000D3040" w:rsidRDefault="000D3040" w:rsidP="000D3040">
      <w:pPr>
        <w:pStyle w:val="NoSpacing"/>
        <w:jc w:val="center"/>
        <w:rPr>
          <w:rFonts w:ascii="Times New Roman" w:hAnsi="Times New Roman" w:cs="Times New Roman"/>
          <w:b/>
        </w:rPr>
      </w:pPr>
    </w:p>
    <w:p w14:paraId="591C6689" w14:textId="61D4A715" w:rsidR="009C1D4C" w:rsidRPr="000D3040" w:rsidRDefault="00862806" w:rsidP="00BE5BFE">
      <w:pPr>
        <w:pStyle w:val="NoSpacing"/>
        <w:spacing w:line="480" w:lineRule="auto"/>
        <w:jc w:val="both"/>
        <w:rPr>
          <w:rFonts w:ascii="Times New Roman" w:hAnsi="Times New Roman" w:cs="Times New Roman"/>
          <w:lang w:val="en-US"/>
        </w:rPr>
      </w:pPr>
      <w:r>
        <w:rPr>
          <w:rFonts w:ascii="Times New Roman" w:hAnsi="Times New Roman" w:cs="Times New Roman"/>
        </w:rPr>
        <w:t>The</w:t>
      </w:r>
      <w:r w:rsidR="00A163DC" w:rsidRPr="000D3040">
        <w:rPr>
          <w:rFonts w:ascii="Times New Roman" w:hAnsi="Times New Roman" w:cs="Times New Roman"/>
        </w:rPr>
        <w:t xml:space="preserve"> </w:t>
      </w:r>
      <w:r w:rsidR="00BB0243" w:rsidRPr="000D3040">
        <w:rPr>
          <w:rFonts w:ascii="Times New Roman" w:hAnsi="Times New Roman" w:cs="Times New Roman"/>
        </w:rPr>
        <w:t xml:space="preserve">best interests </w:t>
      </w:r>
      <w:r>
        <w:rPr>
          <w:rFonts w:ascii="Times New Roman" w:hAnsi="Times New Roman" w:cs="Times New Roman"/>
        </w:rPr>
        <w:t xml:space="preserve">of a person </w:t>
      </w:r>
      <w:r w:rsidR="00F4439F">
        <w:rPr>
          <w:rFonts w:ascii="Times New Roman" w:hAnsi="Times New Roman" w:cs="Times New Roman"/>
        </w:rPr>
        <w:t>lacking capacity</w:t>
      </w:r>
      <w:r>
        <w:rPr>
          <w:rFonts w:ascii="Times New Roman" w:hAnsi="Times New Roman" w:cs="Times New Roman"/>
        </w:rPr>
        <w:t xml:space="preserve"> were originally determined by </w:t>
      </w:r>
      <w:r w:rsidR="00BB0243" w:rsidRPr="000D3040">
        <w:rPr>
          <w:rFonts w:ascii="Times New Roman" w:hAnsi="Times New Roman" w:cs="Times New Roman"/>
        </w:rPr>
        <w:t xml:space="preserve">the </w:t>
      </w:r>
      <w:r w:rsidR="00BB0243" w:rsidRPr="000D3040">
        <w:rPr>
          <w:rFonts w:ascii="Times New Roman" w:hAnsi="Times New Roman" w:cs="Times New Roman"/>
          <w:i/>
        </w:rPr>
        <w:t>Bolam</w:t>
      </w:r>
      <w:r w:rsidR="00F91E11" w:rsidRPr="000D3040">
        <w:rPr>
          <w:rFonts w:ascii="Times New Roman" w:hAnsi="Times New Roman" w:cs="Times New Roman"/>
        </w:rPr>
        <w:t xml:space="preserve"> standard - </w:t>
      </w:r>
      <w:r w:rsidR="00BB0243" w:rsidRPr="000D3040">
        <w:rPr>
          <w:rFonts w:ascii="Times New Roman" w:hAnsi="Times New Roman" w:cs="Times New Roman"/>
        </w:rPr>
        <w:t>that is, ‘</w:t>
      </w:r>
      <w:r w:rsidR="00BB0243" w:rsidRPr="000D3040">
        <w:rPr>
          <w:rFonts w:ascii="Times New Roman" w:hAnsi="Times New Roman" w:cs="Times New Roman"/>
          <w:lang w:val="en-US"/>
        </w:rPr>
        <w:t>a practice accepted as proper by a responsible body of medical men skilled in that particular art</w:t>
      </w:r>
      <w:r w:rsidR="00096444" w:rsidRPr="000D3040">
        <w:rPr>
          <w:rFonts w:ascii="Times New Roman" w:hAnsi="Times New Roman" w:cs="Times New Roman"/>
          <w:lang w:val="en-US"/>
        </w:rPr>
        <w:t>.</w:t>
      </w:r>
      <w:r w:rsidR="00BB0243" w:rsidRPr="000D3040">
        <w:rPr>
          <w:rFonts w:ascii="Times New Roman" w:hAnsi="Times New Roman" w:cs="Times New Roman"/>
          <w:lang w:val="en-US"/>
        </w:rPr>
        <w:t>’</w:t>
      </w:r>
      <w:r w:rsidR="00BB0243" w:rsidRPr="000D3040">
        <w:rPr>
          <w:rStyle w:val="FootnoteReference"/>
          <w:rFonts w:ascii="Times New Roman" w:hAnsi="Times New Roman" w:cs="Times New Roman"/>
          <w:lang w:val="en-US"/>
        </w:rPr>
        <w:footnoteReference w:id="45"/>
      </w:r>
      <w:r w:rsidR="00096444" w:rsidRPr="000D3040">
        <w:rPr>
          <w:rFonts w:ascii="Times New Roman" w:hAnsi="Times New Roman" w:cs="Times New Roman"/>
          <w:lang w:val="en-US"/>
        </w:rPr>
        <w:t xml:space="preserve"> </w:t>
      </w:r>
      <w:r w:rsidR="005B72F2" w:rsidRPr="000D3040">
        <w:rPr>
          <w:rFonts w:ascii="Times New Roman" w:hAnsi="Times New Roman" w:cs="Times New Roman"/>
          <w:lang w:val="en-US"/>
        </w:rPr>
        <w:t>Towards the end of the 1990s, however,</w:t>
      </w:r>
      <w:r w:rsidR="00EF4926" w:rsidRPr="000D3040">
        <w:rPr>
          <w:rFonts w:ascii="Times New Roman" w:hAnsi="Times New Roman" w:cs="Times New Roman"/>
          <w:lang w:val="en-US"/>
        </w:rPr>
        <w:t xml:space="preserve"> the courts began to move towards a broader welfare-based conceptualisation of best interests - </w:t>
      </w:r>
      <w:r w:rsidR="005B72F2" w:rsidRPr="000D3040">
        <w:rPr>
          <w:rFonts w:ascii="Times New Roman" w:hAnsi="Times New Roman" w:cs="Times New Roman"/>
          <w:lang w:val="en-US"/>
        </w:rPr>
        <w:t xml:space="preserve">coinciding with the extension of </w:t>
      </w:r>
      <w:r w:rsidR="00F91E11" w:rsidRPr="000D3040">
        <w:rPr>
          <w:rFonts w:ascii="Times New Roman" w:hAnsi="Times New Roman" w:cs="Times New Roman"/>
          <w:lang w:val="en-US"/>
        </w:rPr>
        <w:t xml:space="preserve">best interests decision-making </w:t>
      </w:r>
      <w:r w:rsidR="00726B65" w:rsidRPr="000D3040">
        <w:rPr>
          <w:rFonts w:ascii="Times New Roman" w:hAnsi="Times New Roman" w:cs="Times New Roman"/>
          <w:lang w:val="en-US"/>
        </w:rPr>
        <w:t xml:space="preserve">from medical issues, </w:t>
      </w:r>
      <w:r w:rsidR="005B72F2" w:rsidRPr="000D3040">
        <w:rPr>
          <w:rFonts w:ascii="Times New Roman" w:hAnsi="Times New Roman" w:cs="Times New Roman"/>
          <w:lang w:val="en-US"/>
        </w:rPr>
        <w:t xml:space="preserve">to </w:t>
      </w:r>
      <w:r w:rsidR="00096444" w:rsidRPr="000D3040">
        <w:rPr>
          <w:rFonts w:ascii="Times New Roman" w:hAnsi="Times New Roman" w:cs="Times New Roman"/>
          <w:lang w:val="en-US"/>
        </w:rPr>
        <w:t>residence and contact decisions</w:t>
      </w:r>
      <w:r w:rsidR="003200D0">
        <w:rPr>
          <w:rFonts w:ascii="Times New Roman" w:hAnsi="Times New Roman" w:cs="Times New Roman"/>
          <w:lang w:val="en-US"/>
        </w:rPr>
        <w:t>,</w:t>
      </w:r>
      <w:r w:rsidR="005B72F2" w:rsidRPr="000D3040">
        <w:rPr>
          <w:rStyle w:val="FootnoteReference"/>
          <w:rFonts w:ascii="Times New Roman" w:hAnsi="Times New Roman" w:cs="Times New Roman"/>
          <w:lang w:val="en-US"/>
        </w:rPr>
        <w:footnoteReference w:id="46"/>
      </w:r>
      <w:r w:rsidR="00096444" w:rsidRPr="000D3040">
        <w:rPr>
          <w:rFonts w:ascii="Times New Roman" w:hAnsi="Times New Roman" w:cs="Times New Roman"/>
          <w:lang w:val="en-US"/>
        </w:rPr>
        <w:t xml:space="preserve"> as well as policy</w:t>
      </w:r>
      <w:r w:rsidR="000E6F4D" w:rsidRPr="000D3040">
        <w:rPr>
          <w:rFonts w:ascii="Times New Roman" w:hAnsi="Times New Roman" w:cs="Times New Roman"/>
          <w:lang w:val="en-US"/>
        </w:rPr>
        <w:t xml:space="preserve"> impetus to expressly include the wishes of the individual</w:t>
      </w:r>
      <w:r w:rsidR="00EF4926" w:rsidRPr="000D3040">
        <w:rPr>
          <w:rFonts w:ascii="Times New Roman" w:hAnsi="Times New Roman" w:cs="Times New Roman"/>
          <w:lang w:val="en-US"/>
        </w:rPr>
        <w:t>.</w:t>
      </w:r>
      <w:r w:rsidR="000E6F4D" w:rsidRPr="000D3040">
        <w:rPr>
          <w:rStyle w:val="FootnoteReference"/>
          <w:rFonts w:ascii="Times New Roman" w:hAnsi="Times New Roman" w:cs="Times New Roman"/>
          <w:lang w:val="en-US"/>
        </w:rPr>
        <w:footnoteReference w:id="47"/>
      </w:r>
      <w:r w:rsidR="00E84D8F" w:rsidRPr="000D3040">
        <w:rPr>
          <w:rFonts w:ascii="Times New Roman" w:hAnsi="Times New Roman" w:cs="Times New Roman"/>
          <w:lang w:val="en-US"/>
        </w:rPr>
        <w:t xml:space="preserve"> In </w:t>
      </w:r>
      <w:r w:rsidR="00E84D8F" w:rsidRPr="000D3040">
        <w:rPr>
          <w:rFonts w:ascii="Times New Roman" w:hAnsi="Times New Roman" w:cs="Times New Roman"/>
          <w:i/>
          <w:lang w:val="en-US"/>
        </w:rPr>
        <w:t>Re A</w:t>
      </w:r>
      <w:r w:rsidR="001F1544">
        <w:rPr>
          <w:rFonts w:ascii="Times New Roman" w:hAnsi="Times New Roman" w:cs="Times New Roman"/>
          <w:i/>
          <w:lang w:val="en-US"/>
        </w:rPr>
        <w:t xml:space="preserve"> (Mental Patient: Sterilisation)</w:t>
      </w:r>
      <w:r w:rsidR="00E84D8F" w:rsidRPr="001F1544">
        <w:rPr>
          <w:rStyle w:val="FootnoteReference"/>
          <w:rFonts w:ascii="Times New Roman" w:hAnsi="Times New Roman" w:cs="Times New Roman"/>
          <w:lang w:val="en-US"/>
        </w:rPr>
        <w:footnoteReference w:id="48"/>
      </w:r>
      <w:r w:rsidR="00E84D8F" w:rsidRPr="000D3040">
        <w:rPr>
          <w:rFonts w:ascii="Times New Roman" w:hAnsi="Times New Roman" w:cs="Times New Roman"/>
          <w:lang w:val="en-US"/>
        </w:rPr>
        <w:t xml:space="preserve"> for example,</w:t>
      </w:r>
      <w:r w:rsidR="00B45AD4" w:rsidRPr="000D3040">
        <w:rPr>
          <w:rFonts w:ascii="Times New Roman" w:hAnsi="Times New Roman" w:cs="Times New Roman"/>
          <w:lang w:val="en-US"/>
        </w:rPr>
        <w:t xml:space="preserve"> which involved </w:t>
      </w:r>
      <w:r w:rsidR="00EF4926" w:rsidRPr="000D3040">
        <w:rPr>
          <w:rFonts w:ascii="Times New Roman" w:hAnsi="Times New Roman" w:cs="Times New Roman"/>
          <w:lang w:val="en-US"/>
        </w:rPr>
        <w:t>the proposed sterilis</w:t>
      </w:r>
      <w:r w:rsidR="001E171D" w:rsidRPr="000D3040">
        <w:rPr>
          <w:rFonts w:ascii="Times New Roman" w:hAnsi="Times New Roman" w:cs="Times New Roman"/>
          <w:lang w:val="en-US"/>
        </w:rPr>
        <w:t xml:space="preserve">ation of a young man with </w:t>
      </w:r>
      <w:r w:rsidR="00EF4926" w:rsidRPr="000D3040">
        <w:rPr>
          <w:rFonts w:ascii="Times New Roman" w:hAnsi="Times New Roman" w:cs="Times New Roman"/>
          <w:lang w:val="en-US"/>
        </w:rPr>
        <w:t>Down’s Syndrome</w:t>
      </w:r>
      <w:r w:rsidR="001E171D" w:rsidRPr="000D3040">
        <w:rPr>
          <w:rFonts w:ascii="Times New Roman" w:hAnsi="Times New Roman" w:cs="Times New Roman"/>
          <w:lang w:val="en-US"/>
        </w:rPr>
        <w:t>,</w:t>
      </w:r>
      <w:r w:rsidR="00E84D8F" w:rsidRPr="000D3040">
        <w:rPr>
          <w:rFonts w:ascii="Times New Roman" w:hAnsi="Times New Roman" w:cs="Times New Roman"/>
          <w:lang w:val="en-US"/>
        </w:rPr>
        <w:t xml:space="preserve"> Butler-Sloss LJ</w:t>
      </w:r>
      <w:r w:rsidR="00E84D8F" w:rsidRPr="003200D0">
        <w:rPr>
          <w:rFonts w:ascii="Times New Roman" w:hAnsi="Times New Roman" w:cs="Times New Roman"/>
          <w:lang w:val="en-US"/>
        </w:rPr>
        <w:t xml:space="preserve"> </w:t>
      </w:r>
      <w:r w:rsidR="00E84D8F" w:rsidRPr="000D3040">
        <w:rPr>
          <w:rFonts w:ascii="Times New Roman" w:hAnsi="Times New Roman" w:cs="Times New Roman"/>
          <w:lang w:val="en-US"/>
        </w:rPr>
        <w:t>held that ‘best interests encompasses medical, emotional and all other welfare issues’</w:t>
      </w:r>
      <w:r w:rsidR="003200D0">
        <w:rPr>
          <w:rFonts w:ascii="Times New Roman" w:hAnsi="Times New Roman" w:cs="Times New Roman"/>
          <w:lang w:val="en-US"/>
        </w:rPr>
        <w:t>.</w:t>
      </w:r>
      <w:r w:rsidR="00E84D8F" w:rsidRPr="000D3040">
        <w:rPr>
          <w:rStyle w:val="FootnoteReference"/>
          <w:rFonts w:ascii="Times New Roman" w:hAnsi="Times New Roman" w:cs="Times New Roman"/>
          <w:lang w:val="en-US"/>
        </w:rPr>
        <w:footnoteReference w:id="49"/>
      </w:r>
      <w:r w:rsidR="00E84D8F" w:rsidRPr="000D3040">
        <w:rPr>
          <w:rFonts w:ascii="Times New Roman" w:hAnsi="Times New Roman" w:cs="Times New Roman"/>
          <w:lang w:val="en-US"/>
        </w:rPr>
        <w:t xml:space="preserve">  </w:t>
      </w:r>
      <w:r w:rsidR="00096444" w:rsidRPr="000D3040">
        <w:rPr>
          <w:rFonts w:ascii="Times New Roman" w:hAnsi="Times New Roman" w:cs="Times New Roman"/>
          <w:lang w:val="en-US"/>
        </w:rPr>
        <w:t xml:space="preserve"> </w:t>
      </w:r>
      <w:r w:rsidR="00B61FFB" w:rsidRPr="000D3040">
        <w:rPr>
          <w:rFonts w:ascii="Times New Roman" w:hAnsi="Times New Roman" w:cs="Times New Roman"/>
          <w:lang w:val="en-US"/>
        </w:rPr>
        <w:t xml:space="preserve">It is </w:t>
      </w:r>
      <w:r w:rsidR="000256ED" w:rsidRPr="000D3040">
        <w:rPr>
          <w:rFonts w:ascii="Times New Roman" w:hAnsi="Times New Roman" w:cs="Times New Roman"/>
          <w:lang w:val="en-US"/>
        </w:rPr>
        <w:t xml:space="preserve">important to understand </w:t>
      </w:r>
      <w:r w:rsidR="00BA6C59">
        <w:rPr>
          <w:rFonts w:ascii="Times New Roman" w:hAnsi="Times New Roman" w:cs="Times New Roman"/>
          <w:lang w:val="en-US"/>
        </w:rPr>
        <w:t>this shift as it represents</w:t>
      </w:r>
      <w:r w:rsidR="000256ED" w:rsidRPr="000D3040">
        <w:rPr>
          <w:rFonts w:ascii="Times New Roman" w:hAnsi="Times New Roman" w:cs="Times New Roman"/>
          <w:lang w:val="en-US"/>
        </w:rPr>
        <w:t xml:space="preserve"> the or</w:t>
      </w:r>
      <w:r w:rsidR="009C1D4C" w:rsidRPr="000D3040">
        <w:rPr>
          <w:rFonts w:ascii="Times New Roman" w:hAnsi="Times New Roman" w:cs="Times New Roman"/>
          <w:lang w:val="en-US"/>
        </w:rPr>
        <w:t>igins of the conceptual analysis</w:t>
      </w:r>
      <w:r w:rsidR="000256ED" w:rsidRPr="000D3040">
        <w:rPr>
          <w:rFonts w:ascii="Times New Roman" w:hAnsi="Times New Roman" w:cs="Times New Roman"/>
          <w:lang w:val="en-US"/>
        </w:rPr>
        <w:t xml:space="preserve"> </w:t>
      </w:r>
      <w:r w:rsidR="000256ED" w:rsidRPr="000D3040">
        <w:rPr>
          <w:rFonts w:ascii="Times New Roman" w:hAnsi="Times New Roman" w:cs="Times New Roman"/>
          <w:lang w:val="en-US"/>
        </w:rPr>
        <w:lastRenderedPageBreak/>
        <w:t>venture</w:t>
      </w:r>
      <w:r w:rsidR="00BE5BFE" w:rsidRPr="000D3040">
        <w:rPr>
          <w:rFonts w:ascii="Times New Roman" w:hAnsi="Times New Roman" w:cs="Times New Roman"/>
          <w:lang w:val="en-US"/>
        </w:rPr>
        <w:t>d</w:t>
      </w:r>
      <w:r w:rsidR="000256ED" w:rsidRPr="000D3040">
        <w:rPr>
          <w:rFonts w:ascii="Times New Roman" w:hAnsi="Times New Roman" w:cs="Times New Roman"/>
          <w:lang w:val="en-US"/>
        </w:rPr>
        <w:t xml:space="preserve"> in this paper. </w:t>
      </w:r>
      <w:r w:rsidR="00726B65" w:rsidRPr="000D3040">
        <w:rPr>
          <w:rFonts w:ascii="Times New Roman" w:hAnsi="Times New Roman" w:cs="Times New Roman"/>
          <w:lang w:val="en-US"/>
        </w:rPr>
        <w:t xml:space="preserve"> </w:t>
      </w:r>
      <w:r w:rsidR="000256ED" w:rsidRPr="000D3040">
        <w:rPr>
          <w:rFonts w:ascii="Times New Roman" w:hAnsi="Times New Roman" w:cs="Times New Roman"/>
          <w:lang w:val="en-US"/>
        </w:rPr>
        <w:t>C</w:t>
      </w:r>
      <w:r w:rsidR="00096444" w:rsidRPr="000D3040">
        <w:rPr>
          <w:rFonts w:ascii="Times New Roman" w:hAnsi="Times New Roman" w:cs="Times New Roman"/>
          <w:lang w:val="en-US"/>
        </w:rPr>
        <w:t>ritics rightly argued that a</w:t>
      </w:r>
      <w:r w:rsidR="00BE5BFE" w:rsidRPr="000D3040">
        <w:rPr>
          <w:rFonts w:ascii="Times New Roman" w:hAnsi="Times New Roman" w:cs="Times New Roman"/>
          <w:lang w:val="en-US"/>
        </w:rPr>
        <w:t xml:space="preserve"> purely</w:t>
      </w:r>
      <w:r w:rsidR="00096444" w:rsidRPr="000D3040">
        <w:rPr>
          <w:rFonts w:ascii="Times New Roman" w:hAnsi="Times New Roman" w:cs="Times New Roman"/>
          <w:lang w:val="en-US"/>
        </w:rPr>
        <w:t xml:space="preserve"> </w:t>
      </w:r>
      <w:r w:rsidR="00096444" w:rsidRPr="000D3040">
        <w:rPr>
          <w:rFonts w:ascii="Times New Roman" w:hAnsi="Times New Roman" w:cs="Times New Roman"/>
          <w:i/>
          <w:lang w:val="en-US"/>
        </w:rPr>
        <w:t>Bolam</w:t>
      </w:r>
      <w:r w:rsidR="00096444" w:rsidRPr="000D3040">
        <w:rPr>
          <w:rFonts w:ascii="Times New Roman" w:hAnsi="Times New Roman" w:cs="Times New Roman"/>
          <w:lang w:val="en-US"/>
        </w:rPr>
        <w:t xml:space="preserve"> approach to best interests</w:t>
      </w:r>
      <w:r w:rsidR="00B61FFB" w:rsidRPr="000D3040">
        <w:rPr>
          <w:rFonts w:ascii="Times New Roman" w:hAnsi="Times New Roman" w:cs="Times New Roman"/>
          <w:lang w:val="en-US"/>
        </w:rPr>
        <w:t xml:space="preserve"> was too paternalistic</w:t>
      </w:r>
      <w:r w:rsidR="00CD49F9" w:rsidRPr="000D3040">
        <w:rPr>
          <w:rFonts w:ascii="Times New Roman" w:hAnsi="Times New Roman" w:cs="Times New Roman"/>
          <w:lang w:val="en-US"/>
        </w:rPr>
        <w:t xml:space="preserve"> and </w:t>
      </w:r>
      <w:r w:rsidR="008A15FD">
        <w:rPr>
          <w:rFonts w:ascii="Times New Roman" w:hAnsi="Times New Roman" w:cs="Times New Roman"/>
          <w:lang w:val="en-US"/>
        </w:rPr>
        <w:t>devalued and silenced</w:t>
      </w:r>
      <w:r w:rsidR="00CD49F9" w:rsidRPr="000D3040">
        <w:rPr>
          <w:rFonts w:ascii="Times New Roman" w:hAnsi="Times New Roman" w:cs="Times New Roman"/>
          <w:lang w:val="en-US"/>
        </w:rPr>
        <w:t xml:space="preserve"> the person lacking capacity</w:t>
      </w:r>
      <w:r w:rsidR="00B61FFB" w:rsidRPr="000D3040">
        <w:rPr>
          <w:rFonts w:ascii="Times New Roman" w:hAnsi="Times New Roman" w:cs="Times New Roman"/>
          <w:lang w:val="en-US"/>
        </w:rPr>
        <w:t xml:space="preserve"> – leaving decision-making in the hands of professionals based on medical b</w:t>
      </w:r>
      <w:r w:rsidR="009737E3" w:rsidRPr="000D3040">
        <w:rPr>
          <w:rFonts w:ascii="Times New Roman" w:hAnsi="Times New Roman" w:cs="Times New Roman"/>
          <w:lang w:val="en-US"/>
        </w:rPr>
        <w:t>est interests with little or no</w:t>
      </w:r>
      <w:r w:rsidR="00B61FFB" w:rsidRPr="000D3040">
        <w:rPr>
          <w:rFonts w:ascii="Times New Roman" w:hAnsi="Times New Roman" w:cs="Times New Roman"/>
          <w:lang w:val="en-US"/>
        </w:rPr>
        <w:t xml:space="preserve"> input from the person themselves, or their carers</w:t>
      </w:r>
      <w:r w:rsidR="00EF4926" w:rsidRPr="000D3040">
        <w:rPr>
          <w:rFonts w:ascii="Times New Roman" w:hAnsi="Times New Roman" w:cs="Times New Roman"/>
          <w:lang w:val="en-US"/>
        </w:rPr>
        <w:t>.</w:t>
      </w:r>
      <w:r w:rsidR="00F31442" w:rsidRPr="000D3040">
        <w:rPr>
          <w:rStyle w:val="FootnoteReference"/>
          <w:rFonts w:ascii="Times New Roman" w:hAnsi="Times New Roman" w:cs="Times New Roman"/>
          <w:lang w:val="en-US"/>
        </w:rPr>
        <w:footnoteReference w:id="50"/>
      </w:r>
      <w:r w:rsidR="008437B2" w:rsidRPr="000D3040">
        <w:rPr>
          <w:rFonts w:ascii="Times New Roman" w:hAnsi="Times New Roman" w:cs="Times New Roman"/>
          <w:lang w:val="en-US"/>
        </w:rPr>
        <w:t xml:space="preserve"> </w:t>
      </w:r>
      <w:r w:rsidR="00643281">
        <w:rPr>
          <w:rFonts w:ascii="Times New Roman" w:hAnsi="Times New Roman" w:cs="Times New Roman"/>
        </w:rPr>
        <w:t xml:space="preserve"> As Martha Holstein argues in the context of caregiving relationships</w:t>
      </w:r>
      <w:r w:rsidR="008437B2" w:rsidRPr="000D3040">
        <w:rPr>
          <w:rFonts w:ascii="Times New Roman" w:hAnsi="Times New Roman" w:cs="Times New Roman"/>
        </w:rPr>
        <w:t>, ‘[i]f one is not asked about how one feels about the arrangements that control one’s life, then one is reduced to a zero</w:t>
      </w:r>
      <w:r w:rsidR="009C1D4C" w:rsidRPr="000D3040">
        <w:rPr>
          <w:rFonts w:ascii="Times New Roman" w:hAnsi="Times New Roman" w:cs="Times New Roman"/>
        </w:rPr>
        <w:t>.</w:t>
      </w:r>
      <w:r w:rsidR="008437B2" w:rsidRPr="000D3040">
        <w:rPr>
          <w:rFonts w:ascii="Times New Roman" w:hAnsi="Times New Roman" w:cs="Times New Roman"/>
        </w:rPr>
        <w:t>’</w:t>
      </w:r>
      <w:r w:rsidR="008437B2" w:rsidRPr="000D3040">
        <w:rPr>
          <w:rStyle w:val="FootnoteReference"/>
          <w:rFonts w:ascii="Times New Roman" w:hAnsi="Times New Roman" w:cs="Times New Roman"/>
        </w:rPr>
        <w:footnoteReference w:id="51"/>
      </w:r>
      <w:r w:rsidR="00A66E97" w:rsidRPr="000D3040">
        <w:rPr>
          <w:rFonts w:ascii="Times New Roman" w:hAnsi="Times New Roman" w:cs="Times New Roman"/>
        </w:rPr>
        <w:t xml:space="preserve"> </w:t>
      </w:r>
      <w:r w:rsidR="009C1D4C" w:rsidRPr="000D3040">
        <w:rPr>
          <w:rFonts w:ascii="Times New Roman" w:hAnsi="Times New Roman" w:cs="Times New Roman"/>
        </w:rPr>
        <w:t>C</w:t>
      </w:r>
      <w:r w:rsidR="00433013" w:rsidRPr="000D3040">
        <w:rPr>
          <w:rFonts w:ascii="Times New Roman" w:hAnsi="Times New Roman" w:cs="Times New Roman"/>
        </w:rPr>
        <w:t>onsequently, as Munro argues</w:t>
      </w:r>
      <w:r w:rsidR="003200D0">
        <w:rPr>
          <w:rFonts w:ascii="Times New Roman" w:hAnsi="Times New Roman" w:cs="Times New Roman"/>
        </w:rPr>
        <w:t>,</w:t>
      </w:r>
      <w:r w:rsidR="009C1D4C" w:rsidRPr="000D3040">
        <w:rPr>
          <w:rStyle w:val="FootnoteReference"/>
          <w:rFonts w:ascii="Times New Roman" w:hAnsi="Times New Roman" w:cs="Times New Roman"/>
        </w:rPr>
        <w:footnoteReference w:id="52"/>
      </w:r>
      <w:r w:rsidR="00433013" w:rsidRPr="000D3040">
        <w:rPr>
          <w:rFonts w:ascii="Times New Roman" w:hAnsi="Times New Roman" w:cs="Times New Roman"/>
        </w:rPr>
        <w:t xml:space="preserve"> </w:t>
      </w:r>
      <w:r w:rsidR="00A66E97" w:rsidRPr="000D3040">
        <w:rPr>
          <w:rFonts w:ascii="Times New Roman" w:hAnsi="Times New Roman" w:cs="Times New Roman"/>
        </w:rPr>
        <w:t xml:space="preserve">if we do </w:t>
      </w:r>
      <w:r w:rsidR="00A66E97" w:rsidRPr="000D3040">
        <w:rPr>
          <w:rFonts w:ascii="Times New Roman" w:hAnsi="Times New Roman" w:cs="Times New Roman"/>
          <w:i/>
        </w:rPr>
        <w:t xml:space="preserve">not </w:t>
      </w:r>
      <w:r w:rsidR="00A66E97" w:rsidRPr="000D3040">
        <w:rPr>
          <w:rFonts w:ascii="Times New Roman" w:hAnsi="Times New Roman" w:cs="Times New Roman"/>
        </w:rPr>
        <w:t>want to treat someone as a ‘zero’</w:t>
      </w:r>
      <w:r w:rsidR="001E5AFC">
        <w:rPr>
          <w:rFonts w:ascii="Times New Roman" w:hAnsi="Times New Roman" w:cs="Times New Roman"/>
        </w:rPr>
        <w:t xml:space="preserve"> under the Mental Capacity Act</w:t>
      </w:r>
      <w:r w:rsidR="00A66E97" w:rsidRPr="000D3040">
        <w:rPr>
          <w:rFonts w:ascii="Times New Roman" w:hAnsi="Times New Roman" w:cs="Times New Roman"/>
        </w:rPr>
        <w:t xml:space="preserve">, </w:t>
      </w:r>
      <w:r w:rsidR="00433013" w:rsidRPr="000D3040">
        <w:rPr>
          <w:rFonts w:ascii="Times New Roman" w:hAnsi="Times New Roman" w:cs="Times New Roman"/>
        </w:rPr>
        <w:t xml:space="preserve">if we want to respect </w:t>
      </w:r>
      <w:r w:rsidR="001E5AFC">
        <w:rPr>
          <w:rFonts w:ascii="Times New Roman" w:hAnsi="Times New Roman" w:cs="Times New Roman"/>
        </w:rPr>
        <w:t>them as persons</w:t>
      </w:r>
      <w:r w:rsidR="00433013" w:rsidRPr="000D3040">
        <w:rPr>
          <w:rFonts w:ascii="Times New Roman" w:hAnsi="Times New Roman" w:cs="Times New Roman"/>
        </w:rPr>
        <w:t xml:space="preserve">, then </w:t>
      </w:r>
      <w:r w:rsidR="009C1D4C" w:rsidRPr="000D3040">
        <w:rPr>
          <w:rFonts w:ascii="Times New Roman" w:hAnsi="Times New Roman" w:cs="Times New Roman"/>
        </w:rPr>
        <w:t xml:space="preserve">it is logical that </w:t>
      </w:r>
      <w:r w:rsidR="00A66E97" w:rsidRPr="000D3040">
        <w:rPr>
          <w:rFonts w:ascii="Times New Roman" w:hAnsi="Times New Roman" w:cs="Times New Roman"/>
        </w:rPr>
        <w:t>we</w:t>
      </w:r>
      <w:r w:rsidR="009C1D4C" w:rsidRPr="000D3040">
        <w:rPr>
          <w:rFonts w:ascii="Times New Roman" w:hAnsi="Times New Roman" w:cs="Times New Roman"/>
        </w:rPr>
        <w:t xml:space="preserve"> </w:t>
      </w:r>
      <w:r w:rsidR="00A66E97" w:rsidRPr="000D3040">
        <w:rPr>
          <w:rFonts w:ascii="Times New Roman" w:hAnsi="Times New Roman" w:cs="Times New Roman"/>
        </w:rPr>
        <w:t xml:space="preserve">should </w:t>
      </w:r>
      <w:r w:rsidR="00B274FA">
        <w:rPr>
          <w:rFonts w:ascii="Times New Roman" w:hAnsi="Times New Roman" w:cs="Times New Roman"/>
        </w:rPr>
        <w:t>seek their perspective on decisions</w:t>
      </w:r>
      <w:r w:rsidR="001E5AFC">
        <w:rPr>
          <w:rFonts w:ascii="Times New Roman" w:hAnsi="Times New Roman" w:cs="Times New Roman"/>
        </w:rPr>
        <w:t xml:space="preserve">, </w:t>
      </w:r>
      <w:r w:rsidR="00B274FA">
        <w:rPr>
          <w:rFonts w:ascii="Times New Roman" w:hAnsi="Times New Roman" w:cs="Times New Roman"/>
        </w:rPr>
        <w:t>and moreover, that their perspective</w:t>
      </w:r>
      <w:r w:rsidR="001E5AFC">
        <w:rPr>
          <w:rFonts w:ascii="Times New Roman" w:hAnsi="Times New Roman" w:cs="Times New Roman"/>
        </w:rPr>
        <w:t xml:space="preserve"> should be taken seriously</w:t>
      </w:r>
      <w:r w:rsidR="00A66E97" w:rsidRPr="000D3040">
        <w:rPr>
          <w:rFonts w:ascii="Times New Roman" w:hAnsi="Times New Roman" w:cs="Times New Roman"/>
        </w:rPr>
        <w:t>.</w:t>
      </w:r>
      <w:r w:rsidR="008437B2" w:rsidRPr="000D3040">
        <w:rPr>
          <w:rFonts w:ascii="Times New Roman" w:hAnsi="Times New Roman" w:cs="Times New Roman"/>
        </w:rPr>
        <w:t xml:space="preserve"> </w:t>
      </w:r>
      <w:r w:rsidR="004A5F70" w:rsidRPr="000D3040">
        <w:rPr>
          <w:rFonts w:ascii="Times New Roman" w:hAnsi="Times New Roman" w:cs="Times New Roman"/>
          <w:lang w:val="en-US"/>
        </w:rPr>
        <w:t xml:space="preserve"> </w:t>
      </w:r>
    </w:p>
    <w:p w14:paraId="3196741B" w14:textId="77777777" w:rsidR="003200D0" w:rsidRDefault="003200D0" w:rsidP="000E6DF0">
      <w:pPr>
        <w:pStyle w:val="NoSpacing"/>
        <w:spacing w:line="480" w:lineRule="auto"/>
        <w:jc w:val="both"/>
        <w:rPr>
          <w:rFonts w:ascii="Times New Roman" w:hAnsi="Times New Roman" w:cs="Times New Roman"/>
          <w:lang w:val="en-US"/>
        </w:rPr>
      </w:pPr>
    </w:p>
    <w:p w14:paraId="73F0FD95" w14:textId="77777777" w:rsidR="00F31442" w:rsidRPr="000D3040" w:rsidRDefault="007D3286" w:rsidP="000E6DF0">
      <w:pPr>
        <w:pStyle w:val="NoSpacing"/>
        <w:spacing w:line="480" w:lineRule="auto"/>
        <w:jc w:val="both"/>
        <w:rPr>
          <w:rFonts w:ascii="Times New Roman" w:hAnsi="Times New Roman" w:cs="Times New Roman"/>
          <w:lang w:val="en-US"/>
        </w:rPr>
      </w:pPr>
      <w:r w:rsidRPr="000D3040">
        <w:rPr>
          <w:rFonts w:ascii="Times New Roman" w:hAnsi="Times New Roman" w:cs="Times New Roman"/>
          <w:lang w:val="en-US"/>
        </w:rPr>
        <w:t xml:space="preserve">In line with this retreat from </w:t>
      </w:r>
      <w:r w:rsidRPr="000D3040">
        <w:rPr>
          <w:rFonts w:ascii="Times New Roman" w:hAnsi="Times New Roman" w:cs="Times New Roman"/>
          <w:i/>
          <w:lang w:val="en-US"/>
        </w:rPr>
        <w:t>Bolam</w:t>
      </w:r>
      <w:r w:rsidR="000E6F4D" w:rsidRPr="000D3040">
        <w:rPr>
          <w:rFonts w:ascii="Times New Roman" w:hAnsi="Times New Roman" w:cs="Times New Roman"/>
          <w:lang w:val="en-US"/>
        </w:rPr>
        <w:t xml:space="preserve">, and following the Law Commission’s 1995 proposals </w:t>
      </w:r>
      <w:r w:rsidR="00106E63">
        <w:rPr>
          <w:rFonts w:ascii="Times New Roman" w:hAnsi="Times New Roman" w:cs="Times New Roman"/>
          <w:lang w:val="en-US"/>
        </w:rPr>
        <w:t>for reform of the law in relation to mental incapacity</w:t>
      </w:r>
      <w:r w:rsidR="003200D0">
        <w:rPr>
          <w:rFonts w:ascii="Times New Roman" w:hAnsi="Times New Roman" w:cs="Times New Roman"/>
          <w:lang w:val="en-US"/>
        </w:rPr>
        <w:t>,</w:t>
      </w:r>
      <w:r w:rsidR="000E6F4D" w:rsidRPr="000D3040">
        <w:rPr>
          <w:rStyle w:val="FootnoteReference"/>
          <w:rFonts w:ascii="Times New Roman" w:hAnsi="Times New Roman" w:cs="Times New Roman"/>
          <w:lang w:val="en-US"/>
        </w:rPr>
        <w:footnoteReference w:id="53"/>
      </w:r>
      <w:r w:rsidRPr="000D3040">
        <w:rPr>
          <w:rFonts w:ascii="Times New Roman" w:hAnsi="Times New Roman" w:cs="Times New Roman"/>
          <w:lang w:val="en-US"/>
        </w:rPr>
        <w:t xml:space="preserve"> </w:t>
      </w:r>
      <w:r w:rsidR="000E6F4D" w:rsidRPr="000D3040">
        <w:rPr>
          <w:rFonts w:ascii="Times New Roman" w:hAnsi="Times New Roman" w:cs="Times New Roman"/>
          <w:lang w:val="en-US"/>
        </w:rPr>
        <w:t>also came</w:t>
      </w:r>
      <w:r w:rsidRPr="000D3040">
        <w:rPr>
          <w:rFonts w:ascii="Times New Roman" w:hAnsi="Times New Roman" w:cs="Times New Roman"/>
          <w:lang w:val="en-US"/>
        </w:rPr>
        <w:t xml:space="preserve"> greater elucidation</w:t>
      </w:r>
      <w:r w:rsidR="00B96449" w:rsidRPr="000D3040">
        <w:rPr>
          <w:rFonts w:ascii="Times New Roman" w:hAnsi="Times New Roman" w:cs="Times New Roman"/>
          <w:lang w:val="en-US"/>
        </w:rPr>
        <w:t xml:space="preserve"> on</w:t>
      </w:r>
      <w:r w:rsidRPr="000D3040">
        <w:rPr>
          <w:rFonts w:ascii="Times New Roman" w:hAnsi="Times New Roman" w:cs="Times New Roman"/>
          <w:lang w:val="en-US"/>
        </w:rPr>
        <w:t xml:space="preserve"> what factors to consider when assessing best i</w:t>
      </w:r>
      <w:r w:rsidR="00B96449" w:rsidRPr="000D3040">
        <w:rPr>
          <w:rFonts w:ascii="Times New Roman" w:hAnsi="Times New Roman" w:cs="Times New Roman"/>
          <w:lang w:val="en-US"/>
        </w:rPr>
        <w:t>nterests</w:t>
      </w:r>
      <w:r w:rsidR="00BE5BFE" w:rsidRPr="000D3040">
        <w:rPr>
          <w:rFonts w:ascii="Times New Roman" w:hAnsi="Times New Roman" w:cs="Times New Roman"/>
          <w:lang w:val="en-US"/>
        </w:rPr>
        <w:t xml:space="preserve">. This included </w:t>
      </w:r>
      <w:r w:rsidR="00D349B8" w:rsidRPr="000D3040">
        <w:rPr>
          <w:rFonts w:ascii="Times New Roman" w:hAnsi="Times New Roman" w:cs="Times New Roman"/>
          <w:lang w:val="en-US"/>
        </w:rPr>
        <w:t xml:space="preserve">the ‘balance-sheet </w:t>
      </w:r>
      <w:r w:rsidR="00726B65" w:rsidRPr="000D3040">
        <w:rPr>
          <w:rFonts w:ascii="Times New Roman" w:hAnsi="Times New Roman" w:cs="Times New Roman"/>
          <w:lang w:val="en-US"/>
        </w:rPr>
        <w:t>approach’ which involved</w:t>
      </w:r>
      <w:r w:rsidR="00862806">
        <w:rPr>
          <w:rFonts w:ascii="Times New Roman" w:hAnsi="Times New Roman" w:cs="Times New Roman"/>
          <w:lang w:val="en-US"/>
        </w:rPr>
        <w:t xml:space="preserve"> striking a balance between</w:t>
      </w:r>
      <w:r w:rsidR="001A6159" w:rsidRPr="000D3040">
        <w:rPr>
          <w:rFonts w:ascii="Times New Roman" w:hAnsi="Times New Roman" w:cs="Times New Roman"/>
          <w:lang w:val="en-US"/>
        </w:rPr>
        <w:t xml:space="preserve"> any benefits of the proposed treatment or intervention, and </w:t>
      </w:r>
      <w:r w:rsidR="00862806">
        <w:rPr>
          <w:rFonts w:ascii="Times New Roman" w:hAnsi="Times New Roman" w:cs="Times New Roman"/>
          <w:lang w:val="en-US"/>
        </w:rPr>
        <w:t>any</w:t>
      </w:r>
      <w:r w:rsidR="001A6159" w:rsidRPr="000D3040">
        <w:rPr>
          <w:rFonts w:ascii="Times New Roman" w:hAnsi="Times New Roman" w:cs="Times New Roman"/>
          <w:lang w:val="en-US"/>
        </w:rPr>
        <w:t xml:space="preserve"> counterbalancing dis-benefits</w:t>
      </w:r>
      <w:r w:rsidR="00EF4926" w:rsidRPr="000D3040">
        <w:rPr>
          <w:rFonts w:ascii="Times New Roman" w:hAnsi="Times New Roman" w:cs="Times New Roman"/>
          <w:lang w:val="en-US"/>
        </w:rPr>
        <w:t>.</w:t>
      </w:r>
      <w:r w:rsidR="001A6159" w:rsidRPr="000D3040">
        <w:rPr>
          <w:rStyle w:val="FootnoteReference"/>
          <w:rFonts w:ascii="Times New Roman" w:hAnsi="Times New Roman" w:cs="Times New Roman"/>
          <w:lang w:val="en-US"/>
        </w:rPr>
        <w:footnoteReference w:id="54"/>
      </w:r>
      <w:r w:rsidR="00EF4926" w:rsidRPr="000D3040">
        <w:rPr>
          <w:rFonts w:ascii="Times New Roman" w:hAnsi="Times New Roman" w:cs="Times New Roman"/>
          <w:lang w:val="en-US"/>
        </w:rPr>
        <w:t xml:space="preserve"> </w:t>
      </w:r>
      <w:r w:rsidR="0010246F" w:rsidRPr="000D3040">
        <w:rPr>
          <w:rFonts w:ascii="Times New Roman" w:hAnsi="Times New Roman" w:cs="Times New Roman"/>
          <w:lang w:val="en-US"/>
        </w:rPr>
        <w:t xml:space="preserve"> Although </w:t>
      </w:r>
      <w:r w:rsidR="00EF4926" w:rsidRPr="000D3040">
        <w:rPr>
          <w:rFonts w:ascii="Times New Roman" w:hAnsi="Times New Roman" w:cs="Times New Roman"/>
          <w:lang w:val="en-US"/>
        </w:rPr>
        <w:t>oft cited</w:t>
      </w:r>
      <w:r w:rsidR="0010246F" w:rsidRPr="000D3040">
        <w:rPr>
          <w:rFonts w:ascii="Times New Roman" w:hAnsi="Times New Roman" w:cs="Times New Roman"/>
          <w:lang w:val="en-US"/>
        </w:rPr>
        <w:t xml:space="preserve"> </w:t>
      </w:r>
      <w:r w:rsidR="00B96449" w:rsidRPr="000D3040">
        <w:rPr>
          <w:rFonts w:ascii="Times New Roman" w:hAnsi="Times New Roman" w:cs="Times New Roman"/>
          <w:lang w:val="en-US"/>
        </w:rPr>
        <w:t>with approval</w:t>
      </w:r>
      <w:r w:rsidR="003200D0">
        <w:rPr>
          <w:rFonts w:ascii="Times New Roman" w:hAnsi="Times New Roman" w:cs="Times New Roman"/>
          <w:lang w:val="en-US"/>
        </w:rPr>
        <w:t>,</w:t>
      </w:r>
      <w:r w:rsidR="0010246F" w:rsidRPr="000D3040">
        <w:rPr>
          <w:rStyle w:val="FootnoteReference"/>
          <w:rFonts w:ascii="Times New Roman" w:hAnsi="Times New Roman" w:cs="Times New Roman"/>
          <w:lang w:val="en-US"/>
        </w:rPr>
        <w:footnoteReference w:id="55"/>
      </w:r>
      <w:r w:rsidR="0010246F" w:rsidRPr="000D3040">
        <w:rPr>
          <w:rFonts w:ascii="Times New Roman" w:hAnsi="Times New Roman" w:cs="Times New Roman"/>
          <w:lang w:val="en-US"/>
        </w:rPr>
        <w:t xml:space="preserve"> </w:t>
      </w:r>
      <w:r w:rsidR="00106E63">
        <w:rPr>
          <w:rFonts w:ascii="Times New Roman" w:hAnsi="Times New Roman" w:cs="Times New Roman"/>
          <w:lang w:val="en-US"/>
        </w:rPr>
        <w:t>a</w:t>
      </w:r>
      <w:r w:rsidR="00096444" w:rsidRPr="000D3040">
        <w:rPr>
          <w:rFonts w:ascii="Times New Roman" w:hAnsi="Times New Roman" w:cs="Times New Roman"/>
          <w:lang w:val="en-US"/>
        </w:rPr>
        <w:t xml:space="preserve"> key</w:t>
      </w:r>
      <w:r w:rsidR="0010246F" w:rsidRPr="000D3040">
        <w:rPr>
          <w:rFonts w:ascii="Times New Roman" w:hAnsi="Times New Roman" w:cs="Times New Roman"/>
          <w:lang w:val="en-US"/>
        </w:rPr>
        <w:t xml:space="preserve"> problem</w:t>
      </w:r>
      <w:r w:rsidR="00096444" w:rsidRPr="000D3040">
        <w:rPr>
          <w:rFonts w:ascii="Times New Roman" w:hAnsi="Times New Roman" w:cs="Times New Roman"/>
          <w:lang w:val="en-US"/>
        </w:rPr>
        <w:t xml:space="preserve"> </w:t>
      </w:r>
      <w:r w:rsidR="00106E63">
        <w:rPr>
          <w:rFonts w:ascii="Times New Roman" w:hAnsi="Times New Roman" w:cs="Times New Roman"/>
          <w:lang w:val="en-US"/>
        </w:rPr>
        <w:t>with</w:t>
      </w:r>
      <w:r w:rsidR="00096444" w:rsidRPr="000D3040">
        <w:rPr>
          <w:rFonts w:ascii="Times New Roman" w:hAnsi="Times New Roman" w:cs="Times New Roman"/>
          <w:lang w:val="en-US"/>
        </w:rPr>
        <w:t xml:space="preserve"> </w:t>
      </w:r>
      <w:r w:rsidR="00726B65" w:rsidRPr="000D3040">
        <w:rPr>
          <w:rFonts w:ascii="Times New Roman" w:hAnsi="Times New Roman" w:cs="Times New Roman"/>
          <w:lang w:val="en-US"/>
        </w:rPr>
        <w:t>the ‘balance-sheet’ method</w:t>
      </w:r>
      <w:r w:rsidR="00106E63">
        <w:rPr>
          <w:rFonts w:ascii="Times New Roman" w:hAnsi="Times New Roman" w:cs="Times New Roman"/>
          <w:lang w:val="en-US"/>
        </w:rPr>
        <w:t xml:space="preserve"> is that </w:t>
      </w:r>
      <w:r w:rsidR="001E171D" w:rsidRPr="000D3040">
        <w:rPr>
          <w:rFonts w:ascii="Times New Roman" w:hAnsi="Times New Roman" w:cs="Times New Roman"/>
          <w:lang w:val="en-US"/>
        </w:rPr>
        <w:t xml:space="preserve">it does not expressly state where an individual’s own perspective on the issues fit in to the best </w:t>
      </w:r>
      <w:r w:rsidR="001E171D" w:rsidRPr="000D3040">
        <w:rPr>
          <w:rFonts w:ascii="Times New Roman" w:hAnsi="Times New Roman" w:cs="Times New Roman"/>
          <w:lang w:val="en-US"/>
        </w:rPr>
        <w:lastRenderedPageBreak/>
        <w:t>interests determination</w:t>
      </w:r>
      <w:r w:rsidR="006409CF" w:rsidRPr="000D3040">
        <w:rPr>
          <w:rFonts w:ascii="Times New Roman" w:hAnsi="Times New Roman" w:cs="Times New Roman"/>
          <w:lang w:val="en-US"/>
        </w:rPr>
        <w:t>.</w:t>
      </w:r>
      <w:r w:rsidR="00433013" w:rsidRPr="000D3040">
        <w:rPr>
          <w:rStyle w:val="FootnoteReference"/>
          <w:rFonts w:ascii="Times New Roman" w:hAnsi="Times New Roman" w:cs="Times New Roman"/>
          <w:lang w:val="en-US"/>
        </w:rPr>
        <w:footnoteReference w:id="56"/>
      </w:r>
      <w:r w:rsidR="00B96449" w:rsidRPr="000D3040">
        <w:rPr>
          <w:rFonts w:ascii="Times New Roman" w:hAnsi="Times New Roman" w:cs="Times New Roman"/>
          <w:lang w:val="en-US"/>
        </w:rPr>
        <w:t xml:space="preserve"> </w:t>
      </w:r>
      <w:r w:rsidR="001A6159" w:rsidRPr="000D3040">
        <w:rPr>
          <w:rFonts w:ascii="Times New Roman" w:hAnsi="Times New Roman" w:cs="Times New Roman"/>
          <w:lang w:val="en-US"/>
        </w:rPr>
        <w:t xml:space="preserve">In </w:t>
      </w:r>
      <w:r w:rsidR="001A6159" w:rsidRPr="000D3040">
        <w:rPr>
          <w:rFonts w:ascii="Times New Roman" w:hAnsi="Times New Roman" w:cs="Times New Roman"/>
          <w:i/>
          <w:lang w:val="en-US"/>
        </w:rPr>
        <w:t>Local Authority X v MM and KM</w:t>
      </w:r>
      <w:r w:rsidR="003200D0">
        <w:rPr>
          <w:rFonts w:ascii="Times New Roman" w:hAnsi="Times New Roman" w:cs="Times New Roman"/>
          <w:i/>
          <w:lang w:val="en-US"/>
        </w:rPr>
        <w:t>,</w:t>
      </w:r>
      <w:r w:rsidR="001A6159" w:rsidRPr="00106E63">
        <w:rPr>
          <w:rStyle w:val="FootnoteReference"/>
          <w:rFonts w:ascii="Times New Roman" w:hAnsi="Times New Roman" w:cs="Times New Roman"/>
          <w:lang w:val="en-US"/>
        </w:rPr>
        <w:footnoteReference w:id="57"/>
      </w:r>
      <w:r w:rsidR="001A6159" w:rsidRPr="00106E63">
        <w:rPr>
          <w:rFonts w:ascii="Times New Roman" w:hAnsi="Times New Roman" w:cs="Times New Roman"/>
          <w:lang w:val="en-US"/>
        </w:rPr>
        <w:t xml:space="preserve"> </w:t>
      </w:r>
      <w:r w:rsidR="00235476" w:rsidRPr="000D3040">
        <w:rPr>
          <w:rFonts w:ascii="Times New Roman" w:hAnsi="Times New Roman" w:cs="Times New Roman"/>
          <w:lang w:val="en-US"/>
        </w:rPr>
        <w:t xml:space="preserve">however, </w:t>
      </w:r>
      <w:r w:rsidR="00B96449" w:rsidRPr="000D3040">
        <w:rPr>
          <w:rFonts w:ascii="Times New Roman" w:hAnsi="Times New Roman" w:cs="Times New Roman"/>
          <w:lang w:val="en-US"/>
        </w:rPr>
        <w:t>decided befo</w:t>
      </w:r>
      <w:r w:rsidR="00106E63">
        <w:rPr>
          <w:rFonts w:ascii="Times New Roman" w:hAnsi="Times New Roman" w:cs="Times New Roman"/>
          <w:lang w:val="en-US"/>
        </w:rPr>
        <w:t>re the 2005 Act</w:t>
      </w:r>
      <w:r w:rsidR="003200D0">
        <w:rPr>
          <w:rFonts w:ascii="Times New Roman" w:hAnsi="Times New Roman" w:cs="Times New Roman"/>
          <w:lang w:val="en-US"/>
        </w:rPr>
        <w:t xml:space="preserve"> entered in to force, the C</w:t>
      </w:r>
      <w:r w:rsidR="00B96449" w:rsidRPr="000D3040">
        <w:rPr>
          <w:rFonts w:ascii="Times New Roman" w:hAnsi="Times New Roman" w:cs="Times New Roman"/>
          <w:lang w:val="en-US"/>
        </w:rPr>
        <w:t>ourt held that:</w:t>
      </w:r>
    </w:p>
    <w:p w14:paraId="7F3D2BCB" w14:textId="77777777" w:rsidR="00CC7DAD" w:rsidRPr="000D3040" w:rsidRDefault="00B0183D" w:rsidP="00CC7DAD">
      <w:pPr>
        <w:pStyle w:val="NoSpacing"/>
        <w:spacing w:line="480" w:lineRule="auto"/>
        <w:ind w:left="709" w:right="645"/>
        <w:jc w:val="both"/>
        <w:rPr>
          <w:rFonts w:ascii="Times New Roman" w:hAnsi="Times New Roman" w:cs="Times New Roman"/>
          <w:lang w:val="en-US"/>
        </w:rPr>
      </w:pPr>
      <w:r w:rsidRPr="000D3040">
        <w:rPr>
          <w:rFonts w:ascii="Times New Roman" w:hAnsi="Times New Roman" w:cs="Times New Roman"/>
          <w:lang w:val="en-US"/>
        </w:rPr>
        <w:t>One of the most important factors to be taken into account is the vulnerable adult's wishe</w:t>
      </w:r>
      <w:r w:rsidR="00862806">
        <w:rPr>
          <w:rFonts w:ascii="Times New Roman" w:hAnsi="Times New Roman" w:cs="Times New Roman"/>
          <w:lang w:val="en-US"/>
        </w:rPr>
        <w:t>s and feelings. The fact that [she]</w:t>
      </w:r>
      <w:r w:rsidRPr="000D3040">
        <w:rPr>
          <w:rFonts w:ascii="Times New Roman" w:hAnsi="Times New Roman" w:cs="Times New Roman"/>
          <w:lang w:val="en-US"/>
        </w:rPr>
        <w:t xml:space="preserve"> lacks the relevant capacity does not mean that her wishes and feelings simply fall out of account</w:t>
      </w:r>
      <w:r w:rsidR="002748E1">
        <w:rPr>
          <w:rFonts w:ascii="Times New Roman" w:hAnsi="Times New Roman" w:cs="Times New Roman"/>
          <w:lang w:val="en-US"/>
        </w:rPr>
        <w:t>..</w:t>
      </w:r>
      <w:r w:rsidRPr="000D3040">
        <w:rPr>
          <w:rFonts w:ascii="Times New Roman" w:hAnsi="Times New Roman" w:cs="Times New Roman"/>
          <w:lang w:val="en-US"/>
        </w:rPr>
        <w:t>.</w:t>
      </w:r>
      <w:r w:rsidR="00235476" w:rsidRPr="000D3040">
        <w:rPr>
          <w:rStyle w:val="FootnoteReference"/>
          <w:rFonts w:ascii="Times New Roman" w:hAnsi="Times New Roman" w:cs="Times New Roman"/>
          <w:lang w:val="en-US"/>
        </w:rPr>
        <w:footnoteReference w:id="58"/>
      </w:r>
    </w:p>
    <w:p w14:paraId="68C615E3" w14:textId="77777777" w:rsidR="00B51E7A" w:rsidRDefault="00B51E7A" w:rsidP="00CD49F9">
      <w:pPr>
        <w:pStyle w:val="NoSpacing"/>
        <w:spacing w:line="480" w:lineRule="auto"/>
        <w:jc w:val="both"/>
        <w:rPr>
          <w:rFonts w:ascii="Times New Roman" w:hAnsi="Times New Roman" w:cs="Times New Roman"/>
        </w:rPr>
      </w:pPr>
    </w:p>
    <w:p w14:paraId="66A9937A" w14:textId="05082AAD" w:rsidR="00865F3D" w:rsidRDefault="00B96449" w:rsidP="00CD49F9">
      <w:pPr>
        <w:pStyle w:val="NoSpacing"/>
        <w:spacing w:line="480" w:lineRule="auto"/>
        <w:jc w:val="both"/>
        <w:rPr>
          <w:rFonts w:ascii="Times New Roman" w:hAnsi="Times New Roman" w:cs="Times New Roman"/>
        </w:rPr>
      </w:pPr>
      <w:r w:rsidRPr="000D3040">
        <w:rPr>
          <w:rFonts w:ascii="Times New Roman" w:hAnsi="Times New Roman" w:cs="Times New Roman"/>
        </w:rPr>
        <w:t xml:space="preserve">That </w:t>
      </w:r>
      <w:r w:rsidR="00B0183D" w:rsidRPr="000D3040">
        <w:rPr>
          <w:rFonts w:ascii="Times New Roman" w:hAnsi="Times New Roman" w:cs="Times New Roman"/>
        </w:rPr>
        <w:t xml:space="preserve">the patient’s </w:t>
      </w:r>
      <w:r w:rsidR="00B4754E">
        <w:rPr>
          <w:rFonts w:ascii="Times New Roman" w:hAnsi="Times New Roman" w:cs="Times New Roman"/>
        </w:rPr>
        <w:t>own perspective is</w:t>
      </w:r>
      <w:r w:rsidR="00B0183D" w:rsidRPr="000D3040">
        <w:rPr>
          <w:rFonts w:ascii="Times New Roman" w:hAnsi="Times New Roman" w:cs="Times New Roman"/>
        </w:rPr>
        <w:t xml:space="preserve"> of</w:t>
      </w:r>
      <w:r w:rsidR="001E171D" w:rsidRPr="000D3040">
        <w:rPr>
          <w:rFonts w:ascii="Times New Roman" w:hAnsi="Times New Roman" w:cs="Times New Roman"/>
        </w:rPr>
        <w:t xml:space="preserve"> </w:t>
      </w:r>
      <w:r w:rsidR="00B0183D" w:rsidRPr="000D3040">
        <w:rPr>
          <w:rFonts w:ascii="Times New Roman" w:hAnsi="Times New Roman" w:cs="Times New Roman"/>
        </w:rPr>
        <w:t xml:space="preserve">importance </w:t>
      </w:r>
      <w:r w:rsidR="001E171D" w:rsidRPr="000D3040">
        <w:rPr>
          <w:rFonts w:ascii="Times New Roman" w:hAnsi="Times New Roman" w:cs="Times New Roman"/>
        </w:rPr>
        <w:t>in best interest</w:t>
      </w:r>
      <w:r w:rsidR="00235476" w:rsidRPr="000D3040">
        <w:rPr>
          <w:rFonts w:ascii="Times New Roman" w:hAnsi="Times New Roman" w:cs="Times New Roman"/>
        </w:rPr>
        <w:t>s</w:t>
      </w:r>
      <w:r w:rsidR="001E171D" w:rsidRPr="000D3040">
        <w:rPr>
          <w:rFonts w:ascii="Times New Roman" w:hAnsi="Times New Roman" w:cs="Times New Roman"/>
        </w:rPr>
        <w:t xml:space="preserve"> decision-making </w:t>
      </w:r>
      <w:r w:rsidR="00B0183D" w:rsidRPr="000D3040">
        <w:rPr>
          <w:rFonts w:ascii="Times New Roman" w:hAnsi="Times New Roman" w:cs="Times New Roman"/>
        </w:rPr>
        <w:t>is now statutorily enshrined in the Mental Capacity Act 2005</w:t>
      </w:r>
      <w:r w:rsidR="00BB6A65" w:rsidRPr="000D3040">
        <w:rPr>
          <w:rFonts w:ascii="Times New Roman" w:hAnsi="Times New Roman" w:cs="Times New Roman"/>
        </w:rPr>
        <w:t>,</w:t>
      </w:r>
      <w:r w:rsidR="00CC7DAD" w:rsidRPr="000D3040">
        <w:rPr>
          <w:rFonts w:ascii="Times New Roman" w:hAnsi="Times New Roman" w:cs="Times New Roman"/>
        </w:rPr>
        <w:t xml:space="preserve"> which, as Quigley notes</w:t>
      </w:r>
      <w:r w:rsidR="003200D0">
        <w:rPr>
          <w:rFonts w:ascii="Times New Roman" w:hAnsi="Times New Roman" w:cs="Times New Roman"/>
        </w:rPr>
        <w:t>,</w:t>
      </w:r>
      <w:r w:rsidR="00CC7DAD" w:rsidRPr="000D3040">
        <w:rPr>
          <w:rStyle w:val="FootnoteReference"/>
          <w:rFonts w:ascii="Times New Roman" w:hAnsi="Times New Roman" w:cs="Times New Roman"/>
        </w:rPr>
        <w:footnoteReference w:id="59"/>
      </w:r>
      <w:r w:rsidR="00CC7DAD" w:rsidRPr="000D3040">
        <w:rPr>
          <w:rFonts w:ascii="Times New Roman" w:hAnsi="Times New Roman" w:cs="Times New Roman"/>
        </w:rPr>
        <w:t xml:space="preserve"> has made huge strides</w:t>
      </w:r>
      <w:r w:rsidR="00CD49F9" w:rsidRPr="000D3040">
        <w:rPr>
          <w:rFonts w:ascii="Times New Roman" w:hAnsi="Times New Roman" w:cs="Times New Roman"/>
        </w:rPr>
        <w:t xml:space="preserve"> forward</w:t>
      </w:r>
      <w:r w:rsidR="00CC7DAD" w:rsidRPr="000D3040">
        <w:rPr>
          <w:rFonts w:ascii="Times New Roman" w:hAnsi="Times New Roman" w:cs="Times New Roman"/>
        </w:rPr>
        <w:t>. To this effect, the Act states</w:t>
      </w:r>
      <w:r w:rsidR="00B0183D" w:rsidRPr="000D3040">
        <w:rPr>
          <w:rFonts w:ascii="Times New Roman" w:hAnsi="Times New Roman" w:cs="Times New Roman"/>
        </w:rPr>
        <w:t xml:space="preserve"> that the decision maker must consider</w:t>
      </w:r>
      <w:r w:rsidR="00726B65" w:rsidRPr="000D3040">
        <w:rPr>
          <w:rFonts w:ascii="Times New Roman" w:hAnsi="Times New Roman" w:cs="Times New Roman"/>
        </w:rPr>
        <w:t xml:space="preserve"> </w:t>
      </w:r>
      <w:r w:rsidR="00300E1B" w:rsidRPr="000D3040">
        <w:rPr>
          <w:rFonts w:ascii="Times New Roman" w:hAnsi="Times New Roman" w:cs="Times New Roman"/>
        </w:rPr>
        <w:t xml:space="preserve">the person’s past </w:t>
      </w:r>
      <w:r w:rsidR="00726B65" w:rsidRPr="000D3040">
        <w:rPr>
          <w:rFonts w:ascii="Times New Roman" w:hAnsi="Times New Roman" w:cs="Times New Roman"/>
        </w:rPr>
        <w:t xml:space="preserve">and present wishes and feelings, as well as any </w:t>
      </w:r>
      <w:r w:rsidR="00300E1B" w:rsidRPr="000D3040">
        <w:rPr>
          <w:rFonts w:ascii="Times New Roman" w:hAnsi="Times New Roman" w:cs="Times New Roman"/>
        </w:rPr>
        <w:t xml:space="preserve">beliefs and values that would be likely to influence their decision if they had capacity </w:t>
      </w:r>
      <w:r w:rsidR="00B0183D" w:rsidRPr="000D3040">
        <w:rPr>
          <w:rFonts w:ascii="Times New Roman" w:hAnsi="Times New Roman" w:cs="Times New Roman"/>
        </w:rPr>
        <w:t xml:space="preserve">(as far as they are ascertainable) when </w:t>
      </w:r>
      <w:r w:rsidR="00300E1B" w:rsidRPr="000D3040">
        <w:rPr>
          <w:rFonts w:ascii="Times New Roman" w:hAnsi="Times New Roman" w:cs="Times New Roman"/>
        </w:rPr>
        <w:t>making best interests decisions</w:t>
      </w:r>
      <w:r w:rsidR="00433013" w:rsidRPr="000D3040">
        <w:rPr>
          <w:rFonts w:ascii="Times New Roman" w:hAnsi="Times New Roman" w:cs="Times New Roman"/>
        </w:rPr>
        <w:t>.</w:t>
      </w:r>
      <w:r w:rsidR="006409CF" w:rsidRPr="000D3040">
        <w:rPr>
          <w:rStyle w:val="FootnoteReference"/>
          <w:rFonts w:ascii="Times New Roman" w:hAnsi="Times New Roman" w:cs="Times New Roman"/>
          <w:lang w:val="en-US"/>
        </w:rPr>
        <w:footnoteReference w:id="60"/>
      </w:r>
      <w:r w:rsidR="00433013" w:rsidRPr="000D3040">
        <w:rPr>
          <w:rFonts w:ascii="Times New Roman" w:hAnsi="Times New Roman" w:cs="Times New Roman"/>
        </w:rPr>
        <w:t xml:space="preserve"> </w:t>
      </w:r>
      <w:r w:rsidR="00B4754E">
        <w:rPr>
          <w:rFonts w:ascii="Times New Roman" w:hAnsi="Times New Roman" w:cs="Times New Roman"/>
        </w:rPr>
        <w:t>Moreover</w:t>
      </w:r>
      <w:r w:rsidR="00433013" w:rsidRPr="000D3040">
        <w:rPr>
          <w:rFonts w:ascii="Times New Roman" w:hAnsi="Times New Roman" w:cs="Times New Roman"/>
        </w:rPr>
        <w:t>,</w:t>
      </w:r>
      <w:r w:rsidR="004D497B" w:rsidRPr="000D3040">
        <w:rPr>
          <w:rFonts w:ascii="Times New Roman" w:hAnsi="Times New Roman" w:cs="Times New Roman"/>
        </w:rPr>
        <w:t xml:space="preserve"> the Act also</w:t>
      </w:r>
      <w:r w:rsidR="00CC7DAD" w:rsidRPr="000D3040">
        <w:rPr>
          <w:rFonts w:ascii="Times New Roman" w:hAnsi="Times New Roman" w:cs="Times New Roman"/>
        </w:rPr>
        <w:t xml:space="preserve"> attempts to tackle stigmatising attitudes by stating that</w:t>
      </w:r>
      <w:r w:rsidR="00A20401">
        <w:rPr>
          <w:rFonts w:ascii="Times New Roman" w:hAnsi="Times New Roman" w:cs="Times New Roman"/>
        </w:rPr>
        <w:t xml:space="preserve"> </w:t>
      </w:r>
      <w:r w:rsidR="004D497B" w:rsidRPr="000D3040">
        <w:rPr>
          <w:rFonts w:ascii="Times New Roman" w:hAnsi="Times New Roman" w:cs="Times New Roman"/>
        </w:rPr>
        <w:t>best interests</w:t>
      </w:r>
      <w:r w:rsidR="004041E9">
        <w:rPr>
          <w:rFonts w:ascii="Times New Roman" w:hAnsi="Times New Roman" w:cs="Times New Roman"/>
        </w:rPr>
        <w:t>, nor a finding of a lack of capacity,</w:t>
      </w:r>
      <w:r w:rsidR="004D497B" w:rsidRPr="000D3040">
        <w:rPr>
          <w:rFonts w:ascii="Times New Roman" w:hAnsi="Times New Roman" w:cs="Times New Roman"/>
        </w:rPr>
        <w:t xml:space="preserve"> is to be determined ‘merely’ by</w:t>
      </w:r>
      <w:r w:rsidR="00433013" w:rsidRPr="000D3040">
        <w:rPr>
          <w:rFonts w:ascii="Times New Roman" w:hAnsi="Times New Roman" w:cs="Times New Roman"/>
        </w:rPr>
        <w:t xml:space="preserve"> a person’s age, appearance or any aspect of their behaviour</w:t>
      </w:r>
      <w:r w:rsidR="004D497B" w:rsidRPr="000D3040">
        <w:rPr>
          <w:rStyle w:val="FootnoteReference"/>
          <w:rFonts w:ascii="Times New Roman" w:hAnsi="Times New Roman" w:cs="Times New Roman"/>
        </w:rPr>
        <w:footnoteReference w:id="61"/>
      </w:r>
      <w:r w:rsidR="00433013" w:rsidRPr="000D3040">
        <w:rPr>
          <w:rFonts w:ascii="Times New Roman" w:hAnsi="Times New Roman" w:cs="Times New Roman"/>
        </w:rPr>
        <w:t xml:space="preserve"> </w:t>
      </w:r>
      <w:r w:rsidR="004D497B" w:rsidRPr="000D3040">
        <w:rPr>
          <w:rFonts w:ascii="Times New Roman" w:hAnsi="Times New Roman" w:cs="Times New Roman"/>
        </w:rPr>
        <w:t xml:space="preserve">– although utilising the word ‘merely’ indicates that a person’s age, appearance or behaviour may be </w:t>
      </w:r>
      <w:r w:rsidR="004D497B" w:rsidRPr="000D3040">
        <w:rPr>
          <w:rFonts w:ascii="Times New Roman" w:hAnsi="Times New Roman" w:cs="Times New Roman"/>
          <w:i/>
        </w:rPr>
        <w:t xml:space="preserve">a </w:t>
      </w:r>
      <w:r w:rsidR="004D497B" w:rsidRPr="000D3040">
        <w:rPr>
          <w:rFonts w:ascii="Times New Roman" w:hAnsi="Times New Roman" w:cs="Times New Roman"/>
        </w:rPr>
        <w:t>consideration when making best interests decisions.</w:t>
      </w:r>
      <w:r w:rsidR="00CC7DAD" w:rsidRPr="000D3040">
        <w:rPr>
          <w:rStyle w:val="FootnoteReference"/>
          <w:rFonts w:ascii="Times New Roman" w:hAnsi="Times New Roman" w:cs="Times New Roman"/>
        </w:rPr>
        <w:footnoteReference w:id="62"/>
      </w:r>
      <w:r w:rsidR="00CD49F9" w:rsidRPr="000D3040">
        <w:rPr>
          <w:rFonts w:ascii="Times New Roman" w:hAnsi="Times New Roman" w:cs="Times New Roman"/>
        </w:rPr>
        <w:t xml:space="preserve"> </w:t>
      </w:r>
    </w:p>
    <w:p w14:paraId="12428B25" w14:textId="04691A89" w:rsidR="00CD49F9" w:rsidRPr="000D3040" w:rsidRDefault="004041E9" w:rsidP="00CD49F9">
      <w:pPr>
        <w:pStyle w:val="NoSpacing"/>
        <w:spacing w:line="480" w:lineRule="auto"/>
        <w:jc w:val="both"/>
        <w:rPr>
          <w:rFonts w:ascii="Times New Roman" w:hAnsi="Times New Roman" w:cs="Times New Roman"/>
        </w:rPr>
      </w:pPr>
      <w:r>
        <w:rPr>
          <w:rFonts w:ascii="Times New Roman" w:hAnsi="Times New Roman" w:cs="Times New Roman"/>
        </w:rPr>
        <w:lastRenderedPageBreak/>
        <w:t xml:space="preserve">The </w:t>
      </w:r>
      <w:r w:rsidR="00CD49F9" w:rsidRPr="000D3040">
        <w:rPr>
          <w:rFonts w:ascii="Times New Roman" w:hAnsi="Times New Roman" w:cs="Times New Roman"/>
        </w:rPr>
        <w:t xml:space="preserve">importance of the individual’s perspective being taken into consideration </w:t>
      </w:r>
      <w:r w:rsidR="002748E1">
        <w:rPr>
          <w:rFonts w:ascii="Times New Roman" w:hAnsi="Times New Roman" w:cs="Times New Roman"/>
        </w:rPr>
        <w:t xml:space="preserve">during best interests decision-making </w:t>
      </w:r>
      <w:r w:rsidR="00CD49F9" w:rsidRPr="000D3040">
        <w:rPr>
          <w:rFonts w:ascii="Times New Roman" w:hAnsi="Times New Roman" w:cs="Times New Roman"/>
        </w:rPr>
        <w:t xml:space="preserve">has </w:t>
      </w:r>
      <w:r w:rsidR="00B51E7A">
        <w:rPr>
          <w:rFonts w:ascii="Times New Roman" w:hAnsi="Times New Roman" w:cs="Times New Roman"/>
        </w:rPr>
        <w:t>recently</w:t>
      </w:r>
      <w:r w:rsidR="00CD49F9" w:rsidRPr="000D3040">
        <w:rPr>
          <w:rFonts w:ascii="Times New Roman" w:hAnsi="Times New Roman" w:cs="Times New Roman"/>
        </w:rPr>
        <w:t xml:space="preserve"> been strenuously reiterated by the House of Lords Select Committee post-legislative scrutiny of the Mental Capacity Act</w:t>
      </w:r>
      <w:r w:rsidR="003200D0">
        <w:rPr>
          <w:rFonts w:ascii="Times New Roman" w:hAnsi="Times New Roman" w:cs="Times New Roman"/>
        </w:rPr>
        <w:t>,</w:t>
      </w:r>
      <w:r w:rsidR="00CD49F9" w:rsidRPr="000D3040">
        <w:rPr>
          <w:rStyle w:val="FootnoteReference"/>
          <w:rFonts w:ascii="Times New Roman" w:hAnsi="Times New Roman" w:cs="Times New Roman"/>
        </w:rPr>
        <w:footnoteReference w:id="63"/>
      </w:r>
      <w:r w:rsidR="00CD49F9" w:rsidRPr="000D3040">
        <w:rPr>
          <w:rFonts w:ascii="Times New Roman" w:hAnsi="Times New Roman" w:cs="Times New Roman"/>
        </w:rPr>
        <w:t xml:space="preserve"> and by the Supreme Court in </w:t>
      </w:r>
      <w:r w:rsidR="00CD49F9" w:rsidRPr="000D3040">
        <w:rPr>
          <w:rFonts w:ascii="Times New Roman" w:hAnsi="Times New Roman" w:cs="Times New Roman"/>
          <w:i/>
        </w:rPr>
        <w:t>Aintree University Hospitals NHS Trust v James</w:t>
      </w:r>
      <w:r w:rsidR="003200D0">
        <w:rPr>
          <w:rFonts w:ascii="Times New Roman" w:hAnsi="Times New Roman" w:cs="Times New Roman"/>
          <w:i/>
        </w:rPr>
        <w:t>.</w:t>
      </w:r>
      <w:r w:rsidR="00CD49F9" w:rsidRPr="003200D0">
        <w:rPr>
          <w:rStyle w:val="FootnoteReference"/>
          <w:rFonts w:ascii="Times New Roman" w:hAnsi="Times New Roman" w:cs="Times New Roman"/>
        </w:rPr>
        <w:footnoteReference w:id="64"/>
      </w:r>
      <w:r w:rsidR="00CD49F9" w:rsidRPr="000D3040">
        <w:rPr>
          <w:rFonts w:ascii="Times New Roman" w:hAnsi="Times New Roman" w:cs="Times New Roman"/>
        </w:rPr>
        <w:t xml:space="preserve"> In light of these, the views of the person concerned have been increasingly seen as central to the decision to be made with the Court of Protection recently stating that ‘[t]he onset of mental incapacity is not an opportunity for moral correction</w:t>
      </w:r>
      <w:r w:rsidR="00A328CA">
        <w:rPr>
          <w:rFonts w:ascii="Times New Roman" w:hAnsi="Times New Roman" w:cs="Times New Roman"/>
        </w:rPr>
        <w:t>’</w:t>
      </w:r>
      <w:r w:rsidR="00CD49F9" w:rsidRPr="000D3040">
        <w:rPr>
          <w:rFonts w:ascii="Times New Roman" w:hAnsi="Times New Roman" w:cs="Times New Roman"/>
        </w:rPr>
        <w:t>,</w:t>
      </w:r>
      <w:r w:rsidR="00CD49F9" w:rsidRPr="000D3040">
        <w:rPr>
          <w:rStyle w:val="FootnoteReference"/>
          <w:rFonts w:ascii="Times New Roman" w:hAnsi="Times New Roman" w:cs="Times New Roman"/>
        </w:rPr>
        <w:footnoteReference w:id="65"/>
      </w:r>
      <w:r w:rsidR="00CD49F9" w:rsidRPr="000D3040">
        <w:rPr>
          <w:rFonts w:ascii="Times New Roman" w:hAnsi="Times New Roman" w:cs="Times New Roman"/>
        </w:rPr>
        <w:t xml:space="preserve"> and</w:t>
      </w:r>
      <w:r w:rsidR="00123CAE">
        <w:rPr>
          <w:rFonts w:ascii="Times New Roman" w:hAnsi="Times New Roman" w:cs="Times New Roman"/>
        </w:rPr>
        <w:t>, more emphatically</w:t>
      </w:r>
      <w:r w:rsidR="00CD49F9" w:rsidRPr="000D3040">
        <w:rPr>
          <w:rFonts w:ascii="Times New Roman" w:hAnsi="Times New Roman" w:cs="Times New Roman"/>
        </w:rPr>
        <w:t>:</w:t>
      </w:r>
    </w:p>
    <w:p w14:paraId="1DE0D094" w14:textId="4F2BA9F3" w:rsidR="00CD49F9" w:rsidRPr="000D3040" w:rsidRDefault="00CD49F9" w:rsidP="00CD49F9">
      <w:pPr>
        <w:pStyle w:val="NoSpacing"/>
        <w:spacing w:line="480" w:lineRule="auto"/>
        <w:ind w:left="709" w:right="751"/>
        <w:jc w:val="both"/>
        <w:rPr>
          <w:rFonts w:ascii="Times New Roman" w:hAnsi="Times New Roman" w:cs="Times New Roman"/>
          <w:lang w:val="en-US"/>
        </w:rPr>
      </w:pPr>
      <w:r w:rsidRPr="000D3040">
        <w:rPr>
          <w:rFonts w:ascii="Times New Roman" w:hAnsi="Times New Roman" w:cs="Times New Roman"/>
          <w:lang w:val="en-US"/>
        </w:rPr>
        <w:t xml:space="preserve">…a conclusion that a person lacks decision-making capacity is not an </w:t>
      </w:r>
      <w:r w:rsidRPr="000D3040">
        <w:rPr>
          <w:rFonts w:ascii="Times New Roman" w:hAnsi="Times New Roman" w:cs="Times New Roman"/>
          <w:i/>
          <w:lang w:val="en-US"/>
        </w:rPr>
        <w:t xml:space="preserve">“off-switch” </w:t>
      </w:r>
      <w:r w:rsidR="00D401E1">
        <w:rPr>
          <w:rFonts w:ascii="Times New Roman" w:hAnsi="Times New Roman" w:cs="Times New Roman"/>
          <w:lang w:val="en-US"/>
        </w:rPr>
        <w:t xml:space="preserve">[emphasis in original] </w:t>
      </w:r>
      <w:r w:rsidRPr="000D3040">
        <w:rPr>
          <w:rFonts w:ascii="Times New Roman" w:hAnsi="Times New Roman" w:cs="Times New Roman"/>
          <w:lang w:val="en-US"/>
        </w:rPr>
        <w:t xml:space="preserve">for his rights and freedoms…the wishes and feelings, beliefs and values of people with a mental disability </w:t>
      </w:r>
      <w:r w:rsidRPr="00E05D0F">
        <w:rPr>
          <w:rFonts w:ascii="Times New Roman" w:hAnsi="Times New Roman" w:cs="Times New Roman"/>
          <w:i/>
          <w:lang w:val="en-US"/>
        </w:rPr>
        <w:t>are as important to them as they are to anyone else</w:t>
      </w:r>
      <w:r w:rsidR="00D401E1">
        <w:rPr>
          <w:rFonts w:ascii="Times New Roman" w:hAnsi="Times New Roman" w:cs="Times New Roman"/>
          <w:lang w:val="en-US"/>
        </w:rPr>
        <w:t xml:space="preserve"> [emphasis added]</w:t>
      </w:r>
      <w:r w:rsidRPr="000D3040">
        <w:rPr>
          <w:rFonts w:ascii="Times New Roman" w:hAnsi="Times New Roman" w:cs="Times New Roman"/>
          <w:lang w:val="en-US"/>
        </w:rPr>
        <w:t>, and may even be more important. It would therefore be wrong in principle to apply any automatic discount to their point of view.</w:t>
      </w:r>
      <w:r w:rsidRPr="000D3040">
        <w:rPr>
          <w:rStyle w:val="FootnoteReference"/>
          <w:rFonts w:ascii="Times New Roman" w:hAnsi="Times New Roman" w:cs="Times New Roman"/>
          <w:lang w:val="en-US"/>
        </w:rPr>
        <w:footnoteReference w:id="66"/>
      </w:r>
    </w:p>
    <w:p w14:paraId="54AE71D7" w14:textId="77777777" w:rsidR="00B0183D" w:rsidRPr="000D3040" w:rsidRDefault="00B0183D" w:rsidP="000E6DF0">
      <w:pPr>
        <w:pStyle w:val="NoSpacing"/>
        <w:spacing w:line="480" w:lineRule="auto"/>
        <w:jc w:val="both"/>
        <w:rPr>
          <w:rFonts w:ascii="Times New Roman" w:hAnsi="Times New Roman" w:cs="Times New Roman"/>
        </w:rPr>
      </w:pPr>
    </w:p>
    <w:p w14:paraId="43522829" w14:textId="616C13E5" w:rsidR="006409CF" w:rsidRPr="00EB24E6" w:rsidRDefault="006409CF" w:rsidP="00CD49F9">
      <w:pPr>
        <w:pStyle w:val="NoSpacing"/>
        <w:spacing w:line="480" w:lineRule="auto"/>
        <w:jc w:val="both"/>
        <w:rPr>
          <w:rFonts w:ascii="Times New Roman" w:hAnsi="Times New Roman" w:cs="Times New Roman"/>
        </w:rPr>
      </w:pPr>
      <w:r w:rsidRPr="000D3040">
        <w:rPr>
          <w:rFonts w:ascii="Times New Roman" w:hAnsi="Times New Roman" w:cs="Times New Roman"/>
        </w:rPr>
        <w:t xml:space="preserve">There are, </w:t>
      </w:r>
      <w:r w:rsidR="00B9417A">
        <w:rPr>
          <w:rFonts w:ascii="Times New Roman" w:hAnsi="Times New Roman" w:cs="Times New Roman"/>
        </w:rPr>
        <w:t>in addition, other</w:t>
      </w:r>
      <w:r w:rsidRPr="000D3040">
        <w:rPr>
          <w:rFonts w:ascii="Times New Roman" w:hAnsi="Times New Roman" w:cs="Times New Roman"/>
        </w:rPr>
        <w:t xml:space="preserve"> policy </w:t>
      </w:r>
      <w:r w:rsidR="00AD03F9" w:rsidRPr="000D3040">
        <w:rPr>
          <w:rFonts w:ascii="Times New Roman" w:hAnsi="Times New Roman" w:cs="Times New Roman"/>
        </w:rPr>
        <w:t>program</w:t>
      </w:r>
      <w:r w:rsidR="00E772F5">
        <w:rPr>
          <w:rFonts w:ascii="Times New Roman" w:hAnsi="Times New Roman" w:cs="Times New Roman"/>
        </w:rPr>
        <w:t>me</w:t>
      </w:r>
      <w:r w:rsidR="00AD03F9" w:rsidRPr="000D3040">
        <w:rPr>
          <w:rFonts w:ascii="Times New Roman" w:hAnsi="Times New Roman" w:cs="Times New Roman"/>
        </w:rPr>
        <w:t>s and legislation</w:t>
      </w:r>
      <w:r w:rsidRPr="000D3040">
        <w:rPr>
          <w:rFonts w:ascii="Times New Roman" w:hAnsi="Times New Roman" w:cs="Times New Roman"/>
        </w:rPr>
        <w:t xml:space="preserve"> that enshrine the importance of </w:t>
      </w:r>
      <w:r w:rsidR="00193417">
        <w:rPr>
          <w:rFonts w:ascii="Times New Roman" w:hAnsi="Times New Roman" w:cs="Times New Roman"/>
        </w:rPr>
        <w:t>the person’s own views</w:t>
      </w:r>
      <w:r w:rsidR="00235476" w:rsidRPr="000D3040">
        <w:rPr>
          <w:rFonts w:ascii="Times New Roman" w:hAnsi="Times New Roman" w:cs="Times New Roman"/>
        </w:rPr>
        <w:t>,</w:t>
      </w:r>
      <w:r w:rsidR="00D31E05">
        <w:rPr>
          <w:rFonts w:ascii="Times New Roman" w:hAnsi="Times New Roman" w:cs="Times New Roman"/>
        </w:rPr>
        <w:t xml:space="preserve"> as well as attempting to remove the stigma associated with cognitive impairments,</w:t>
      </w:r>
      <w:r w:rsidR="00235476" w:rsidRPr="000D3040">
        <w:rPr>
          <w:rFonts w:ascii="Times New Roman" w:hAnsi="Times New Roman" w:cs="Times New Roman"/>
        </w:rPr>
        <w:t xml:space="preserve"> and are especially </w:t>
      </w:r>
      <w:r w:rsidR="00EB24E6">
        <w:rPr>
          <w:rFonts w:ascii="Times New Roman" w:hAnsi="Times New Roman" w:cs="Times New Roman"/>
        </w:rPr>
        <w:t>relevant</w:t>
      </w:r>
      <w:r w:rsidR="00235476" w:rsidRPr="000D3040">
        <w:rPr>
          <w:rFonts w:ascii="Times New Roman" w:hAnsi="Times New Roman" w:cs="Times New Roman"/>
        </w:rPr>
        <w:t xml:space="preserve"> for older persons</w:t>
      </w:r>
      <w:r w:rsidR="00300E1B" w:rsidRPr="000D3040">
        <w:rPr>
          <w:rFonts w:ascii="Times New Roman" w:hAnsi="Times New Roman" w:cs="Times New Roman"/>
        </w:rPr>
        <w:t xml:space="preserve"> with dementia</w:t>
      </w:r>
      <w:r w:rsidRPr="000D3040">
        <w:rPr>
          <w:rFonts w:ascii="Times New Roman" w:hAnsi="Times New Roman" w:cs="Times New Roman"/>
        </w:rPr>
        <w:t xml:space="preserve">. </w:t>
      </w:r>
      <w:r w:rsidR="00F673F4" w:rsidRPr="000D3040">
        <w:rPr>
          <w:rFonts w:ascii="Times New Roman" w:hAnsi="Times New Roman" w:cs="Times New Roman"/>
        </w:rPr>
        <w:t xml:space="preserve">Article 12 of the </w:t>
      </w:r>
      <w:r w:rsidR="00862806">
        <w:rPr>
          <w:rFonts w:ascii="Times New Roman" w:hAnsi="Times New Roman" w:cs="Times New Roman"/>
        </w:rPr>
        <w:t>UNCRPD</w:t>
      </w:r>
      <w:r w:rsidR="00E57F79" w:rsidRPr="000D3040">
        <w:rPr>
          <w:rFonts w:ascii="Times New Roman" w:hAnsi="Times New Roman" w:cs="Times New Roman"/>
        </w:rPr>
        <w:t>, which the United Kingdom has both signed and ratified,</w:t>
      </w:r>
      <w:r w:rsidR="00F673F4" w:rsidRPr="000D3040">
        <w:rPr>
          <w:rFonts w:ascii="Times New Roman" w:hAnsi="Times New Roman" w:cs="Times New Roman"/>
        </w:rPr>
        <w:t xml:space="preserve"> </w:t>
      </w:r>
      <w:r w:rsidR="00611704" w:rsidRPr="000D3040">
        <w:rPr>
          <w:rFonts w:ascii="Times New Roman" w:hAnsi="Times New Roman" w:cs="Times New Roman"/>
        </w:rPr>
        <w:t xml:space="preserve">emphasises </w:t>
      </w:r>
      <w:r w:rsidR="00300E1B" w:rsidRPr="000D3040">
        <w:rPr>
          <w:rFonts w:ascii="Times New Roman" w:hAnsi="Times New Roman" w:cs="Times New Roman"/>
        </w:rPr>
        <w:t>that measures relating to the exercising of legal capacity for persons with disabilities are to be made based on the</w:t>
      </w:r>
      <w:r w:rsidR="00611704" w:rsidRPr="000D3040">
        <w:rPr>
          <w:rFonts w:ascii="Times New Roman" w:hAnsi="Times New Roman" w:cs="Times New Roman"/>
        </w:rPr>
        <w:t xml:space="preserve"> individual’s will and preferences</w:t>
      </w:r>
      <w:r w:rsidR="00235476" w:rsidRPr="000D3040">
        <w:rPr>
          <w:rFonts w:ascii="Times New Roman" w:hAnsi="Times New Roman" w:cs="Times New Roman"/>
        </w:rPr>
        <w:t>,</w:t>
      </w:r>
      <w:r w:rsidR="00611704" w:rsidRPr="000D3040">
        <w:rPr>
          <w:rFonts w:ascii="Times New Roman" w:hAnsi="Times New Roman" w:cs="Times New Roman"/>
        </w:rPr>
        <w:t xml:space="preserve"> and if these </w:t>
      </w:r>
      <w:r w:rsidR="00611704" w:rsidRPr="000D3040">
        <w:rPr>
          <w:rFonts w:ascii="Times New Roman" w:hAnsi="Times New Roman" w:cs="Times New Roman"/>
        </w:rPr>
        <w:lastRenderedPageBreak/>
        <w:t>are not ascertainable, then the ‘best interpretation of an individual’s will and preferences’</w:t>
      </w:r>
      <w:r w:rsidR="00D31E05">
        <w:rPr>
          <w:rFonts w:ascii="Times New Roman" w:hAnsi="Times New Roman" w:cs="Times New Roman"/>
        </w:rPr>
        <w:t>.</w:t>
      </w:r>
      <w:r w:rsidR="004A0388" w:rsidRPr="000D3040">
        <w:rPr>
          <w:rStyle w:val="FootnoteReference"/>
          <w:rFonts w:ascii="Times New Roman" w:hAnsi="Times New Roman" w:cs="Times New Roman"/>
        </w:rPr>
        <w:footnoteReference w:id="67"/>
      </w:r>
      <w:r w:rsidR="00D31E05">
        <w:rPr>
          <w:rFonts w:ascii="Times New Roman" w:hAnsi="Times New Roman" w:cs="Times New Roman"/>
        </w:rPr>
        <w:t xml:space="preserve"> Moreover, a recent statement by the Committee on the Rights of Persons with Disabilit</w:t>
      </w:r>
      <w:r w:rsidR="00E73E7E">
        <w:rPr>
          <w:rFonts w:ascii="Times New Roman" w:hAnsi="Times New Roman" w:cs="Times New Roman"/>
        </w:rPr>
        <w:t xml:space="preserve">ies states that detention </w:t>
      </w:r>
      <w:r w:rsidR="00E73E7E" w:rsidRPr="00D570A8">
        <w:rPr>
          <w:rFonts w:ascii="Times New Roman" w:hAnsi="Times New Roman" w:cs="Times New Roman"/>
          <w:i/>
        </w:rPr>
        <w:t xml:space="preserve">based </w:t>
      </w:r>
      <w:r w:rsidR="00D31E05" w:rsidRPr="00D570A8">
        <w:rPr>
          <w:rFonts w:ascii="Times New Roman" w:hAnsi="Times New Roman" w:cs="Times New Roman"/>
          <w:i/>
        </w:rPr>
        <w:t>on</w:t>
      </w:r>
      <w:r w:rsidR="00D31E05">
        <w:rPr>
          <w:rFonts w:ascii="Times New Roman" w:hAnsi="Times New Roman" w:cs="Times New Roman"/>
        </w:rPr>
        <w:t xml:space="preserve"> the presence of a disability should be prohibited.</w:t>
      </w:r>
      <w:r w:rsidR="00555C01">
        <w:rPr>
          <w:rStyle w:val="FootnoteReference"/>
          <w:rFonts w:ascii="Times New Roman" w:hAnsi="Times New Roman" w:cs="Times New Roman"/>
        </w:rPr>
        <w:footnoteReference w:id="68"/>
      </w:r>
      <w:r w:rsidR="00D31E05">
        <w:rPr>
          <w:rFonts w:ascii="Times New Roman" w:hAnsi="Times New Roman" w:cs="Times New Roman"/>
        </w:rPr>
        <w:t xml:space="preserve"> </w:t>
      </w:r>
      <w:r w:rsidR="004A0388" w:rsidRPr="000D3040">
        <w:rPr>
          <w:rFonts w:ascii="Times New Roman" w:hAnsi="Times New Roman" w:cs="Times New Roman"/>
        </w:rPr>
        <w:t xml:space="preserve"> </w:t>
      </w:r>
      <w:r w:rsidR="002C5FFF" w:rsidRPr="000D3040">
        <w:rPr>
          <w:rFonts w:ascii="Times New Roman" w:hAnsi="Times New Roman" w:cs="Times New Roman"/>
          <w:lang w:val="en-US"/>
        </w:rPr>
        <w:t>Similarly the Mental Health Act 1983 Code of Practice also states that a patient should be involved in their treatment planning and supported to participate in decision-making, and have their views considered and fully recorded.</w:t>
      </w:r>
      <w:r w:rsidR="002C5FFF" w:rsidRPr="000D3040">
        <w:rPr>
          <w:rStyle w:val="FootnoteReference"/>
          <w:rFonts w:ascii="Times New Roman" w:hAnsi="Times New Roman" w:cs="Times New Roman"/>
          <w:lang w:val="en-US"/>
        </w:rPr>
        <w:footnoteReference w:id="69"/>
      </w:r>
      <w:r w:rsidR="00AD03F9" w:rsidRPr="000D3040">
        <w:rPr>
          <w:rFonts w:ascii="Times New Roman" w:hAnsi="Times New Roman" w:cs="Times New Roman"/>
        </w:rPr>
        <w:t xml:space="preserve"> </w:t>
      </w:r>
      <w:r w:rsidRPr="000D3040">
        <w:rPr>
          <w:rFonts w:ascii="Times New Roman" w:hAnsi="Times New Roman" w:cs="Times New Roman"/>
        </w:rPr>
        <w:t>I</w:t>
      </w:r>
      <w:r w:rsidR="00286BB9" w:rsidRPr="000D3040">
        <w:rPr>
          <w:rFonts w:ascii="Times New Roman" w:hAnsi="Times New Roman" w:cs="Times New Roman"/>
        </w:rPr>
        <w:t>nitiatives</w:t>
      </w:r>
      <w:r w:rsidR="00235476" w:rsidRPr="000D3040">
        <w:rPr>
          <w:rFonts w:ascii="Times New Roman" w:hAnsi="Times New Roman" w:cs="Times New Roman"/>
        </w:rPr>
        <w:t xml:space="preserve"> </w:t>
      </w:r>
      <w:r w:rsidR="00286BB9" w:rsidRPr="000D3040">
        <w:rPr>
          <w:rFonts w:ascii="Times New Roman" w:hAnsi="Times New Roman" w:cs="Times New Roman"/>
        </w:rPr>
        <w:t>specifically aimed at older individuals</w:t>
      </w:r>
      <w:r w:rsidR="00235476" w:rsidRPr="000D3040">
        <w:rPr>
          <w:rFonts w:ascii="Times New Roman" w:hAnsi="Times New Roman" w:cs="Times New Roman"/>
        </w:rPr>
        <w:t xml:space="preserve"> </w:t>
      </w:r>
      <w:r w:rsidR="003F0A78" w:rsidRPr="000D3040">
        <w:rPr>
          <w:rFonts w:ascii="Times New Roman" w:hAnsi="Times New Roman" w:cs="Times New Roman"/>
        </w:rPr>
        <w:t xml:space="preserve">also </w:t>
      </w:r>
      <w:r w:rsidR="00286BB9" w:rsidRPr="000D3040">
        <w:rPr>
          <w:rFonts w:ascii="Times New Roman" w:hAnsi="Times New Roman" w:cs="Times New Roman"/>
        </w:rPr>
        <w:t xml:space="preserve">emphasise the importance of having </w:t>
      </w:r>
      <w:r w:rsidR="00433013" w:rsidRPr="000D3040">
        <w:rPr>
          <w:rFonts w:ascii="Times New Roman" w:hAnsi="Times New Roman" w:cs="Times New Roman"/>
        </w:rPr>
        <w:t>the right</w:t>
      </w:r>
      <w:r w:rsidR="00286BB9" w:rsidRPr="000D3040">
        <w:rPr>
          <w:rFonts w:ascii="Times New Roman" w:hAnsi="Times New Roman" w:cs="Times New Roman"/>
        </w:rPr>
        <w:t xml:space="preserve"> to make</w:t>
      </w:r>
      <w:r w:rsidR="00433013" w:rsidRPr="000D3040">
        <w:rPr>
          <w:rFonts w:ascii="Times New Roman" w:hAnsi="Times New Roman" w:cs="Times New Roman"/>
        </w:rPr>
        <w:t xml:space="preserve"> their own</w:t>
      </w:r>
      <w:r w:rsidR="00286BB9" w:rsidRPr="000D3040">
        <w:rPr>
          <w:rFonts w:ascii="Times New Roman" w:hAnsi="Times New Roman" w:cs="Times New Roman"/>
        </w:rPr>
        <w:t xml:space="preserve"> decisions</w:t>
      </w:r>
      <w:r w:rsidR="00235476" w:rsidRPr="000D3040">
        <w:rPr>
          <w:rFonts w:ascii="Times New Roman" w:hAnsi="Times New Roman" w:cs="Times New Roman"/>
        </w:rPr>
        <w:t xml:space="preserve"> in old age</w:t>
      </w:r>
      <w:r w:rsidR="00CC7DAD" w:rsidRPr="000D3040">
        <w:rPr>
          <w:rFonts w:ascii="Times New Roman" w:hAnsi="Times New Roman" w:cs="Times New Roman"/>
        </w:rPr>
        <w:t>, rather than having decisions made for them</w:t>
      </w:r>
      <w:r w:rsidR="00150F0E" w:rsidRPr="000D3040">
        <w:rPr>
          <w:rFonts w:ascii="Times New Roman" w:hAnsi="Times New Roman" w:cs="Times New Roman"/>
        </w:rPr>
        <w:t>. Although not legally binding, t</w:t>
      </w:r>
      <w:r w:rsidR="00286BB9" w:rsidRPr="000D3040">
        <w:rPr>
          <w:rFonts w:ascii="Times New Roman" w:hAnsi="Times New Roman" w:cs="Times New Roman"/>
        </w:rPr>
        <w:t>he recent Welsh Declaration on the Rights of Older Persons</w:t>
      </w:r>
      <w:r w:rsidR="00150F0E" w:rsidRPr="000D3040">
        <w:rPr>
          <w:rFonts w:ascii="Times New Roman" w:hAnsi="Times New Roman" w:cs="Times New Roman"/>
        </w:rPr>
        <w:t>, for example,</w:t>
      </w:r>
      <w:r w:rsidR="00286BB9" w:rsidRPr="000D3040">
        <w:rPr>
          <w:rFonts w:ascii="Times New Roman" w:hAnsi="Times New Roman" w:cs="Times New Roman"/>
        </w:rPr>
        <w:t xml:space="preserve"> states that ‘</w:t>
      </w:r>
      <w:r w:rsidR="00286BB9" w:rsidRPr="000D3040">
        <w:rPr>
          <w:rFonts w:ascii="Times New Roman" w:hAnsi="Times New Roman" w:cs="Times New Roman"/>
          <w:lang w:val="en-US"/>
        </w:rPr>
        <w:t>I have the right to exercise my free will and make choices. My opinion is the most important when decisions are b</w:t>
      </w:r>
      <w:r w:rsidR="00451AE3" w:rsidRPr="000D3040">
        <w:rPr>
          <w:rFonts w:ascii="Times New Roman" w:hAnsi="Times New Roman" w:cs="Times New Roman"/>
          <w:lang w:val="en-US"/>
        </w:rPr>
        <w:t>eing made about me and my life’,</w:t>
      </w:r>
      <w:r w:rsidR="00286BB9" w:rsidRPr="000D3040">
        <w:rPr>
          <w:rStyle w:val="FootnoteReference"/>
          <w:rFonts w:ascii="Times New Roman" w:hAnsi="Times New Roman" w:cs="Times New Roman"/>
          <w:lang w:val="en-US"/>
        </w:rPr>
        <w:footnoteReference w:id="70"/>
      </w:r>
      <w:r w:rsidR="00451AE3" w:rsidRPr="000D3040">
        <w:rPr>
          <w:rFonts w:ascii="Times New Roman" w:hAnsi="Times New Roman" w:cs="Times New Roman"/>
          <w:lang w:val="en-US"/>
        </w:rPr>
        <w:t xml:space="preserve"> and the Charter of Rights for People with Dementia and their Carers in Scotland</w:t>
      </w:r>
      <w:r w:rsidR="00CD49F9" w:rsidRPr="000D3040">
        <w:rPr>
          <w:rStyle w:val="FootnoteReference"/>
          <w:rFonts w:ascii="Times New Roman" w:hAnsi="Times New Roman" w:cs="Times New Roman"/>
          <w:lang w:val="en-US"/>
        </w:rPr>
        <w:footnoteReference w:id="71"/>
      </w:r>
      <w:r w:rsidR="00451AE3" w:rsidRPr="000D3040">
        <w:rPr>
          <w:rFonts w:ascii="Times New Roman" w:hAnsi="Times New Roman" w:cs="Times New Roman"/>
          <w:lang w:val="en-US"/>
        </w:rPr>
        <w:t xml:space="preserve"> emphasises the importance of ‘full and effective participation and inclusion in society’, as well as ‘respect for difference and acceptance of persons with disabilities’.</w:t>
      </w:r>
      <w:r w:rsidR="00451AE3" w:rsidRPr="000D3040">
        <w:rPr>
          <w:rStyle w:val="FootnoteReference"/>
          <w:rFonts w:ascii="Times New Roman" w:hAnsi="Times New Roman" w:cs="Times New Roman"/>
          <w:lang w:val="en-US"/>
        </w:rPr>
        <w:footnoteReference w:id="72"/>
      </w:r>
      <w:r w:rsidR="00451AE3" w:rsidRPr="000D3040">
        <w:rPr>
          <w:rFonts w:ascii="Times New Roman" w:hAnsi="Times New Roman" w:cs="Times New Roman"/>
          <w:lang w:val="en-US"/>
        </w:rPr>
        <w:t xml:space="preserve"> </w:t>
      </w:r>
      <w:r w:rsidR="00286BB9" w:rsidRPr="000D3040">
        <w:rPr>
          <w:rFonts w:ascii="Times New Roman" w:hAnsi="Times New Roman" w:cs="Times New Roman"/>
          <w:lang w:val="en-US"/>
        </w:rPr>
        <w:t xml:space="preserve"> </w:t>
      </w:r>
      <w:r w:rsidRPr="000D3040">
        <w:rPr>
          <w:rFonts w:ascii="Times New Roman" w:hAnsi="Times New Roman" w:cs="Times New Roman"/>
        </w:rPr>
        <w:t xml:space="preserve"> </w:t>
      </w:r>
    </w:p>
    <w:p w14:paraId="41DB8BAE" w14:textId="77777777" w:rsidR="00910F04" w:rsidRPr="000D3040" w:rsidRDefault="00910F04" w:rsidP="000E6DF0">
      <w:pPr>
        <w:pStyle w:val="NoSpacing"/>
        <w:spacing w:line="480" w:lineRule="auto"/>
        <w:jc w:val="both"/>
        <w:rPr>
          <w:rFonts w:ascii="Times New Roman" w:hAnsi="Times New Roman" w:cs="Times New Roman"/>
        </w:rPr>
      </w:pPr>
    </w:p>
    <w:p w14:paraId="1E8A6370" w14:textId="36A2BD52" w:rsidR="007C5A2C" w:rsidRPr="000D3040" w:rsidRDefault="00106E63" w:rsidP="00014576">
      <w:pPr>
        <w:pStyle w:val="NoSpacing"/>
        <w:spacing w:line="480" w:lineRule="auto"/>
        <w:jc w:val="both"/>
        <w:rPr>
          <w:rFonts w:ascii="Times New Roman" w:hAnsi="Times New Roman" w:cs="Times New Roman"/>
        </w:rPr>
      </w:pPr>
      <w:r>
        <w:rPr>
          <w:rFonts w:ascii="Times New Roman" w:hAnsi="Times New Roman" w:cs="Times New Roman"/>
        </w:rPr>
        <w:lastRenderedPageBreak/>
        <w:t>This</w:t>
      </w:r>
      <w:r w:rsidR="00014576" w:rsidRPr="000D3040">
        <w:rPr>
          <w:rFonts w:ascii="Times New Roman" w:hAnsi="Times New Roman" w:cs="Times New Roman"/>
        </w:rPr>
        <w:t xml:space="preserve"> </w:t>
      </w:r>
      <w:r w:rsidR="007C5A2C" w:rsidRPr="000D3040">
        <w:rPr>
          <w:rFonts w:ascii="Times New Roman" w:hAnsi="Times New Roman" w:cs="Times New Roman"/>
        </w:rPr>
        <w:t>legal</w:t>
      </w:r>
      <w:r w:rsidR="00B42FD8">
        <w:rPr>
          <w:rFonts w:ascii="Times New Roman" w:hAnsi="Times New Roman" w:cs="Times New Roman"/>
        </w:rPr>
        <w:t>, political, and social shift - particularly in respect of</w:t>
      </w:r>
      <w:r w:rsidR="00014576" w:rsidRPr="000D3040">
        <w:rPr>
          <w:rFonts w:ascii="Times New Roman" w:hAnsi="Times New Roman" w:cs="Times New Roman"/>
        </w:rPr>
        <w:t xml:space="preserve"> best interests</w:t>
      </w:r>
      <w:r w:rsidR="00B42FD8">
        <w:rPr>
          <w:rFonts w:ascii="Times New Roman" w:hAnsi="Times New Roman" w:cs="Times New Roman"/>
        </w:rPr>
        <w:t xml:space="preserve"> - </w:t>
      </w:r>
      <w:r w:rsidR="00014576" w:rsidRPr="000D3040">
        <w:rPr>
          <w:rFonts w:ascii="Times New Roman" w:hAnsi="Times New Roman" w:cs="Times New Roman"/>
        </w:rPr>
        <w:t xml:space="preserve">from a medicalised version to one that centralises the voice of the individual concerned is particularly welcome for those with dementia. Much research indicates that </w:t>
      </w:r>
      <w:r w:rsidR="00B42FD8">
        <w:rPr>
          <w:rFonts w:ascii="Times New Roman" w:hAnsi="Times New Roman" w:cs="Times New Roman"/>
        </w:rPr>
        <w:t xml:space="preserve">a diagnosis of dementia brings with it </w:t>
      </w:r>
      <w:r w:rsidR="000F0E49">
        <w:rPr>
          <w:rFonts w:ascii="Times New Roman" w:hAnsi="Times New Roman" w:cs="Times New Roman"/>
        </w:rPr>
        <w:t>stigma</w:t>
      </w:r>
      <w:r w:rsidR="00193417">
        <w:rPr>
          <w:rFonts w:ascii="Times New Roman" w:hAnsi="Times New Roman" w:cs="Times New Roman"/>
        </w:rPr>
        <w:t>, and perceived ‘social death’</w:t>
      </w:r>
      <w:r w:rsidR="00B42FD8">
        <w:rPr>
          <w:rStyle w:val="FootnoteReference"/>
          <w:rFonts w:ascii="Times New Roman" w:hAnsi="Times New Roman" w:cs="Times New Roman"/>
        </w:rPr>
        <w:footnoteReference w:id="73"/>
      </w:r>
      <w:r w:rsidR="00B42FD8">
        <w:rPr>
          <w:rFonts w:ascii="Times New Roman" w:hAnsi="Times New Roman" w:cs="Times New Roman"/>
        </w:rPr>
        <w:t>, an</w:t>
      </w:r>
      <w:r w:rsidR="00E53AEC">
        <w:rPr>
          <w:rFonts w:ascii="Times New Roman" w:hAnsi="Times New Roman" w:cs="Times New Roman"/>
        </w:rPr>
        <w:t>d, perhaps linked to this stigma</w:t>
      </w:r>
      <w:r w:rsidR="00865F3D">
        <w:rPr>
          <w:rFonts w:ascii="Times New Roman" w:hAnsi="Times New Roman" w:cs="Times New Roman"/>
        </w:rPr>
        <w:t>tisation</w:t>
      </w:r>
      <w:r w:rsidR="00E53AEC">
        <w:rPr>
          <w:rFonts w:ascii="Times New Roman" w:hAnsi="Times New Roman" w:cs="Times New Roman"/>
        </w:rPr>
        <w:t>, that</w:t>
      </w:r>
      <w:r w:rsidR="00B42FD8">
        <w:rPr>
          <w:rFonts w:ascii="Times New Roman" w:hAnsi="Times New Roman" w:cs="Times New Roman"/>
        </w:rPr>
        <w:t xml:space="preserve"> </w:t>
      </w:r>
      <w:r w:rsidR="000F0E49">
        <w:rPr>
          <w:rFonts w:ascii="Times New Roman" w:hAnsi="Times New Roman" w:cs="Times New Roman"/>
        </w:rPr>
        <w:t xml:space="preserve">persons with dementia </w:t>
      </w:r>
      <w:r w:rsidR="00014576" w:rsidRPr="000D3040">
        <w:rPr>
          <w:rFonts w:ascii="Times New Roman" w:hAnsi="Times New Roman" w:cs="Times New Roman"/>
        </w:rPr>
        <w:t xml:space="preserve">are still frequently denied the respect they </w:t>
      </w:r>
      <w:r w:rsidR="00193417">
        <w:rPr>
          <w:rFonts w:ascii="Times New Roman" w:hAnsi="Times New Roman" w:cs="Times New Roman"/>
        </w:rPr>
        <w:t xml:space="preserve">are due </w:t>
      </w:r>
      <w:r w:rsidR="00014576" w:rsidRPr="000D3040">
        <w:rPr>
          <w:rFonts w:ascii="Times New Roman" w:hAnsi="Times New Roman" w:cs="Times New Roman"/>
        </w:rPr>
        <w:t>whether they are deemed to lack capacity or not. The Alzheimer’s Society,</w:t>
      </w:r>
      <w:r w:rsidR="00014576" w:rsidRPr="000D3040">
        <w:rPr>
          <w:rStyle w:val="FootnoteReference"/>
          <w:rFonts w:ascii="Times New Roman" w:hAnsi="Times New Roman" w:cs="Times New Roman"/>
        </w:rPr>
        <w:footnoteReference w:id="74"/>
      </w:r>
      <w:r w:rsidR="00014576" w:rsidRPr="000D3040">
        <w:rPr>
          <w:rFonts w:ascii="Times New Roman" w:hAnsi="Times New Roman" w:cs="Times New Roman"/>
        </w:rPr>
        <w:t xml:space="preserve"> for example, recently found that a majority of participants with dementia </w:t>
      </w:r>
      <w:r w:rsidR="00E152E7">
        <w:rPr>
          <w:rFonts w:ascii="Times New Roman" w:hAnsi="Times New Roman" w:cs="Times New Roman"/>
        </w:rPr>
        <w:t xml:space="preserve">often </w:t>
      </w:r>
      <w:r w:rsidR="00014576" w:rsidRPr="000D3040">
        <w:rPr>
          <w:rFonts w:ascii="Times New Roman" w:hAnsi="Times New Roman" w:cs="Times New Roman"/>
        </w:rPr>
        <w:t>felt excluded from decision-making processes, a finding that mirrors an abundance of other research in this area.</w:t>
      </w:r>
      <w:r w:rsidR="00014576" w:rsidRPr="000D3040">
        <w:rPr>
          <w:rStyle w:val="FootnoteReference"/>
          <w:rFonts w:ascii="Times New Roman" w:hAnsi="Times New Roman" w:cs="Times New Roman"/>
        </w:rPr>
        <w:footnoteReference w:id="75"/>
      </w:r>
      <w:r w:rsidR="00014576" w:rsidRPr="000D3040">
        <w:rPr>
          <w:rFonts w:ascii="Times New Roman" w:hAnsi="Times New Roman" w:cs="Times New Roman"/>
        </w:rPr>
        <w:t xml:space="preserve"> This perhaps indicates a failure in translating legal standards into practice</w:t>
      </w:r>
      <w:r>
        <w:rPr>
          <w:rFonts w:ascii="Times New Roman" w:hAnsi="Times New Roman" w:cs="Times New Roman"/>
        </w:rPr>
        <w:t>.</w:t>
      </w:r>
      <w:r w:rsidR="00014576" w:rsidRPr="000D3040">
        <w:rPr>
          <w:rStyle w:val="FootnoteReference"/>
          <w:rFonts w:ascii="Times New Roman" w:hAnsi="Times New Roman" w:cs="Times New Roman"/>
        </w:rPr>
        <w:footnoteReference w:id="76"/>
      </w:r>
      <w:r>
        <w:rPr>
          <w:rFonts w:ascii="Times New Roman" w:hAnsi="Times New Roman" w:cs="Times New Roman"/>
        </w:rPr>
        <w:t xml:space="preserve"> W</w:t>
      </w:r>
      <w:r w:rsidR="00014576" w:rsidRPr="000D3040">
        <w:rPr>
          <w:rFonts w:ascii="Times New Roman" w:hAnsi="Times New Roman" w:cs="Times New Roman"/>
        </w:rPr>
        <w:t xml:space="preserve">here individual instances have presented themselves to the Court of Protection, the Court has taken a dim view of such failures. In </w:t>
      </w:r>
      <w:r w:rsidR="00014576" w:rsidRPr="000D3040">
        <w:rPr>
          <w:rFonts w:ascii="Times New Roman" w:hAnsi="Times New Roman" w:cs="Times New Roman"/>
          <w:i/>
        </w:rPr>
        <w:t>Essex County Council v RF,</w:t>
      </w:r>
      <w:r w:rsidR="00014576" w:rsidRPr="001C1AE5">
        <w:rPr>
          <w:rStyle w:val="FootnoteReference"/>
          <w:rFonts w:ascii="Times New Roman" w:hAnsi="Times New Roman" w:cs="Times New Roman"/>
        </w:rPr>
        <w:footnoteReference w:id="77"/>
      </w:r>
      <w:r w:rsidR="00014576" w:rsidRPr="001C1AE5">
        <w:rPr>
          <w:rFonts w:ascii="Times New Roman" w:hAnsi="Times New Roman" w:cs="Times New Roman"/>
        </w:rPr>
        <w:t xml:space="preserve"> </w:t>
      </w:r>
      <w:r w:rsidR="00014576" w:rsidRPr="000D3040">
        <w:rPr>
          <w:rFonts w:ascii="Times New Roman" w:hAnsi="Times New Roman" w:cs="Times New Roman"/>
        </w:rPr>
        <w:t xml:space="preserve">for example, </w:t>
      </w:r>
      <w:r w:rsidR="001A2FA6">
        <w:rPr>
          <w:rFonts w:ascii="Times New Roman" w:hAnsi="Times New Roman" w:cs="Times New Roman"/>
        </w:rPr>
        <w:t>DJ Mort</w:t>
      </w:r>
      <w:r>
        <w:rPr>
          <w:rFonts w:ascii="Times New Roman" w:hAnsi="Times New Roman" w:cs="Times New Roman"/>
        </w:rPr>
        <w:t xml:space="preserve"> </w:t>
      </w:r>
      <w:r w:rsidR="00014576" w:rsidRPr="000D3040">
        <w:rPr>
          <w:rFonts w:ascii="Times New Roman" w:hAnsi="Times New Roman" w:cs="Times New Roman"/>
        </w:rPr>
        <w:t>was particularly critical of the local authority, which had deprived a 91-year-old gentleman with dementia of his liberty for seventeen months.  Not only had the authority failed to re</w:t>
      </w:r>
      <w:r w:rsidR="00E152E7">
        <w:rPr>
          <w:rFonts w:ascii="Times New Roman" w:hAnsi="Times New Roman" w:cs="Times New Roman"/>
        </w:rPr>
        <w:t>cord RF’s wishes and feelings during</w:t>
      </w:r>
      <w:r w:rsidR="00014576" w:rsidRPr="000D3040">
        <w:rPr>
          <w:rFonts w:ascii="Times New Roman" w:hAnsi="Times New Roman" w:cs="Times New Roman"/>
        </w:rPr>
        <w:t xml:space="preserve"> the initial capacity assessment, but he had been forcibly removed from his home in a state of partial undress, being told he was being taken to a hotel and threatened with police intervention if he failed to cooperate, and was, naturally, in a very distressed state throughout.</w:t>
      </w:r>
      <w:r w:rsidR="00014576" w:rsidRPr="000D3040">
        <w:rPr>
          <w:rStyle w:val="FootnoteReference"/>
          <w:rFonts w:ascii="Times New Roman" w:hAnsi="Times New Roman" w:cs="Times New Roman"/>
        </w:rPr>
        <w:footnoteReference w:id="78"/>
      </w:r>
      <w:r w:rsidR="00014576" w:rsidRPr="000D3040">
        <w:rPr>
          <w:rFonts w:ascii="Times New Roman" w:hAnsi="Times New Roman" w:cs="Times New Roman"/>
        </w:rPr>
        <w:t xml:space="preserve">  In awarding significant </w:t>
      </w:r>
      <w:r w:rsidR="00014576" w:rsidRPr="000D3040">
        <w:rPr>
          <w:rFonts w:ascii="Times New Roman" w:hAnsi="Times New Roman" w:cs="Times New Roman"/>
        </w:rPr>
        <w:lastRenderedPageBreak/>
        <w:t>damages to RF in light of the violation of his article 5 and 8 rights, the judge stated that ‘[i]t is hard to imagine a more depressing and inexcusable state of affairs. A defenceless 90-year-old gentleman in the final years of his life was removed from his home of 50 years and detained…against his wishes’.</w:t>
      </w:r>
      <w:r w:rsidR="00014576" w:rsidRPr="000D3040">
        <w:rPr>
          <w:rStyle w:val="FootnoteReference"/>
          <w:rFonts w:ascii="Times New Roman" w:hAnsi="Times New Roman" w:cs="Times New Roman"/>
        </w:rPr>
        <w:footnoteReference w:id="79"/>
      </w:r>
      <w:r w:rsidR="00014576" w:rsidRPr="000D3040">
        <w:rPr>
          <w:rFonts w:ascii="Times New Roman" w:hAnsi="Times New Roman" w:cs="Times New Roman"/>
        </w:rPr>
        <w:t xml:space="preserve"> </w:t>
      </w:r>
    </w:p>
    <w:p w14:paraId="3E156F44" w14:textId="77777777" w:rsidR="007C5A2C" w:rsidRPr="000D3040" w:rsidRDefault="007C5A2C" w:rsidP="00014576">
      <w:pPr>
        <w:pStyle w:val="NoSpacing"/>
        <w:spacing w:line="480" w:lineRule="auto"/>
        <w:jc w:val="both"/>
        <w:rPr>
          <w:rFonts w:ascii="Times New Roman" w:hAnsi="Times New Roman" w:cs="Times New Roman"/>
        </w:rPr>
      </w:pPr>
    </w:p>
    <w:p w14:paraId="575A6AA7" w14:textId="40990460" w:rsidR="00014576" w:rsidRPr="000D3040" w:rsidRDefault="00014576" w:rsidP="00014576">
      <w:pPr>
        <w:pStyle w:val="NoSpacing"/>
        <w:spacing w:line="480" w:lineRule="auto"/>
        <w:jc w:val="both"/>
        <w:rPr>
          <w:rFonts w:ascii="Times New Roman" w:hAnsi="Times New Roman" w:cs="Times New Roman"/>
        </w:rPr>
      </w:pPr>
      <w:r w:rsidRPr="000D3040">
        <w:rPr>
          <w:rFonts w:ascii="Times New Roman" w:hAnsi="Times New Roman" w:cs="Times New Roman"/>
        </w:rPr>
        <w:t>The presence of dementia and old age</w:t>
      </w:r>
      <w:r w:rsidR="0086664C">
        <w:rPr>
          <w:rFonts w:ascii="Times New Roman" w:hAnsi="Times New Roman" w:cs="Times New Roman"/>
        </w:rPr>
        <w:t>, then,</w:t>
      </w:r>
      <w:r w:rsidRPr="000D3040">
        <w:rPr>
          <w:rFonts w:ascii="Times New Roman" w:hAnsi="Times New Roman" w:cs="Times New Roman"/>
        </w:rPr>
        <w:t xml:space="preserve"> has been viewed, by some members of the judiciary, as a </w:t>
      </w:r>
      <w:r w:rsidRPr="000D3040">
        <w:rPr>
          <w:rFonts w:ascii="Times New Roman" w:hAnsi="Times New Roman" w:cs="Times New Roman"/>
          <w:i/>
        </w:rPr>
        <w:t>particularly</w:t>
      </w:r>
      <w:r w:rsidRPr="000D3040">
        <w:rPr>
          <w:rFonts w:ascii="Times New Roman" w:hAnsi="Times New Roman" w:cs="Times New Roman"/>
        </w:rPr>
        <w:t xml:space="preserve"> aggravating feature of such cases – and as a time of life where one of the fundamental goals must be to ensure respect for a person’s identity and personal relationships. </w:t>
      </w:r>
      <w:r w:rsidR="0086664C">
        <w:rPr>
          <w:rFonts w:ascii="Times New Roman" w:hAnsi="Times New Roman" w:cs="Times New Roman"/>
        </w:rPr>
        <w:t>A</w:t>
      </w:r>
      <w:r w:rsidR="00B9417A">
        <w:rPr>
          <w:rFonts w:ascii="Times New Roman" w:hAnsi="Times New Roman" w:cs="Times New Roman"/>
        </w:rPr>
        <w:t>ccording to Hedley J</w:t>
      </w:r>
      <w:r w:rsidRPr="000D3040">
        <w:rPr>
          <w:rFonts w:ascii="Times New Roman" w:hAnsi="Times New Roman" w:cs="Times New Roman"/>
        </w:rPr>
        <w:t>,</w:t>
      </w:r>
      <w:r w:rsidR="0086664C">
        <w:rPr>
          <w:rFonts w:ascii="Times New Roman" w:hAnsi="Times New Roman" w:cs="Times New Roman"/>
        </w:rPr>
        <w:t xml:space="preserve"> in residence decisions for the elderly</w:t>
      </w:r>
      <w:r w:rsidR="00B9417A">
        <w:rPr>
          <w:rFonts w:ascii="Times New Roman" w:hAnsi="Times New Roman" w:cs="Times New Roman"/>
        </w:rPr>
        <w:t>,</w:t>
      </w:r>
      <w:r w:rsidR="0086664C">
        <w:rPr>
          <w:rFonts w:ascii="Times New Roman" w:hAnsi="Times New Roman" w:cs="Times New Roman"/>
        </w:rPr>
        <w:t xml:space="preserve"> there is</w:t>
      </w:r>
      <w:r w:rsidRPr="000D3040">
        <w:rPr>
          <w:rFonts w:ascii="Times New Roman" w:hAnsi="Times New Roman" w:cs="Times New Roman"/>
        </w:rPr>
        <w:t xml:space="preserve"> </w:t>
      </w:r>
      <w:r w:rsidR="0086664C">
        <w:rPr>
          <w:rFonts w:ascii="Times New Roman" w:hAnsi="Times New Roman" w:cs="Times New Roman"/>
        </w:rPr>
        <w:t>‘…</w:t>
      </w:r>
      <w:r w:rsidRPr="000D3040">
        <w:rPr>
          <w:rFonts w:ascii="Times New Roman" w:hAnsi="Times New Roman" w:cs="Times New Roman"/>
        </w:rPr>
        <w:t>an importance in place which is not generally recognised by others; not only physical place but also the relational structure that is associated with place’.</w:t>
      </w:r>
      <w:r w:rsidRPr="000D3040">
        <w:rPr>
          <w:rStyle w:val="FootnoteReference"/>
          <w:rFonts w:ascii="Times New Roman" w:hAnsi="Times New Roman" w:cs="Times New Roman"/>
        </w:rPr>
        <w:footnoteReference w:id="80"/>
      </w:r>
      <w:r w:rsidRPr="000D3040">
        <w:rPr>
          <w:rFonts w:ascii="Times New Roman" w:hAnsi="Times New Roman" w:cs="Times New Roman"/>
        </w:rPr>
        <w:t xml:space="preserve"> The developments purveyed </w:t>
      </w:r>
      <w:r w:rsidR="002F7306">
        <w:rPr>
          <w:rFonts w:ascii="Times New Roman" w:hAnsi="Times New Roman" w:cs="Times New Roman"/>
        </w:rPr>
        <w:t>in this s</w:t>
      </w:r>
      <w:r w:rsidR="00F23C97">
        <w:rPr>
          <w:rFonts w:ascii="Times New Roman" w:hAnsi="Times New Roman" w:cs="Times New Roman"/>
        </w:rPr>
        <w:t>ection</w:t>
      </w:r>
      <w:r w:rsidRPr="000D3040">
        <w:rPr>
          <w:rFonts w:ascii="Times New Roman" w:hAnsi="Times New Roman" w:cs="Times New Roman"/>
        </w:rPr>
        <w:t xml:space="preserve"> are</w:t>
      </w:r>
      <w:r w:rsidR="00BE5BFE" w:rsidRPr="000D3040">
        <w:rPr>
          <w:rFonts w:ascii="Times New Roman" w:hAnsi="Times New Roman" w:cs="Times New Roman"/>
        </w:rPr>
        <w:t xml:space="preserve"> therefore</w:t>
      </w:r>
      <w:r w:rsidRPr="000D3040">
        <w:rPr>
          <w:rFonts w:ascii="Times New Roman" w:hAnsi="Times New Roman" w:cs="Times New Roman"/>
        </w:rPr>
        <w:t xml:space="preserve"> to be welcomed</w:t>
      </w:r>
      <w:r w:rsidR="00F23C97">
        <w:rPr>
          <w:rFonts w:ascii="Times New Roman" w:hAnsi="Times New Roman" w:cs="Times New Roman"/>
        </w:rPr>
        <w:t>, both legally and socially,</w:t>
      </w:r>
      <w:r w:rsidRPr="000D3040">
        <w:rPr>
          <w:rFonts w:ascii="Times New Roman" w:hAnsi="Times New Roman" w:cs="Times New Roman"/>
        </w:rPr>
        <w:t xml:space="preserve"> </w:t>
      </w:r>
      <w:r w:rsidR="00F23C97">
        <w:rPr>
          <w:rFonts w:ascii="Times New Roman" w:hAnsi="Times New Roman" w:cs="Times New Roman"/>
        </w:rPr>
        <w:t xml:space="preserve">- </w:t>
      </w:r>
      <w:r w:rsidRPr="000D3040">
        <w:rPr>
          <w:rFonts w:ascii="Times New Roman" w:hAnsi="Times New Roman" w:cs="Times New Roman"/>
        </w:rPr>
        <w:t xml:space="preserve">even if they are still in the process of being </w:t>
      </w:r>
      <w:r w:rsidR="00E152E7">
        <w:rPr>
          <w:rFonts w:ascii="Times New Roman" w:hAnsi="Times New Roman" w:cs="Times New Roman"/>
        </w:rPr>
        <w:t>fully implemented</w:t>
      </w:r>
      <w:r w:rsidRPr="000D3040">
        <w:rPr>
          <w:rFonts w:ascii="Times New Roman" w:hAnsi="Times New Roman" w:cs="Times New Roman"/>
        </w:rPr>
        <w:t xml:space="preserve"> on the ground</w:t>
      </w:r>
      <w:r w:rsidR="00F23C97">
        <w:rPr>
          <w:rFonts w:ascii="Times New Roman" w:hAnsi="Times New Roman" w:cs="Times New Roman"/>
        </w:rPr>
        <w:t xml:space="preserve"> -</w:t>
      </w:r>
      <w:r w:rsidRPr="000D3040">
        <w:rPr>
          <w:rFonts w:ascii="Times New Roman" w:hAnsi="Times New Roman" w:cs="Times New Roman"/>
        </w:rPr>
        <w:t xml:space="preserve"> particularly for </w:t>
      </w:r>
      <w:r w:rsidR="00F23C97">
        <w:rPr>
          <w:rFonts w:ascii="Times New Roman" w:hAnsi="Times New Roman" w:cs="Times New Roman"/>
        </w:rPr>
        <w:t>persons</w:t>
      </w:r>
      <w:r w:rsidRPr="000D3040">
        <w:rPr>
          <w:rFonts w:ascii="Times New Roman" w:hAnsi="Times New Roman" w:cs="Times New Roman"/>
        </w:rPr>
        <w:t xml:space="preserve"> with dementia.  Ethically, they are perhaps of even greater significance – they send a symbolic message that individuals with dementia are still persons, and moreover, they are still persons with an identity; both emotionally and psychologically, where they have</w:t>
      </w:r>
      <w:r w:rsidR="00F23C97">
        <w:rPr>
          <w:rFonts w:ascii="Times New Roman" w:hAnsi="Times New Roman" w:cs="Times New Roman"/>
        </w:rPr>
        <w:t>, on occasions,</w:t>
      </w:r>
      <w:r w:rsidRPr="000D3040">
        <w:rPr>
          <w:rFonts w:ascii="Times New Roman" w:hAnsi="Times New Roman" w:cs="Times New Roman"/>
        </w:rPr>
        <w:t xml:space="preserve"> </w:t>
      </w:r>
      <w:r w:rsidR="0086664C">
        <w:rPr>
          <w:rFonts w:ascii="Times New Roman" w:hAnsi="Times New Roman" w:cs="Times New Roman"/>
        </w:rPr>
        <w:t>previously</w:t>
      </w:r>
      <w:r w:rsidRPr="000D3040">
        <w:rPr>
          <w:rFonts w:ascii="Times New Roman" w:hAnsi="Times New Roman" w:cs="Times New Roman"/>
        </w:rPr>
        <w:t xml:space="preserve"> been denied this status.</w:t>
      </w:r>
      <w:r w:rsidRPr="000D3040">
        <w:rPr>
          <w:rStyle w:val="FootnoteReference"/>
          <w:rFonts w:ascii="Times New Roman" w:hAnsi="Times New Roman" w:cs="Times New Roman"/>
        </w:rPr>
        <w:footnoteReference w:id="81"/>
      </w:r>
      <w:r w:rsidRPr="000D3040">
        <w:rPr>
          <w:rStyle w:val="CommentReference"/>
          <w:rFonts w:ascii="Times New Roman" w:hAnsi="Times New Roman" w:cs="Times New Roman"/>
          <w:sz w:val="24"/>
          <w:szCs w:val="24"/>
        </w:rPr>
        <w:t xml:space="preserve"> </w:t>
      </w:r>
      <w:r w:rsidR="00106E63">
        <w:rPr>
          <w:rStyle w:val="CommentReference"/>
          <w:rFonts w:ascii="Times New Roman" w:hAnsi="Times New Roman" w:cs="Times New Roman"/>
          <w:sz w:val="24"/>
          <w:szCs w:val="24"/>
        </w:rPr>
        <w:t>The</w:t>
      </w:r>
      <w:r w:rsidRPr="000D3040">
        <w:rPr>
          <w:rStyle w:val="CommentReference"/>
          <w:rFonts w:ascii="Times New Roman" w:hAnsi="Times New Roman" w:cs="Times New Roman"/>
          <w:sz w:val="24"/>
          <w:szCs w:val="24"/>
        </w:rPr>
        <w:t xml:space="preserve"> development of the best interests framework for decision-making has become increasingly </w:t>
      </w:r>
      <w:r w:rsidR="0097330E" w:rsidRPr="000D3040">
        <w:rPr>
          <w:rStyle w:val="CommentReference"/>
          <w:rFonts w:ascii="Times New Roman" w:hAnsi="Times New Roman" w:cs="Times New Roman"/>
          <w:sz w:val="24"/>
          <w:szCs w:val="24"/>
        </w:rPr>
        <w:t xml:space="preserve">targeted towards avoiding ‘othering’, or more specifically, avoiding </w:t>
      </w:r>
      <w:r w:rsidR="0009355D">
        <w:rPr>
          <w:rStyle w:val="CommentReference"/>
          <w:rFonts w:ascii="Times New Roman" w:hAnsi="Times New Roman" w:cs="Times New Roman"/>
          <w:sz w:val="24"/>
          <w:szCs w:val="24"/>
        </w:rPr>
        <w:t xml:space="preserve">unjustifiably </w:t>
      </w:r>
      <w:r w:rsidR="0097330E" w:rsidRPr="000D3040">
        <w:rPr>
          <w:rStyle w:val="CommentReference"/>
          <w:rFonts w:ascii="Times New Roman" w:hAnsi="Times New Roman" w:cs="Times New Roman"/>
          <w:sz w:val="24"/>
          <w:szCs w:val="24"/>
        </w:rPr>
        <w:t xml:space="preserve">portraying those who are </w:t>
      </w:r>
      <w:r w:rsidR="0097330E" w:rsidRPr="000D3040">
        <w:rPr>
          <w:rStyle w:val="CommentReference"/>
          <w:rFonts w:ascii="Times New Roman" w:hAnsi="Times New Roman" w:cs="Times New Roman"/>
          <w:sz w:val="24"/>
          <w:szCs w:val="24"/>
        </w:rPr>
        <w:lastRenderedPageBreak/>
        <w:t>deemed to lack capacity as ‘deviant’</w:t>
      </w:r>
      <w:r w:rsidR="00E53AEC">
        <w:rPr>
          <w:rStyle w:val="CommentReference"/>
          <w:rFonts w:ascii="Times New Roman" w:hAnsi="Times New Roman" w:cs="Times New Roman"/>
          <w:sz w:val="24"/>
          <w:szCs w:val="24"/>
        </w:rPr>
        <w:t>, or stigmatised,</w:t>
      </w:r>
      <w:r w:rsidR="0009355D">
        <w:rPr>
          <w:rStyle w:val="CommentReference"/>
          <w:rFonts w:ascii="Times New Roman" w:hAnsi="Times New Roman" w:cs="Times New Roman"/>
          <w:sz w:val="24"/>
          <w:szCs w:val="24"/>
        </w:rPr>
        <w:t xml:space="preserve"> based on the fact that they have dementia</w:t>
      </w:r>
      <w:r w:rsidR="0097330E" w:rsidRPr="000D3040">
        <w:rPr>
          <w:rStyle w:val="CommentReference"/>
          <w:rFonts w:ascii="Times New Roman" w:hAnsi="Times New Roman" w:cs="Times New Roman"/>
          <w:sz w:val="24"/>
          <w:szCs w:val="24"/>
        </w:rPr>
        <w:t>.</w:t>
      </w:r>
      <w:r w:rsidR="00C27F41" w:rsidRPr="000D3040">
        <w:rPr>
          <w:rStyle w:val="CommentReference"/>
          <w:rFonts w:ascii="Times New Roman" w:hAnsi="Times New Roman" w:cs="Times New Roman"/>
          <w:sz w:val="24"/>
          <w:szCs w:val="24"/>
        </w:rPr>
        <w:t xml:space="preserve"> As Donnelly argues, it has moved towards recognising tha</w:t>
      </w:r>
      <w:r w:rsidR="00E152E7">
        <w:rPr>
          <w:rStyle w:val="CommentReference"/>
          <w:rFonts w:ascii="Times New Roman" w:hAnsi="Times New Roman" w:cs="Times New Roman"/>
          <w:sz w:val="24"/>
          <w:szCs w:val="24"/>
        </w:rPr>
        <w:t>t the person remains</w:t>
      </w:r>
      <w:r w:rsidR="00C27F41" w:rsidRPr="000D3040">
        <w:rPr>
          <w:rStyle w:val="CommentReference"/>
          <w:rFonts w:ascii="Times New Roman" w:hAnsi="Times New Roman" w:cs="Times New Roman"/>
          <w:sz w:val="24"/>
          <w:szCs w:val="24"/>
        </w:rPr>
        <w:t xml:space="preserve"> able to </w:t>
      </w:r>
      <w:r w:rsidR="00E152E7">
        <w:rPr>
          <w:rStyle w:val="CommentReference"/>
          <w:rFonts w:ascii="Times New Roman" w:hAnsi="Times New Roman" w:cs="Times New Roman"/>
          <w:sz w:val="24"/>
          <w:szCs w:val="24"/>
        </w:rPr>
        <w:t>contribute</w:t>
      </w:r>
      <w:r w:rsidR="002748E1">
        <w:rPr>
          <w:rStyle w:val="CommentReference"/>
          <w:rFonts w:ascii="Times New Roman" w:hAnsi="Times New Roman" w:cs="Times New Roman"/>
          <w:sz w:val="24"/>
          <w:szCs w:val="24"/>
        </w:rPr>
        <w:t xml:space="preserve"> to the decision-making process</w:t>
      </w:r>
      <w:r w:rsidR="00C27F41" w:rsidRPr="000D3040">
        <w:rPr>
          <w:rStyle w:val="CommentReference"/>
          <w:rFonts w:ascii="Times New Roman" w:hAnsi="Times New Roman" w:cs="Times New Roman"/>
          <w:sz w:val="24"/>
          <w:szCs w:val="24"/>
        </w:rPr>
        <w:t xml:space="preserve">, and shows respect for </w:t>
      </w:r>
      <w:r w:rsidR="00C27F41" w:rsidRPr="00D570A8">
        <w:rPr>
          <w:rStyle w:val="CommentReference"/>
          <w:rFonts w:ascii="Times New Roman" w:hAnsi="Times New Roman" w:cs="Times New Roman"/>
          <w:i/>
          <w:sz w:val="24"/>
          <w:szCs w:val="24"/>
        </w:rPr>
        <w:t>their</w:t>
      </w:r>
      <w:r w:rsidR="00C27F41" w:rsidRPr="000D3040">
        <w:rPr>
          <w:rStyle w:val="CommentReference"/>
          <w:rFonts w:ascii="Times New Roman" w:hAnsi="Times New Roman" w:cs="Times New Roman"/>
          <w:sz w:val="24"/>
          <w:szCs w:val="24"/>
        </w:rPr>
        <w:t xml:space="preserve"> autonomy</w:t>
      </w:r>
      <w:r w:rsidR="00E152E7">
        <w:rPr>
          <w:rStyle w:val="CommentReference"/>
          <w:rFonts w:ascii="Times New Roman" w:hAnsi="Times New Roman" w:cs="Times New Roman"/>
          <w:sz w:val="24"/>
          <w:szCs w:val="24"/>
        </w:rPr>
        <w:t>, even after they lack capacity</w:t>
      </w:r>
      <w:r w:rsidR="00C27F41" w:rsidRPr="000D3040">
        <w:rPr>
          <w:rStyle w:val="CommentReference"/>
          <w:rFonts w:ascii="Times New Roman" w:hAnsi="Times New Roman" w:cs="Times New Roman"/>
          <w:sz w:val="24"/>
          <w:szCs w:val="24"/>
        </w:rPr>
        <w:t>.</w:t>
      </w:r>
      <w:r w:rsidR="00C27F41" w:rsidRPr="000D3040">
        <w:rPr>
          <w:rStyle w:val="FootnoteReference"/>
          <w:rFonts w:ascii="Times New Roman" w:hAnsi="Times New Roman" w:cs="Times New Roman"/>
        </w:rPr>
        <w:footnoteReference w:id="82"/>
      </w:r>
      <w:r w:rsidR="00C27F41" w:rsidRPr="000D3040">
        <w:rPr>
          <w:rStyle w:val="CommentReference"/>
          <w:rFonts w:ascii="Times New Roman" w:hAnsi="Times New Roman" w:cs="Times New Roman"/>
          <w:sz w:val="24"/>
          <w:szCs w:val="24"/>
        </w:rPr>
        <w:t xml:space="preserve"> </w:t>
      </w:r>
    </w:p>
    <w:p w14:paraId="42BA7889" w14:textId="77777777" w:rsidR="00014576" w:rsidRPr="000D3040" w:rsidRDefault="00014576" w:rsidP="000E6DF0">
      <w:pPr>
        <w:pStyle w:val="NoSpacing"/>
        <w:spacing w:line="480" w:lineRule="auto"/>
        <w:jc w:val="both"/>
        <w:rPr>
          <w:rFonts w:ascii="Times New Roman" w:hAnsi="Times New Roman" w:cs="Times New Roman"/>
        </w:rPr>
      </w:pPr>
    </w:p>
    <w:p w14:paraId="06AF00E1" w14:textId="4F56AB1B" w:rsidR="001045BB" w:rsidRPr="000D3040" w:rsidRDefault="009F11AF" w:rsidP="000E6DF0">
      <w:pPr>
        <w:pStyle w:val="NoSpacing"/>
        <w:spacing w:line="480" w:lineRule="auto"/>
        <w:jc w:val="both"/>
        <w:rPr>
          <w:rFonts w:ascii="Times New Roman" w:hAnsi="Times New Roman" w:cs="Times New Roman"/>
        </w:rPr>
      </w:pPr>
      <w:r w:rsidRPr="000D3040">
        <w:rPr>
          <w:rFonts w:ascii="Times New Roman" w:hAnsi="Times New Roman" w:cs="Times New Roman"/>
        </w:rPr>
        <w:t>Despite the increasing importance that is given to the</w:t>
      </w:r>
      <w:r w:rsidR="00910F04" w:rsidRPr="000D3040">
        <w:rPr>
          <w:rFonts w:ascii="Times New Roman" w:hAnsi="Times New Roman" w:cs="Times New Roman"/>
        </w:rPr>
        <w:t xml:space="preserve"> voice of the person who lacks capacity</w:t>
      </w:r>
      <w:r w:rsidRPr="000D3040">
        <w:rPr>
          <w:rFonts w:ascii="Times New Roman" w:hAnsi="Times New Roman" w:cs="Times New Roman"/>
        </w:rPr>
        <w:t xml:space="preserve"> in best interests decision-making</w:t>
      </w:r>
      <w:r w:rsidR="005458A9">
        <w:rPr>
          <w:rFonts w:ascii="Times New Roman" w:hAnsi="Times New Roman" w:cs="Times New Roman"/>
        </w:rPr>
        <w:t xml:space="preserve"> outlined above, </w:t>
      </w:r>
      <w:r w:rsidRPr="000D3040">
        <w:rPr>
          <w:rFonts w:ascii="Times New Roman" w:hAnsi="Times New Roman" w:cs="Times New Roman"/>
        </w:rPr>
        <w:t xml:space="preserve">there remain a number of </w:t>
      </w:r>
      <w:r w:rsidR="0086664C">
        <w:rPr>
          <w:rFonts w:ascii="Times New Roman" w:hAnsi="Times New Roman" w:cs="Times New Roman"/>
        </w:rPr>
        <w:t>barriers</w:t>
      </w:r>
      <w:r w:rsidRPr="000D3040">
        <w:rPr>
          <w:rFonts w:ascii="Times New Roman" w:hAnsi="Times New Roman" w:cs="Times New Roman"/>
        </w:rPr>
        <w:t xml:space="preserve"> </w:t>
      </w:r>
      <w:r w:rsidR="008B6ECB" w:rsidRPr="000D3040">
        <w:rPr>
          <w:rFonts w:ascii="Times New Roman" w:hAnsi="Times New Roman" w:cs="Times New Roman"/>
        </w:rPr>
        <w:t xml:space="preserve">to </w:t>
      </w:r>
      <w:r w:rsidR="00910F04" w:rsidRPr="000D3040">
        <w:rPr>
          <w:rFonts w:ascii="Times New Roman" w:hAnsi="Times New Roman" w:cs="Times New Roman"/>
        </w:rPr>
        <w:t>fully integrating them in to the decision-making process</w:t>
      </w:r>
      <w:r w:rsidR="001045BB" w:rsidRPr="000D3040">
        <w:rPr>
          <w:rFonts w:ascii="Times New Roman" w:hAnsi="Times New Roman" w:cs="Times New Roman"/>
        </w:rPr>
        <w:t xml:space="preserve"> – </w:t>
      </w:r>
      <w:r w:rsidR="0086664C">
        <w:rPr>
          <w:rFonts w:ascii="Times New Roman" w:hAnsi="Times New Roman" w:cs="Times New Roman"/>
        </w:rPr>
        <w:t>barrier</w:t>
      </w:r>
      <w:r w:rsidR="001045BB" w:rsidRPr="000D3040">
        <w:rPr>
          <w:rFonts w:ascii="Times New Roman" w:hAnsi="Times New Roman" w:cs="Times New Roman"/>
        </w:rPr>
        <w:t>s to viewing the</w:t>
      </w:r>
      <w:r w:rsidR="00BE5BFE" w:rsidRPr="000D3040">
        <w:rPr>
          <w:rFonts w:ascii="Times New Roman" w:hAnsi="Times New Roman" w:cs="Times New Roman"/>
        </w:rPr>
        <w:t xml:space="preserve"> voice of the</w:t>
      </w:r>
      <w:r w:rsidR="001045BB" w:rsidRPr="000D3040">
        <w:rPr>
          <w:rFonts w:ascii="Times New Roman" w:hAnsi="Times New Roman" w:cs="Times New Roman"/>
        </w:rPr>
        <w:t xml:space="preserve"> person lacking capacity as central to the decision</w:t>
      </w:r>
      <w:r w:rsidRPr="000D3040">
        <w:rPr>
          <w:rFonts w:ascii="Times New Roman" w:hAnsi="Times New Roman" w:cs="Times New Roman"/>
        </w:rPr>
        <w:t xml:space="preserve">. </w:t>
      </w:r>
      <w:r w:rsidR="00B0183D" w:rsidRPr="000D3040">
        <w:rPr>
          <w:rFonts w:ascii="Times New Roman" w:hAnsi="Times New Roman" w:cs="Times New Roman"/>
        </w:rPr>
        <w:t xml:space="preserve">As </w:t>
      </w:r>
      <w:r w:rsidR="00924141" w:rsidRPr="000D3040">
        <w:rPr>
          <w:rFonts w:ascii="Times New Roman" w:hAnsi="Times New Roman" w:cs="Times New Roman"/>
        </w:rPr>
        <w:t xml:space="preserve">both </w:t>
      </w:r>
      <w:r w:rsidR="00B0183D" w:rsidRPr="000D3040">
        <w:rPr>
          <w:rFonts w:ascii="Times New Roman" w:hAnsi="Times New Roman" w:cs="Times New Roman"/>
        </w:rPr>
        <w:t>Herring</w:t>
      </w:r>
      <w:r w:rsidR="0086664C">
        <w:rPr>
          <w:rStyle w:val="FootnoteReference"/>
          <w:rFonts w:ascii="Times New Roman" w:hAnsi="Times New Roman" w:cs="Times New Roman"/>
        </w:rPr>
        <w:footnoteReference w:id="83"/>
      </w:r>
      <w:r w:rsidR="00D51305" w:rsidRPr="000D3040">
        <w:rPr>
          <w:rFonts w:ascii="Times New Roman" w:hAnsi="Times New Roman" w:cs="Times New Roman"/>
        </w:rPr>
        <w:t xml:space="preserve"> and Series</w:t>
      </w:r>
      <w:r w:rsidR="00910F04" w:rsidRPr="000D3040">
        <w:rPr>
          <w:rStyle w:val="FootnoteReference"/>
          <w:rFonts w:ascii="Times New Roman" w:hAnsi="Times New Roman" w:cs="Times New Roman"/>
        </w:rPr>
        <w:footnoteReference w:id="84"/>
      </w:r>
      <w:r w:rsidR="00D47A8F">
        <w:rPr>
          <w:rFonts w:ascii="Times New Roman" w:hAnsi="Times New Roman" w:cs="Times New Roman"/>
        </w:rPr>
        <w:t xml:space="preserve"> point out</w:t>
      </w:r>
      <w:r w:rsidR="00B0183D" w:rsidRPr="000D3040">
        <w:rPr>
          <w:rFonts w:ascii="Times New Roman" w:hAnsi="Times New Roman" w:cs="Times New Roman"/>
        </w:rPr>
        <w:t xml:space="preserve">, </w:t>
      </w:r>
      <w:r w:rsidR="002309CE" w:rsidRPr="000D3040">
        <w:rPr>
          <w:rFonts w:ascii="Times New Roman" w:hAnsi="Times New Roman" w:cs="Times New Roman"/>
        </w:rPr>
        <w:t xml:space="preserve">and as Baroness Hale remarked in </w:t>
      </w:r>
      <w:r w:rsidR="002309CE" w:rsidRPr="000D3040">
        <w:rPr>
          <w:rFonts w:ascii="Times New Roman" w:hAnsi="Times New Roman" w:cs="Times New Roman"/>
          <w:i/>
        </w:rPr>
        <w:t>Aintree University Hospitals NHS Trust v James,</w:t>
      </w:r>
      <w:r w:rsidR="002309CE" w:rsidRPr="000D3040">
        <w:rPr>
          <w:rStyle w:val="FootnoteReference"/>
          <w:rFonts w:ascii="Times New Roman" w:hAnsi="Times New Roman" w:cs="Times New Roman"/>
        </w:rPr>
        <w:footnoteReference w:id="85"/>
      </w:r>
      <w:r w:rsidRPr="000D3040">
        <w:rPr>
          <w:rFonts w:ascii="Times New Roman" w:hAnsi="Times New Roman" w:cs="Times New Roman"/>
        </w:rPr>
        <w:t xml:space="preserve"> </w:t>
      </w:r>
      <w:r w:rsidR="00910F04" w:rsidRPr="000D3040">
        <w:rPr>
          <w:rFonts w:ascii="Times New Roman" w:hAnsi="Times New Roman" w:cs="Times New Roman"/>
        </w:rPr>
        <w:t>the views of the person lacking capacity</w:t>
      </w:r>
      <w:r w:rsidR="00924141" w:rsidRPr="000D3040">
        <w:rPr>
          <w:rFonts w:ascii="Times New Roman" w:hAnsi="Times New Roman" w:cs="Times New Roman"/>
        </w:rPr>
        <w:t xml:space="preserve"> are not</w:t>
      </w:r>
      <w:r w:rsidR="006409CF" w:rsidRPr="000D3040">
        <w:rPr>
          <w:rFonts w:ascii="Times New Roman" w:hAnsi="Times New Roman" w:cs="Times New Roman"/>
        </w:rPr>
        <w:t xml:space="preserve"> </w:t>
      </w:r>
      <w:r w:rsidR="006409CF" w:rsidRPr="000D3040">
        <w:rPr>
          <w:rFonts w:ascii="Times New Roman" w:hAnsi="Times New Roman" w:cs="Times New Roman"/>
          <w:i/>
        </w:rPr>
        <w:t>themselves</w:t>
      </w:r>
      <w:r w:rsidR="00924141" w:rsidRPr="000D3040">
        <w:rPr>
          <w:rFonts w:ascii="Times New Roman" w:hAnsi="Times New Roman" w:cs="Times New Roman"/>
        </w:rPr>
        <w:t xml:space="preserve"> </w:t>
      </w:r>
      <w:r w:rsidR="00910F04" w:rsidRPr="000D3040">
        <w:rPr>
          <w:rFonts w:ascii="Times New Roman" w:hAnsi="Times New Roman" w:cs="Times New Roman"/>
        </w:rPr>
        <w:t>definitive</w:t>
      </w:r>
      <w:r w:rsidR="002748E1">
        <w:rPr>
          <w:rFonts w:ascii="Times New Roman" w:hAnsi="Times New Roman" w:cs="Times New Roman"/>
        </w:rPr>
        <w:t xml:space="preserve"> of best interests</w:t>
      </w:r>
      <w:r w:rsidR="00910F04" w:rsidRPr="000D3040">
        <w:rPr>
          <w:rFonts w:ascii="Times New Roman" w:hAnsi="Times New Roman" w:cs="Times New Roman"/>
        </w:rPr>
        <w:t xml:space="preserve"> – they are not </w:t>
      </w:r>
      <w:r w:rsidR="00924141" w:rsidRPr="000D3040">
        <w:rPr>
          <w:rFonts w:ascii="Times New Roman" w:hAnsi="Times New Roman" w:cs="Times New Roman"/>
        </w:rPr>
        <w:t xml:space="preserve">constitutive of </w:t>
      </w:r>
      <w:r w:rsidR="006409CF" w:rsidRPr="000D3040">
        <w:rPr>
          <w:rFonts w:ascii="Times New Roman" w:hAnsi="Times New Roman" w:cs="Times New Roman"/>
        </w:rPr>
        <w:t xml:space="preserve">what is in an individual’s </w:t>
      </w:r>
      <w:r w:rsidR="00924141" w:rsidRPr="000D3040">
        <w:rPr>
          <w:rFonts w:ascii="Times New Roman" w:hAnsi="Times New Roman" w:cs="Times New Roman"/>
        </w:rPr>
        <w:t>best interests</w:t>
      </w:r>
      <w:r w:rsidR="00A6483F" w:rsidRPr="000D3040">
        <w:rPr>
          <w:rFonts w:ascii="Times New Roman" w:hAnsi="Times New Roman" w:cs="Times New Roman"/>
        </w:rPr>
        <w:t xml:space="preserve"> and </w:t>
      </w:r>
      <w:r w:rsidR="00E152E7">
        <w:rPr>
          <w:rFonts w:ascii="Times New Roman" w:hAnsi="Times New Roman" w:cs="Times New Roman"/>
        </w:rPr>
        <w:t xml:space="preserve">consequently </w:t>
      </w:r>
      <w:r w:rsidR="00A6483F" w:rsidRPr="000D3040">
        <w:rPr>
          <w:rFonts w:ascii="Times New Roman" w:hAnsi="Times New Roman" w:cs="Times New Roman"/>
        </w:rPr>
        <w:t>there is no legal obligation on the Court to facilitate them unconditionally</w:t>
      </w:r>
      <w:r w:rsidR="00726B65" w:rsidRPr="000D3040">
        <w:rPr>
          <w:rFonts w:ascii="Times New Roman" w:hAnsi="Times New Roman" w:cs="Times New Roman"/>
        </w:rPr>
        <w:t>.  T</w:t>
      </w:r>
      <w:r w:rsidR="006409CF" w:rsidRPr="000D3040">
        <w:rPr>
          <w:rFonts w:ascii="Times New Roman" w:hAnsi="Times New Roman" w:cs="Times New Roman"/>
        </w:rPr>
        <w:t>hey only carry weight</w:t>
      </w:r>
      <w:r w:rsidR="00924141" w:rsidRPr="000D3040">
        <w:rPr>
          <w:rFonts w:ascii="Times New Roman" w:hAnsi="Times New Roman" w:cs="Times New Roman"/>
        </w:rPr>
        <w:t xml:space="preserve"> in relation to</w:t>
      </w:r>
      <w:r w:rsidR="00726B65" w:rsidRPr="000D3040">
        <w:rPr>
          <w:rFonts w:ascii="Times New Roman" w:hAnsi="Times New Roman" w:cs="Times New Roman"/>
        </w:rPr>
        <w:t xml:space="preserve"> what they can tell the assessor about what may </w:t>
      </w:r>
      <w:r w:rsidR="00910F04" w:rsidRPr="000D3040">
        <w:rPr>
          <w:rFonts w:ascii="Times New Roman" w:hAnsi="Times New Roman" w:cs="Times New Roman"/>
        </w:rPr>
        <w:t xml:space="preserve">or may not </w:t>
      </w:r>
      <w:r w:rsidR="00726B65" w:rsidRPr="000D3040">
        <w:rPr>
          <w:rFonts w:ascii="Times New Roman" w:hAnsi="Times New Roman" w:cs="Times New Roman"/>
        </w:rPr>
        <w:t>be in this person’s best interests, and to</w:t>
      </w:r>
      <w:r w:rsidR="00924141" w:rsidRPr="000D3040">
        <w:rPr>
          <w:rFonts w:ascii="Times New Roman" w:hAnsi="Times New Roman" w:cs="Times New Roman"/>
        </w:rPr>
        <w:t xml:space="preserve"> </w:t>
      </w:r>
      <w:r w:rsidR="00150F0E" w:rsidRPr="000D3040">
        <w:rPr>
          <w:rFonts w:ascii="Times New Roman" w:hAnsi="Times New Roman" w:cs="Times New Roman"/>
        </w:rPr>
        <w:t>the extent that the</w:t>
      </w:r>
      <w:r w:rsidR="00E53AEC">
        <w:rPr>
          <w:rFonts w:ascii="Times New Roman" w:hAnsi="Times New Roman" w:cs="Times New Roman"/>
        </w:rPr>
        <w:t>y</w:t>
      </w:r>
      <w:r w:rsidR="00150F0E" w:rsidRPr="000D3040">
        <w:rPr>
          <w:rFonts w:ascii="Times New Roman" w:hAnsi="Times New Roman" w:cs="Times New Roman"/>
        </w:rPr>
        <w:t xml:space="preserve"> can be accommodated within the overall</w:t>
      </w:r>
      <w:r w:rsidR="00924141" w:rsidRPr="000D3040">
        <w:rPr>
          <w:rFonts w:ascii="Times New Roman" w:hAnsi="Times New Roman" w:cs="Times New Roman"/>
        </w:rPr>
        <w:t xml:space="preserve"> best interests </w:t>
      </w:r>
      <w:r w:rsidR="00150F0E" w:rsidRPr="000D3040">
        <w:rPr>
          <w:rFonts w:ascii="Times New Roman" w:hAnsi="Times New Roman" w:cs="Times New Roman"/>
        </w:rPr>
        <w:t>assessment</w:t>
      </w:r>
      <w:r w:rsidR="00B96449" w:rsidRPr="000D3040">
        <w:rPr>
          <w:rFonts w:ascii="Times New Roman" w:hAnsi="Times New Roman" w:cs="Times New Roman"/>
        </w:rPr>
        <w:t>.</w:t>
      </w:r>
      <w:r w:rsidR="00924141" w:rsidRPr="000D3040">
        <w:rPr>
          <w:rStyle w:val="FootnoteReference"/>
          <w:rFonts w:ascii="Times New Roman" w:hAnsi="Times New Roman" w:cs="Times New Roman"/>
        </w:rPr>
        <w:footnoteReference w:id="86"/>
      </w:r>
      <w:r w:rsidR="0006531D" w:rsidRPr="000D3040">
        <w:rPr>
          <w:rFonts w:ascii="Times New Roman" w:hAnsi="Times New Roman" w:cs="Times New Roman"/>
        </w:rPr>
        <w:t xml:space="preserve"> </w:t>
      </w:r>
    </w:p>
    <w:p w14:paraId="02C17ACE" w14:textId="77777777" w:rsidR="001045BB" w:rsidRPr="000D3040" w:rsidRDefault="001045BB" w:rsidP="000E6DF0">
      <w:pPr>
        <w:pStyle w:val="NoSpacing"/>
        <w:spacing w:line="480" w:lineRule="auto"/>
        <w:jc w:val="both"/>
        <w:rPr>
          <w:rFonts w:ascii="Times New Roman" w:hAnsi="Times New Roman" w:cs="Times New Roman"/>
        </w:rPr>
      </w:pPr>
    </w:p>
    <w:p w14:paraId="5390D3C0" w14:textId="653BA4A3" w:rsidR="00014576" w:rsidRPr="000D3040" w:rsidRDefault="0006531D" w:rsidP="000E6DF0">
      <w:pPr>
        <w:pStyle w:val="NoSpacing"/>
        <w:spacing w:line="480" w:lineRule="auto"/>
        <w:jc w:val="both"/>
        <w:rPr>
          <w:rFonts w:ascii="Times New Roman" w:hAnsi="Times New Roman" w:cs="Times New Roman"/>
        </w:rPr>
      </w:pPr>
      <w:r w:rsidRPr="000D3040">
        <w:rPr>
          <w:rFonts w:ascii="Times New Roman" w:hAnsi="Times New Roman" w:cs="Times New Roman"/>
        </w:rPr>
        <w:t>To this end</w:t>
      </w:r>
      <w:r w:rsidR="00535884" w:rsidRPr="000D3040">
        <w:rPr>
          <w:rFonts w:ascii="Times New Roman" w:hAnsi="Times New Roman" w:cs="Times New Roman"/>
        </w:rPr>
        <w:t>,</w:t>
      </w:r>
      <w:r w:rsidRPr="000D3040">
        <w:rPr>
          <w:rFonts w:ascii="Times New Roman" w:hAnsi="Times New Roman" w:cs="Times New Roman"/>
        </w:rPr>
        <w:t xml:space="preserve"> different courts</w:t>
      </w:r>
      <w:r w:rsidR="00B96449" w:rsidRPr="000D3040">
        <w:rPr>
          <w:rFonts w:ascii="Times New Roman" w:hAnsi="Times New Roman" w:cs="Times New Roman"/>
        </w:rPr>
        <w:t xml:space="preserve"> </w:t>
      </w:r>
      <w:r w:rsidRPr="000D3040">
        <w:rPr>
          <w:rFonts w:ascii="Times New Roman" w:hAnsi="Times New Roman" w:cs="Times New Roman"/>
        </w:rPr>
        <w:t>have interpreted the weight to be attached to the individual’s wishes and feelings differently</w:t>
      </w:r>
      <w:r w:rsidR="00E152E7">
        <w:rPr>
          <w:rFonts w:ascii="Times New Roman" w:hAnsi="Times New Roman" w:cs="Times New Roman"/>
        </w:rPr>
        <w:t xml:space="preserve"> – from </w:t>
      </w:r>
      <w:r w:rsidR="00535884" w:rsidRPr="000D3040">
        <w:rPr>
          <w:rFonts w:ascii="Times New Roman" w:hAnsi="Times New Roman" w:cs="Times New Roman"/>
        </w:rPr>
        <w:t>having</w:t>
      </w:r>
      <w:r w:rsidR="002309CE" w:rsidRPr="000D3040">
        <w:rPr>
          <w:rFonts w:ascii="Times New Roman" w:hAnsi="Times New Roman" w:cs="Times New Roman"/>
        </w:rPr>
        <w:t xml:space="preserve"> ‘great</w:t>
      </w:r>
      <w:r w:rsidRPr="000D3040">
        <w:rPr>
          <w:rFonts w:ascii="Times New Roman" w:hAnsi="Times New Roman" w:cs="Times New Roman"/>
        </w:rPr>
        <w:t>’</w:t>
      </w:r>
      <w:r w:rsidR="002309CE" w:rsidRPr="000D3040">
        <w:rPr>
          <w:rStyle w:val="FootnoteReference"/>
          <w:rFonts w:ascii="Times New Roman" w:hAnsi="Times New Roman" w:cs="Times New Roman"/>
        </w:rPr>
        <w:footnoteReference w:id="87"/>
      </w:r>
      <w:r w:rsidR="006D19DD" w:rsidRPr="000D3040">
        <w:rPr>
          <w:rFonts w:ascii="Times New Roman" w:hAnsi="Times New Roman" w:cs="Times New Roman"/>
        </w:rPr>
        <w:t xml:space="preserve"> </w:t>
      </w:r>
      <w:r w:rsidR="002309CE" w:rsidRPr="000D3040">
        <w:rPr>
          <w:rFonts w:ascii="Times New Roman" w:hAnsi="Times New Roman" w:cs="Times New Roman"/>
        </w:rPr>
        <w:t>or ‘significant’</w:t>
      </w:r>
      <w:r w:rsidR="002309CE" w:rsidRPr="000D3040">
        <w:rPr>
          <w:rStyle w:val="FootnoteReference"/>
          <w:rFonts w:ascii="Times New Roman" w:hAnsi="Times New Roman" w:cs="Times New Roman"/>
        </w:rPr>
        <w:footnoteReference w:id="88"/>
      </w:r>
      <w:r w:rsidR="002309CE" w:rsidRPr="000D3040">
        <w:rPr>
          <w:rFonts w:ascii="Times New Roman" w:hAnsi="Times New Roman" w:cs="Times New Roman"/>
        </w:rPr>
        <w:t xml:space="preserve"> weight, </w:t>
      </w:r>
      <w:r w:rsidRPr="000D3040">
        <w:rPr>
          <w:rFonts w:ascii="Times New Roman" w:hAnsi="Times New Roman" w:cs="Times New Roman"/>
        </w:rPr>
        <w:t xml:space="preserve">to only </w:t>
      </w:r>
      <w:r w:rsidRPr="000D3040">
        <w:rPr>
          <w:rFonts w:ascii="Times New Roman" w:hAnsi="Times New Roman" w:cs="Times New Roman"/>
        </w:rPr>
        <w:lastRenderedPageBreak/>
        <w:t>being a part of the overall balancing exercise</w:t>
      </w:r>
      <w:r w:rsidR="00BB6A65" w:rsidRPr="000D3040">
        <w:rPr>
          <w:rFonts w:ascii="Times New Roman" w:hAnsi="Times New Roman" w:cs="Times New Roman"/>
        </w:rPr>
        <w:t>.</w:t>
      </w:r>
      <w:r w:rsidR="006D19DD" w:rsidRPr="000D3040">
        <w:rPr>
          <w:rStyle w:val="FootnoteReference"/>
          <w:rFonts w:ascii="Times New Roman" w:hAnsi="Times New Roman" w:cs="Times New Roman"/>
        </w:rPr>
        <w:footnoteReference w:id="89"/>
      </w:r>
      <w:r w:rsidR="00BB6A65" w:rsidRPr="000D3040">
        <w:rPr>
          <w:rFonts w:ascii="Times New Roman" w:hAnsi="Times New Roman" w:cs="Times New Roman"/>
        </w:rPr>
        <w:t xml:space="preserve"> </w:t>
      </w:r>
      <w:r w:rsidRPr="000D3040">
        <w:rPr>
          <w:rFonts w:ascii="Times New Roman" w:hAnsi="Times New Roman" w:cs="Times New Roman"/>
        </w:rPr>
        <w:t xml:space="preserve"> </w:t>
      </w:r>
      <w:r w:rsidR="003D0D43" w:rsidRPr="000D3040">
        <w:rPr>
          <w:rFonts w:ascii="Times New Roman" w:hAnsi="Times New Roman" w:cs="Times New Roman"/>
        </w:rPr>
        <w:t xml:space="preserve">In </w:t>
      </w:r>
      <w:r w:rsidRPr="000D3040">
        <w:rPr>
          <w:rFonts w:ascii="Times New Roman" w:hAnsi="Times New Roman" w:cs="Times New Roman"/>
          <w:i/>
        </w:rPr>
        <w:t>ITW v Z</w:t>
      </w:r>
      <w:r w:rsidRPr="000D3040">
        <w:rPr>
          <w:rStyle w:val="FootnoteReference"/>
          <w:rFonts w:ascii="Times New Roman" w:hAnsi="Times New Roman" w:cs="Times New Roman"/>
          <w:i/>
        </w:rPr>
        <w:footnoteReference w:id="90"/>
      </w:r>
      <w:r w:rsidR="00720BCD" w:rsidRPr="000D3040">
        <w:rPr>
          <w:rFonts w:ascii="Times New Roman" w:hAnsi="Times New Roman" w:cs="Times New Roman"/>
        </w:rPr>
        <w:t xml:space="preserve"> </w:t>
      </w:r>
      <w:r w:rsidR="003D0D43" w:rsidRPr="000D3040">
        <w:rPr>
          <w:rFonts w:ascii="Times New Roman" w:hAnsi="Times New Roman" w:cs="Times New Roman"/>
        </w:rPr>
        <w:t xml:space="preserve">it was </w:t>
      </w:r>
      <w:r w:rsidR="00535884" w:rsidRPr="000D3040">
        <w:rPr>
          <w:rFonts w:ascii="Times New Roman" w:hAnsi="Times New Roman" w:cs="Times New Roman"/>
        </w:rPr>
        <w:t>held that</w:t>
      </w:r>
      <w:r w:rsidR="00720BCD" w:rsidRPr="000D3040">
        <w:rPr>
          <w:rFonts w:ascii="Times New Roman" w:hAnsi="Times New Roman" w:cs="Times New Roman"/>
        </w:rPr>
        <w:t xml:space="preserve"> the actual weight attributed to them is always case and fact specific, and will be assessed in light of all the circumstances of the case, including the degree of</w:t>
      </w:r>
      <w:r w:rsidR="00E152E7">
        <w:rPr>
          <w:rFonts w:ascii="Times New Roman" w:hAnsi="Times New Roman" w:cs="Times New Roman"/>
        </w:rPr>
        <w:t xml:space="preserve"> the person’s</w:t>
      </w:r>
      <w:r w:rsidR="00720BCD" w:rsidRPr="000D3040">
        <w:rPr>
          <w:rFonts w:ascii="Times New Roman" w:hAnsi="Times New Roman" w:cs="Times New Roman"/>
        </w:rPr>
        <w:t xml:space="preserve"> incapacity (the more borderline the incapacity the greater the weight to be attributed to them), the strength and consistency of the views, </w:t>
      </w:r>
      <w:r w:rsidR="00E152E7">
        <w:rPr>
          <w:rFonts w:ascii="Times New Roman" w:hAnsi="Times New Roman" w:cs="Times New Roman"/>
        </w:rPr>
        <w:t>the effect on the person</w:t>
      </w:r>
      <w:r w:rsidR="00F821E0" w:rsidRPr="000D3040">
        <w:rPr>
          <w:rFonts w:ascii="Times New Roman" w:hAnsi="Times New Roman" w:cs="Times New Roman"/>
        </w:rPr>
        <w:t xml:space="preserve"> if they thought their</w:t>
      </w:r>
      <w:r w:rsidR="00720BCD" w:rsidRPr="000D3040">
        <w:rPr>
          <w:rFonts w:ascii="Times New Roman" w:hAnsi="Times New Roman" w:cs="Times New Roman"/>
        </w:rPr>
        <w:t xml:space="preserve"> wishes were not being implemented, the extent to which the wishes and </w:t>
      </w:r>
      <w:r w:rsidR="00720BCD" w:rsidRPr="00D47A8F">
        <w:rPr>
          <w:rFonts w:ascii="Times New Roman" w:hAnsi="Times New Roman" w:cs="Times New Roman"/>
        </w:rPr>
        <w:t>feelings are rational or sensible,</w:t>
      </w:r>
      <w:r w:rsidR="00720BCD" w:rsidRPr="000D3040">
        <w:rPr>
          <w:rFonts w:ascii="Times New Roman" w:hAnsi="Times New Roman" w:cs="Times New Roman"/>
        </w:rPr>
        <w:t xml:space="preserve"> and the extent to which the wishes and feelings can be accommodated in the court’s overall assessment of best interests</w:t>
      </w:r>
      <w:r w:rsidR="00782625" w:rsidRPr="000D3040">
        <w:rPr>
          <w:rFonts w:ascii="Times New Roman" w:hAnsi="Times New Roman" w:cs="Times New Roman"/>
        </w:rPr>
        <w:t>.</w:t>
      </w:r>
      <w:r w:rsidR="00720BCD" w:rsidRPr="000D3040">
        <w:rPr>
          <w:rStyle w:val="FootnoteReference"/>
          <w:rFonts w:ascii="Times New Roman" w:hAnsi="Times New Roman" w:cs="Times New Roman"/>
        </w:rPr>
        <w:footnoteReference w:id="91"/>
      </w:r>
      <w:r w:rsidR="00106E63">
        <w:rPr>
          <w:rFonts w:ascii="Times New Roman" w:hAnsi="Times New Roman" w:cs="Times New Roman"/>
        </w:rPr>
        <w:t xml:space="preserve"> Given this guidance</w:t>
      </w:r>
      <w:r w:rsidR="00F673F4" w:rsidRPr="000D3040">
        <w:rPr>
          <w:rFonts w:ascii="Times New Roman" w:hAnsi="Times New Roman" w:cs="Times New Roman"/>
        </w:rPr>
        <w:t xml:space="preserve">, those with milder dementia </w:t>
      </w:r>
      <w:r w:rsidR="00106E63">
        <w:rPr>
          <w:rFonts w:ascii="Times New Roman" w:hAnsi="Times New Roman" w:cs="Times New Roman"/>
        </w:rPr>
        <w:t>may</w:t>
      </w:r>
      <w:r w:rsidR="00F673F4" w:rsidRPr="000D3040">
        <w:rPr>
          <w:rFonts w:ascii="Times New Roman" w:hAnsi="Times New Roman" w:cs="Times New Roman"/>
        </w:rPr>
        <w:t xml:space="preserve"> have greater weight </w:t>
      </w:r>
      <w:r w:rsidR="00C22EB9" w:rsidRPr="000D3040">
        <w:rPr>
          <w:rFonts w:ascii="Times New Roman" w:hAnsi="Times New Roman" w:cs="Times New Roman"/>
        </w:rPr>
        <w:t xml:space="preserve">attached </w:t>
      </w:r>
      <w:r w:rsidR="00F673F4" w:rsidRPr="000D3040">
        <w:rPr>
          <w:rFonts w:ascii="Times New Roman" w:hAnsi="Times New Roman" w:cs="Times New Roman"/>
        </w:rPr>
        <w:t>to their wishes and feelings than those in the m</w:t>
      </w:r>
      <w:r w:rsidR="001E171D" w:rsidRPr="000D3040">
        <w:rPr>
          <w:rFonts w:ascii="Times New Roman" w:hAnsi="Times New Roman" w:cs="Times New Roman"/>
        </w:rPr>
        <w:t xml:space="preserve">ore advanced stages of dementia, but either way, their own </w:t>
      </w:r>
      <w:r w:rsidR="005458A9">
        <w:rPr>
          <w:rFonts w:ascii="Times New Roman" w:hAnsi="Times New Roman" w:cs="Times New Roman"/>
        </w:rPr>
        <w:t xml:space="preserve">subjective </w:t>
      </w:r>
      <w:r w:rsidR="001E171D" w:rsidRPr="000D3040">
        <w:rPr>
          <w:rFonts w:ascii="Times New Roman" w:hAnsi="Times New Roman" w:cs="Times New Roman"/>
        </w:rPr>
        <w:t>perspective – their wishes</w:t>
      </w:r>
      <w:r w:rsidR="00726B65" w:rsidRPr="000D3040">
        <w:rPr>
          <w:rFonts w:ascii="Times New Roman" w:hAnsi="Times New Roman" w:cs="Times New Roman"/>
        </w:rPr>
        <w:t>,</w:t>
      </w:r>
      <w:r w:rsidR="001E171D" w:rsidRPr="000D3040">
        <w:rPr>
          <w:rFonts w:ascii="Times New Roman" w:hAnsi="Times New Roman" w:cs="Times New Roman"/>
        </w:rPr>
        <w:t xml:space="preserve"> feelings</w:t>
      </w:r>
      <w:r w:rsidR="00726B65" w:rsidRPr="000D3040">
        <w:rPr>
          <w:rFonts w:ascii="Times New Roman" w:hAnsi="Times New Roman" w:cs="Times New Roman"/>
        </w:rPr>
        <w:t>, values and beliefs</w:t>
      </w:r>
      <w:r w:rsidR="001E171D" w:rsidRPr="000D3040">
        <w:rPr>
          <w:rFonts w:ascii="Times New Roman" w:hAnsi="Times New Roman" w:cs="Times New Roman"/>
        </w:rPr>
        <w:t xml:space="preserve"> – must always </w:t>
      </w:r>
      <w:r w:rsidR="00BB6A65" w:rsidRPr="000D3040">
        <w:rPr>
          <w:rFonts w:ascii="Times New Roman" w:hAnsi="Times New Roman" w:cs="Times New Roman"/>
        </w:rPr>
        <w:t>‘</w:t>
      </w:r>
      <w:r w:rsidR="001E171D" w:rsidRPr="000D3040">
        <w:rPr>
          <w:rFonts w:ascii="Times New Roman" w:hAnsi="Times New Roman" w:cs="Times New Roman"/>
        </w:rPr>
        <w:t>fit</w:t>
      </w:r>
      <w:r w:rsidR="00BB6A65" w:rsidRPr="000D3040">
        <w:rPr>
          <w:rFonts w:ascii="Times New Roman" w:hAnsi="Times New Roman" w:cs="Times New Roman"/>
        </w:rPr>
        <w:t>’</w:t>
      </w:r>
      <w:r w:rsidR="001E171D" w:rsidRPr="000D3040">
        <w:rPr>
          <w:rFonts w:ascii="Times New Roman" w:hAnsi="Times New Roman" w:cs="Times New Roman"/>
        </w:rPr>
        <w:t xml:space="preserve"> within the objective best interests framework.  </w:t>
      </w:r>
      <w:r w:rsidR="001045BB" w:rsidRPr="000D3040">
        <w:rPr>
          <w:rFonts w:ascii="Times New Roman" w:hAnsi="Times New Roman" w:cs="Times New Roman"/>
        </w:rPr>
        <w:t xml:space="preserve">It is this ambivalence that has led some commentators to criticise the lack of hierarchy within the considerations </w:t>
      </w:r>
      <w:r w:rsidR="00106E63">
        <w:rPr>
          <w:rFonts w:ascii="Times New Roman" w:hAnsi="Times New Roman" w:cs="Times New Roman"/>
        </w:rPr>
        <w:t xml:space="preserve">contained in </w:t>
      </w:r>
      <w:r w:rsidR="001045BB" w:rsidRPr="000D3040">
        <w:rPr>
          <w:rFonts w:ascii="Times New Roman" w:hAnsi="Times New Roman" w:cs="Times New Roman"/>
        </w:rPr>
        <w:t>section 4 of the Mental Capacity Act.</w:t>
      </w:r>
      <w:r w:rsidR="00920ADE">
        <w:rPr>
          <w:rFonts w:ascii="Times New Roman" w:hAnsi="Times New Roman" w:cs="Times New Roman"/>
        </w:rPr>
        <w:t xml:space="preserve"> </w:t>
      </w:r>
      <w:r w:rsidR="00920ADE" w:rsidRPr="00920ADE">
        <w:rPr>
          <w:rFonts w:ascii="Times New Roman" w:hAnsi="Times New Roman" w:cs="Times New Roman"/>
          <w:lang w:val="en-US"/>
        </w:rPr>
        <w:t xml:space="preserve">Ruck Keene states that </w:t>
      </w:r>
      <w:r w:rsidR="005458A9">
        <w:rPr>
          <w:rFonts w:ascii="Times New Roman" w:hAnsi="Times New Roman" w:cs="Times New Roman"/>
          <w:lang w:val="en-US"/>
        </w:rPr>
        <w:t xml:space="preserve">it </w:t>
      </w:r>
      <w:r w:rsidR="00920ADE">
        <w:rPr>
          <w:rFonts w:ascii="Times New Roman" w:hAnsi="Times New Roman" w:cs="Times New Roman"/>
          <w:lang w:val="en-US"/>
        </w:rPr>
        <w:t>‘…</w:t>
      </w:r>
      <w:r w:rsidR="00106E63">
        <w:rPr>
          <w:rFonts w:ascii="Times New Roman" w:hAnsi="Times New Roman" w:cs="Times New Roman"/>
          <w:lang w:val="en-US"/>
        </w:rPr>
        <w:t>routinely…</w:t>
      </w:r>
      <w:r w:rsidR="00920ADE" w:rsidRPr="00920ADE">
        <w:rPr>
          <w:rFonts w:ascii="Times New Roman" w:hAnsi="Times New Roman" w:cs="Times New Roman"/>
          <w:lang w:val="en-US"/>
        </w:rPr>
        <w:t>lead</w:t>
      </w:r>
      <w:r w:rsidR="00106E63">
        <w:rPr>
          <w:rFonts w:ascii="Times New Roman" w:hAnsi="Times New Roman" w:cs="Times New Roman"/>
          <w:lang w:val="en-US"/>
        </w:rPr>
        <w:t>[s]</w:t>
      </w:r>
      <w:r w:rsidR="0016162B">
        <w:rPr>
          <w:rFonts w:ascii="Times New Roman" w:hAnsi="Times New Roman" w:cs="Times New Roman"/>
          <w:lang w:val="en-US"/>
        </w:rPr>
        <w:t xml:space="preserve"> to undervaluing…</w:t>
      </w:r>
      <w:r w:rsidR="00920ADE" w:rsidRPr="00920ADE">
        <w:rPr>
          <w:rFonts w:ascii="Times New Roman" w:hAnsi="Times New Roman" w:cs="Times New Roman"/>
          <w:lang w:val="en-US"/>
        </w:rPr>
        <w:t>the individual’s wishes and feelings and decisions being made that are very far from right for that individu</w:t>
      </w:r>
      <w:r w:rsidR="002748E1">
        <w:rPr>
          <w:rFonts w:ascii="Times New Roman" w:hAnsi="Times New Roman" w:cs="Times New Roman"/>
          <w:lang w:val="en-US"/>
        </w:rPr>
        <w:t>al as an individual human being</w:t>
      </w:r>
      <w:r w:rsidR="00920ADE" w:rsidRPr="00920ADE">
        <w:rPr>
          <w:rFonts w:ascii="Times New Roman" w:hAnsi="Times New Roman" w:cs="Times New Roman"/>
          <w:lang w:val="en-US"/>
        </w:rPr>
        <w:t>’</w:t>
      </w:r>
      <w:r w:rsidR="002748E1">
        <w:rPr>
          <w:rFonts w:ascii="Times New Roman" w:hAnsi="Times New Roman" w:cs="Times New Roman"/>
          <w:lang w:val="en-US"/>
        </w:rPr>
        <w:t>,</w:t>
      </w:r>
      <w:r w:rsidR="001045BB" w:rsidRPr="000D3040">
        <w:rPr>
          <w:rStyle w:val="FootnoteReference"/>
          <w:rFonts w:ascii="Times New Roman" w:hAnsi="Times New Roman" w:cs="Times New Roman"/>
        </w:rPr>
        <w:footnoteReference w:id="92"/>
      </w:r>
      <w:r w:rsidR="002748E1">
        <w:rPr>
          <w:rFonts w:ascii="Times New Roman" w:hAnsi="Times New Roman" w:cs="Times New Roman"/>
          <w:lang w:val="en-US"/>
        </w:rPr>
        <w:t xml:space="preserve"> </w:t>
      </w:r>
      <w:r w:rsidR="002748E1">
        <w:rPr>
          <w:rFonts w:ascii="Times New Roman" w:hAnsi="Times New Roman" w:cs="Times New Roman"/>
        </w:rPr>
        <w:t>although the</w:t>
      </w:r>
      <w:r w:rsidR="002748E1" w:rsidRPr="002748E1">
        <w:rPr>
          <w:rFonts w:ascii="Times New Roman" w:hAnsi="Times New Roman" w:cs="Times New Roman"/>
        </w:rPr>
        <w:t xml:space="preserve"> current proposals by the Law Commission are that section 4 of the Act should be amended so as to allow a presumption in favour of the </w:t>
      </w:r>
      <w:r w:rsidR="0016162B">
        <w:rPr>
          <w:rFonts w:ascii="Times New Roman" w:hAnsi="Times New Roman" w:cs="Times New Roman"/>
        </w:rPr>
        <w:t xml:space="preserve">person’s views, </w:t>
      </w:r>
      <w:r w:rsidR="002748E1" w:rsidRPr="002748E1">
        <w:rPr>
          <w:rFonts w:ascii="Times New Roman" w:hAnsi="Times New Roman" w:cs="Times New Roman"/>
        </w:rPr>
        <w:t>unless there is ‘good reason’ to depart from them</w:t>
      </w:r>
      <w:r w:rsidR="002748E1">
        <w:rPr>
          <w:rFonts w:ascii="Times New Roman" w:hAnsi="Times New Roman" w:cs="Times New Roman"/>
        </w:rPr>
        <w:t>.</w:t>
      </w:r>
      <w:r w:rsidR="002748E1">
        <w:rPr>
          <w:rStyle w:val="FootnoteReference"/>
          <w:rFonts w:ascii="Times New Roman" w:hAnsi="Times New Roman" w:cs="Times New Roman"/>
        </w:rPr>
        <w:footnoteReference w:id="93"/>
      </w:r>
    </w:p>
    <w:p w14:paraId="76185F51" w14:textId="77777777" w:rsidR="00014576" w:rsidRPr="000D3040" w:rsidRDefault="00014576" w:rsidP="000E6DF0">
      <w:pPr>
        <w:pStyle w:val="NoSpacing"/>
        <w:spacing w:line="480" w:lineRule="auto"/>
        <w:jc w:val="both"/>
        <w:rPr>
          <w:rFonts w:ascii="Times New Roman" w:hAnsi="Times New Roman" w:cs="Times New Roman"/>
        </w:rPr>
      </w:pPr>
    </w:p>
    <w:p w14:paraId="200D8CDB" w14:textId="3C27E9BE" w:rsidR="00BE5BFE" w:rsidRPr="000D3040" w:rsidRDefault="00B60108" w:rsidP="000E6DF0">
      <w:pPr>
        <w:pStyle w:val="NoSpacing"/>
        <w:spacing w:line="480" w:lineRule="auto"/>
        <w:jc w:val="both"/>
        <w:rPr>
          <w:rFonts w:ascii="Times New Roman" w:hAnsi="Times New Roman" w:cs="Times New Roman"/>
        </w:rPr>
      </w:pPr>
      <w:r w:rsidRPr="000D3040">
        <w:rPr>
          <w:rFonts w:ascii="Times New Roman" w:hAnsi="Times New Roman" w:cs="Times New Roman"/>
        </w:rPr>
        <w:lastRenderedPageBreak/>
        <w:t>A</w:t>
      </w:r>
      <w:r w:rsidR="001045BB" w:rsidRPr="000D3040">
        <w:rPr>
          <w:rFonts w:ascii="Times New Roman" w:hAnsi="Times New Roman" w:cs="Times New Roman"/>
        </w:rPr>
        <w:t xml:space="preserve"> final barrier to fully integrating the person</w:t>
      </w:r>
      <w:r w:rsidR="00920ADE">
        <w:rPr>
          <w:rFonts w:ascii="Times New Roman" w:hAnsi="Times New Roman" w:cs="Times New Roman"/>
        </w:rPr>
        <w:t xml:space="preserve"> with dementia who lacks</w:t>
      </w:r>
      <w:r w:rsidR="00E772F5">
        <w:rPr>
          <w:rFonts w:ascii="Times New Roman" w:hAnsi="Times New Roman" w:cs="Times New Roman"/>
        </w:rPr>
        <w:t xml:space="preserve"> capacity in</w:t>
      </w:r>
      <w:r w:rsidR="001045BB" w:rsidRPr="000D3040">
        <w:rPr>
          <w:rFonts w:ascii="Times New Roman" w:hAnsi="Times New Roman" w:cs="Times New Roman"/>
        </w:rPr>
        <w:t xml:space="preserve">to the decision-making process is </w:t>
      </w:r>
      <w:r w:rsidR="00940298" w:rsidRPr="000D3040">
        <w:rPr>
          <w:rFonts w:ascii="Times New Roman" w:hAnsi="Times New Roman" w:cs="Times New Roman"/>
        </w:rPr>
        <w:t>that</w:t>
      </w:r>
      <w:r w:rsidR="002F7306">
        <w:rPr>
          <w:rFonts w:ascii="Times New Roman" w:hAnsi="Times New Roman" w:cs="Times New Roman"/>
        </w:rPr>
        <w:t>,</w:t>
      </w:r>
      <w:r w:rsidR="00940298" w:rsidRPr="000D3040">
        <w:rPr>
          <w:rFonts w:ascii="Times New Roman" w:hAnsi="Times New Roman" w:cs="Times New Roman"/>
        </w:rPr>
        <w:t xml:space="preserve"> at </w:t>
      </w:r>
      <w:r w:rsidR="002F7306">
        <w:rPr>
          <w:rFonts w:ascii="Times New Roman" w:hAnsi="Times New Roman" w:cs="Times New Roman"/>
        </w:rPr>
        <w:t>the time of writing</w:t>
      </w:r>
      <w:r w:rsidR="00940298" w:rsidRPr="000D3040">
        <w:rPr>
          <w:rFonts w:ascii="Times New Roman" w:hAnsi="Times New Roman" w:cs="Times New Roman"/>
        </w:rPr>
        <w:t>, there is no legal obligation to join the person as a party to proceedings in the Court of Protection.</w:t>
      </w:r>
      <w:r w:rsidR="00940298" w:rsidRPr="000D3040">
        <w:rPr>
          <w:rStyle w:val="FootnoteReference"/>
          <w:rFonts w:ascii="Times New Roman" w:hAnsi="Times New Roman" w:cs="Times New Roman"/>
        </w:rPr>
        <w:footnoteReference w:id="94"/>
      </w:r>
      <w:r w:rsidR="00940298" w:rsidRPr="000D3040">
        <w:rPr>
          <w:rFonts w:ascii="Times New Roman" w:hAnsi="Times New Roman" w:cs="Times New Roman"/>
        </w:rPr>
        <w:t xml:space="preserve"> This is an </w:t>
      </w:r>
      <w:r w:rsidR="002748E1" w:rsidRPr="000D3040">
        <w:rPr>
          <w:rFonts w:ascii="Times New Roman" w:hAnsi="Times New Roman" w:cs="Times New Roman"/>
        </w:rPr>
        <w:t>issue</w:t>
      </w:r>
      <w:r w:rsidR="002748E1">
        <w:rPr>
          <w:rFonts w:ascii="Times New Roman" w:hAnsi="Times New Roman" w:cs="Times New Roman"/>
        </w:rPr>
        <w:t>, which</w:t>
      </w:r>
      <w:r w:rsidR="009B7D46" w:rsidRPr="000D3040">
        <w:rPr>
          <w:rFonts w:ascii="Times New Roman" w:hAnsi="Times New Roman" w:cs="Times New Roman"/>
        </w:rPr>
        <w:t xml:space="preserve"> again, has its critics,</w:t>
      </w:r>
      <w:r w:rsidR="00940298" w:rsidRPr="000D3040">
        <w:rPr>
          <w:rStyle w:val="FootnoteReference"/>
          <w:rFonts w:ascii="Times New Roman" w:hAnsi="Times New Roman" w:cs="Times New Roman"/>
        </w:rPr>
        <w:footnoteReference w:id="95"/>
      </w:r>
      <w:r w:rsidR="00E152E7">
        <w:rPr>
          <w:rFonts w:ascii="Times New Roman" w:hAnsi="Times New Roman" w:cs="Times New Roman"/>
        </w:rPr>
        <w:t xml:space="preserve"> and </w:t>
      </w:r>
      <w:r w:rsidR="00920ADE">
        <w:rPr>
          <w:rFonts w:ascii="Times New Roman" w:hAnsi="Times New Roman" w:cs="Times New Roman"/>
        </w:rPr>
        <w:t xml:space="preserve">may be a violation of </w:t>
      </w:r>
      <w:r w:rsidR="00E772F5">
        <w:rPr>
          <w:rFonts w:ascii="Times New Roman" w:hAnsi="Times New Roman" w:cs="Times New Roman"/>
        </w:rPr>
        <w:t>the right to a fair tria</w:t>
      </w:r>
      <w:r w:rsidR="0016162B">
        <w:rPr>
          <w:rFonts w:ascii="Times New Roman" w:hAnsi="Times New Roman" w:cs="Times New Roman"/>
        </w:rPr>
        <w:t xml:space="preserve">l guaranteed by </w:t>
      </w:r>
      <w:r w:rsidR="00920ADE">
        <w:rPr>
          <w:rFonts w:ascii="Times New Roman" w:hAnsi="Times New Roman" w:cs="Times New Roman"/>
        </w:rPr>
        <w:t>article 6</w:t>
      </w:r>
      <w:r w:rsidR="0016162B">
        <w:rPr>
          <w:rFonts w:ascii="Times New Roman" w:hAnsi="Times New Roman" w:cs="Times New Roman"/>
        </w:rPr>
        <w:t xml:space="preserve"> of the European Convention on Human Rights</w:t>
      </w:r>
      <w:r w:rsidR="00920ADE">
        <w:rPr>
          <w:rFonts w:ascii="Times New Roman" w:hAnsi="Times New Roman" w:cs="Times New Roman"/>
        </w:rPr>
        <w:t>.</w:t>
      </w:r>
      <w:r w:rsidR="00E152E7" w:rsidRPr="00E152E7">
        <w:rPr>
          <w:rStyle w:val="FootnoteReference"/>
          <w:rFonts w:ascii="Times New Roman" w:hAnsi="Times New Roman" w:cs="Times New Roman"/>
        </w:rPr>
        <w:t xml:space="preserve"> </w:t>
      </w:r>
      <w:r w:rsidR="00E152E7">
        <w:rPr>
          <w:rStyle w:val="FootnoteReference"/>
          <w:rFonts w:ascii="Times New Roman" w:hAnsi="Times New Roman" w:cs="Times New Roman"/>
        </w:rPr>
        <w:footnoteReference w:id="96"/>
      </w:r>
      <w:r w:rsidR="00E152E7">
        <w:rPr>
          <w:rFonts w:ascii="Times New Roman" w:hAnsi="Times New Roman" w:cs="Times New Roman"/>
        </w:rPr>
        <w:t xml:space="preserve"> </w:t>
      </w:r>
      <w:r w:rsidR="009B7D46" w:rsidRPr="000D3040">
        <w:rPr>
          <w:rFonts w:ascii="Times New Roman" w:hAnsi="Times New Roman" w:cs="Times New Roman"/>
        </w:rPr>
        <w:t xml:space="preserve"> </w:t>
      </w:r>
      <w:r w:rsidR="00920ADE">
        <w:rPr>
          <w:rFonts w:ascii="Times New Roman" w:hAnsi="Times New Roman" w:cs="Times New Roman"/>
        </w:rPr>
        <w:t xml:space="preserve">It has, however, recently been </w:t>
      </w:r>
      <w:r w:rsidR="009B7D46" w:rsidRPr="000D3040">
        <w:rPr>
          <w:rFonts w:ascii="Times New Roman" w:hAnsi="Times New Roman" w:cs="Times New Roman"/>
        </w:rPr>
        <w:t xml:space="preserve">subjected to debate </w:t>
      </w:r>
      <w:r w:rsidR="008B6ECB" w:rsidRPr="000D3040">
        <w:rPr>
          <w:rFonts w:ascii="Times New Roman" w:hAnsi="Times New Roman" w:cs="Times New Roman"/>
        </w:rPr>
        <w:t xml:space="preserve">by </w:t>
      </w:r>
      <w:r w:rsidR="00C36504">
        <w:rPr>
          <w:rFonts w:ascii="Times New Roman" w:hAnsi="Times New Roman" w:cs="Times New Roman"/>
        </w:rPr>
        <w:t>the courts</w:t>
      </w:r>
      <w:r w:rsidR="00B64727">
        <w:rPr>
          <w:rFonts w:ascii="Times New Roman" w:hAnsi="Times New Roman" w:cs="Times New Roman"/>
        </w:rPr>
        <w:t>,</w:t>
      </w:r>
      <w:r w:rsidR="008B6ECB" w:rsidRPr="000D3040">
        <w:rPr>
          <w:rStyle w:val="FootnoteReference"/>
          <w:rFonts w:ascii="Times New Roman" w:hAnsi="Times New Roman" w:cs="Times New Roman"/>
        </w:rPr>
        <w:footnoteReference w:id="97"/>
      </w:r>
      <w:r w:rsidR="008B6ECB" w:rsidRPr="000D3040">
        <w:rPr>
          <w:rFonts w:ascii="Times New Roman" w:hAnsi="Times New Roman" w:cs="Times New Roman"/>
        </w:rPr>
        <w:t xml:space="preserve"> and </w:t>
      </w:r>
      <w:r w:rsidR="009B7D46" w:rsidRPr="000D3040">
        <w:rPr>
          <w:rFonts w:ascii="Times New Roman" w:hAnsi="Times New Roman" w:cs="Times New Roman"/>
        </w:rPr>
        <w:t>the current position</w:t>
      </w:r>
      <w:r w:rsidR="00C36504">
        <w:rPr>
          <w:rFonts w:ascii="Times New Roman" w:hAnsi="Times New Roman" w:cs="Times New Roman"/>
        </w:rPr>
        <w:t xml:space="preserve"> </w:t>
      </w:r>
      <w:r w:rsidR="009B7D46" w:rsidRPr="000D3040">
        <w:rPr>
          <w:rFonts w:ascii="Times New Roman" w:hAnsi="Times New Roman" w:cs="Times New Roman"/>
        </w:rPr>
        <w:t>is that the person involved need not be joined to proceedings,</w:t>
      </w:r>
      <w:r w:rsidR="008B6ECB" w:rsidRPr="000D3040">
        <w:rPr>
          <w:rFonts w:ascii="Times New Roman" w:hAnsi="Times New Roman" w:cs="Times New Roman"/>
        </w:rPr>
        <w:t xml:space="preserve"> </w:t>
      </w:r>
      <w:r w:rsidR="009B7D46" w:rsidRPr="000D3040">
        <w:rPr>
          <w:rFonts w:ascii="Times New Roman" w:hAnsi="Times New Roman" w:cs="Times New Roman"/>
        </w:rPr>
        <w:t xml:space="preserve">but </w:t>
      </w:r>
      <w:r w:rsidR="00014576" w:rsidRPr="000D3040">
        <w:rPr>
          <w:rFonts w:ascii="Times New Roman" w:hAnsi="Times New Roman" w:cs="Times New Roman"/>
        </w:rPr>
        <w:t>efforts</w:t>
      </w:r>
      <w:r w:rsidR="00014576" w:rsidRPr="00920ADE">
        <w:rPr>
          <w:rFonts w:ascii="Times New Roman" w:hAnsi="Times New Roman" w:cs="Times New Roman"/>
          <w:i/>
        </w:rPr>
        <w:t xml:space="preserve"> must</w:t>
      </w:r>
      <w:r w:rsidR="00014576" w:rsidRPr="000D3040">
        <w:rPr>
          <w:rFonts w:ascii="Times New Roman" w:hAnsi="Times New Roman" w:cs="Times New Roman"/>
        </w:rPr>
        <w:t xml:space="preserve"> be made, </w:t>
      </w:r>
      <w:r w:rsidR="00014576" w:rsidRPr="00920ADE">
        <w:rPr>
          <w:rFonts w:ascii="Times New Roman" w:hAnsi="Times New Roman" w:cs="Times New Roman"/>
        </w:rPr>
        <w:t>inter alia</w:t>
      </w:r>
      <w:r w:rsidR="00014576" w:rsidRPr="000D3040">
        <w:rPr>
          <w:rFonts w:ascii="Times New Roman" w:hAnsi="Times New Roman" w:cs="Times New Roman"/>
          <w:i/>
        </w:rPr>
        <w:t>,</w:t>
      </w:r>
      <w:r w:rsidR="00014576" w:rsidRPr="000D3040">
        <w:rPr>
          <w:rFonts w:ascii="Times New Roman" w:hAnsi="Times New Roman" w:cs="Times New Roman"/>
        </w:rPr>
        <w:t xml:space="preserve"> to elicit the person</w:t>
      </w:r>
      <w:r w:rsidR="00E772F5">
        <w:rPr>
          <w:rFonts w:ascii="Times New Roman" w:hAnsi="Times New Roman" w:cs="Times New Roman"/>
        </w:rPr>
        <w:t>’</w:t>
      </w:r>
      <w:r w:rsidR="00014576" w:rsidRPr="000D3040">
        <w:rPr>
          <w:rFonts w:ascii="Times New Roman" w:hAnsi="Times New Roman" w:cs="Times New Roman"/>
        </w:rPr>
        <w:t>s wishes and feelings and make these known to the Court without causing the person unnecessary distress.</w:t>
      </w:r>
      <w:r w:rsidR="00014576" w:rsidRPr="000D3040">
        <w:rPr>
          <w:rStyle w:val="FootnoteReference"/>
          <w:rFonts w:ascii="Times New Roman" w:hAnsi="Times New Roman" w:cs="Times New Roman"/>
        </w:rPr>
        <w:footnoteReference w:id="98"/>
      </w:r>
      <w:r w:rsidR="00191903" w:rsidRPr="000D3040">
        <w:rPr>
          <w:rFonts w:ascii="Times New Roman" w:hAnsi="Times New Roman" w:cs="Times New Roman"/>
        </w:rPr>
        <w:t xml:space="preserve"> </w:t>
      </w:r>
    </w:p>
    <w:p w14:paraId="42E16CB9" w14:textId="77777777" w:rsidR="00BE5BFE" w:rsidRPr="00B9417A" w:rsidRDefault="00BE5BFE" w:rsidP="000E6DF0">
      <w:pPr>
        <w:pStyle w:val="NoSpacing"/>
        <w:spacing w:line="480" w:lineRule="auto"/>
        <w:jc w:val="both"/>
        <w:rPr>
          <w:rFonts w:ascii="Times New Roman" w:hAnsi="Times New Roman" w:cs="Times New Roman"/>
        </w:rPr>
      </w:pPr>
    </w:p>
    <w:p w14:paraId="5D14D3C4" w14:textId="4386161D" w:rsidR="006635F1" w:rsidRPr="00B9417A" w:rsidRDefault="008B6ECB" w:rsidP="006635F1">
      <w:pPr>
        <w:pStyle w:val="NoSpacing"/>
        <w:spacing w:line="480" w:lineRule="auto"/>
        <w:jc w:val="both"/>
        <w:rPr>
          <w:rFonts w:ascii="Times New Roman" w:hAnsi="Times New Roman" w:cs="Times New Roman"/>
        </w:rPr>
      </w:pPr>
      <w:r w:rsidRPr="00B9417A">
        <w:rPr>
          <w:rFonts w:ascii="Times New Roman" w:hAnsi="Times New Roman" w:cs="Times New Roman"/>
        </w:rPr>
        <w:t>T</w:t>
      </w:r>
      <w:r w:rsidR="00191903" w:rsidRPr="00B9417A">
        <w:rPr>
          <w:rFonts w:ascii="Times New Roman" w:hAnsi="Times New Roman" w:cs="Times New Roman"/>
        </w:rPr>
        <w:t>he majority</w:t>
      </w:r>
      <w:r w:rsidR="00B60108" w:rsidRPr="00B9417A">
        <w:rPr>
          <w:rFonts w:ascii="Times New Roman" w:hAnsi="Times New Roman" w:cs="Times New Roman"/>
        </w:rPr>
        <w:t xml:space="preserve"> (although as noted above, not the entirety)</w:t>
      </w:r>
      <w:r w:rsidR="00191903" w:rsidRPr="00B9417A">
        <w:rPr>
          <w:rFonts w:ascii="Times New Roman" w:hAnsi="Times New Roman" w:cs="Times New Roman"/>
        </w:rPr>
        <w:t xml:space="preserve"> of the shift in best interests has</w:t>
      </w:r>
      <w:r w:rsidR="00BA4BDD" w:rsidRPr="00B9417A">
        <w:rPr>
          <w:rFonts w:ascii="Times New Roman" w:hAnsi="Times New Roman" w:cs="Times New Roman"/>
        </w:rPr>
        <w:t xml:space="preserve"> therefore</w:t>
      </w:r>
      <w:r w:rsidR="00191903" w:rsidRPr="00B9417A">
        <w:rPr>
          <w:rFonts w:ascii="Times New Roman" w:hAnsi="Times New Roman" w:cs="Times New Roman"/>
        </w:rPr>
        <w:t xml:space="preserve"> been aimed at </w:t>
      </w:r>
      <w:r w:rsidRPr="00B9417A">
        <w:rPr>
          <w:rFonts w:ascii="Times New Roman" w:hAnsi="Times New Roman" w:cs="Times New Roman"/>
        </w:rPr>
        <w:t xml:space="preserve">centralising the person lacking capacity in </w:t>
      </w:r>
      <w:r w:rsidR="0016162B">
        <w:rPr>
          <w:rFonts w:ascii="Times New Roman" w:hAnsi="Times New Roman" w:cs="Times New Roman"/>
        </w:rPr>
        <w:t xml:space="preserve">the </w:t>
      </w:r>
      <w:r w:rsidR="00191903" w:rsidRPr="00B9417A">
        <w:rPr>
          <w:rFonts w:ascii="Times New Roman" w:hAnsi="Times New Roman" w:cs="Times New Roman"/>
        </w:rPr>
        <w:t>decision-making</w:t>
      </w:r>
      <w:r w:rsidR="0016162B">
        <w:rPr>
          <w:rFonts w:ascii="Times New Roman" w:hAnsi="Times New Roman" w:cs="Times New Roman"/>
        </w:rPr>
        <w:t xml:space="preserve"> process</w:t>
      </w:r>
      <w:r w:rsidR="00191903" w:rsidRPr="00B9417A">
        <w:rPr>
          <w:rFonts w:ascii="Times New Roman" w:hAnsi="Times New Roman" w:cs="Times New Roman"/>
        </w:rPr>
        <w:t>,</w:t>
      </w:r>
      <w:r w:rsidRPr="00B9417A">
        <w:rPr>
          <w:rFonts w:ascii="Times New Roman" w:hAnsi="Times New Roman" w:cs="Times New Roman"/>
        </w:rPr>
        <w:t xml:space="preserve"> and portraying them</w:t>
      </w:r>
      <w:r w:rsidR="00191903" w:rsidRPr="00B9417A">
        <w:rPr>
          <w:rFonts w:ascii="Times New Roman" w:hAnsi="Times New Roman" w:cs="Times New Roman"/>
        </w:rPr>
        <w:t xml:space="preserve"> as persons whose views are inherently valuable</w:t>
      </w:r>
      <w:r w:rsidR="00920ADE" w:rsidRPr="00B9417A">
        <w:rPr>
          <w:rFonts w:ascii="Times New Roman" w:hAnsi="Times New Roman" w:cs="Times New Roman"/>
        </w:rPr>
        <w:t xml:space="preserve">, </w:t>
      </w:r>
      <w:r w:rsidR="00920ADE" w:rsidRPr="00B9417A">
        <w:rPr>
          <w:rFonts w:ascii="Times New Roman" w:hAnsi="Times New Roman" w:cs="Times New Roman"/>
          <w:i/>
        </w:rPr>
        <w:t>in their own right,</w:t>
      </w:r>
      <w:r w:rsidR="00191903" w:rsidRPr="00B9417A">
        <w:rPr>
          <w:rFonts w:ascii="Times New Roman" w:hAnsi="Times New Roman" w:cs="Times New Roman"/>
        </w:rPr>
        <w:t xml:space="preserve"> in shap</w:t>
      </w:r>
      <w:r w:rsidR="00BA4BDD" w:rsidRPr="00B9417A">
        <w:rPr>
          <w:rFonts w:ascii="Times New Roman" w:hAnsi="Times New Roman" w:cs="Times New Roman"/>
        </w:rPr>
        <w:t xml:space="preserve">ing </w:t>
      </w:r>
      <w:r w:rsidR="00DE097F">
        <w:rPr>
          <w:rFonts w:ascii="Times New Roman" w:hAnsi="Times New Roman" w:cs="Times New Roman"/>
        </w:rPr>
        <w:t>best interests decisions</w:t>
      </w:r>
      <w:r w:rsidR="002F7306">
        <w:rPr>
          <w:rFonts w:ascii="Times New Roman" w:hAnsi="Times New Roman" w:cs="Times New Roman"/>
        </w:rPr>
        <w:t>, rather than as passive</w:t>
      </w:r>
      <w:r w:rsidR="00E53AEC">
        <w:rPr>
          <w:rFonts w:ascii="Times New Roman" w:hAnsi="Times New Roman" w:cs="Times New Roman"/>
        </w:rPr>
        <w:t>, deviant,</w:t>
      </w:r>
      <w:r w:rsidR="002F7306">
        <w:rPr>
          <w:rFonts w:ascii="Times New Roman" w:hAnsi="Times New Roman" w:cs="Times New Roman"/>
        </w:rPr>
        <w:t xml:space="preserve"> and stigmatised based on their cognitiv</w:t>
      </w:r>
      <w:r w:rsidR="00E73E7E">
        <w:rPr>
          <w:rFonts w:ascii="Times New Roman" w:hAnsi="Times New Roman" w:cs="Times New Roman"/>
        </w:rPr>
        <w:t>e impairment</w:t>
      </w:r>
      <w:r w:rsidR="00BA4BDD" w:rsidRPr="00B9417A">
        <w:rPr>
          <w:rFonts w:ascii="Times New Roman" w:hAnsi="Times New Roman" w:cs="Times New Roman"/>
        </w:rPr>
        <w:t>.</w:t>
      </w:r>
      <w:r w:rsidR="00B64727">
        <w:rPr>
          <w:rFonts w:ascii="Times New Roman" w:hAnsi="Times New Roman" w:cs="Times New Roman"/>
        </w:rPr>
        <w:t xml:space="preserve"> In the next section, however, it is argued that on occasions, the courts have failed to use best interests decisions involving persons with dementia to this effect. It is argued that ‘othering’ remains bo</w:t>
      </w:r>
      <w:r w:rsidR="00DE097F">
        <w:rPr>
          <w:rFonts w:ascii="Times New Roman" w:hAnsi="Times New Roman" w:cs="Times New Roman"/>
        </w:rPr>
        <w:t>th implicit and explicit in some</w:t>
      </w:r>
      <w:r w:rsidR="005E4EF3">
        <w:rPr>
          <w:rFonts w:ascii="Times New Roman" w:hAnsi="Times New Roman" w:cs="Times New Roman"/>
        </w:rPr>
        <w:t xml:space="preserve"> best interests judgments</w:t>
      </w:r>
      <w:r w:rsidR="00B64727">
        <w:rPr>
          <w:rFonts w:ascii="Times New Roman" w:hAnsi="Times New Roman" w:cs="Times New Roman"/>
        </w:rPr>
        <w:t>.</w:t>
      </w:r>
      <w:r w:rsidR="00BA4BDD" w:rsidRPr="00B9417A">
        <w:rPr>
          <w:rFonts w:ascii="Times New Roman" w:hAnsi="Times New Roman" w:cs="Times New Roman"/>
        </w:rPr>
        <w:t xml:space="preserve">  </w:t>
      </w:r>
    </w:p>
    <w:p w14:paraId="3C9FACE5" w14:textId="77777777" w:rsidR="00E73E7E" w:rsidRDefault="00E73E7E" w:rsidP="000E6DF0">
      <w:pPr>
        <w:spacing w:line="480" w:lineRule="auto"/>
        <w:jc w:val="both"/>
        <w:rPr>
          <w:rFonts w:ascii="Calibri" w:hAnsi="Calibri"/>
        </w:rPr>
      </w:pPr>
    </w:p>
    <w:p w14:paraId="214F0869" w14:textId="32ACA539" w:rsidR="00E468F6" w:rsidRDefault="00E468F6" w:rsidP="00E468F6">
      <w:pPr>
        <w:pStyle w:val="NoSpacing"/>
        <w:jc w:val="center"/>
        <w:rPr>
          <w:rFonts w:ascii="Times New Roman" w:hAnsi="Times New Roman" w:cs="Times New Roman"/>
        </w:rPr>
      </w:pPr>
      <w:r>
        <w:rPr>
          <w:rFonts w:ascii="Times New Roman" w:hAnsi="Times New Roman" w:cs="Times New Roman"/>
        </w:rPr>
        <w:t xml:space="preserve">IV. ‘OTHERING’ </w:t>
      </w:r>
      <w:r w:rsidR="00B64727">
        <w:rPr>
          <w:rFonts w:ascii="Times New Roman" w:hAnsi="Times New Roman" w:cs="Times New Roman"/>
        </w:rPr>
        <w:t>THE PERSON WITH DEMENTIA THROUGH BEST INTERESTS</w:t>
      </w:r>
      <w:r w:rsidR="00865F3D">
        <w:rPr>
          <w:rFonts w:ascii="Times New Roman" w:hAnsi="Times New Roman" w:cs="Times New Roman"/>
        </w:rPr>
        <w:t>.</w:t>
      </w:r>
    </w:p>
    <w:p w14:paraId="7002639C" w14:textId="77777777" w:rsidR="00E468F6" w:rsidRPr="00E468F6" w:rsidRDefault="00E468F6" w:rsidP="00E468F6">
      <w:pPr>
        <w:pStyle w:val="NoSpacing"/>
        <w:jc w:val="center"/>
        <w:rPr>
          <w:rFonts w:ascii="Times New Roman" w:hAnsi="Times New Roman" w:cs="Times New Roman"/>
        </w:rPr>
      </w:pPr>
    </w:p>
    <w:p w14:paraId="26B442BF" w14:textId="77777777" w:rsidR="00E468F6" w:rsidRPr="00CA0906" w:rsidRDefault="00E468F6" w:rsidP="00E468F6">
      <w:pPr>
        <w:spacing w:line="480" w:lineRule="auto"/>
        <w:jc w:val="both"/>
        <w:rPr>
          <w:i/>
        </w:rPr>
      </w:pPr>
      <w:r>
        <w:rPr>
          <w:i/>
        </w:rPr>
        <w:t>A. Creating the</w:t>
      </w:r>
      <w:r w:rsidRPr="00CA0906">
        <w:rPr>
          <w:i/>
        </w:rPr>
        <w:t xml:space="preserve"> Comparator</w:t>
      </w:r>
      <w:r w:rsidR="00DE097F">
        <w:rPr>
          <w:i/>
        </w:rPr>
        <w:t>.</w:t>
      </w:r>
      <w:r w:rsidRPr="00CA0906">
        <w:rPr>
          <w:i/>
        </w:rPr>
        <w:t xml:space="preserve"> </w:t>
      </w:r>
    </w:p>
    <w:p w14:paraId="6C716297" w14:textId="610EDA9D" w:rsidR="00E468F6" w:rsidRPr="000D3040" w:rsidRDefault="00E73E7E" w:rsidP="00E468F6">
      <w:pPr>
        <w:spacing w:line="480" w:lineRule="auto"/>
        <w:jc w:val="both"/>
      </w:pPr>
      <w:r>
        <w:lastRenderedPageBreak/>
        <w:t>T</w:t>
      </w:r>
      <w:r w:rsidR="00E468F6">
        <w:t>he first</w:t>
      </w:r>
      <w:r w:rsidR="00E468F6" w:rsidRPr="00611BBB">
        <w:t xml:space="preserve"> aspect of ‘othering’</w:t>
      </w:r>
      <w:r>
        <w:t>, outlined above,</w:t>
      </w:r>
      <w:r w:rsidR="00E468F6" w:rsidRPr="00611BBB">
        <w:t xml:space="preserve"> is creating an idealised standard by which the Court can measure those who come before it in best interests decision-making</w:t>
      </w:r>
      <w:r>
        <w:t>.</w:t>
      </w:r>
      <w:r w:rsidR="00E468F6" w:rsidRPr="00611BBB">
        <w:t xml:space="preserve"> </w:t>
      </w:r>
      <w:r w:rsidR="00E468F6" w:rsidRPr="00611BBB">
        <w:rPr>
          <w:i/>
        </w:rPr>
        <w:t>Dorset County Council v EH</w:t>
      </w:r>
      <w:r w:rsidR="00234DD4">
        <w:rPr>
          <w:i/>
        </w:rPr>
        <w:t>,</w:t>
      </w:r>
      <w:r w:rsidR="00E468F6" w:rsidRPr="00611BBB">
        <w:rPr>
          <w:rStyle w:val="FootnoteReference"/>
        </w:rPr>
        <w:footnoteReference w:id="99"/>
      </w:r>
      <w:r w:rsidR="00E468F6" w:rsidRPr="00611BBB">
        <w:rPr>
          <w:i/>
        </w:rPr>
        <w:t xml:space="preserve"> </w:t>
      </w:r>
      <w:r w:rsidR="00E468F6" w:rsidRPr="00611BBB">
        <w:t>a case involving the residence of an 82-year-old woman</w:t>
      </w:r>
      <w:r w:rsidR="00A96517">
        <w:t>, EH,</w:t>
      </w:r>
      <w:r w:rsidR="00E468F6" w:rsidRPr="00611BBB">
        <w:t xml:space="preserve"> with dementia,</w:t>
      </w:r>
      <w:r w:rsidR="00E468F6" w:rsidRPr="00611BBB">
        <w:rPr>
          <w:i/>
        </w:rPr>
        <w:t xml:space="preserve"> </w:t>
      </w:r>
      <w:r w:rsidR="00E468F6" w:rsidRPr="00611BBB">
        <w:t>highlights this well.</w:t>
      </w:r>
      <w:r w:rsidR="00E468F6" w:rsidRPr="00611BBB">
        <w:rPr>
          <w:i/>
        </w:rPr>
        <w:t xml:space="preserve"> </w:t>
      </w:r>
      <w:r w:rsidR="00BC480F">
        <w:t xml:space="preserve">In deciding that it would be in </w:t>
      </w:r>
      <w:r w:rsidR="00A96517">
        <w:t xml:space="preserve">EH’s best interests to be placed in a care home, </w:t>
      </w:r>
      <w:r w:rsidR="007815A4">
        <w:t>Parker J</w:t>
      </w:r>
      <w:r w:rsidR="00E468F6" w:rsidRPr="00611BBB">
        <w:t xml:space="preserve"> states that:</w:t>
      </w:r>
      <w:r w:rsidR="00E468F6" w:rsidRPr="000D3040">
        <w:t xml:space="preserve"> </w:t>
      </w:r>
    </w:p>
    <w:p w14:paraId="54E02674" w14:textId="77777777" w:rsidR="00E468F6" w:rsidRPr="000D3040" w:rsidRDefault="00E468F6" w:rsidP="00E468F6">
      <w:pPr>
        <w:tabs>
          <w:tab w:val="left" w:pos="7797"/>
        </w:tabs>
        <w:spacing w:line="480" w:lineRule="auto"/>
        <w:ind w:left="567" w:right="610"/>
        <w:jc w:val="both"/>
      </w:pPr>
      <w:r w:rsidRPr="000D3040">
        <w:t>…EH’s circumstances are such that she cannot be considered to have true independence or autonomy at present. Many of her actions and reactions are not volitional…Her independence and autonomy is causing her emotional and physical distress. It is her “independence and autonomy” that puts her at risk.</w:t>
      </w:r>
      <w:r w:rsidRPr="000D3040">
        <w:rPr>
          <w:rStyle w:val="FootnoteReference"/>
        </w:rPr>
        <w:footnoteReference w:id="100"/>
      </w:r>
    </w:p>
    <w:p w14:paraId="363003B0" w14:textId="1E93ECD2" w:rsidR="00E468F6" w:rsidRPr="000D3040" w:rsidRDefault="00A96517" w:rsidP="00E468F6">
      <w:pPr>
        <w:spacing w:line="480" w:lineRule="auto"/>
        <w:jc w:val="both"/>
      </w:pPr>
      <w:r>
        <w:t xml:space="preserve">According the Court, then, there is </w:t>
      </w:r>
      <w:r w:rsidR="00E468F6" w:rsidRPr="000D3040">
        <w:t xml:space="preserve">a perceived ambivalence between having independence and autonomy as </w:t>
      </w:r>
      <w:r w:rsidR="00E468F6">
        <w:t>the Court</w:t>
      </w:r>
      <w:r w:rsidR="00E468F6" w:rsidRPr="000D3040">
        <w:t xml:space="preserve"> conceptualises them, and the type of independence and autonomy that EH </w:t>
      </w:r>
      <w:r w:rsidR="00E468F6" w:rsidRPr="000D3040">
        <w:rPr>
          <w:i/>
        </w:rPr>
        <w:t>seems</w:t>
      </w:r>
      <w:r w:rsidR="00E468F6" w:rsidRPr="000D3040">
        <w:t xml:space="preserve"> to have. Despite indicating that she does not view EH as really having independence or autonomy (</w:t>
      </w:r>
      <w:r w:rsidR="00E468F6" w:rsidRPr="00DE097F">
        <w:rPr>
          <w:i/>
        </w:rPr>
        <w:t>i.e.</w:t>
      </w:r>
      <w:r w:rsidR="00E468F6" w:rsidRPr="000D3040">
        <w:t xml:space="preserve"> already EH does not have the qualities that mark out the</w:t>
      </w:r>
      <w:r w:rsidR="00E53AEC">
        <w:t xml:space="preserve"> qualities the</w:t>
      </w:r>
      <w:r w:rsidR="00E468F6" w:rsidRPr="000D3040">
        <w:t xml:space="preserve"> ‘normal’ person</w:t>
      </w:r>
      <w:r w:rsidR="00E53AEC">
        <w:t xml:space="preserve"> should have</w:t>
      </w:r>
      <w:r w:rsidR="00E468F6" w:rsidRPr="000D3040">
        <w:t xml:space="preserve"> because of her dementia), if we look more closely at the wording</w:t>
      </w:r>
      <w:r w:rsidR="00E772F5">
        <w:t>,</w:t>
      </w:r>
      <w:r w:rsidR="00E468F6" w:rsidRPr="000D3040">
        <w:t xml:space="preserve"> what </w:t>
      </w:r>
      <w:r w:rsidR="00E468F6">
        <w:t>the Court</w:t>
      </w:r>
      <w:r w:rsidR="00E468F6" w:rsidRPr="000D3040">
        <w:t xml:space="preserve"> is in fact stating is that she </w:t>
      </w:r>
      <w:r w:rsidR="00E468F6" w:rsidRPr="000D3040">
        <w:rPr>
          <w:i/>
        </w:rPr>
        <w:t>does</w:t>
      </w:r>
      <w:r w:rsidR="00E468F6" w:rsidRPr="000D3040">
        <w:t xml:space="preserve"> have some form of independence and autonomy, it is just not the </w:t>
      </w:r>
      <w:r w:rsidR="00E468F6" w:rsidRPr="00D570A8">
        <w:rPr>
          <w:i/>
        </w:rPr>
        <w:t>type</w:t>
      </w:r>
      <w:r w:rsidR="00E468F6" w:rsidRPr="000D3040">
        <w:t xml:space="preserve"> of independence or autonomy that she </w:t>
      </w:r>
      <w:r w:rsidR="00E468F6" w:rsidRPr="00D570A8">
        <w:t>should</w:t>
      </w:r>
      <w:r w:rsidR="00E468F6" w:rsidRPr="000D3040">
        <w:t xml:space="preserve"> have. It is not, according </w:t>
      </w:r>
      <w:r w:rsidR="00E468F6">
        <w:t xml:space="preserve">to </w:t>
      </w:r>
      <w:r w:rsidR="00E468F6" w:rsidRPr="000D3040">
        <w:t>the Court, the valuable kind of independence and autonomy that is enjoyed by normal healthy individuals without dementia – it is not, to use Parker J’s language, ‘true’ autonomy, characterised by ‘volitional’ actions and reactions.</w:t>
      </w:r>
      <w:r w:rsidR="00E468F6" w:rsidRPr="000D3040">
        <w:rPr>
          <w:rStyle w:val="FootnoteReference"/>
        </w:rPr>
        <w:footnoteReference w:id="101"/>
      </w:r>
      <w:r w:rsidR="00E468F6" w:rsidRPr="000D3040">
        <w:t xml:space="preserve"> </w:t>
      </w:r>
      <w:r w:rsidR="007033B2" w:rsidRPr="00611BBB">
        <w:t xml:space="preserve">Similarly, although EH goes out every morning to buy a paper, this is </w:t>
      </w:r>
      <w:r w:rsidR="007033B2" w:rsidRPr="00611BBB">
        <w:lastRenderedPageBreak/>
        <w:t>qualified by the fact that ‘it is not clear that she reads it or appreciates it’</w:t>
      </w:r>
      <w:r w:rsidR="007033B2" w:rsidRPr="00611BBB">
        <w:rPr>
          <w:rStyle w:val="FootnoteReference"/>
        </w:rPr>
        <w:footnoteReference w:id="102"/>
      </w:r>
      <w:r w:rsidR="007033B2" w:rsidRPr="00611BBB">
        <w:t xml:space="preserve"> – implying that it would only be a meaningful activity if she could do with the paper what ‘ordinary’ people could do</w:t>
      </w:r>
      <w:r w:rsidR="005B21A8">
        <w:t xml:space="preserve"> – further entrenching the ideal of what an independent and autonomous person </w:t>
      </w:r>
      <w:r w:rsidR="005B21A8">
        <w:rPr>
          <w:i/>
        </w:rPr>
        <w:t xml:space="preserve">should </w:t>
      </w:r>
      <w:r w:rsidR="005B21A8">
        <w:t>be able to do</w:t>
      </w:r>
      <w:r w:rsidR="007033B2" w:rsidRPr="00611BBB">
        <w:t>.</w:t>
      </w:r>
      <w:r w:rsidR="007033B2">
        <w:t xml:space="preserve"> </w:t>
      </w:r>
      <w:r w:rsidR="00E73E7E">
        <w:t xml:space="preserve"> </w:t>
      </w:r>
      <w:r w:rsidR="00DE097F">
        <w:t xml:space="preserve">Furthermore, </w:t>
      </w:r>
      <w:r w:rsidR="007033B2">
        <w:t xml:space="preserve">and as </w:t>
      </w:r>
      <w:r w:rsidR="00E468F6" w:rsidRPr="00611BBB">
        <w:t>Harding</w:t>
      </w:r>
      <w:r w:rsidR="00E468F6" w:rsidRPr="00611BBB">
        <w:rPr>
          <w:rStyle w:val="FootnoteReference"/>
        </w:rPr>
        <w:footnoteReference w:id="103"/>
      </w:r>
      <w:r w:rsidR="00E468F6" w:rsidRPr="00611BBB">
        <w:t xml:space="preserve"> argues</w:t>
      </w:r>
      <w:r w:rsidR="007033B2">
        <w:t>,</w:t>
      </w:r>
      <w:r w:rsidR="00E468F6" w:rsidRPr="00611BBB">
        <w:t xml:space="preserve"> through the use of </w:t>
      </w:r>
      <w:r w:rsidR="00193417">
        <w:t>language</w:t>
      </w:r>
      <w:r w:rsidR="00193417" w:rsidRPr="00611BBB">
        <w:t xml:space="preserve"> </w:t>
      </w:r>
      <w:r w:rsidR="00E468F6" w:rsidRPr="00611BBB">
        <w:t xml:space="preserve">such as ‘wandering’, the Court transforms </w:t>
      </w:r>
      <w:r w:rsidR="007033B2">
        <w:t>EH</w:t>
      </w:r>
      <w:r w:rsidR="00E468F6" w:rsidRPr="00611BBB">
        <w:t xml:space="preserve"> from someone with purpose – who enjoyed ‘walking’ – to someone without purpose, who simply wanders aimlessly to the local shop.</w:t>
      </w:r>
      <w:r w:rsidR="00234DD4">
        <w:t xml:space="preserve"> Indeed</w:t>
      </w:r>
      <w:r w:rsidR="00E772F5">
        <w:t>,</w:t>
      </w:r>
      <w:r w:rsidR="00234DD4">
        <w:t xml:space="preserve"> r</w:t>
      </w:r>
      <w:r w:rsidR="00E468F6">
        <w:t>ecent literature on dementia care ha</w:t>
      </w:r>
      <w:r w:rsidR="007033B2">
        <w:t>s</w:t>
      </w:r>
      <w:r w:rsidR="00E468F6">
        <w:t xml:space="preserve"> emphasise</w:t>
      </w:r>
      <w:r w:rsidR="005B21A8">
        <w:t>d</w:t>
      </w:r>
      <w:r w:rsidR="00E468F6">
        <w:t xml:space="preserve"> the need for a shift in such discursive practices given the ability of the term ‘wandering’ to pathologi</w:t>
      </w:r>
      <w:r w:rsidR="00B64727">
        <w:t>se</w:t>
      </w:r>
      <w:r w:rsidR="00E468F6">
        <w:t xml:space="preserve"> persons with dementia.</w:t>
      </w:r>
      <w:r w:rsidR="00E468F6">
        <w:rPr>
          <w:rStyle w:val="FootnoteReference"/>
        </w:rPr>
        <w:footnoteReference w:id="104"/>
      </w:r>
    </w:p>
    <w:p w14:paraId="6B0A3EB7" w14:textId="77777777" w:rsidR="00E468F6" w:rsidRPr="000D3040" w:rsidRDefault="00E468F6" w:rsidP="00E468F6">
      <w:pPr>
        <w:spacing w:line="480" w:lineRule="auto"/>
        <w:jc w:val="both"/>
      </w:pPr>
    </w:p>
    <w:p w14:paraId="0314F323" w14:textId="6C42ADEA" w:rsidR="00E468F6" w:rsidRPr="000D3040" w:rsidRDefault="00E468F6" w:rsidP="00E468F6">
      <w:pPr>
        <w:spacing w:line="480" w:lineRule="auto"/>
        <w:jc w:val="both"/>
      </w:pPr>
      <w:r w:rsidRPr="000D3040">
        <w:t xml:space="preserve">Although </w:t>
      </w:r>
      <w:r w:rsidRPr="000D3040">
        <w:rPr>
          <w:i/>
        </w:rPr>
        <w:t>Dorset</w:t>
      </w:r>
      <w:r>
        <w:rPr>
          <w:i/>
        </w:rPr>
        <w:t xml:space="preserve"> County Council v EH</w:t>
      </w:r>
      <w:r w:rsidRPr="000D3040">
        <w:rPr>
          <w:i/>
        </w:rPr>
        <w:t xml:space="preserve"> </w:t>
      </w:r>
      <w:r w:rsidRPr="000D3040">
        <w:t>w</w:t>
      </w:r>
      <w:r w:rsidR="00E772F5">
        <w:t xml:space="preserve">as an early case under the </w:t>
      </w:r>
      <w:r w:rsidR="005B21A8">
        <w:t>Mental Capacity Act 2005</w:t>
      </w:r>
      <w:r>
        <w:t>, it</w:t>
      </w:r>
      <w:r w:rsidRPr="000D3040">
        <w:t xml:space="preserve"> is </w:t>
      </w:r>
      <w:r>
        <w:t>argued</w:t>
      </w:r>
      <w:r w:rsidRPr="000D3040">
        <w:t xml:space="preserve"> that this</w:t>
      </w:r>
      <w:r>
        <w:t xml:space="preserve"> </w:t>
      </w:r>
      <w:r w:rsidR="005B21A8">
        <w:t xml:space="preserve">element </w:t>
      </w:r>
      <w:r>
        <w:t>of ‘othering’</w:t>
      </w:r>
      <w:r w:rsidR="005B21A8">
        <w:t xml:space="preserve"> – the comparator –</w:t>
      </w:r>
      <w:r w:rsidRPr="000D3040">
        <w:t xml:space="preserve"> still</w:t>
      </w:r>
      <w:r w:rsidR="005B21A8">
        <w:t xml:space="preserve"> </w:t>
      </w:r>
      <w:r w:rsidRPr="000D3040">
        <w:t xml:space="preserve">manifests itself in subtler ways. In </w:t>
      </w:r>
      <w:r w:rsidRPr="000D3040">
        <w:rPr>
          <w:i/>
        </w:rPr>
        <w:t>IIBCC v LG</w:t>
      </w:r>
      <w:r w:rsidR="00B64727">
        <w:rPr>
          <w:i/>
        </w:rPr>
        <w:t>,</w:t>
      </w:r>
      <w:r w:rsidRPr="00B64727">
        <w:rPr>
          <w:rStyle w:val="FootnoteReference"/>
        </w:rPr>
        <w:footnoteReference w:id="105"/>
      </w:r>
      <w:r w:rsidRPr="000D3040">
        <w:t xml:space="preserve"> which concerned the contact and residence of</w:t>
      </w:r>
      <w:r w:rsidR="00E772F5">
        <w:t xml:space="preserve"> LG,</w:t>
      </w:r>
      <w:r w:rsidRPr="000D3040">
        <w:t xml:space="preserve"> a 96-year-old woman</w:t>
      </w:r>
      <w:r w:rsidR="00234DD4">
        <w:t xml:space="preserve"> with dementia</w:t>
      </w:r>
      <w:r w:rsidR="00E772F5">
        <w:t>,</w:t>
      </w:r>
      <w:r w:rsidRPr="000D3040">
        <w:t xml:space="preserve"> the judge states that the world of an individual with dementia is a ‘bewildering’ and ‘frightening’ place.</w:t>
      </w:r>
      <w:r w:rsidRPr="000D3040">
        <w:rPr>
          <w:rStyle w:val="FootnoteReference"/>
        </w:rPr>
        <w:footnoteReference w:id="106"/>
      </w:r>
      <w:r w:rsidRPr="000D3040">
        <w:t xml:space="preserve"> It is a world in which ‘personal autonomy is no longer realistically possible’</w:t>
      </w:r>
      <w:r w:rsidRPr="000D3040">
        <w:rPr>
          <w:rStyle w:val="FootnoteReference"/>
        </w:rPr>
        <w:footnoteReference w:id="107"/>
      </w:r>
      <w:r w:rsidRPr="000D3040">
        <w:t xml:space="preserve"> and one that is characterised only by LG’s ‘ravaged memory.’</w:t>
      </w:r>
      <w:r w:rsidRPr="000D3040">
        <w:rPr>
          <w:rStyle w:val="FootnoteReference"/>
        </w:rPr>
        <w:footnoteReference w:id="108"/>
      </w:r>
      <w:r w:rsidRPr="000D3040">
        <w:t xml:space="preserve">  In effect, the world that LG now inhabits is not the world that most people without dementia supposedly inhabit – a world that is supposedly </w:t>
      </w:r>
      <w:r w:rsidRPr="000D3040">
        <w:rPr>
          <w:i/>
        </w:rPr>
        <w:t xml:space="preserve">not </w:t>
      </w:r>
      <w:r w:rsidRPr="000D3040">
        <w:t>bewildering or frightening – and a world characterised by the presence of the ability to act autonomously.  In adopting this approach, the Court not only explicitl</w:t>
      </w:r>
      <w:r w:rsidR="00E8694D">
        <w:t>y</w:t>
      </w:r>
      <w:r w:rsidRPr="000D3040">
        <w:t xml:space="preserve"> differentiat</w:t>
      </w:r>
      <w:r w:rsidR="00E8694D">
        <w:t>es</w:t>
      </w:r>
      <w:r w:rsidRPr="000D3040">
        <w:t xml:space="preserve"> LG by stating that she exists in a completely different world, but, in a manner reminiscent of </w:t>
      </w:r>
      <w:r w:rsidRPr="000D3040">
        <w:lastRenderedPageBreak/>
        <w:t>the medicalised individual with dementia</w:t>
      </w:r>
      <w:r w:rsidR="00695922">
        <w:t xml:space="preserve"> criticised </w:t>
      </w:r>
      <w:r w:rsidR="005E4EF3">
        <w:t>above</w:t>
      </w:r>
      <w:r w:rsidRPr="000D3040">
        <w:t>, also identif</w:t>
      </w:r>
      <w:r w:rsidR="00EE5D8B">
        <w:t>ies</w:t>
      </w:r>
      <w:r w:rsidRPr="000D3040">
        <w:t xml:space="preserve"> LG by her dementia and the impact it has on her memory.</w:t>
      </w:r>
      <w:r w:rsidRPr="000D3040">
        <w:rPr>
          <w:rStyle w:val="FootnoteReference"/>
        </w:rPr>
        <w:footnoteReference w:id="109"/>
      </w:r>
      <w:r w:rsidRPr="000D3040">
        <w:t xml:space="preserve"> In both </w:t>
      </w:r>
      <w:r w:rsidRPr="000D3040">
        <w:rPr>
          <w:i/>
        </w:rPr>
        <w:t>Dorset County Council v EH</w:t>
      </w:r>
      <w:r w:rsidRPr="000D3040">
        <w:t xml:space="preserve"> and </w:t>
      </w:r>
      <w:r w:rsidRPr="000D3040">
        <w:rPr>
          <w:i/>
        </w:rPr>
        <w:t xml:space="preserve">IIBCC v LG </w:t>
      </w:r>
      <w:r w:rsidRPr="000D3040">
        <w:t xml:space="preserve">then, one may see </w:t>
      </w:r>
      <w:r w:rsidR="00DE097F">
        <w:t>Shildrick’s argument</w:t>
      </w:r>
      <w:r w:rsidRPr="000D3040">
        <w:t xml:space="preserve"> that ‘[t]he integrated and fully functioning body remains an implicit standard’</w:t>
      </w:r>
      <w:r w:rsidRPr="000D3040">
        <w:rPr>
          <w:rStyle w:val="FootnoteReference"/>
        </w:rPr>
        <w:footnoteReference w:id="110"/>
      </w:r>
      <w:r w:rsidRPr="000D3040">
        <w:t xml:space="preserve"> coming to life in the Court’s judgments. In effect, there appears to be a version of ‘normal’ that the Court has in its mind when making best interests decisions for persons with dementia. Not only </w:t>
      </w:r>
      <w:r w:rsidR="001D729D">
        <w:t xml:space="preserve">does </w:t>
      </w:r>
      <w:r w:rsidRPr="000D3040">
        <w:t xml:space="preserve">it </w:t>
      </w:r>
      <w:r w:rsidR="001D729D">
        <w:t>use</w:t>
      </w:r>
      <w:r w:rsidRPr="000D3040">
        <w:t xml:space="preserve"> this version of ‘normality’ to create a distance between itself and the person with dementia, </w:t>
      </w:r>
      <w:r w:rsidR="001D729D">
        <w:t>but also</w:t>
      </w:r>
      <w:r w:rsidR="00EE5D8B">
        <w:t xml:space="preserve"> to reaffirm the correctness of the abilitie</w:t>
      </w:r>
      <w:r w:rsidR="001D729D">
        <w:t>s that purportedly inhere in this</w:t>
      </w:r>
      <w:r w:rsidR="00EE5D8B">
        <w:t xml:space="preserve"> idealistic standard.</w:t>
      </w:r>
    </w:p>
    <w:p w14:paraId="55C0348B" w14:textId="77777777" w:rsidR="00E468F6" w:rsidRPr="000D3040" w:rsidRDefault="00E468F6" w:rsidP="00E468F6">
      <w:pPr>
        <w:spacing w:line="480" w:lineRule="auto"/>
        <w:jc w:val="both"/>
      </w:pPr>
    </w:p>
    <w:p w14:paraId="49ACA67E" w14:textId="77777777" w:rsidR="00E468F6" w:rsidRPr="00CA0906" w:rsidRDefault="00B64727" w:rsidP="00E468F6">
      <w:pPr>
        <w:spacing w:line="480" w:lineRule="auto"/>
        <w:jc w:val="both"/>
        <w:rPr>
          <w:i/>
        </w:rPr>
      </w:pPr>
      <w:r>
        <w:rPr>
          <w:i/>
        </w:rPr>
        <w:t>B</w:t>
      </w:r>
      <w:r w:rsidR="00E468F6" w:rsidRPr="00CA0906">
        <w:rPr>
          <w:i/>
        </w:rPr>
        <w:t>. Deviance and Marginalisation</w:t>
      </w:r>
    </w:p>
    <w:p w14:paraId="7F7C1320" w14:textId="5B8F9C87" w:rsidR="00E468F6" w:rsidRDefault="00E468F6" w:rsidP="00E468F6">
      <w:pPr>
        <w:spacing w:line="480" w:lineRule="auto"/>
        <w:jc w:val="both"/>
      </w:pPr>
      <w:r w:rsidRPr="000D3040">
        <w:t>As Jennings notes, ‘[i]n too much dementia care today we ask how to come to terms with a diminished thing, when instead we should seek to attain a re-placed plenitude’.</w:t>
      </w:r>
      <w:r w:rsidRPr="000D3040">
        <w:rPr>
          <w:rStyle w:val="FootnoteReference"/>
        </w:rPr>
        <w:footnoteReference w:id="111"/>
      </w:r>
      <w:r w:rsidRPr="000D3040">
        <w:t xml:space="preserve"> In effect, because we</w:t>
      </w:r>
      <w:r w:rsidR="00C72941">
        <w:t xml:space="preserve"> – or in this instance, the Court –</w:t>
      </w:r>
      <w:r w:rsidRPr="000D3040">
        <w:t xml:space="preserve"> have</w:t>
      </w:r>
      <w:r w:rsidR="00C72941">
        <w:t xml:space="preserve"> </w:t>
      </w:r>
      <w:r w:rsidRPr="000D3040">
        <w:t xml:space="preserve">an idea of what </w:t>
      </w:r>
      <w:r w:rsidR="001D729D">
        <w:t>qualities this</w:t>
      </w:r>
      <w:r w:rsidR="00C72941">
        <w:t xml:space="preserve"> ideal paradigm possesses</w:t>
      </w:r>
      <w:r>
        <w:t xml:space="preserve">, </w:t>
      </w:r>
      <w:r w:rsidRPr="000D3040">
        <w:t xml:space="preserve">the person with dementia </w:t>
      </w:r>
      <w:r w:rsidR="00C72941">
        <w:t xml:space="preserve">is characterised </w:t>
      </w:r>
      <w:r w:rsidRPr="000D3040">
        <w:t xml:space="preserve">as deviant from this by focusing on their failures – the fact that they fail to </w:t>
      </w:r>
      <w:r w:rsidR="00C72941">
        <w:t xml:space="preserve">meet this standard, or fail to ‘see’ what they </w:t>
      </w:r>
      <w:r w:rsidR="00C72941" w:rsidRPr="005E4EF3">
        <w:t>should</w:t>
      </w:r>
      <w:r w:rsidR="00C72941">
        <w:rPr>
          <w:i/>
        </w:rPr>
        <w:t xml:space="preserve"> </w:t>
      </w:r>
      <w:r w:rsidR="00C72941">
        <w:t>see</w:t>
      </w:r>
      <w:r w:rsidR="001D729D">
        <w:t>,</w:t>
      </w:r>
      <w:r w:rsidR="00C72941">
        <w:t xml:space="preserve"> because of their dementia</w:t>
      </w:r>
      <w:r w:rsidRPr="000D3040">
        <w:t xml:space="preserve">. </w:t>
      </w:r>
      <w:r w:rsidR="00C72941">
        <w:t>The person</w:t>
      </w:r>
      <w:r w:rsidRPr="000D3040">
        <w:t xml:space="preserve"> with dementia </w:t>
      </w:r>
      <w:r w:rsidR="00C72941">
        <w:t xml:space="preserve">is measured </w:t>
      </w:r>
      <w:r w:rsidRPr="000D3040">
        <w:t xml:space="preserve">up to a supposedly objective standard of what a reasonable person would be able to do and see, </w:t>
      </w:r>
      <w:r w:rsidR="00DE097F">
        <w:t xml:space="preserve">a standard they </w:t>
      </w:r>
      <w:r w:rsidR="001D729D">
        <w:t xml:space="preserve">may </w:t>
      </w:r>
      <w:r w:rsidR="00DE097F">
        <w:t>fail to meet</w:t>
      </w:r>
      <w:r w:rsidR="00250048">
        <w:t xml:space="preserve"> </w:t>
      </w:r>
      <w:r w:rsidR="001D729D">
        <w:t xml:space="preserve">precisely </w:t>
      </w:r>
      <w:r w:rsidR="00250048">
        <w:t>because of their dementia</w:t>
      </w:r>
      <w:r w:rsidR="001D729D">
        <w:t>, and such</w:t>
      </w:r>
      <w:r w:rsidR="00250048">
        <w:t xml:space="preserve"> failure is used as evidence of their </w:t>
      </w:r>
      <w:r w:rsidR="001D729D">
        <w:t>deviance from the ideal standard outlined above</w:t>
      </w:r>
      <w:r w:rsidRPr="000D3040">
        <w:t>.  This ‘deficiency’ approach to dementi</w:t>
      </w:r>
      <w:r>
        <w:t xml:space="preserve">a has been heavily criticised; </w:t>
      </w:r>
      <w:r w:rsidRPr="000D3040">
        <w:t xml:space="preserve">Goodin and Gibson argue that ‘[e]ven in the case of elders with moderately advanced dementia, we ought not ride </w:t>
      </w:r>
      <w:r w:rsidRPr="000D3040">
        <w:lastRenderedPageBreak/>
        <w:t>roughshod over such evaluative capacities as they still retain’</w:t>
      </w:r>
      <w:r w:rsidR="00250048">
        <w:t>,</w:t>
      </w:r>
      <w:r w:rsidRPr="000D3040">
        <w:rPr>
          <w:rStyle w:val="FootnoteReference"/>
        </w:rPr>
        <w:footnoteReference w:id="112"/>
      </w:r>
      <w:r w:rsidR="00250048">
        <w:t xml:space="preserve"> a point that the paper will return to in due course. </w:t>
      </w:r>
      <w:r w:rsidRPr="000D3040">
        <w:t xml:space="preserve">   </w:t>
      </w:r>
    </w:p>
    <w:p w14:paraId="55F6AD48" w14:textId="77777777" w:rsidR="00E468F6" w:rsidRPr="000D3040" w:rsidRDefault="00E468F6" w:rsidP="00E468F6">
      <w:pPr>
        <w:spacing w:line="480" w:lineRule="auto"/>
        <w:jc w:val="both"/>
      </w:pPr>
    </w:p>
    <w:p w14:paraId="73628A54" w14:textId="17E0A6A6" w:rsidR="00E468F6" w:rsidRPr="000D3040" w:rsidRDefault="00B51D37" w:rsidP="00E468F6">
      <w:pPr>
        <w:spacing w:line="480" w:lineRule="auto"/>
        <w:jc w:val="both"/>
      </w:pPr>
      <w:r>
        <w:t xml:space="preserve">The </w:t>
      </w:r>
      <w:r w:rsidR="006071CE">
        <w:t xml:space="preserve">language used in the </w:t>
      </w:r>
      <w:r>
        <w:t xml:space="preserve">cases </w:t>
      </w:r>
      <w:r w:rsidR="001D729D">
        <w:t xml:space="preserve">already </w:t>
      </w:r>
      <w:r>
        <w:t>criticised</w:t>
      </w:r>
      <w:r w:rsidR="001D729D">
        <w:t xml:space="preserve"> </w:t>
      </w:r>
      <w:r w:rsidR="008A6B3F">
        <w:t>above</w:t>
      </w:r>
      <w:r w:rsidR="009A43AB">
        <w:t xml:space="preserve"> highlights this element of ‘othering’ well; ‘a world where </w:t>
      </w:r>
      <w:r w:rsidR="009A43AB">
        <w:rPr>
          <w:i/>
        </w:rPr>
        <w:t>personal autonomy is no longer realistically possible</w:t>
      </w:r>
      <w:r w:rsidR="009A43AB">
        <w:t xml:space="preserve">’ and where, </w:t>
      </w:r>
      <w:r w:rsidR="001D729D">
        <w:t>i</w:t>
      </w:r>
      <w:r w:rsidR="009A43AB">
        <w:t xml:space="preserve">n </w:t>
      </w:r>
      <w:r w:rsidR="009A43AB">
        <w:rPr>
          <w:i/>
        </w:rPr>
        <w:t xml:space="preserve">IIBCC v LG, </w:t>
      </w:r>
      <w:r w:rsidR="009A43AB">
        <w:t>LG has a ‘</w:t>
      </w:r>
      <w:r w:rsidR="009A43AB">
        <w:rPr>
          <w:i/>
        </w:rPr>
        <w:t xml:space="preserve">ravaged’ </w:t>
      </w:r>
      <w:r w:rsidR="009A43AB">
        <w:t>memory.</w:t>
      </w:r>
      <w:r w:rsidR="006071CE">
        <w:t xml:space="preserve"> </w:t>
      </w:r>
      <w:r w:rsidR="00E468F6">
        <w:t xml:space="preserve">A number of </w:t>
      </w:r>
      <w:r w:rsidR="009A43AB">
        <w:t xml:space="preserve">additional </w:t>
      </w:r>
      <w:r w:rsidR="00E468F6">
        <w:t xml:space="preserve">cases </w:t>
      </w:r>
      <w:r w:rsidR="00E53AEC">
        <w:t xml:space="preserve">perhaps </w:t>
      </w:r>
      <w:r w:rsidR="00E468F6">
        <w:t>demonstrate this</w:t>
      </w:r>
      <w:r w:rsidR="005E4EF3">
        <w:t xml:space="preserve"> in a </w:t>
      </w:r>
      <w:r w:rsidR="009A43AB">
        <w:t>subtle</w:t>
      </w:r>
      <w:r w:rsidR="005E4EF3">
        <w:t>r</w:t>
      </w:r>
      <w:r w:rsidR="009A43AB">
        <w:t xml:space="preserve"> manner</w:t>
      </w:r>
      <w:r w:rsidR="001D729D">
        <w:t>, however</w:t>
      </w:r>
      <w:r w:rsidR="00E468F6">
        <w:t>.</w:t>
      </w:r>
      <w:r w:rsidR="00E468F6" w:rsidRPr="000D3040">
        <w:t xml:space="preserve"> </w:t>
      </w:r>
      <w:r w:rsidR="00E468F6" w:rsidRPr="000D3040">
        <w:rPr>
          <w:i/>
        </w:rPr>
        <w:t>EM v SC &amp; CM</w:t>
      </w:r>
      <w:r w:rsidR="00E468F6" w:rsidRPr="00B64727">
        <w:rPr>
          <w:rStyle w:val="FootnoteReference"/>
        </w:rPr>
        <w:footnoteReference w:id="113"/>
      </w:r>
      <w:r w:rsidR="00E468F6" w:rsidRPr="00B64727">
        <w:t xml:space="preserve"> </w:t>
      </w:r>
      <w:r w:rsidR="00E468F6">
        <w:t>involved</w:t>
      </w:r>
      <w:r w:rsidR="00E468F6" w:rsidRPr="000D3040">
        <w:t xml:space="preserve"> the residence of EM, a 92-year-old man with dementia who ha</w:t>
      </w:r>
      <w:r w:rsidR="00E468F6">
        <w:t>d an abusive and neglectful son. B</w:t>
      </w:r>
      <w:r w:rsidR="00E468F6" w:rsidRPr="000D3040">
        <w:t xml:space="preserve">oth the social worker, and the consultant psychiatrist emphasised what they perceived to be EM’s deficiencies: ‘he </w:t>
      </w:r>
      <w:r w:rsidR="00E468F6" w:rsidRPr="00E05D0F">
        <w:t>appeared</w:t>
      </w:r>
      <w:r w:rsidR="00E468F6" w:rsidRPr="000D3040">
        <w:rPr>
          <w:i/>
        </w:rPr>
        <w:t xml:space="preserve"> unable to appreciate or assimilate the information</w:t>
      </w:r>
      <w:r w:rsidR="00E468F6" w:rsidRPr="000D3040">
        <w:t xml:space="preserve"> </w:t>
      </w:r>
      <w:r w:rsidR="00E468F6" w:rsidRPr="00E05D0F">
        <w:rPr>
          <w:i/>
        </w:rPr>
        <w:t>and opinions of others</w:t>
      </w:r>
      <w:r w:rsidR="00E468F6" w:rsidRPr="009A43AB">
        <w:rPr>
          <w:i/>
        </w:rPr>
        <w:t xml:space="preserve"> </w:t>
      </w:r>
      <w:r w:rsidR="00E468F6" w:rsidRPr="000D3040">
        <w:t>about the potential risks and potential difficulties in returning home…’</w:t>
      </w:r>
      <w:r w:rsidR="00E468F6" w:rsidRPr="000D3040">
        <w:rPr>
          <w:rStyle w:val="FootnoteReference"/>
        </w:rPr>
        <w:footnoteReference w:id="114"/>
      </w:r>
      <w:r w:rsidR="00E468F6" w:rsidRPr="000D3040">
        <w:t xml:space="preserve"> (emphasis added).  In effect, he was unable to accept what other people thought were in his best interests, or other individuals’ perceptions of his situation. </w:t>
      </w:r>
      <w:r w:rsidR="00234DD4">
        <w:t>In</w:t>
      </w:r>
      <w:r w:rsidR="00E468F6" w:rsidRPr="000D3040">
        <w:t xml:space="preserve"> </w:t>
      </w:r>
      <w:r w:rsidR="00E468F6" w:rsidRPr="000D3040">
        <w:rPr>
          <w:i/>
        </w:rPr>
        <w:t>SCC v L</w:t>
      </w:r>
      <w:r w:rsidR="00E468F6">
        <w:rPr>
          <w:i/>
        </w:rPr>
        <w:t>M</w:t>
      </w:r>
      <w:r w:rsidR="00B64727">
        <w:rPr>
          <w:i/>
        </w:rPr>
        <w:t>,</w:t>
      </w:r>
      <w:r w:rsidR="00E468F6" w:rsidRPr="00B64727">
        <w:rPr>
          <w:rStyle w:val="FootnoteReference"/>
        </w:rPr>
        <w:footnoteReference w:id="115"/>
      </w:r>
      <w:r w:rsidR="00E468F6" w:rsidRPr="000D3040">
        <w:t xml:space="preserve"> a case involving the residence of JM, a 79-year-old man with Alzheimer’s, Cardinal</w:t>
      </w:r>
      <w:r w:rsidR="009A43AB">
        <w:t xml:space="preserve"> HHJ</w:t>
      </w:r>
      <w:r w:rsidR="00E468F6" w:rsidRPr="000D3040">
        <w:t xml:space="preserve"> declared that it would be in JM’s best interests to remain at the care home</w:t>
      </w:r>
      <w:r w:rsidR="00E468F6">
        <w:t>.  D</w:t>
      </w:r>
      <w:r w:rsidR="00E468F6" w:rsidRPr="000D3040">
        <w:t xml:space="preserve">uring the </w:t>
      </w:r>
      <w:r w:rsidR="009A43AB">
        <w:t xml:space="preserve">very </w:t>
      </w:r>
      <w:r w:rsidR="00E468F6" w:rsidRPr="000D3040">
        <w:t xml:space="preserve">brief attempt </w:t>
      </w:r>
      <w:r w:rsidR="00E468F6">
        <w:t>made</w:t>
      </w:r>
      <w:r w:rsidR="00E468F6" w:rsidRPr="000D3040">
        <w:t xml:space="preserve"> to summarise </w:t>
      </w:r>
      <w:r w:rsidR="009A43AB">
        <w:t>JM’s wishes</w:t>
      </w:r>
      <w:r w:rsidR="00E468F6" w:rsidRPr="000D3040">
        <w:t xml:space="preserve"> at paragraph 7</w:t>
      </w:r>
      <w:r w:rsidR="005A7869">
        <w:t>9</w:t>
      </w:r>
      <w:r w:rsidR="00E468F6" w:rsidRPr="000D3040">
        <w:t xml:space="preserve">, </w:t>
      </w:r>
      <w:r w:rsidR="009A43AB">
        <w:t>they</w:t>
      </w:r>
      <w:r w:rsidR="00E468F6" w:rsidRPr="000D3040">
        <w:t xml:space="preserve"> are referred to as ‘inconsistent’ twice, and although he undoubtedly wanted to live elsewhere, this again is qualified because ‘he is by no means certain of where</w:t>
      </w:r>
      <w:r w:rsidR="005A7869">
        <w:t>…his view is inconsistent</w:t>
      </w:r>
      <w:r w:rsidR="00E468F6" w:rsidRPr="000D3040">
        <w:t>’,</w:t>
      </w:r>
      <w:r w:rsidR="00E468F6" w:rsidRPr="000D3040">
        <w:rPr>
          <w:rStyle w:val="FootnoteReference"/>
        </w:rPr>
        <w:footnoteReference w:id="116"/>
      </w:r>
      <w:r w:rsidR="00E468F6" w:rsidRPr="000D3040">
        <w:t xml:space="preserve"> and later, </w:t>
      </w:r>
    </w:p>
    <w:p w14:paraId="2661BD4A" w14:textId="77777777" w:rsidR="00E468F6" w:rsidRPr="000D3040" w:rsidRDefault="00E468F6" w:rsidP="00E468F6">
      <w:pPr>
        <w:spacing w:line="480" w:lineRule="auto"/>
        <w:ind w:left="567" w:right="751"/>
        <w:jc w:val="both"/>
      </w:pPr>
      <w:r w:rsidRPr="000D3040">
        <w:lastRenderedPageBreak/>
        <w:t xml:space="preserve">[j]ust because he expresses a wish to live with her, </w:t>
      </w:r>
      <w:r w:rsidRPr="000D3040">
        <w:rPr>
          <w:i/>
        </w:rPr>
        <w:t>about which he is not consistent anyway</w:t>
      </w:r>
      <w:r w:rsidRPr="000D3040">
        <w:t>, does not mean he has a capacity to make a decision on the matter’</w:t>
      </w:r>
      <w:r w:rsidR="00B64727">
        <w:t>.</w:t>
      </w:r>
      <w:r w:rsidRPr="000D3040">
        <w:rPr>
          <w:rStyle w:val="FootnoteReference"/>
        </w:rPr>
        <w:footnoteReference w:id="117"/>
      </w:r>
      <w:r w:rsidR="00B64727">
        <w:t xml:space="preserve"> (emphasis added)</w:t>
      </w:r>
    </w:p>
    <w:p w14:paraId="4DFDA8AC" w14:textId="77777777" w:rsidR="00E468F6" w:rsidRPr="000D3040" w:rsidRDefault="00E468F6" w:rsidP="00E468F6">
      <w:pPr>
        <w:spacing w:line="480" w:lineRule="auto"/>
        <w:jc w:val="both"/>
      </w:pPr>
    </w:p>
    <w:p w14:paraId="173CB391" w14:textId="48C6476C" w:rsidR="00E468F6" w:rsidRDefault="00E468F6" w:rsidP="00E468F6">
      <w:pPr>
        <w:spacing w:line="480" w:lineRule="auto"/>
        <w:jc w:val="both"/>
        <w:rPr>
          <w:sz w:val="20"/>
          <w:szCs w:val="20"/>
        </w:rPr>
      </w:pPr>
      <w:r w:rsidRPr="000D3040">
        <w:t>One final aspect of</w:t>
      </w:r>
      <w:r w:rsidR="00E772F5">
        <w:t xml:space="preserve"> the cases which highlights </w:t>
      </w:r>
      <w:r w:rsidR="005E4EF3">
        <w:t xml:space="preserve">even </w:t>
      </w:r>
      <w:r w:rsidRPr="000D3040">
        <w:t>subtler ways the Court ‘others’ the person with dementia in best interests decision-making, is how, on occasions, they have been marginalised through the camouflaging or outright hiding of the person’s wishes and feelings from the litigation</w:t>
      </w:r>
      <w:r w:rsidR="005A7869">
        <w:t xml:space="preserve"> because they are considered unable to contribute to the decision-making process in a manner the Court can comprehend</w:t>
      </w:r>
      <w:r w:rsidRPr="000D3040">
        <w:t xml:space="preserve">. </w:t>
      </w:r>
      <w:r w:rsidRPr="000D3040">
        <w:rPr>
          <w:i/>
        </w:rPr>
        <w:t>Milton Keynes Council v RR</w:t>
      </w:r>
      <w:r w:rsidRPr="00B64727">
        <w:rPr>
          <w:rStyle w:val="FootnoteReference"/>
        </w:rPr>
        <w:footnoteReference w:id="118"/>
      </w:r>
      <w:r w:rsidRPr="00B64727">
        <w:t xml:space="preserve"> </w:t>
      </w:r>
      <w:r w:rsidRPr="000D3040">
        <w:t xml:space="preserve">involved a decision by the Court of Protection that RR, an 81-year-old woman with vascular dementia, </w:t>
      </w:r>
      <w:r w:rsidR="00DE097F">
        <w:t xml:space="preserve">had been unlawfully deprived </w:t>
      </w:r>
      <w:r w:rsidRPr="000D3040">
        <w:t>of her liberty, following unsubstantiated safeguarding concerns. In doing so, they limited contact with her son, SS, her main carer, for a significant period of time.  Although painting a very vivid picture of what type of lady RR has been throughout her life, portraying her as someone who was ‘very independent’</w:t>
      </w:r>
      <w:r w:rsidRPr="000D3040">
        <w:rPr>
          <w:rStyle w:val="FootnoteReference"/>
        </w:rPr>
        <w:footnoteReference w:id="119"/>
      </w:r>
      <w:r w:rsidRPr="000D3040">
        <w:t xml:space="preserve"> but had ‘put her roots down and engaged actively with her local community, her friends and her local church’,</w:t>
      </w:r>
      <w:r w:rsidRPr="000D3040">
        <w:rPr>
          <w:rStyle w:val="FootnoteReference"/>
        </w:rPr>
        <w:footnoteReference w:id="120"/>
      </w:r>
      <w:r w:rsidRPr="000D3040">
        <w:t xml:space="preserve"> in effect, painting the picture of how she was </w:t>
      </w:r>
      <w:r w:rsidRPr="005E4EF3">
        <w:t xml:space="preserve">before she had dementia </w:t>
      </w:r>
      <w:r>
        <w:t xml:space="preserve">- </w:t>
      </w:r>
      <w:r w:rsidRPr="000D3040">
        <w:t>again,</w:t>
      </w:r>
      <w:r>
        <w:t xml:space="preserve"> </w:t>
      </w:r>
      <w:r w:rsidR="001D729D">
        <w:t xml:space="preserve">arguably </w:t>
      </w:r>
      <w:r w:rsidRPr="000D3040">
        <w:t>that of the ‘</w:t>
      </w:r>
      <w:r w:rsidR="001D729D">
        <w:t>pre-dementia</w:t>
      </w:r>
      <w:r w:rsidR="00791A53">
        <w:t>’</w:t>
      </w:r>
      <w:r>
        <w:t xml:space="preserve"> comparator - </w:t>
      </w:r>
      <w:r w:rsidRPr="000D3040">
        <w:t>the court explicitly states that she cannot express her wishes and feelings as to contact with SS,</w:t>
      </w:r>
      <w:r w:rsidRPr="000D3040">
        <w:rPr>
          <w:rStyle w:val="FootnoteReference"/>
        </w:rPr>
        <w:footnoteReference w:id="121"/>
      </w:r>
      <w:r w:rsidRPr="000D3040">
        <w:t xml:space="preserve"> without explaining</w:t>
      </w:r>
      <w:r w:rsidRPr="005E4EF3">
        <w:t xml:space="preserve"> why</w:t>
      </w:r>
      <w:r w:rsidRPr="000D3040">
        <w:rPr>
          <w:i/>
        </w:rPr>
        <w:t xml:space="preserve"> </w:t>
      </w:r>
      <w:r w:rsidR="005E4EF3">
        <w:t>this is the case.  T</w:t>
      </w:r>
      <w:r w:rsidRPr="000D3040">
        <w:t xml:space="preserve">here is no exploration as to whether she can express herself in her own particular ways – displaying contentment in the home, or </w:t>
      </w:r>
      <w:r w:rsidRPr="000D3040">
        <w:lastRenderedPageBreak/>
        <w:t>a lack of distress</w:t>
      </w:r>
      <w:r w:rsidR="001D729D">
        <w:t>, for example.</w:t>
      </w:r>
      <w:r w:rsidRPr="000D3040">
        <w:t xml:space="preserve">  This</w:t>
      </w:r>
      <w:r w:rsidR="001D729D">
        <w:t xml:space="preserve"> </w:t>
      </w:r>
      <w:r w:rsidRPr="000D3040">
        <w:t xml:space="preserve">evidence would </w:t>
      </w:r>
      <w:r>
        <w:t xml:space="preserve">have </w:t>
      </w:r>
      <w:r w:rsidRPr="000D3040">
        <w:t>be</w:t>
      </w:r>
      <w:r>
        <w:t>en</w:t>
      </w:r>
      <w:r w:rsidRPr="000D3040">
        <w:t xml:space="preserve"> </w:t>
      </w:r>
      <w:r w:rsidR="001D729D">
        <w:t xml:space="preserve">at the very least </w:t>
      </w:r>
      <w:r w:rsidRPr="000D3040">
        <w:t>indicative of her feelings towards her current care arrangements.  One is left with the impression</w:t>
      </w:r>
      <w:r w:rsidR="00791A53">
        <w:t xml:space="preserve"> from the Court’s processes</w:t>
      </w:r>
      <w:r w:rsidRPr="000D3040">
        <w:t xml:space="preserve"> that </w:t>
      </w:r>
      <w:r>
        <w:t xml:space="preserve">perhaps </w:t>
      </w:r>
      <w:r w:rsidRPr="000D3040">
        <w:t>because RR is unable to communicate verbally, or rationally,</w:t>
      </w:r>
      <w:r>
        <w:t xml:space="preserve"> in a manner that is </w:t>
      </w:r>
      <w:r w:rsidR="00791A53">
        <w:t>in accordance with</w:t>
      </w:r>
      <w:r>
        <w:t xml:space="preserve"> the idealistic </w:t>
      </w:r>
      <w:r w:rsidR="00791A53">
        <w:t>paradigm</w:t>
      </w:r>
      <w:r>
        <w:t>,</w:t>
      </w:r>
      <w:r w:rsidRPr="000D3040">
        <w:t xml:space="preserve"> she is deemed as unable to express her wishes and feelings at all – or even as not having any </w:t>
      </w:r>
      <w:r>
        <w:t>views</w:t>
      </w:r>
      <w:r w:rsidRPr="000D3040">
        <w:t xml:space="preserve"> </w:t>
      </w:r>
      <w:r w:rsidR="001D729D">
        <w:t>at all given her advanced</w:t>
      </w:r>
      <w:r w:rsidRPr="000D3040">
        <w:t xml:space="preserve"> state of dementia. </w:t>
      </w:r>
      <w:r w:rsidRPr="000D3040">
        <w:rPr>
          <w:sz w:val="20"/>
          <w:szCs w:val="20"/>
        </w:rPr>
        <w:t xml:space="preserve"> </w:t>
      </w:r>
    </w:p>
    <w:p w14:paraId="0EC1766E" w14:textId="77777777" w:rsidR="00E468F6" w:rsidRDefault="00E468F6" w:rsidP="00E468F6">
      <w:pPr>
        <w:spacing w:line="480" w:lineRule="auto"/>
        <w:jc w:val="both"/>
        <w:rPr>
          <w:sz w:val="20"/>
          <w:szCs w:val="20"/>
        </w:rPr>
      </w:pPr>
    </w:p>
    <w:p w14:paraId="2EE908A5" w14:textId="2A26076B" w:rsidR="00E468F6" w:rsidRDefault="00E468F6" w:rsidP="00E468F6">
      <w:pPr>
        <w:spacing w:line="480" w:lineRule="auto"/>
        <w:jc w:val="both"/>
      </w:pPr>
      <w:r w:rsidRPr="000D3040">
        <w:t xml:space="preserve">Indeed, </w:t>
      </w:r>
      <w:r>
        <w:t>ascertaining a person’s current perspective is not impossible</w:t>
      </w:r>
      <w:r w:rsidR="00791A53">
        <w:t xml:space="preserve"> even in the most advanced stages of dementia</w:t>
      </w:r>
      <w:r>
        <w:t xml:space="preserve"> - </w:t>
      </w:r>
      <w:r w:rsidRPr="000D3040">
        <w:t xml:space="preserve">novel approaches to ascertaining an individual’s </w:t>
      </w:r>
      <w:r w:rsidR="00DE097F">
        <w:t xml:space="preserve">current perspective </w:t>
      </w:r>
      <w:r>
        <w:t>have</w:t>
      </w:r>
      <w:r w:rsidRPr="000D3040">
        <w:t xml:space="preserve"> been utilised in other cases. In </w:t>
      </w:r>
      <w:r w:rsidRPr="000D3040">
        <w:rPr>
          <w:i/>
        </w:rPr>
        <w:t>WCC v GS,</w:t>
      </w:r>
      <w:r w:rsidRPr="0045398C">
        <w:rPr>
          <w:rStyle w:val="FootnoteReference"/>
        </w:rPr>
        <w:footnoteReference w:id="122"/>
      </w:r>
      <w:r w:rsidRPr="000D3040">
        <w:rPr>
          <w:i/>
        </w:rPr>
        <w:t xml:space="preserve"> </w:t>
      </w:r>
      <w:r w:rsidRPr="000D3040">
        <w:t xml:space="preserve">for example, involving the residence of an 83-year-old </w:t>
      </w:r>
      <w:r w:rsidR="00791A53">
        <w:t>woman</w:t>
      </w:r>
      <w:r w:rsidRPr="000D3040">
        <w:t xml:space="preserve"> with Alzheimer’s, the Court noted that at the care home, ‘GS appears to be happy and settled,’</w:t>
      </w:r>
      <w:r w:rsidRPr="000D3040">
        <w:rPr>
          <w:rStyle w:val="FootnoteReference"/>
        </w:rPr>
        <w:footnoteReference w:id="123"/>
      </w:r>
      <w:r w:rsidRPr="000D3040">
        <w:t xml:space="preserve"> and received images of the individual in question in her care home, which demonstrated her contentment – even going so far as to say that </w:t>
      </w:r>
      <w:r w:rsidR="00DE097F">
        <w:t>‘</w:t>
      </w:r>
      <w:r w:rsidRPr="000D3040">
        <w:t>given her age and physical and mental condition, it would probably be very dangerous to undertake such a move.’</w:t>
      </w:r>
      <w:r w:rsidRPr="000D3040">
        <w:rPr>
          <w:rStyle w:val="FootnoteReference"/>
        </w:rPr>
        <w:footnoteReference w:id="124"/>
      </w:r>
    </w:p>
    <w:p w14:paraId="3CFD5BA3" w14:textId="77777777" w:rsidR="00E468F6" w:rsidRPr="00B64727" w:rsidRDefault="00E468F6" w:rsidP="00E468F6">
      <w:pPr>
        <w:pStyle w:val="NoSpacing"/>
        <w:spacing w:line="480" w:lineRule="auto"/>
        <w:jc w:val="both"/>
        <w:rPr>
          <w:rFonts w:ascii="Times New Roman" w:hAnsi="Times New Roman" w:cs="Times New Roman"/>
        </w:rPr>
      </w:pPr>
    </w:p>
    <w:p w14:paraId="5EB150CF" w14:textId="30F98668" w:rsidR="00B64727" w:rsidRPr="00B64727" w:rsidRDefault="0045398C" w:rsidP="00B64727">
      <w:pPr>
        <w:pStyle w:val="NoSpacing"/>
        <w:spacing w:line="480" w:lineRule="auto"/>
        <w:jc w:val="both"/>
        <w:rPr>
          <w:rFonts w:ascii="Times New Roman" w:hAnsi="Times New Roman" w:cs="Times New Roman"/>
        </w:rPr>
      </w:pPr>
      <w:r>
        <w:rPr>
          <w:rFonts w:ascii="Times New Roman" w:hAnsi="Times New Roman" w:cs="Times New Roman"/>
        </w:rPr>
        <w:t>The</w:t>
      </w:r>
      <w:r w:rsidR="00E468F6" w:rsidRPr="00B64727">
        <w:rPr>
          <w:rFonts w:ascii="Times New Roman" w:hAnsi="Times New Roman" w:cs="Times New Roman"/>
        </w:rPr>
        <w:t xml:space="preserve"> picture painted by both the Courts and some of the professional opinion throughout these cases is characterised by an inability to see things the way the local authority or the Court sees thing</w:t>
      </w:r>
      <w:r w:rsidR="00E772F5">
        <w:rPr>
          <w:rFonts w:ascii="Times New Roman" w:hAnsi="Times New Roman" w:cs="Times New Roman"/>
        </w:rPr>
        <w:t>s</w:t>
      </w:r>
      <w:r w:rsidR="00791A53">
        <w:rPr>
          <w:rFonts w:ascii="Times New Roman" w:hAnsi="Times New Roman" w:cs="Times New Roman"/>
        </w:rPr>
        <w:t>, and this is used as evidence of the correctness of the idealistic standard that forms the original comparator</w:t>
      </w:r>
      <w:r w:rsidR="005E4EF3">
        <w:rPr>
          <w:rFonts w:ascii="Times New Roman" w:hAnsi="Times New Roman" w:cs="Times New Roman"/>
        </w:rPr>
        <w:t>. I</w:t>
      </w:r>
      <w:r w:rsidR="00E468F6" w:rsidRPr="00B64727">
        <w:rPr>
          <w:rFonts w:ascii="Times New Roman" w:hAnsi="Times New Roman" w:cs="Times New Roman"/>
        </w:rPr>
        <w:t>t is</w:t>
      </w:r>
      <w:r w:rsidR="005E4EF3">
        <w:rPr>
          <w:rFonts w:ascii="Times New Roman" w:hAnsi="Times New Roman" w:cs="Times New Roman"/>
        </w:rPr>
        <w:t xml:space="preserve"> </w:t>
      </w:r>
      <w:r w:rsidR="00E468F6" w:rsidRPr="00B64727">
        <w:rPr>
          <w:rFonts w:ascii="Times New Roman" w:hAnsi="Times New Roman" w:cs="Times New Roman"/>
        </w:rPr>
        <w:t>a failure to respect the unique subjective character of experience</w:t>
      </w:r>
      <w:r w:rsidR="00E468F6" w:rsidRPr="00B64727">
        <w:rPr>
          <w:rStyle w:val="FootnoteReference"/>
          <w:rFonts w:ascii="Times New Roman" w:hAnsi="Times New Roman" w:cs="Times New Roman"/>
        </w:rPr>
        <w:footnoteReference w:id="125"/>
      </w:r>
      <w:r w:rsidR="00865F3D">
        <w:rPr>
          <w:rFonts w:ascii="Times New Roman" w:hAnsi="Times New Roman" w:cs="Times New Roman"/>
        </w:rPr>
        <w:t xml:space="preserve"> - in this case, the subjective character of experience</w:t>
      </w:r>
      <w:r w:rsidR="00791A53">
        <w:rPr>
          <w:rFonts w:ascii="Times New Roman" w:hAnsi="Times New Roman" w:cs="Times New Roman"/>
        </w:rPr>
        <w:t xml:space="preserve"> of the person with dementia</w:t>
      </w:r>
      <w:r w:rsidR="005E4EF3">
        <w:rPr>
          <w:rFonts w:ascii="Times New Roman" w:hAnsi="Times New Roman" w:cs="Times New Roman"/>
        </w:rPr>
        <w:t xml:space="preserve"> before the Court</w:t>
      </w:r>
      <w:r w:rsidR="00791A53">
        <w:rPr>
          <w:rFonts w:ascii="Times New Roman" w:hAnsi="Times New Roman" w:cs="Times New Roman"/>
        </w:rPr>
        <w:t>.</w:t>
      </w:r>
      <w:r w:rsidR="00E468F6" w:rsidRPr="00B64727">
        <w:rPr>
          <w:rFonts w:ascii="Times New Roman" w:hAnsi="Times New Roman" w:cs="Times New Roman"/>
        </w:rPr>
        <w:t xml:space="preserve">  </w:t>
      </w:r>
      <w:r w:rsidR="00C94873">
        <w:rPr>
          <w:rFonts w:ascii="Times New Roman" w:hAnsi="Times New Roman" w:cs="Times New Roman"/>
        </w:rPr>
        <w:t>As noted throughout this paper, t</w:t>
      </w:r>
      <w:r>
        <w:rPr>
          <w:rFonts w:ascii="Times New Roman" w:hAnsi="Times New Roman" w:cs="Times New Roman"/>
        </w:rPr>
        <w:t>he</w:t>
      </w:r>
      <w:r w:rsidR="00E468F6" w:rsidRPr="00B64727">
        <w:rPr>
          <w:rFonts w:ascii="Times New Roman" w:hAnsi="Times New Roman" w:cs="Times New Roman"/>
        </w:rPr>
        <w:t xml:space="preserve"> experience of dementia </w:t>
      </w:r>
      <w:r w:rsidR="00E468F6" w:rsidRPr="00D570A8">
        <w:rPr>
          <w:rFonts w:ascii="Times New Roman" w:hAnsi="Times New Roman" w:cs="Times New Roman"/>
          <w:i/>
        </w:rPr>
        <w:lastRenderedPageBreak/>
        <w:t xml:space="preserve">does </w:t>
      </w:r>
      <w:r w:rsidR="00E468F6" w:rsidRPr="00B64727">
        <w:rPr>
          <w:rFonts w:ascii="Times New Roman" w:hAnsi="Times New Roman" w:cs="Times New Roman"/>
        </w:rPr>
        <w:t xml:space="preserve">entail a </w:t>
      </w:r>
      <w:r w:rsidR="00C94873">
        <w:rPr>
          <w:rFonts w:ascii="Times New Roman" w:hAnsi="Times New Roman" w:cs="Times New Roman"/>
        </w:rPr>
        <w:t xml:space="preserve">change </w:t>
      </w:r>
      <w:r w:rsidR="00E468F6" w:rsidRPr="00B64727">
        <w:rPr>
          <w:rFonts w:ascii="Times New Roman" w:hAnsi="Times New Roman" w:cs="Times New Roman"/>
        </w:rPr>
        <w:t>in functioning</w:t>
      </w:r>
      <w:r w:rsidR="00C94873">
        <w:rPr>
          <w:rFonts w:ascii="Times New Roman" w:hAnsi="Times New Roman" w:cs="Times New Roman"/>
        </w:rPr>
        <w:t>, and</w:t>
      </w:r>
      <w:r w:rsidR="00E468F6" w:rsidRPr="00B64727">
        <w:rPr>
          <w:rFonts w:ascii="Times New Roman" w:hAnsi="Times New Roman" w:cs="Times New Roman"/>
        </w:rPr>
        <w:t xml:space="preserve"> it is important that the courts </w:t>
      </w:r>
      <w:r w:rsidR="00C94873">
        <w:rPr>
          <w:rFonts w:ascii="Times New Roman" w:hAnsi="Times New Roman" w:cs="Times New Roman"/>
        </w:rPr>
        <w:t>confront the strength of an</w:t>
      </w:r>
      <w:r w:rsidR="00E468F6" w:rsidRPr="00B64727">
        <w:rPr>
          <w:rFonts w:ascii="Times New Roman" w:hAnsi="Times New Roman" w:cs="Times New Roman"/>
        </w:rPr>
        <w:t xml:space="preserve"> individual’s </w:t>
      </w:r>
      <w:r w:rsidR="00C94873">
        <w:rPr>
          <w:rFonts w:ascii="Times New Roman" w:hAnsi="Times New Roman" w:cs="Times New Roman"/>
        </w:rPr>
        <w:t>particular abilities</w:t>
      </w:r>
      <w:r w:rsidR="00E468F6" w:rsidRPr="00B64727">
        <w:rPr>
          <w:rFonts w:ascii="Times New Roman" w:hAnsi="Times New Roman" w:cs="Times New Roman"/>
        </w:rPr>
        <w:t xml:space="preserve"> when making best interests decision</w:t>
      </w:r>
      <w:r w:rsidR="00865F3D">
        <w:rPr>
          <w:rFonts w:ascii="Times New Roman" w:hAnsi="Times New Roman" w:cs="Times New Roman"/>
        </w:rPr>
        <w:t>s. As such, the paper does not seek</w:t>
      </w:r>
      <w:r w:rsidR="001D729D">
        <w:rPr>
          <w:rFonts w:ascii="Times New Roman" w:hAnsi="Times New Roman" w:cs="Times New Roman"/>
        </w:rPr>
        <w:t xml:space="preserve"> to argue</w:t>
      </w:r>
      <w:r w:rsidR="00791A53">
        <w:rPr>
          <w:rFonts w:ascii="Times New Roman" w:hAnsi="Times New Roman" w:cs="Times New Roman"/>
        </w:rPr>
        <w:t xml:space="preserve"> that </w:t>
      </w:r>
      <w:r w:rsidR="0080462B">
        <w:rPr>
          <w:rFonts w:ascii="Times New Roman" w:hAnsi="Times New Roman" w:cs="Times New Roman"/>
        </w:rPr>
        <w:t xml:space="preserve">exactly the same </w:t>
      </w:r>
      <w:r w:rsidR="00791A53">
        <w:rPr>
          <w:rFonts w:ascii="Times New Roman" w:hAnsi="Times New Roman" w:cs="Times New Roman"/>
        </w:rPr>
        <w:t xml:space="preserve">weight should be given to every wish </w:t>
      </w:r>
      <w:r w:rsidR="0080462B">
        <w:rPr>
          <w:rFonts w:ascii="Times New Roman" w:hAnsi="Times New Roman" w:cs="Times New Roman"/>
        </w:rPr>
        <w:t>enunciated</w:t>
      </w:r>
      <w:r w:rsidR="00791A53">
        <w:rPr>
          <w:rFonts w:ascii="Times New Roman" w:hAnsi="Times New Roman" w:cs="Times New Roman"/>
        </w:rPr>
        <w:t xml:space="preserve"> by the person with dementia</w:t>
      </w:r>
      <w:r w:rsidR="0080462B">
        <w:rPr>
          <w:rFonts w:ascii="Times New Roman" w:hAnsi="Times New Roman" w:cs="Times New Roman"/>
        </w:rPr>
        <w:t xml:space="preserve"> in the decision-making process,</w:t>
      </w:r>
      <w:r w:rsidR="004B7D1E">
        <w:rPr>
          <w:rFonts w:ascii="Times New Roman" w:hAnsi="Times New Roman" w:cs="Times New Roman"/>
        </w:rPr>
        <w:t xml:space="preserve"> </w:t>
      </w:r>
      <w:r w:rsidR="0080462B">
        <w:rPr>
          <w:rFonts w:ascii="Times New Roman" w:hAnsi="Times New Roman" w:cs="Times New Roman"/>
        </w:rPr>
        <w:t>or that the wishes of the person with dementia should override all other concerns that feed in to the decision-making process. Because of how dementia, as a cognitive impairm</w:t>
      </w:r>
      <w:r w:rsidR="005E4EF3">
        <w:rPr>
          <w:rFonts w:ascii="Times New Roman" w:hAnsi="Times New Roman" w:cs="Times New Roman"/>
        </w:rPr>
        <w:t>ent, operates, in some cases, particularly</w:t>
      </w:r>
      <w:r w:rsidR="0080462B">
        <w:rPr>
          <w:rFonts w:ascii="Times New Roman" w:hAnsi="Times New Roman" w:cs="Times New Roman"/>
        </w:rPr>
        <w:t xml:space="preserve"> in the more advanced stage of the condition, their wishes may conflict or change on a regular basis, for example</w:t>
      </w:r>
      <w:r w:rsidR="00E468F6" w:rsidRPr="00B64727">
        <w:rPr>
          <w:rFonts w:ascii="Times New Roman" w:hAnsi="Times New Roman" w:cs="Times New Roman"/>
        </w:rPr>
        <w:t xml:space="preserve">. </w:t>
      </w:r>
      <w:r w:rsidR="00E15D09">
        <w:rPr>
          <w:rFonts w:ascii="Times New Roman" w:hAnsi="Times New Roman" w:cs="Times New Roman"/>
        </w:rPr>
        <w:t>T</w:t>
      </w:r>
      <w:r w:rsidR="00EE0A63">
        <w:rPr>
          <w:rFonts w:ascii="Times New Roman" w:hAnsi="Times New Roman" w:cs="Times New Roman"/>
        </w:rPr>
        <w:t xml:space="preserve">he </w:t>
      </w:r>
      <w:r w:rsidR="00E468F6" w:rsidRPr="00B64727">
        <w:rPr>
          <w:rFonts w:ascii="Times New Roman" w:hAnsi="Times New Roman" w:cs="Times New Roman"/>
        </w:rPr>
        <w:t xml:space="preserve">way the Court </w:t>
      </w:r>
      <w:r w:rsidR="001D729D">
        <w:rPr>
          <w:rFonts w:ascii="Times New Roman" w:hAnsi="Times New Roman" w:cs="Times New Roman"/>
        </w:rPr>
        <w:t>has considered the perspective of the person with dementia</w:t>
      </w:r>
      <w:r w:rsidR="00EE0A63">
        <w:rPr>
          <w:rFonts w:ascii="Times New Roman" w:hAnsi="Times New Roman" w:cs="Times New Roman"/>
        </w:rPr>
        <w:t xml:space="preserve"> in the cases purveyed here, however,</w:t>
      </w:r>
      <w:r w:rsidR="00E468F6" w:rsidRPr="00B64727">
        <w:rPr>
          <w:rFonts w:ascii="Times New Roman" w:hAnsi="Times New Roman" w:cs="Times New Roman"/>
        </w:rPr>
        <w:t xml:space="preserve"> risk</w:t>
      </w:r>
      <w:r w:rsidR="00C94873">
        <w:rPr>
          <w:rFonts w:ascii="Times New Roman" w:hAnsi="Times New Roman" w:cs="Times New Roman"/>
        </w:rPr>
        <w:t>s</w:t>
      </w:r>
      <w:r w:rsidR="00E468F6" w:rsidRPr="00B64727">
        <w:rPr>
          <w:rFonts w:ascii="Times New Roman" w:hAnsi="Times New Roman" w:cs="Times New Roman"/>
        </w:rPr>
        <w:t xml:space="preserve"> pathologising the person with dementia, or rendering them the ‘Other’ – and it is focusing on their deficiencies</w:t>
      </w:r>
      <w:r w:rsidR="00C94873">
        <w:rPr>
          <w:rFonts w:ascii="Times New Roman" w:hAnsi="Times New Roman" w:cs="Times New Roman"/>
        </w:rPr>
        <w:t xml:space="preserve"> </w:t>
      </w:r>
      <w:r w:rsidR="00EE0A63">
        <w:rPr>
          <w:rFonts w:ascii="Times New Roman" w:hAnsi="Times New Roman" w:cs="Times New Roman"/>
        </w:rPr>
        <w:t xml:space="preserve">and their diagnosis </w:t>
      </w:r>
      <w:r w:rsidR="00C94873">
        <w:rPr>
          <w:rFonts w:ascii="Times New Roman" w:hAnsi="Times New Roman" w:cs="Times New Roman"/>
        </w:rPr>
        <w:t>as evidence of their ‘otherness’</w:t>
      </w:r>
      <w:r w:rsidR="00E468F6" w:rsidRPr="00B64727">
        <w:rPr>
          <w:rFonts w:ascii="Times New Roman" w:hAnsi="Times New Roman" w:cs="Times New Roman"/>
        </w:rPr>
        <w:t xml:space="preserve"> </w:t>
      </w:r>
      <w:r w:rsidR="00DE097F">
        <w:rPr>
          <w:rFonts w:ascii="Times New Roman" w:hAnsi="Times New Roman" w:cs="Times New Roman"/>
        </w:rPr>
        <w:t>that</w:t>
      </w:r>
      <w:r w:rsidR="00C94873">
        <w:rPr>
          <w:rFonts w:ascii="Times New Roman" w:hAnsi="Times New Roman" w:cs="Times New Roman"/>
        </w:rPr>
        <w:t xml:space="preserve"> is </w:t>
      </w:r>
      <w:r w:rsidR="00E468F6" w:rsidRPr="00B64727">
        <w:rPr>
          <w:rFonts w:ascii="Times New Roman" w:hAnsi="Times New Roman" w:cs="Times New Roman"/>
        </w:rPr>
        <w:t>problematic. It is</w:t>
      </w:r>
      <w:r w:rsidR="00DE097F">
        <w:rPr>
          <w:rFonts w:ascii="Times New Roman" w:hAnsi="Times New Roman" w:cs="Times New Roman"/>
        </w:rPr>
        <w:t xml:space="preserve"> a</w:t>
      </w:r>
      <w:r w:rsidR="00E468F6" w:rsidRPr="00B64727">
        <w:rPr>
          <w:rFonts w:ascii="Times New Roman" w:hAnsi="Times New Roman" w:cs="Times New Roman"/>
        </w:rPr>
        <w:t xml:space="preserve"> mechanism by </w:t>
      </w:r>
      <w:r w:rsidR="005E4EF3">
        <w:rPr>
          <w:rFonts w:ascii="Times New Roman" w:hAnsi="Times New Roman" w:cs="Times New Roman"/>
        </w:rPr>
        <w:t>which the Court reinforces the correctness</w:t>
      </w:r>
      <w:r w:rsidR="00E468F6" w:rsidRPr="00B64727">
        <w:rPr>
          <w:rFonts w:ascii="Times New Roman" w:hAnsi="Times New Roman" w:cs="Times New Roman"/>
        </w:rPr>
        <w:t xml:space="preserve"> </w:t>
      </w:r>
      <w:r w:rsidR="00DE097F">
        <w:rPr>
          <w:rFonts w:ascii="Times New Roman" w:hAnsi="Times New Roman" w:cs="Times New Roman"/>
        </w:rPr>
        <w:t>of</w:t>
      </w:r>
      <w:r w:rsidR="00E468F6" w:rsidRPr="00B64727">
        <w:rPr>
          <w:rFonts w:ascii="Times New Roman" w:hAnsi="Times New Roman" w:cs="Times New Roman"/>
        </w:rPr>
        <w:t xml:space="preserve"> the idealistic standard</w:t>
      </w:r>
      <w:r w:rsidR="00EE0A63">
        <w:rPr>
          <w:rFonts w:ascii="Times New Roman" w:hAnsi="Times New Roman" w:cs="Times New Roman"/>
        </w:rPr>
        <w:t xml:space="preserve">. To return to Weicht’s quote, </w:t>
      </w:r>
      <w:r w:rsidR="00E468F6" w:rsidRPr="00B64727">
        <w:rPr>
          <w:rFonts w:ascii="Times New Roman" w:hAnsi="Times New Roman" w:cs="Times New Roman"/>
        </w:rPr>
        <w:t>it ‘enables a reaffirmation of all that is valued’</w:t>
      </w:r>
      <w:r w:rsidR="00E468F6" w:rsidRPr="00B64727">
        <w:rPr>
          <w:rStyle w:val="FootnoteReference"/>
          <w:rFonts w:ascii="Times New Roman" w:hAnsi="Times New Roman" w:cs="Times New Roman"/>
        </w:rPr>
        <w:footnoteReference w:id="126"/>
      </w:r>
      <w:r w:rsidR="00EE0A63">
        <w:rPr>
          <w:rFonts w:ascii="Times New Roman" w:hAnsi="Times New Roman" w:cs="Times New Roman"/>
        </w:rPr>
        <w:t xml:space="preserve"> – of the rational, competent, functionally intact comparator.</w:t>
      </w:r>
      <w:r w:rsidR="00E468F6" w:rsidRPr="00B64727">
        <w:rPr>
          <w:rFonts w:ascii="Times New Roman" w:hAnsi="Times New Roman" w:cs="Times New Roman"/>
        </w:rPr>
        <w:t xml:space="preserve"> This, in turn, highlights the need to be wary of Coggon’s assertion that ‘[s]ometimes…it is perfectly legitimate to recommend a situation informed by existing social and institutional norms and practices’,</w:t>
      </w:r>
      <w:r w:rsidR="00E468F6" w:rsidRPr="00B64727">
        <w:rPr>
          <w:rStyle w:val="FootnoteReference"/>
          <w:rFonts w:ascii="Times New Roman" w:hAnsi="Times New Roman" w:cs="Times New Roman"/>
        </w:rPr>
        <w:footnoteReference w:id="127"/>
      </w:r>
      <w:r w:rsidR="00E468F6" w:rsidRPr="00B64727">
        <w:rPr>
          <w:rFonts w:ascii="Times New Roman" w:hAnsi="Times New Roman" w:cs="Times New Roman"/>
        </w:rPr>
        <w:t xml:space="preserve"> particularly where existing social norms and practices devalue the voice of the person with dementia</w:t>
      </w:r>
      <w:r w:rsidR="001D729D">
        <w:rPr>
          <w:rFonts w:ascii="Times New Roman" w:hAnsi="Times New Roman" w:cs="Times New Roman"/>
        </w:rPr>
        <w:t>, which,</w:t>
      </w:r>
      <w:r w:rsidR="005E4EF3">
        <w:rPr>
          <w:rFonts w:ascii="Times New Roman" w:hAnsi="Times New Roman" w:cs="Times New Roman"/>
        </w:rPr>
        <w:t xml:space="preserve"> in turn, take hold</w:t>
      </w:r>
      <w:r w:rsidR="00EE0A63">
        <w:rPr>
          <w:rFonts w:ascii="Times New Roman" w:hAnsi="Times New Roman" w:cs="Times New Roman"/>
        </w:rPr>
        <w:t xml:space="preserve"> within the Court’s decision-making processes</w:t>
      </w:r>
      <w:r w:rsidR="00E468F6" w:rsidRPr="00B64727">
        <w:rPr>
          <w:rFonts w:ascii="Times New Roman" w:hAnsi="Times New Roman" w:cs="Times New Roman"/>
        </w:rPr>
        <w:t xml:space="preserve">. </w:t>
      </w:r>
      <w:r w:rsidR="00B64727" w:rsidRPr="00B64727">
        <w:rPr>
          <w:rFonts w:ascii="Times New Roman" w:hAnsi="Times New Roman" w:cs="Times New Roman"/>
        </w:rPr>
        <w:t xml:space="preserve">In the next section I argue that by </w:t>
      </w:r>
      <w:r w:rsidR="002D0701">
        <w:rPr>
          <w:rFonts w:ascii="Times New Roman" w:hAnsi="Times New Roman" w:cs="Times New Roman"/>
        </w:rPr>
        <w:t>adopting an intersubjective approach</w:t>
      </w:r>
      <w:r w:rsidR="00B64727" w:rsidRPr="00B64727">
        <w:rPr>
          <w:rFonts w:ascii="Times New Roman" w:hAnsi="Times New Roman" w:cs="Times New Roman"/>
        </w:rPr>
        <w:t>, there may be</w:t>
      </w:r>
      <w:r w:rsidR="00C94873">
        <w:rPr>
          <w:rFonts w:ascii="Times New Roman" w:hAnsi="Times New Roman" w:cs="Times New Roman"/>
        </w:rPr>
        <w:t xml:space="preserve"> </w:t>
      </w:r>
      <w:r w:rsidR="00B64727" w:rsidRPr="00B64727">
        <w:rPr>
          <w:rFonts w:ascii="Times New Roman" w:hAnsi="Times New Roman" w:cs="Times New Roman"/>
        </w:rPr>
        <w:t xml:space="preserve">the possibility of being more attuned to the </w:t>
      </w:r>
      <w:r w:rsidR="001D729D" w:rsidRPr="00E05D0F">
        <w:rPr>
          <w:rFonts w:ascii="Times New Roman" w:hAnsi="Times New Roman" w:cs="Times New Roman"/>
        </w:rPr>
        <w:t xml:space="preserve">person’s </w:t>
      </w:r>
      <w:r w:rsidR="001D729D">
        <w:rPr>
          <w:rFonts w:ascii="Times New Roman" w:hAnsi="Times New Roman" w:cs="Times New Roman"/>
        </w:rPr>
        <w:t xml:space="preserve">own </w:t>
      </w:r>
      <w:r w:rsidR="001D729D" w:rsidRPr="00E05D0F">
        <w:rPr>
          <w:rFonts w:ascii="Times New Roman" w:hAnsi="Times New Roman" w:cs="Times New Roman"/>
        </w:rPr>
        <w:t>perspective</w:t>
      </w:r>
      <w:r w:rsidR="00B64727" w:rsidRPr="00B64727">
        <w:rPr>
          <w:rFonts w:ascii="Times New Roman" w:hAnsi="Times New Roman" w:cs="Times New Roman"/>
        </w:rPr>
        <w:t>, and, furthermore, has the potential to subvert the idealised image of the ‘secure, distinct, closed and autonomous’</w:t>
      </w:r>
      <w:r w:rsidR="00B64727" w:rsidRPr="00B64727">
        <w:rPr>
          <w:rStyle w:val="FootnoteReference"/>
          <w:rFonts w:ascii="Times New Roman" w:hAnsi="Times New Roman" w:cs="Times New Roman"/>
        </w:rPr>
        <w:footnoteReference w:id="128"/>
      </w:r>
      <w:r w:rsidR="00B64727" w:rsidRPr="00B64727">
        <w:rPr>
          <w:rFonts w:ascii="Times New Roman" w:hAnsi="Times New Roman" w:cs="Times New Roman"/>
        </w:rPr>
        <w:t xml:space="preserve"> individual that remains an implicit standard in such cases. While such an approach may not necessarily combat every difficulty in incorporating </w:t>
      </w:r>
      <w:r w:rsidR="00E772F5">
        <w:rPr>
          <w:rFonts w:ascii="Times New Roman" w:hAnsi="Times New Roman" w:cs="Times New Roman"/>
        </w:rPr>
        <w:t xml:space="preserve">the person’s </w:t>
      </w:r>
      <w:r w:rsidR="00E772F5">
        <w:rPr>
          <w:rFonts w:ascii="Times New Roman" w:hAnsi="Times New Roman" w:cs="Times New Roman"/>
        </w:rPr>
        <w:lastRenderedPageBreak/>
        <w:t xml:space="preserve">own </w:t>
      </w:r>
      <w:r w:rsidR="002D0701">
        <w:rPr>
          <w:rFonts w:ascii="Times New Roman" w:hAnsi="Times New Roman" w:cs="Times New Roman"/>
        </w:rPr>
        <w:t xml:space="preserve">voice </w:t>
      </w:r>
      <w:r w:rsidR="00E772F5">
        <w:rPr>
          <w:rFonts w:ascii="Times New Roman" w:hAnsi="Times New Roman" w:cs="Times New Roman"/>
        </w:rPr>
        <w:t>in</w:t>
      </w:r>
      <w:r w:rsidR="00B64727" w:rsidRPr="00B64727">
        <w:rPr>
          <w:rFonts w:ascii="Times New Roman" w:hAnsi="Times New Roman" w:cs="Times New Roman"/>
        </w:rPr>
        <w:t xml:space="preserve">to </w:t>
      </w:r>
      <w:r w:rsidR="002D0701">
        <w:rPr>
          <w:rFonts w:ascii="Times New Roman" w:hAnsi="Times New Roman" w:cs="Times New Roman"/>
        </w:rPr>
        <w:t xml:space="preserve">the </w:t>
      </w:r>
      <w:r w:rsidR="00B64727" w:rsidRPr="00B64727">
        <w:rPr>
          <w:rFonts w:ascii="Times New Roman" w:hAnsi="Times New Roman" w:cs="Times New Roman"/>
        </w:rPr>
        <w:t>best interests decision-making</w:t>
      </w:r>
      <w:r w:rsidR="002D0701">
        <w:rPr>
          <w:rFonts w:ascii="Times New Roman" w:hAnsi="Times New Roman" w:cs="Times New Roman"/>
        </w:rPr>
        <w:t xml:space="preserve"> process undertaken by the Court</w:t>
      </w:r>
      <w:r w:rsidR="00B64727" w:rsidRPr="00B64727">
        <w:rPr>
          <w:rFonts w:ascii="Times New Roman" w:hAnsi="Times New Roman" w:cs="Times New Roman"/>
        </w:rPr>
        <w:t>, it is argued here that it may provide the Court with a lens by which it can</w:t>
      </w:r>
      <w:r w:rsidR="002D0701">
        <w:rPr>
          <w:rFonts w:ascii="Times New Roman" w:hAnsi="Times New Roman" w:cs="Times New Roman"/>
        </w:rPr>
        <w:t>, to adopt Atkins’ language,</w:t>
      </w:r>
      <w:r w:rsidR="00B64727" w:rsidRPr="00B64727">
        <w:rPr>
          <w:rFonts w:ascii="Times New Roman" w:hAnsi="Times New Roman" w:cs="Times New Roman"/>
        </w:rPr>
        <w:t xml:space="preserve"> </w:t>
      </w:r>
      <w:r w:rsidR="00220846">
        <w:rPr>
          <w:rFonts w:ascii="Times New Roman" w:hAnsi="Times New Roman" w:cs="Times New Roman"/>
        </w:rPr>
        <w:t xml:space="preserve">be </w:t>
      </w:r>
      <w:r w:rsidR="00B64727" w:rsidRPr="00B64727">
        <w:rPr>
          <w:rFonts w:ascii="Times New Roman" w:hAnsi="Times New Roman" w:cs="Times New Roman"/>
        </w:rPr>
        <w:t>more ‘appropriately subjective’.</w:t>
      </w:r>
      <w:r w:rsidR="00B64727" w:rsidRPr="00B64727">
        <w:rPr>
          <w:rStyle w:val="FootnoteReference"/>
          <w:rFonts w:ascii="Times New Roman" w:hAnsi="Times New Roman" w:cs="Times New Roman"/>
        </w:rPr>
        <w:footnoteReference w:id="129"/>
      </w:r>
    </w:p>
    <w:p w14:paraId="5375F1CF" w14:textId="77777777" w:rsidR="00E468F6" w:rsidRPr="00F6705F" w:rsidRDefault="00E468F6" w:rsidP="000E6DF0">
      <w:pPr>
        <w:spacing w:line="480" w:lineRule="auto"/>
        <w:jc w:val="both"/>
        <w:rPr>
          <w:rFonts w:ascii="Calibri" w:hAnsi="Calibri"/>
        </w:rPr>
      </w:pPr>
    </w:p>
    <w:p w14:paraId="6ECA7F84" w14:textId="78F6FCBF" w:rsidR="00563331" w:rsidRPr="00795E6D" w:rsidRDefault="00673CFD" w:rsidP="002A394D">
      <w:pPr>
        <w:jc w:val="center"/>
        <w:rPr>
          <w:bCs/>
          <w:caps/>
        </w:rPr>
      </w:pPr>
      <w:r w:rsidRPr="00795E6D">
        <w:rPr>
          <w:bCs/>
          <w:caps/>
        </w:rPr>
        <w:t xml:space="preserve">V. </w:t>
      </w:r>
      <w:r w:rsidR="00782625" w:rsidRPr="00795E6D">
        <w:rPr>
          <w:bCs/>
          <w:caps/>
        </w:rPr>
        <w:t xml:space="preserve">“I was ever </w:t>
      </w:r>
      <w:r w:rsidR="00E30CBD" w:rsidRPr="00795E6D">
        <w:rPr>
          <w:bCs/>
          <w:caps/>
        </w:rPr>
        <w:t>a fighter, so - one fight more”</w:t>
      </w:r>
      <w:r w:rsidR="00E30CBD" w:rsidRPr="00795E6D">
        <w:rPr>
          <w:rStyle w:val="FootnoteReference"/>
          <w:bCs/>
          <w:caps/>
        </w:rPr>
        <w:footnoteReference w:id="130"/>
      </w:r>
      <w:r w:rsidR="00E30CBD" w:rsidRPr="00795E6D">
        <w:rPr>
          <w:bCs/>
          <w:caps/>
        </w:rPr>
        <w:t xml:space="preserve"> –</w:t>
      </w:r>
      <w:r w:rsidR="00782625" w:rsidRPr="00795E6D">
        <w:rPr>
          <w:bCs/>
          <w:caps/>
        </w:rPr>
        <w:t xml:space="preserve"> </w:t>
      </w:r>
      <w:r w:rsidR="00A61AAD" w:rsidRPr="00795E6D">
        <w:rPr>
          <w:bCs/>
          <w:caps/>
        </w:rPr>
        <w:t xml:space="preserve">THE </w:t>
      </w:r>
      <w:r w:rsidR="00916C3F">
        <w:rPr>
          <w:bCs/>
          <w:caps/>
        </w:rPr>
        <w:t>POTENT</w:t>
      </w:r>
      <w:r w:rsidR="008F24F4">
        <w:rPr>
          <w:bCs/>
          <w:caps/>
        </w:rPr>
        <w:t>I</w:t>
      </w:r>
      <w:r w:rsidR="00916C3F">
        <w:rPr>
          <w:bCs/>
          <w:caps/>
        </w:rPr>
        <w:t>AL OF AN INTERSUBJECTIVE APPROACH</w:t>
      </w:r>
      <w:r w:rsidR="00A82F61">
        <w:rPr>
          <w:bCs/>
          <w:caps/>
        </w:rPr>
        <w:t>.</w:t>
      </w:r>
    </w:p>
    <w:p w14:paraId="698AEBAD" w14:textId="77777777" w:rsidR="002A394D" w:rsidRPr="002A394D" w:rsidRDefault="002A394D" w:rsidP="002A394D">
      <w:pPr>
        <w:jc w:val="center"/>
        <w:rPr>
          <w:rFonts w:ascii="Calibri" w:hAnsi="Calibri"/>
          <w:b/>
          <w:bCs/>
          <w:caps/>
        </w:rPr>
      </w:pPr>
    </w:p>
    <w:p w14:paraId="0A17C1FD" w14:textId="3CBD6017" w:rsidR="00916C3F" w:rsidRDefault="00A82F61" w:rsidP="000E6DF0">
      <w:pPr>
        <w:spacing w:line="480" w:lineRule="auto"/>
        <w:jc w:val="both"/>
      </w:pPr>
      <w:r>
        <w:t>A</w:t>
      </w:r>
      <w:r w:rsidR="00916C3F">
        <w:t>s noted earlier, a</w:t>
      </w:r>
      <w:r w:rsidR="007F5C3B" w:rsidRPr="000D3040">
        <w:t xml:space="preserve"> central aspect of 'othering' is understanding relationships – and particularly, as Stefan notes</w:t>
      </w:r>
      <w:r w:rsidR="0045398C">
        <w:t>,</w:t>
      </w:r>
      <w:r w:rsidR="002C1375" w:rsidRPr="000D3040">
        <w:rPr>
          <w:rStyle w:val="FootnoteReference"/>
        </w:rPr>
        <w:footnoteReference w:id="131"/>
      </w:r>
      <w:r w:rsidR="007F5C3B" w:rsidRPr="000D3040">
        <w:t xml:space="preserve"> relationships of dominance and subordination. </w:t>
      </w:r>
      <w:r w:rsidR="00C36504">
        <w:t xml:space="preserve">In </w:t>
      </w:r>
      <w:r w:rsidR="007F5C3B" w:rsidRPr="000D3040">
        <w:t xml:space="preserve">order to ‘other’, there has to be something by which we other </w:t>
      </w:r>
      <w:r w:rsidR="00563331" w:rsidRPr="000D3040">
        <w:t>–</w:t>
      </w:r>
      <w:r w:rsidR="007F5C3B" w:rsidRPr="000D3040">
        <w:t xml:space="preserve"> </w:t>
      </w:r>
      <w:r w:rsidR="00563331" w:rsidRPr="000D3040">
        <w:t>a</w:t>
      </w:r>
      <w:r w:rsidR="007F5C3B" w:rsidRPr="000D3040">
        <w:t xml:space="preserve"> standard by which we measure those with dementia as deficient.</w:t>
      </w:r>
      <w:r w:rsidR="00916C3F">
        <w:t xml:space="preserve"> </w:t>
      </w:r>
      <w:r w:rsidR="00220846">
        <w:t xml:space="preserve">This is the essence of the critique provided thus far. In this section, however, </w:t>
      </w:r>
      <w:r w:rsidR="00916C3F">
        <w:t xml:space="preserve">I argue that this process can be subverted by adopting </w:t>
      </w:r>
      <w:r w:rsidR="007743B5">
        <w:t>what is termed an ‘</w:t>
      </w:r>
      <w:r w:rsidR="00916C3F">
        <w:t>intersubjective</w:t>
      </w:r>
      <w:r w:rsidR="007743B5">
        <w:t>’</w:t>
      </w:r>
      <w:r w:rsidR="00916C3F">
        <w:t xml:space="preserve"> approach</w:t>
      </w:r>
      <w:r w:rsidR="007743B5">
        <w:t xml:space="preserve">, derived predominantly from the work of </w:t>
      </w:r>
      <w:r w:rsidR="00A524B0">
        <w:t xml:space="preserve">Thomas </w:t>
      </w:r>
      <w:r w:rsidR="007743B5">
        <w:t>Nagel</w:t>
      </w:r>
      <w:r w:rsidR="001D729D">
        <w:rPr>
          <w:rStyle w:val="FootnoteReference"/>
        </w:rPr>
        <w:footnoteReference w:id="132"/>
      </w:r>
      <w:r w:rsidR="007743B5">
        <w:t xml:space="preserve"> and</w:t>
      </w:r>
      <w:r w:rsidR="00A524B0">
        <w:t xml:space="preserve"> Kim</w:t>
      </w:r>
      <w:r w:rsidR="007743B5">
        <w:t xml:space="preserve"> Atkins.</w:t>
      </w:r>
      <w:r w:rsidR="001D729D">
        <w:rPr>
          <w:rStyle w:val="FootnoteReference"/>
        </w:rPr>
        <w:footnoteReference w:id="133"/>
      </w:r>
      <w:r w:rsidR="007743B5">
        <w:t xml:space="preserve"> Such an approach entails a recognition that</w:t>
      </w:r>
      <w:r w:rsidR="00E647B8">
        <w:t xml:space="preserve"> in addition to wishes, feelings, values, and beliefs, each person also has a certain ‘perspective’ on things – a subjective way of experiencing life. Atkins elaborates on this by stating that</w:t>
      </w:r>
    </w:p>
    <w:p w14:paraId="7D278937" w14:textId="34B7E351" w:rsidR="00916C3F" w:rsidRDefault="00916C3F" w:rsidP="00916C3F">
      <w:pPr>
        <w:spacing w:line="480" w:lineRule="auto"/>
        <w:ind w:left="630" w:right="538"/>
        <w:jc w:val="both"/>
      </w:pPr>
      <w:r>
        <w:t xml:space="preserve">…in the case of human subjectivity our subjective sense of self is not </w:t>
      </w:r>
      <w:r>
        <w:rPr>
          <w:i/>
        </w:rPr>
        <w:t xml:space="preserve">merely </w:t>
      </w:r>
      <w:r>
        <w:t xml:space="preserve">bodily. That is, we gain a sense of self and a concrete understanding of our bodily states intersubjectively. </w:t>
      </w:r>
      <w:r w:rsidRPr="00D570A8">
        <w:rPr>
          <w:i/>
        </w:rPr>
        <w:t>That means that what it is like to be in any particular state is always informed by a familial, social and historical context</w:t>
      </w:r>
      <w:r>
        <w:t>.</w:t>
      </w:r>
      <w:r w:rsidR="008F24F4">
        <w:t xml:space="preserve"> (emphasis added)</w:t>
      </w:r>
      <w:r>
        <w:rPr>
          <w:rStyle w:val="FootnoteReference"/>
        </w:rPr>
        <w:footnoteReference w:id="134"/>
      </w:r>
      <w:r w:rsidR="007F5C3B" w:rsidRPr="000D3040">
        <w:t xml:space="preserve"> </w:t>
      </w:r>
    </w:p>
    <w:p w14:paraId="23182301" w14:textId="7F88486A" w:rsidR="00EA21C1" w:rsidRDefault="00353312" w:rsidP="000E6DF0">
      <w:pPr>
        <w:spacing w:line="480" w:lineRule="auto"/>
        <w:jc w:val="both"/>
      </w:pPr>
      <w:r>
        <w:t>B</w:t>
      </w:r>
      <w:r w:rsidR="00916C3F">
        <w:t>y focussing more clearly on contextual information about a person’s relation</w:t>
      </w:r>
      <w:r>
        <w:t>ships, and embeddedness within their</w:t>
      </w:r>
      <w:r w:rsidR="00916C3F">
        <w:t xml:space="preserve"> network of relationships</w:t>
      </w:r>
      <w:r>
        <w:t>, and by focussing in on</w:t>
      </w:r>
      <w:r w:rsidR="00220846">
        <w:t xml:space="preserve"> what Nagel </w:t>
      </w:r>
      <w:r w:rsidR="00220846">
        <w:lastRenderedPageBreak/>
        <w:t>terms</w:t>
      </w:r>
      <w:r>
        <w:t xml:space="preserve"> their ‘subjective character of experience’</w:t>
      </w:r>
      <w:r>
        <w:rPr>
          <w:rStyle w:val="FootnoteReference"/>
        </w:rPr>
        <w:footnoteReference w:id="135"/>
      </w:r>
      <w:r>
        <w:t xml:space="preserve"> – that is, </w:t>
      </w:r>
      <w:r w:rsidR="00220846">
        <w:t xml:space="preserve">focusing on </w:t>
      </w:r>
      <w:r>
        <w:t xml:space="preserve">what it is like to be </w:t>
      </w:r>
      <w:r w:rsidRPr="00D570A8">
        <w:rPr>
          <w:i/>
        </w:rPr>
        <w:t>that particular person with dementia</w:t>
      </w:r>
      <w:r>
        <w:t xml:space="preserve">, </w:t>
      </w:r>
      <w:r w:rsidR="00916C3F">
        <w:t>the Court</w:t>
      </w:r>
      <w:r w:rsidR="007F5C3B" w:rsidRPr="000D3040">
        <w:t xml:space="preserve"> can </w:t>
      </w:r>
      <w:r w:rsidR="00C52A23" w:rsidRPr="000D3040">
        <w:t xml:space="preserve">go some way </w:t>
      </w:r>
      <w:r w:rsidR="002A394D">
        <w:t xml:space="preserve">to subverting </w:t>
      </w:r>
      <w:r w:rsidR="00916C3F">
        <w:t>the process of ‘othering’</w:t>
      </w:r>
      <w:r w:rsidR="00C36504">
        <w:t xml:space="preserve"> that</w:t>
      </w:r>
      <w:r>
        <w:t>, it is argued,</w:t>
      </w:r>
      <w:r w:rsidR="00C36504">
        <w:t xml:space="preserve"> </w:t>
      </w:r>
      <w:r w:rsidR="00A82F61">
        <w:t>inheres</w:t>
      </w:r>
      <w:r w:rsidR="002A394D">
        <w:t xml:space="preserve"> in the cases above</w:t>
      </w:r>
      <w:r w:rsidR="007F5C3B" w:rsidRPr="000D3040">
        <w:t>.</w:t>
      </w:r>
      <w:r w:rsidR="00563331" w:rsidRPr="000D3040">
        <w:t xml:space="preserve"> </w:t>
      </w:r>
    </w:p>
    <w:p w14:paraId="58D7803A" w14:textId="77777777" w:rsidR="00EA21C1" w:rsidRDefault="00EA21C1" w:rsidP="000E6DF0">
      <w:pPr>
        <w:spacing w:line="480" w:lineRule="auto"/>
        <w:jc w:val="both"/>
      </w:pPr>
    </w:p>
    <w:p w14:paraId="11804E73" w14:textId="766759AE" w:rsidR="00C52A23" w:rsidRPr="000D3040" w:rsidRDefault="00220846" w:rsidP="000E6DF0">
      <w:pPr>
        <w:spacing w:line="480" w:lineRule="auto"/>
        <w:jc w:val="both"/>
      </w:pPr>
      <w:r>
        <w:t>On a practical level, r</w:t>
      </w:r>
      <w:r w:rsidR="00353312">
        <w:t>elationships also have a legal role within the best interests decision-making process</w:t>
      </w:r>
      <w:r>
        <w:t xml:space="preserve"> - under section 4(7) of the Act, the Court must take into account the views, </w:t>
      </w:r>
      <w:r>
        <w:rPr>
          <w:i/>
        </w:rPr>
        <w:t xml:space="preserve">inter alia, </w:t>
      </w:r>
      <w:r>
        <w:t>of anyone engaged in caring for the person with dementia who lacks capacity, for example.</w:t>
      </w:r>
      <w:r>
        <w:rPr>
          <w:rStyle w:val="FootnoteReference"/>
        </w:rPr>
        <w:footnoteReference w:id="136"/>
      </w:r>
      <w:r>
        <w:t xml:space="preserve"> This is for obvious reasons - as </w:t>
      </w:r>
      <w:r w:rsidR="00A526F0" w:rsidRPr="000D3040">
        <w:t>Donnelly notes, ‘[a] carer who is a family member may have a nuanced and complex understanding of the perso</w:t>
      </w:r>
      <w:r w:rsidR="0045398C">
        <w:t>n which a professional may lack</w:t>
      </w:r>
      <w:r w:rsidR="00A526F0" w:rsidRPr="000D3040">
        <w:t>’</w:t>
      </w:r>
      <w:r>
        <w:t>.</w:t>
      </w:r>
      <w:r w:rsidR="00A526F0" w:rsidRPr="000D3040">
        <w:rPr>
          <w:rStyle w:val="FootnoteReference"/>
        </w:rPr>
        <w:footnoteReference w:id="137"/>
      </w:r>
      <w:r w:rsidR="00353312">
        <w:t xml:space="preserve"> </w:t>
      </w:r>
      <w:r w:rsidR="00C52A23" w:rsidRPr="000D3040">
        <w:t>T</w:t>
      </w:r>
      <w:r>
        <w:t xml:space="preserve">his is not to deny that </w:t>
      </w:r>
      <w:r w:rsidR="00C52A23" w:rsidRPr="000D3040">
        <w:t>th</w:t>
      </w:r>
      <w:r w:rsidR="00E30CBD" w:rsidRPr="000D3040">
        <w:t xml:space="preserve">e </w:t>
      </w:r>
      <w:r w:rsidR="000432C3" w:rsidRPr="000D3040">
        <w:t xml:space="preserve">position of </w:t>
      </w:r>
      <w:r w:rsidR="00C52A23" w:rsidRPr="000D3040">
        <w:t>persons</w:t>
      </w:r>
      <w:r w:rsidR="000432C3" w:rsidRPr="000D3040">
        <w:t xml:space="preserve"> with dementia </w:t>
      </w:r>
      <w:r w:rsidR="00E30CBD" w:rsidRPr="000D3040">
        <w:t>does</w:t>
      </w:r>
      <w:r w:rsidR="002C1375" w:rsidRPr="000D3040">
        <w:t xml:space="preserve"> </w:t>
      </w:r>
      <w:r>
        <w:t xml:space="preserve">indeed </w:t>
      </w:r>
      <w:r w:rsidR="00E30CBD" w:rsidRPr="000D3040">
        <w:t xml:space="preserve">pose </w:t>
      </w:r>
      <w:r w:rsidR="000432C3" w:rsidRPr="000D3040">
        <w:t>challenges for the Court of Protection</w:t>
      </w:r>
      <w:r w:rsidR="00C52A23" w:rsidRPr="000D3040">
        <w:t xml:space="preserve"> – and other best interests assessors –</w:t>
      </w:r>
      <w:r w:rsidR="000432C3" w:rsidRPr="000D3040">
        <w:t xml:space="preserve"> in</w:t>
      </w:r>
      <w:r w:rsidR="00C52A23" w:rsidRPr="000D3040">
        <w:t xml:space="preserve"> </w:t>
      </w:r>
      <w:r w:rsidR="000432C3" w:rsidRPr="000D3040">
        <w:t>making best interests decisions</w:t>
      </w:r>
      <w:r w:rsidR="00F46259" w:rsidRPr="000D3040">
        <w:t xml:space="preserve">. </w:t>
      </w:r>
      <w:r w:rsidR="0082245C">
        <w:t>It</w:t>
      </w:r>
      <w:r w:rsidR="00E2196B" w:rsidRPr="000D3040">
        <w:t xml:space="preserve"> </w:t>
      </w:r>
      <w:r w:rsidR="000432C3" w:rsidRPr="000D3040">
        <w:t xml:space="preserve">challenges because of the nature of the illness, and </w:t>
      </w:r>
      <w:r w:rsidR="002A394D">
        <w:t>in certain circumstances</w:t>
      </w:r>
      <w:r w:rsidR="00E30CBD" w:rsidRPr="000D3040">
        <w:t xml:space="preserve"> it may</w:t>
      </w:r>
      <w:r w:rsidR="000432C3" w:rsidRPr="000D3040">
        <w:t xml:space="preserve"> </w:t>
      </w:r>
      <w:r w:rsidR="00237381" w:rsidRPr="000D3040">
        <w:t xml:space="preserve">well </w:t>
      </w:r>
      <w:r w:rsidR="000432C3" w:rsidRPr="000D3040">
        <w:t xml:space="preserve">be particularly difficult to ascertain an individual’s </w:t>
      </w:r>
      <w:r>
        <w:t>perspective</w:t>
      </w:r>
      <w:r w:rsidR="00953DF4" w:rsidRPr="000D3040">
        <w:t>,</w:t>
      </w:r>
      <w:r w:rsidR="000432C3" w:rsidRPr="000D3040">
        <w:t xml:space="preserve"> </w:t>
      </w:r>
      <w:r w:rsidR="00233471" w:rsidRPr="000D3040">
        <w:t>especially during</w:t>
      </w:r>
      <w:r w:rsidR="000432C3" w:rsidRPr="000D3040">
        <w:t xml:space="preserve"> the later stages of </w:t>
      </w:r>
      <w:r w:rsidR="00233471" w:rsidRPr="000D3040">
        <w:t>dementia</w:t>
      </w:r>
      <w:r w:rsidR="00C36504">
        <w:t xml:space="preserve"> – although as I have indicated above, this is not necessarily an impossible task if the Court takes more innovative approaches</w:t>
      </w:r>
      <w:r w:rsidR="000432C3" w:rsidRPr="000D3040">
        <w:t xml:space="preserve">.  </w:t>
      </w:r>
    </w:p>
    <w:p w14:paraId="024E5C43" w14:textId="77777777" w:rsidR="00B9417A" w:rsidRDefault="00B9417A" w:rsidP="000E6DF0">
      <w:pPr>
        <w:spacing w:line="480" w:lineRule="auto"/>
        <w:jc w:val="both"/>
      </w:pPr>
    </w:p>
    <w:p w14:paraId="13361896" w14:textId="163C537B" w:rsidR="00024378" w:rsidRPr="000D3040" w:rsidRDefault="00B9417A" w:rsidP="000E6DF0">
      <w:pPr>
        <w:spacing w:line="480" w:lineRule="auto"/>
        <w:jc w:val="both"/>
      </w:pPr>
      <w:r>
        <w:t>Dementia</w:t>
      </w:r>
      <w:r w:rsidR="000432C3" w:rsidRPr="000D3040">
        <w:t xml:space="preserve"> also poses opportunities for best interests decision-makers</w:t>
      </w:r>
      <w:r w:rsidR="00220846">
        <w:t>, however, which must be seized upon by the Court of Protection during the decision-making process</w:t>
      </w:r>
      <w:r w:rsidR="002A394D">
        <w:t xml:space="preserve">. </w:t>
      </w:r>
      <w:r w:rsidR="00F46259" w:rsidRPr="000D3040">
        <w:t>Although</w:t>
      </w:r>
      <w:r w:rsidR="00C36504">
        <w:t xml:space="preserve"> </w:t>
      </w:r>
      <w:r w:rsidR="00E30CBD" w:rsidRPr="000D3040">
        <w:t xml:space="preserve">there is a tendency to view </w:t>
      </w:r>
      <w:r w:rsidR="00237381" w:rsidRPr="000D3040">
        <w:t>persons with dementia as experiencing a loss of social identity</w:t>
      </w:r>
      <w:r w:rsidR="0045398C">
        <w:t>,</w:t>
      </w:r>
      <w:r w:rsidR="00C36504">
        <w:rPr>
          <w:rStyle w:val="FootnoteReference"/>
        </w:rPr>
        <w:footnoteReference w:id="138"/>
      </w:r>
      <w:r w:rsidR="00E30CBD" w:rsidRPr="000D3040">
        <w:t xml:space="preserve"> </w:t>
      </w:r>
      <w:r w:rsidR="00C36504">
        <w:t xml:space="preserve">given their age </w:t>
      </w:r>
      <w:r w:rsidR="00237381" w:rsidRPr="000D3040">
        <w:t>they in fact frequently have</w:t>
      </w:r>
      <w:r w:rsidR="00F46259" w:rsidRPr="000D3040">
        <w:t xml:space="preserve"> a lifetime of experience,</w:t>
      </w:r>
      <w:r w:rsidR="00C52A23" w:rsidRPr="000D3040">
        <w:t xml:space="preserve"> </w:t>
      </w:r>
      <w:r w:rsidR="00C52A23" w:rsidRPr="000D3040">
        <w:lastRenderedPageBreak/>
        <w:t>beliefs</w:t>
      </w:r>
      <w:r w:rsidR="00220846">
        <w:t xml:space="preserve">, </w:t>
      </w:r>
      <w:r w:rsidR="00C52A23" w:rsidRPr="000D3040">
        <w:t>values</w:t>
      </w:r>
      <w:r w:rsidR="00220846">
        <w:t>, and relationships,</w:t>
      </w:r>
      <w:r w:rsidR="00C52A23" w:rsidRPr="000D3040">
        <w:t xml:space="preserve"> that can inform the best interests </w:t>
      </w:r>
      <w:r w:rsidR="00220846">
        <w:t>decision-making process</w:t>
      </w:r>
      <w:r w:rsidR="00EA21C1">
        <w:t xml:space="preserve"> and help maintain their social identity</w:t>
      </w:r>
      <w:r w:rsidR="00F46259" w:rsidRPr="000D3040">
        <w:t xml:space="preserve">.  It is argued, however, that </w:t>
      </w:r>
      <w:r w:rsidR="00E2196B" w:rsidRPr="000D3040">
        <w:t xml:space="preserve">only when </w:t>
      </w:r>
      <w:r w:rsidR="00F46259" w:rsidRPr="000D3040">
        <w:t>the Court</w:t>
      </w:r>
      <w:r w:rsidR="00220846">
        <w:t xml:space="preserve"> takes an intersubjective approach, which necessarily entails</w:t>
      </w:r>
      <w:r w:rsidR="00F46259" w:rsidRPr="000D3040">
        <w:t xml:space="preserve"> focus</w:t>
      </w:r>
      <w:r w:rsidR="00220846">
        <w:t>ing</w:t>
      </w:r>
      <w:r w:rsidR="00F46259" w:rsidRPr="000D3040">
        <w:t xml:space="preserve"> on </w:t>
      </w:r>
      <w:r w:rsidR="00220846">
        <w:t>these</w:t>
      </w:r>
      <w:r w:rsidR="00E2196B" w:rsidRPr="000D3040">
        <w:t xml:space="preserve"> relationships</w:t>
      </w:r>
      <w:r w:rsidR="00F46259" w:rsidRPr="000D3040">
        <w:t xml:space="preserve"> -</w:t>
      </w:r>
      <w:r w:rsidR="00E2196B" w:rsidRPr="000D3040">
        <w:t xml:space="preserve"> both on a macro </w:t>
      </w:r>
      <w:r w:rsidR="00F46259" w:rsidRPr="000D3040">
        <w:t xml:space="preserve">level (relationships with organisations or institutions such as the state or their church, for example), </w:t>
      </w:r>
      <w:r w:rsidR="00E2196B" w:rsidRPr="000D3040">
        <w:t>and a micro level</w:t>
      </w:r>
      <w:r w:rsidR="00F46259" w:rsidRPr="000D3040">
        <w:t xml:space="preserve"> (relationships with other</w:t>
      </w:r>
      <w:r w:rsidR="00237381" w:rsidRPr="000D3040">
        <w:t xml:space="preserve"> individuals</w:t>
      </w:r>
      <w:r w:rsidR="00F46259" w:rsidRPr="000D3040">
        <w:t xml:space="preserve"> or </w:t>
      </w:r>
      <w:r w:rsidR="0082245C">
        <w:t>self-relations</w:t>
      </w:r>
      <w:r w:rsidR="00F46259" w:rsidRPr="000D3040">
        <w:t xml:space="preserve">) - will they be able to overcome the </w:t>
      </w:r>
      <w:r w:rsidR="00A82F61">
        <w:t>characterisation of persons with dementia as ‘Other</w:t>
      </w:r>
      <w:r w:rsidR="002C1375" w:rsidRPr="000D3040">
        <w:t>’</w:t>
      </w:r>
      <w:r w:rsidR="00F46259" w:rsidRPr="000D3040">
        <w:t>.</w:t>
      </w:r>
      <w:r w:rsidR="00953DF4" w:rsidRPr="000D3040">
        <w:t xml:space="preserve"> </w:t>
      </w:r>
      <w:r w:rsidR="00C52A23" w:rsidRPr="000D3040">
        <w:t xml:space="preserve">This is not to say that such </w:t>
      </w:r>
      <w:r w:rsidR="00220846">
        <w:t>an</w:t>
      </w:r>
      <w:r w:rsidR="00C52A23" w:rsidRPr="000D3040">
        <w:t xml:space="preserve"> approach helps the Court pay </w:t>
      </w:r>
      <w:r w:rsidR="00C52A23" w:rsidRPr="000D3040">
        <w:rPr>
          <w:i/>
        </w:rPr>
        <w:t>more</w:t>
      </w:r>
      <w:r w:rsidR="00C52A23" w:rsidRPr="000D3040">
        <w:t xml:space="preserve"> attention to </w:t>
      </w:r>
      <w:r w:rsidR="00E772F5">
        <w:t xml:space="preserve">their </w:t>
      </w:r>
      <w:r w:rsidR="00C52A23" w:rsidRPr="000D3040">
        <w:t xml:space="preserve">perspective </w:t>
      </w:r>
      <w:r w:rsidR="00220846">
        <w:t xml:space="preserve">understood </w:t>
      </w:r>
      <w:r w:rsidR="00EA21C1">
        <w:t>in a technical manner</w:t>
      </w:r>
      <w:r w:rsidR="00AE2531">
        <w:t xml:space="preserve"> – that is, it does not require the Court to simply look at ‘wishes, feelings, values, and beliefs’ </w:t>
      </w:r>
      <w:r w:rsidR="00E15D09">
        <w:t xml:space="preserve">understood </w:t>
      </w:r>
      <w:r w:rsidR="00AE2531">
        <w:t>in a narrow sense</w:t>
      </w:r>
      <w:r w:rsidR="00E15D09">
        <w:t>. Nor does it suggest that a person’s own wishes should always be the trump card in the decision-making process</w:t>
      </w:r>
      <w:r w:rsidR="00AE2531">
        <w:t>.</w:t>
      </w:r>
      <w:r w:rsidR="00C52A23" w:rsidRPr="000D3040">
        <w:t xml:space="preserve"> What a proper application of this idea does is ensure that the Court avoids ‘othering’ by being sensitive to </w:t>
      </w:r>
      <w:r w:rsidR="005D1461" w:rsidRPr="000D3040">
        <w:t xml:space="preserve">the </w:t>
      </w:r>
      <w:r w:rsidR="00C52A23" w:rsidRPr="000D3040">
        <w:t>different ways each person, including persons with dementia, choose to live their lives</w:t>
      </w:r>
      <w:r w:rsidR="00A82F61">
        <w:t>. I</w:t>
      </w:r>
      <w:r w:rsidR="00531B89" w:rsidRPr="000D3040">
        <w:t xml:space="preserve">n effect, it allows the Court to pay </w:t>
      </w:r>
      <w:r w:rsidR="00531B89" w:rsidRPr="000D3040">
        <w:rPr>
          <w:i/>
        </w:rPr>
        <w:t>appropriate</w:t>
      </w:r>
      <w:r w:rsidR="00563B20" w:rsidRPr="00D570A8">
        <w:rPr>
          <w:rStyle w:val="FootnoteReference"/>
        </w:rPr>
        <w:footnoteReference w:id="139"/>
      </w:r>
      <w:r w:rsidR="00531B89" w:rsidRPr="000D3040">
        <w:rPr>
          <w:i/>
        </w:rPr>
        <w:t xml:space="preserve"> </w:t>
      </w:r>
      <w:r w:rsidR="00531B89" w:rsidRPr="000D3040">
        <w:t xml:space="preserve">attention to </w:t>
      </w:r>
      <w:r w:rsidR="00E772F5">
        <w:t xml:space="preserve">the person’s </w:t>
      </w:r>
      <w:r w:rsidR="00531B89" w:rsidRPr="000D3040">
        <w:t>perspective</w:t>
      </w:r>
      <w:r w:rsidR="002A394D">
        <w:t xml:space="preserve">, by exploring </w:t>
      </w:r>
      <w:r w:rsidR="00563B20">
        <w:t>the relationships – both positive and negative – that form their subjective character of experience</w:t>
      </w:r>
      <w:r w:rsidR="00C52A23" w:rsidRPr="000D3040">
        <w:t>.</w:t>
      </w:r>
      <w:r w:rsidR="005D1461" w:rsidRPr="000D3040">
        <w:t xml:space="preserve"> </w:t>
      </w:r>
      <w:r w:rsidR="00563B20">
        <w:t xml:space="preserve">In the cases analysed here, it is suggested that there are two ways an intersubjective approach as defined in this section can achieve this goal. </w:t>
      </w:r>
      <w:r w:rsidR="002A394D">
        <w:t xml:space="preserve">The first </w:t>
      </w:r>
      <w:r w:rsidR="00531B89" w:rsidRPr="000D3040">
        <w:t xml:space="preserve">is that </w:t>
      </w:r>
      <w:r w:rsidR="00EA21C1">
        <w:t>such an</w:t>
      </w:r>
      <w:r w:rsidR="00E15D09">
        <w:t xml:space="preserve"> approach requires </w:t>
      </w:r>
      <w:r w:rsidR="00531B89" w:rsidRPr="000D3040">
        <w:t>‘uni</w:t>
      </w:r>
      <w:r w:rsidR="00563B20">
        <w:t>fying</w:t>
      </w:r>
      <w:r w:rsidR="00531B89" w:rsidRPr="000D3040">
        <w:t xml:space="preserve">’ </w:t>
      </w:r>
      <w:r w:rsidR="00563B20">
        <w:t xml:space="preserve">the </w:t>
      </w:r>
      <w:r w:rsidR="00531B89" w:rsidRPr="000D3040">
        <w:t>person</w:t>
      </w:r>
      <w:r w:rsidR="00563B20">
        <w:t xml:space="preserve"> with dementia, to use Stirling’s terminology.</w:t>
      </w:r>
      <w:r w:rsidR="00563B20">
        <w:rPr>
          <w:rStyle w:val="FootnoteReference"/>
        </w:rPr>
        <w:footnoteReference w:id="140"/>
      </w:r>
      <w:r w:rsidR="00E15D09">
        <w:t xml:space="preserve"> This entails </w:t>
      </w:r>
      <w:r w:rsidR="00563B20">
        <w:t>exploring</w:t>
      </w:r>
      <w:r w:rsidR="00531B89" w:rsidRPr="000D3040">
        <w:t xml:space="preserve"> </w:t>
      </w:r>
      <w:r w:rsidR="008B33C8" w:rsidRPr="000D3040">
        <w:t>the person in both thei</w:t>
      </w:r>
      <w:r w:rsidR="003D23ED" w:rsidRPr="000D3040">
        <w:t xml:space="preserve">r past </w:t>
      </w:r>
      <w:r w:rsidR="003D23ED" w:rsidRPr="000D3040">
        <w:rPr>
          <w:i/>
        </w:rPr>
        <w:t>and</w:t>
      </w:r>
      <w:r w:rsidR="003D23ED" w:rsidRPr="000D3040">
        <w:t xml:space="preserve"> their present states</w:t>
      </w:r>
      <w:r w:rsidR="00531B89" w:rsidRPr="000D3040">
        <w:t xml:space="preserve"> as one entity</w:t>
      </w:r>
      <w:r w:rsidR="0032165D">
        <w:t xml:space="preserve"> - recognising that the background of the person with dementia does not simply ‘fall away’ at a particular point in time - </w:t>
      </w:r>
      <w:r w:rsidR="00531B89" w:rsidRPr="000D3040">
        <w:t>rather than being viewed in isolation as their ‘undemented’ or ‘demented’ states</w:t>
      </w:r>
      <w:r w:rsidR="00563B20">
        <w:t xml:space="preserve"> as </w:t>
      </w:r>
      <w:r w:rsidR="00EA21C1">
        <w:t xml:space="preserve">the preceding section suggested </w:t>
      </w:r>
      <w:r w:rsidR="00563B20">
        <w:t>the courts have had a tendency to do</w:t>
      </w:r>
      <w:r w:rsidR="002A394D">
        <w:t>.</w:t>
      </w:r>
      <w:r w:rsidR="0032165D">
        <w:t xml:space="preserve"> As Nedelsky notes</w:t>
      </w:r>
      <w:r w:rsidR="0032165D">
        <w:rPr>
          <w:rStyle w:val="FootnoteReference"/>
        </w:rPr>
        <w:footnoteReference w:id="141"/>
      </w:r>
      <w:r w:rsidR="0032165D">
        <w:t xml:space="preserve">, however, this requires far greater attention to detail, and in particular </w:t>
      </w:r>
      <w:r w:rsidR="0032165D">
        <w:lastRenderedPageBreak/>
        <w:t>far greater attention to detail than has been seen in the judgments criticised above.</w:t>
      </w:r>
      <w:r w:rsidR="002A394D">
        <w:t xml:space="preserve"> </w:t>
      </w:r>
      <w:r w:rsidR="002A394D" w:rsidRPr="000D3040">
        <w:t xml:space="preserve"> </w:t>
      </w:r>
      <w:r w:rsidR="002A394D">
        <w:t>S</w:t>
      </w:r>
      <w:r w:rsidR="003D23ED" w:rsidRPr="000D3040">
        <w:t xml:space="preserve">econd, </w:t>
      </w:r>
      <w:r w:rsidR="00563B20">
        <w:t xml:space="preserve">in requiring greater analysis of their subjective character of experience, </w:t>
      </w:r>
      <w:r w:rsidR="003F679D">
        <w:t xml:space="preserve">the Courts </w:t>
      </w:r>
      <w:r w:rsidR="00563B20">
        <w:t>must place a greater</w:t>
      </w:r>
      <w:r w:rsidR="003F679D">
        <w:t xml:space="preserve"> emphasis on examining</w:t>
      </w:r>
      <w:r w:rsidR="008B33C8" w:rsidRPr="000D3040">
        <w:t xml:space="preserve"> the effects of dementia </w:t>
      </w:r>
      <w:r w:rsidR="008B33C8" w:rsidRPr="00D570A8">
        <w:rPr>
          <w:i/>
        </w:rPr>
        <w:t>on that</w:t>
      </w:r>
      <w:r w:rsidR="003F679D" w:rsidRPr="00D570A8">
        <w:rPr>
          <w:i/>
        </w:rPr>
        <w:t xml:space="preserve"> particular</w:t>
      </w:r>
      <w:r w:rsidR="008B33C8" w:rsidRPr="00D570A8">
        <w:rPr>
          <w:i/>
        </w:rPr>
        <w:t xml:space="preserve"> person</w:t>
      </w:r>
      <w:r w:rsidR="00563B20">
        <w:rPr>
          <w:i/>
        </w:rPr>
        <w:t xml:space="preserve">, </w:t>
      </w:r>
      <w:r w:rsidR="00563B20">
        <w:t xml:space="preserve">rather than the </w:t>
      </w:r>
      <w:r w:rsidR="00E15D09">
        <w:t xml:space="preserve">Court holding out a </w:t>
      </w:r>
      <w:r w:rsidR="00563B20">
        <w:t xml:space="preserve">generic idea of what </w:t>
      </w:r>
      <w:r w:rsidR="005554BE">
        <w:t>it is like to have dementia, which emerges</w:t>
      </w:r>
      <w:r w:rsidR="00563B20">
        <w:t xml:space="preserve"> from the cases criticised above</w:t>
      </w:r>
      <w:r w:rsidR="003D23ED" w:rsidRPr="00E05D0F">
        <w:rPr>
          <w:i/>
        </w:rPr>
        <w:t>.</w:t>
      </w:r>
      <w:r w:rsidR="004A41DC" w:rsidRPr="000D3040">
        <w:rPr>
          <w:rStyle w:val="FootnoteReference"/>
        </w:rPr>
        <w:footnoteReference w:id="142"/>
      </w:r>
    </w:p>
    <w:p w14:paraId="1D59E659" w14:textId="77777777" w:rsidR="00531B89" w:rsidRPr="000D3040" w:rsidRDefault="00531B89" w:rsidP="000E6DF0">
      <w:pPr>
        <w:spacing w:line="480" w:lineRule="auto"/>
        <w:jc w:val="both"/>
      </w:pPr>
    </w:p>
    <w:p w14:paraId="1CE6A320" w14:textId="396CABD5" w:rsidR="0098723C" w:rsidRPr="000D3040" w:rsidRDefault="00C21942" w:rsidP="000E6DF0">
      <w:pPr>
        <w:spacing w:line="480" w:lineRule="auto"/>
        <w:jc w:val="both"/>
      </w:pPr>
      <w:r w:rsidRPr="000D3040">
        <w:t xml:space="preserve">To highlight the potential </w:t>
      </w:r>
      <w:r w:rsidR="009E2209" w:rsidRPr="000D3040">
        <w:t xml:space="preserve">of </w:t>
      </w:r>
      <w:r w:rsidRPr="000D3040">
        <w:t>this approach</w:t>
      </w:r>
      <w:r w:rsidR="007743B5">
        <w:t>,</w:t>
      </w:r>
      <w:r w:rsidR="004A41DC" w:rsidRPr="000D3040">
        <w:t xml:space="preserve"> </w:t>
      </w:r>
      <w:r w:rsidR="00E2196B" w:rsidRPr="000D3040">
        <w:t>three particular judgments</w:t>
      </w:r>
      <w:r w:rsidR="00563B20">
        <w:t xml:space="preserve"> are considered:</w:t>
      </w:r>
      <w:r w:rsidRPr="000D3040">
        <w:t xml:space="preserve"> </w:t>
      </w:r>
      <w:r w:rsidRPr="000D3040">
        <w:rPr>
          <w:i/>
        </w:rPr>
        <w:t>A London Borough v VT</w:t>
      </w:r>
      <w:r w:rsidR="002D2D6E" w:rsidRPr="0045398C">
        <w:rPr>
          <w:rStyle w:val="FootnoteReference"/>
        </w:rPr>
        <w:footnoteReference w:id="143"/>
      </w:r>
      <w:r w:rsidR="0082245C">
        <w:rPr>
          <w:i/>
        </w:rPr>
        <w:t xml:space="preserve"> </w:t>
      </w:r>
      <w:r w:rsidR="0082245C" w:rsidRPr="0082245C">
        <w:rPr>
          <w:i/>
        </w:rPr>
        <w:t>(</w:t>
      </w:r>
      <w:r w:rsidR="0082245C">
        <w:rPr>
          <w:i/>
        </w:rPr>
        <w:t>VT</w:t>
      </w:r>
      <w:r w:rsidR="0082245C" w:rsidRPr="0082245C">
        <w:t>)</w:t>
      </w:r>
      <w:r w:rsidR="0082245C">
        <w:t>,</w:t>
      </w:r>
      <w:r w:rsidRPr="000D3040">
        <w:rPr>
          <w:i/>
        </w:rPr>
        <w:t xml:space="preserve"> </w:t>
      </w:r>
      <w:r w:rsidR="002D2D6E" w:rsidRPr="000D3040">
        <w:rPr>
          <w:i/>
        </w:rPr>
        <w:t>A Local Authority v JH</w:t>
      </w:r>
      <w:r w:rsidR="002D2D6E" w:rsidRPr="0045398C">
        <w:rPr>
          <w:rStyle w:val="FootnoteReference"/>
        </w:rPr>
        <w:footnoteReference w:id="144"/>
      </w:r>
      <w:r w:rsidR="0082245C">
        <w:rPr>
          <w:i/>
        </w:rPr>
        <w:t xml:space="preserve"> </w:t>
      </w:r>
      <w:r w:rsidR="0082245C">
        <w:t>(</w:t>
      </w:r>
      <w:r w:rsidR="0082245C">
        <w:rPr>
          <w:i/>
        </w:rPr>
        <w:t>JH</w:t>
      </w:r>
      <w:r w:rsidR="0082245C">
        <w:t>)</w:t>
      </w:r>
      <w:r w:rsidR="00E2196B" w:rsidRPr="0045398C">
        <w:t xml:space="preserve"> </w:t>
      </w:r>
      <w:r w:rsidR="00E2196B" w:rsidRPr="000D3040">
        <w:t>and</w:t>
      </w:r>
      <w:r w:rsidR="002D2D6E" w:rsidRPr="000D3040">
        <w:t xml:space="preserve"> </w:t>
      </w:r>
      <w:r w:rsidR="002D2D6E" w:rsidRPr="000D3040">
        <w:rPr>
          <w:i/>
        </w:rPr>
        <w:t>Westminster City Council v Sykes</w:t>
      </w:r>
      <w:r w:rsidR="002D2D6E" w:rsidRPr="0045398C">
        <w:rPr>
          <w:rStyle w:val="FootnoteReference"/>
        </w:rPr>
        <w:footnoteReference w:id="145"/>
      </w:r>
      <w:r w:rsidR="0082245C">
        <w:rPr>
          <w:i/>
        </w:rPr>
        <w:t xml:space="preserve"> </w:t>
      </w:r>
      <w:r w:rsidR="0082245C">
        <w:t>(</w:t>
      </w:r>
      <w:r w:rsidR="0082245C">
        <w:rPr>
          <w:i/>
        </w:rPr>
        <w:t>Sykes</w:t>
      </w:r>
      <w:r w:rsidR="0082245C">
        <w:t>).</w:t>
      </w:r>
      <w:r w:rsidR="002D2D6E" w:rsidRPr="000D3040">
        <w:rPr>
          <w:i/>
        </w:rPr>
        <w:t xml:space="preserve"> </w:t>
      </w:r>
      <w:r w:rsidR="00647BB9" w:rsidRPr="000D3040">
        <w:t xml:space="preserve">All </w:t>
      </w:r>
      <w:r w:rsidR="00E2196B" w:rsidRPr="000D3040">
        <w:t>three</w:t>
      </w:r>
      <w:r w:rsidR="00647BB9" w:rsidRPr="000D3040">
        <w:t xml:space="preserve"> cases concerned the residence of </w:t>
      </w:r>
      <w:r w:rsidR="006F2460">
        <w:t>persons</w:t>
      </w:r>
      <w:r w:rsidR="006F2460" w:rsidRPr="000D3040">
        <w:t xml:space="preserve"> </w:t>
      </w:r>
      <w:r w:rsidR="00647BB9" w:rsidRPr="000D3040">
        <w:t xml:space="preserve">with dementia. In </w:t>
      </w:r>
      <w:r w:rsidR="00647BB9" w:rsidRPr="000D3040">
        <w:rPr>
          <w:i/>
        </w:rPr>
        <w:t xml:space="preserve">VT, </w:t>
      </w:r>
      <w:r w:rsidR="00647BB9" w:rsidRPr="000D3040">
        <w:t>the Court was asked to determine whether it was in the best interests of a 78-year-old man</w:t>
      </w:r>
      <w:r w:rsidR="008D6DA2" w:rsidRPr="000D3040">
        <w:t xml:space="preserve"> with</w:t>
      </w:r>
      <w:r w:rsidR="00647BB9" w:rsidRPr="000D3040">
        <w:t xml:space="preserve"> </w:t>
      </w:r>
      <w:r w:rsidR="00E2196B" w:rsidRPr="000D3040">
        <w:t>‘</w:t>
      </w:r>
      <w:r w:rsidR="00647BB9" w:rsidRPr="000D3040">
        <w:t>significant</w:t>
      </w:r>
      <w:r w:rsidR="00E2196B" w:rsidRPr="000D3040">
        <w:t>’</w:t>
      </w:r>
      <w:r w:rsidR="00E2196B" w:rsidRPr="000D3040">
        <w:rPr>
          <w:rStyle w:val="FootnoteReference"/>
        </w:rPr>
        <w:footnoteReference w:id="146"/>
      </w:r>
      <w:r w:rsidR="00647BB9" w:rsidRPr="000D3040">
        <w:t xml:space="preserve"> dementia, to reside in care accommodation in London, or be returned, as per his </w:t>
      </w:r>
      <w:r w:rsidR="00E2196B" w:rsidRPr="000D3040">
        <w:t xml:space="preserve">past and present </w:t>
      </w:r>
      <w:r w:rsidR="00647BB9" w:rsidRPr="000D3040">
        <w:t>wishes</w:t>
      </w:r>
      <w:r w:rsidR="00E2196B" w:rsidRPr="000D3040">
        <w:t xml:space="preserve"> and intentions</w:t>
      </w:r>
      <w:r w:rsidR="00647BB9" w:rsidRPr="000D3040">
        <w:t>, to live the r</w:t>
      </w:r>
      <w:r w:rsidR="0045398C">
        <w:t>emainder of his life in Nigeria -</w:t>
      </w:r>
      <w:r w:rsidR="00647BB9" w:rsidRPr="000D3040">
        <w:t xml:space="preserve"> his country of birth. The Court decided that it would be in his best interests to return to Nigeria.  In </w:t>
      </w:r>
      <w:r w:rsidR="00647BB9" w:rsidRPr="000D3040">
        <w:rPr>
          <w:i/>
        </w:rPr>
        <w:t>JH</w:t>
      </w:r>
      <w:r w:rsidR="00647BB9" w:rsidRPr="000D3040">
        <w:t xml:space="preserve">, the issue was </w:t>
      </w:r>
      <w:r w:rsidR="00BE0617" w:rsidRPr="000D3040">
        <w:t xml:space="preserve">whether it was in the best interests of a 75-year-old woman, Mrs H, with a number of medical conditions, one of which was vascular dementia, to return home to live with her husband of 30 years, Mr H, or be moved to a care home. In a </w:t>
      </w:r>
      <w:r w:rsidR="002C493E" w:rsidRPr="000D3040">
        <w:t xml:space="preserve">lengthy, </w:t>
      </w:r>
      <w:r w:rsidR="00BE0617" w:rsidRPr="000D3040">
        <w:t xml:space="preserve">detailed </w:t>
      </w:r>
      <w:r w:rsidR="002C493E" w:rsidRPr="000D3040">
        <w:t xml:space="preserve">and sensitive </w:t>
      </w:r>
      <w:r w:rsidR="00BE0617" w:rsidRPr="000D3040">
        <w:t xml:space="preserve">judgment, Eldergill J determined that it would be in her best interests to return home, with a package of care provided by the local authority. </w:t>
      </w:r>
      <w:r w:rsidR="00C05661" w:rsidRPr="000D3040">
        <w:t xml:space="preserve">Finally, </w:t>
      </w:r>
      <w:r w:rsidR="00C05661" w:rsidRPr="000D3040">
        <w:rPr>
          <w:i/>
        </w:rPr>
        <w:t>Sykes</w:t>
      </w:r>
      <w:r w:rsidR="00C05661" w:rsidRPr="000D3040">
        <w:t xml:space="preserve"> involved </w:t>
      </w:r>
      <w:r w:rsidR="009A7883" w:rsidRPr="000D3040">
        <w:t xml:space="preserve">the issue of whether it was in the best interests of Manuela Sykes, an 89-year-old woman </w:t>
      </w:r>
      <w:r w:rsidR="00C73CA7" w:rsidRPr="000D3040">
        <w:t>w</w:t>
      </w:r>
      <w:r w:rsidR="009E2209" w:rsidRPr="000D3040">
        <w:t xml:space="preserve">ith no close family but with a </w:t>
      </w:r>
      <w:r w:rsidR="00C73CA7" w:rsidRPr="000D3040">
        <w:lastRenderedPageBreak/>
        <w:t xml:space="preserve">close network of relationships with friends and through her church, and </w:t>
      </w:r>
      <w:r w:rsidR="009A7883" w:rsidRPr="000D3040">
        <w:t xml:space="preserve">who had been an active and outspoken political campaigner in the past, to </w:t>
      </w:r>
      <w:r w:rsidR="0082245C">
        <w:t xml:space="preserve">reside in </w:t>
      </w:r>
      <w:r w:rsidR="00A60DAA" w:rsidRPr="000D3040">
        <w:t>a care home, or return</w:t>
      </w:r>
      <w:r w:rsidR="009A7883" w:rsidRPr="000D3040">
        <w:t xml:space="preserve"> home with a package of care from the local authority, and furthermore, whether </w:t>
      </w:r>
      <w:r w:rsidR="005A647D" w:rsidRPr="000D3040">
        <w:t>her identity should be</w:t>
      </w:r>
      <w:r w:rsidR="009A7883" w:rsidRPr="000D3040">
        <w:t xml:space="preserve"> made public. The Court, in a judgment again by </w:t>
      </w:r>
      <w:r w:rsidR="001A2FA6">
        <w:t xml:space="preserve">DJ </w:t>
      </w:r>
      <w:r w:rsidR="009A7883" w:rsidRPr="000D3040">
        <w:t>Eldergill, declared that she should be allowed to return home with a package of care, and</w:t>
      </w:r>
      <w:r w:rsidR="004C4169" w:rsidRPr="000D3040">
        <w:t>, in a rare occurrence,</w:t>
      </w:r>
      <w:r w:rsidR="009A7883" w:rsidRPr="000D3040">
        <w:t xml:space="preserve"> </w:t>
      </w:r>
      <w:r w:rsidR="004C4169" w:rsidRPr="000D3040">
        <w:t xml:space="preserve">that </w:t>
      </w:r>
      <w:r w:rsidR="005A647D" w:rsidRPr="000D3040">
        <w:t>her identity</w:t>
      </w:r>
      <w:r w:rsidR="004C4169" w:rsidRPr="000D3040">
        <w:t xml:space="preserve"> should be made public</w:t>
      </w:r>
      <w:r w:rsidR="009A7883" w:rsidRPr="000D3040">
        <w:t xml:space="preserve">. </w:t>
      </w:r>
    </w:p>
    <w:p w14:paraId="570CBE57" w14:textId="77777777" w:rsidR="00B60108" w:rsidRPr="000D3040" w:rsidRDefault="00B60108" w:rsidP="000E6DF0">
      <w:pPr>
        <w:spacing w:line="480" w:lineRule="auto"/>
        <w:jc w:val="both"/>
      </w:pPr>
    </w:p>
    <w:p w14:paraId="1EEF06E5" w14:textId="77777777" w:rsidR="009A7883" w:rsidRPr="00CA0906" w:rsidRDefault="00CA0906" w:rsidP="000E6DF0">
      <w:pPr>
        <w:pStyle w:val="NoSpacing"/>
        <w:spacing w:line="480" w:lineRule="auto"/>
        <w:jc w:val="both"/>
        <w:rPr>
          <w:rFonts w:ascii="Times New Roman" w:hAnsi="Times New Roman" w:cs="Times New Roman"/>
          <w:i/>
        </w:rPr>
      </w:pPr>
      <w:r w:rsidRPr="00CA0906">
        <w:rPr>
          <w:rFonts w:ascii="Times New Roman" w:hAnsi="Times New Roman" w:cs="Times New Roman"/>
          <w:i/>
        </w:rPr>
        <w:t xml:space="preserve">A. </w:t>
      </w:r>
      <w:r w:rsidR="007A1409" w:rsidRPr="00CA0906">
        <w:rPr>
          <w:rFonts w:ascii="Times New Roman" w:hAnsi="Times New Roman" w:cs="Times New Roman"/>
          <w:i/>
        </w:rPr>
        <w:t>‘</w:t>
      </w:r>
      <w:r w:rsidR="00531B89" w:rsidRPr="00CA0906">
        <w:rPr>
          <w:rFonts w:ascii="Times New Roman" w:hAnsi="Times New Roman" w:cs="Times New Roman"/>
          <w:i/>
        </w:rPr>
        <w:t>Unifying</w:t>
      </w:r>
      <w:r w:rsidR="007A1409" w:rsidRPr="00CA0906">
        <w:rPr>
          <w:rFonts w:ascii="Times New Roman" w:hAnsi="Times New Roman" w:cs="Times New Roman"/>
          <w:i/>
        </w:rPr>
        <w:t>’</w:t>
      </w:r>
      <w:r w:rsidR="00531B89" w:rsidRPr="00CA0906">
        <w:rPr>
          <w:rFonts w:ascii="Times New Roman" w:hAnsi="Times New Roman" w:cs="Times New Roman"/>
          <w:i/>
        </w:rPr>
        <w:t xml:space="preserve"> the Person with Dementia</w:t>
      </w:r>
      <w:r w:rsidR="00AE7748">
        <w:rPr>
          <w:rFonts w:ascii="Times New Roman" w:hAnsi="Times New Roman" w:cs="Times New Roman"/>
          <w:i/>
        </w:rPr>
        <w:t>.</w:t>
      </w:r>
    </w:p>
    <w:p w14:paraId="52E83943" w14:textId="1BDED38F" w:rsidR="009E4997" w:rsidRPr="000D3040" w:rsidRDefault="00531B89" w:rsidP="000E6DF0">
      <w:pPr>
        <w:pStyle w:val="NoSpacing"/>
        <w:spacing w:line="480" w:lineRule="auto"/>
        <w:jc w:val="both"/>
        <w:rPr>
          <w:rFonts w:ascii="Times New Roman" w:hAnsi="Times New Roman" w:cs="Times New Roman"/>
        </w:rPr>
      </w:pPr>
      <w:r w:rsidRPr="000D3040">
        <w:rPr>
          <w:rFonts w:ascii="Times New Roman" w:hAnsi="Times New Roman" w:cs="Times New Roman"/>
        </w:rPr>
        <w:t>All</w:t>
      </w:r>
      <w:r w:rsidR="009A7883" w:rsidRPr="000D3040">
        <w:rPr>
          <w:rFonts w:ascii="Times New Roman" w:hAnsi="Times New Roman" w:cs="Times New Roman"/>
        </w:rPr>
        <w:t xml:space="preserve"> </w:t>
      </w:r>
      <w:r w:rsidR="00E83978" w:rsidRPr="000D3040">
        <w:rPr>
          <w:rFonts w:ascii="Times New Roman" w:hAnsi="Times New Roman" w:cs="Times New Roman"/>
        </w:rPr>
        <w:t>three</w:t>
      </w:r>
      <w:r w:rsidR="009A7883" w:rsidRPr="000D3040">
        <w:rPr>
          <w:rFonts w:ascii="Times New Roman" w:hAnsi="Times New Roman" w:cs="Times New Roman"/>
        </w:rPr>
        <w:t xml:space="preserve"> cases involved</w:t>
      </w:r>
      <w:r w:rsidR="00C73CA7" w:rsidRPr="000D3040">
        <w:rPr>
          <w:rFonts w:ascii="Times New Roman" w:hAnsi="Times New Roman" w:cs="Times New Roman"/>
        </w:rPr>
        <w:t xml:space="preserve"> </w:t>
      </w:r>
      <w:r w:rsidR="009E2209" w:rsidRPr="000D3040">
        <w:rPr>
          <w:rFonts w:ascii="Times New Roman" w:hAnsi="Times New Roman" w:cs="Times New Roman"/>
        </w:rPr>
        <w:t xml:space="preserve">adults from different </w:t>
      </w:r>
      <w:r w:rsidR="00A524B0">
        <w:rPr>
          <w:rFonts w:ascii="Times New Roman" w:hAnsi="Times New Roman" w:cs="Times New Roman"/>
        </w:rPr>
        <w:t>contexts and lives characterised by different relationships</w:t>
      </w:r>
      <w:r w:rsidR="009E2209" w:rsidRPr="000D3040">
        <w:rPr>
          <w:rFonts w:ascii="Times New Roman" w:hAnsi="Times New Roman" w:cs="Times New Roman"/>
        </w:rPr>
        <w:t>, but w</w:t>
      </w:r>
      <w:r w:rsidR="00A524B0">
        <w:rPr>
          <w:rFonts w:ascii="Times New Roman" w:hAnsi="Times New Roman" w:cs="Times New Roman"/>
        </w:rPr>
        <w:t xml:space="preserve">ith </w:t>
      </w:r>
      <w:r w:rsidR="00C73CA7" w:rsidRPr="000D3040">
        <w:rPr>
          <w:rFonts w:ascii="Times New Roman" w:hAnsi="Times New Roman" w:cs="Times New Roman"/>
        </w:rPr>
        <w:t>an</w:t>
      </w:r>
      <w:r w:rsidR="009A7883" w:rsidRPr="000D3040">
        <w:rPr>
          <w:rFonts w:ascii="Times New Roman" w:hAnsi="Times New Roman" w:cs="Times New Roman"/>
        </w:rPr>
        <w:t xml:space="preserve"> </w:t>
      </w:r>
      <w:r w:rsidR="00C73CA7" w:rsidRPr="000D3040">
        <w:rPr>
          <w:rFonts w:ascii="Times New Roman" w:hAnsi="Times New Roman" w:cs="Times New Roman"/>
        </w:rPr>
        <w:t>identical issue</w:t>
      </w:r>
      <w:r w:rsidR="009E2209" w:rsidRPr="000D3040">
        <w:rPr>
          <w:rFonts w:ascii="Times New Roman" w:hAnsi="Times New Roman" w:cs="Times New Roman"/>
        </w:rPr>
        <w:t xml:space="preserve"> </w:t>
      </w:r>
      <w:r w:rsidR="00A524B0">
        <w:rPr>
          <w:rFonts w:ascii="Times New Roman" w:hAnsi="Times New Roman" w:cs="Times New Roman"/>
        </w:rPr>
        <w:t xml:space="preserve">for </w:t>
      </w:r>
      <w:r w:rsidR="009E2209" w:rsidRPr="000D3040">
        <w:rPr>
          <w:rFonts w:ascii="Times New Roman" w:hAnsi="Times New Roman" w:cs="Times New Roman"/>
        </w:rPr>
        <w:t>the Court</w:t>
      </w:r>
      <w:r w:rsidR="00A524B0">
        <w:rPr>
          <w:rFonts w:ascii="Times New Roman" w:hAnsi="Times New Roman" w:cs="Times New Roman"/>
        </w:rPr>
        <w:t xml:space="preserve"> to determine</w:t>
      </w:r>
      <w:r w:rsidR="009A7883" w:rsidRPr="000D3040">
        <w:rPr>
          <w:rFonts w:ascii="Times New Roman" w:hAnsi="Times New Roman" w:cs="Times New Roman"/>
        </w:rPr>
        <w:t xml:space="preserve"> – </w:t>
      </w:r>
      <w:r w:rsidR="00C73CA7" w:rsidRPr="000D3040">
        <w:rPr>
          <w:rFonts w:ascii="Times New Roman" w:hAnsi="Times New Roman" w:cs="Times New Roman"/>
        </w:rPr>
        <w:t>where would it be in the best interests of these adults with dementia to reside?</w:t>
      </w:r>
      <w:r w:rsidR="00270301" w:rsidRPr="000D3040">
        <w:rPr>
          <w:rFonts w:ascii="Times New Roman" w:hAnsi="Times New Roman" w:cs="Times New Roman"/>
        </w:rPr>
        <w:t xml:space="preserve"> The biographical detail presented in all three judgments is thorough, but moreover, the judges</w:t>
      </w:r>
      <w:r w:rsidR="005A647D" w:rsidRPr="000D3040">
        <w:rPr>
          <w:rFonts w:ascii="Times New Roman" w:hAnsi="Times New Roman" w:cs="Times New Roman"/>
        </w:rPr>
        <w:t xml:space="preserve"> in each case</w:t>
      </w:r>
      <w:r w:rsidR="00270301" w:rsidRPr="000D3040">
        <w:rPr>
          <w:rFonts w:ascii="Times New Roman" w:hAnsi="Times New Roman" w:cs="Times New Roman"/>
        </w:rPr>
        <w:t xml:space="preserve"> are </w:t>
      </w:r>
      <w:r w:rsidRPr="000D3040">
        <w:rPr>
          <w:rFonts w:ascii="Times New Roman" w:hAnsi="Times New Roman" w:cs="Times New Roman"/>
        </w:rPr>
        <w:t>keen</w:t>
      </w:r>
      <w:r w:rsidR="00270301" w:rsidRPr="000D3040">
        <w:rPr>
          <w:rFonts w:ascii="Times New Roman" w:hAnsi="Times New Roman" w:cs="Times New Roman"/>
        </w:rPr>
        <w:t xml:space="preserve"> to emphasise how the </w:t>
      </w:r>
      <w:r w:rsidRPr="000D3040">
        <w:rPr>
          <w:rFonts w:ascii="Times New Roman" w:hAnsi="Times New Roman" w:cs="Times New Roman"/>
        </w:rPr>
        <w:t xml:space="preserve">views </w:t>
      </w:r>
      <w:r w:rsidR="00270301" w:rsidRPr="000D3040">
        <w:rPr>
          <w:rFonts w:ascii="Times New Roman" w:hAnsi="Times New Roman" w:cs="Times New Roman"/>
        </w:rPr>
        <w:t xml:space="preserve">expressed by the individuals </w:t>
      </w:r>
      <w:r w:rsidR="009E4997" w:rsidRPr="000D3040">
        <w:rPr>
          <w:rFonts w:ascii="Times New Roman" w:hAnsi="Times New Roman" w:cs="Times New Roman"/>
        </w:rPr>
        <w:t>on</w:t>
      </w:r>
      <w:r w:rsidRPr="000D3040">
        <w:rPr>
          <w:rFonts w:ascii="Times New Roman" w:hAnsi="Times New Roman" w:cs="Times New Roman"/>
        </w:rPr>
        <w:t xml:space="preserve"> their residence</w:t>
      </w:r>
      <w:r w:rsidR="00270301" w:rsidRPr="000D3040">
        <w:rPr>
          <w:rFonts w:ascii="Times New Roman" w:hAnsi="Times New Roman" w:cs="Times New Roman"/>
        </w:rPr>
        <w:t xml:space="preserve"> have been brought about </w:t>
      </w:r>
      <w:r w:rsidR="00270301" w:rsidRPr="000D3040">
        <w:rPr>
          <w:rFonts w:ascii="Times New Roman" w:hAnsi="Times New Roman" w:cs="Times New Roman"/>
          <w:i/>
        </w:rPr>
        <w:t xml:space="preserve">because </w:t>
      </w:r>
      <w:r w:rsidR="00270301" w:rsidRPr="000D3040">
        <w:rPr>
          <w:rFonts w:ascii="Times New Roman" w:hAnsi="Times New Roman" w:cs="Times New Roman"/>
        </w:rPr>
        <w:t>of their biography</w:t>
      </w:r>
      <w:r w:rsidR="005A647D" w:rsidRPr="000D3040">
        <w:rPr>
          <w:rFonts w:ascii="Times New Roman" w:hAnsi="Times New Roman" w:cs="Times New Roman"/>
        </w:rPr>
        <w:t xml:space="preserve"> – </w:t>
      </w:r>
      <w:r w:rsidR="005A647D" w:rsidRPr="009D0FD1">
        <w:rPr>
          <w:rFonts w:ascii="Times New Roman" w:hAnsi="Times New Roman" w:cs="Times New Roman"/>
        </w:rPr>
        <w:t xml:space="preserve">because </w:t>
      </w:r>
      <w:r w:rsidR="005A647D" w:rsidRPr="000D3040">
        <w:rPr>
          <w:rFonts w:ascii="Times New Roman" w:hAnsi="Times New Roman" w:cs="Times New Roman"/>
        </w:rPr>
        <w:t>of how they have lived their lives</w:t>
      </w:r>
      <w:r w:rsidR="00E83978" w:rsidRPr="000D3040">
        <w:rPr>
          <w:rFonts w:ascii="Times New Roman" w:hAnsi="Times New Roman" w:cs="Times New Roman"/>
        </w:rPr>
        <w:t xml:space="preserve"> and the unique </w:t>
      </w:r>
      <w:r w:rsidR="004C4169" w:rsidRPr="000D3040">
        <w:rPr>
          <w:rFonts w:ascii="Times New Roman" w:hAnsi="Times New Roman" w:cs="Times New Roman"/>
        </w:rPr>
        <w:t xml:space="preserve">web of </w:t>
      </w:r>
      <w:r w:rsidR="009E2209" w:rsidRPr="000D3040">
        <w:rPr>
          <w:rFonts w:ascii="Times New Roman" w:hAnsi="Times New Roman" w:cs="Times New Roman"/>
        </w:rPr>
        <w:t>relationships they are situated within</w:t>
      </w:r>
      <w:r w:rsidR="00270301" w:rsidRPr="000D3040">
        <w:rPr>
          <w:rFonts w:ascii="Times New Roman" w:hAnsi="Times New Roman" w:cs="Times New Roman"/>
        </w:rPr>
        <w:t xml:space="preserve">. </w:t>
      </w:r>
      <w:r w:rsidR="00E83978" w:rsidRPr="000D3040">
        <w:rPr>
          <w:rFonts w:ascii="Times New Roman" w:hAnsi="Times New Roman" w:cs="Times New Roman"/>
        </w:rPr>
        <w:t>In effect, they attempt to ‘understand</w:t>
      </w:r>
      <w:r w:rsidR="00270301" w:rsidRPr="000D3040">
        <w:rPr>
          <w:rFonts w:ascii="Times New Roman" w:hAnsi="Times New Roman" w:cs="Times New Roman"/>
        </w:rPr>
        <w:t xml:space="preserve">’ </w:t>
      </w:r>
      <w:r w:rsidR="00E83978" w:rsidRPr="000D3040">
        <w:rPr>
          <w:rFonts w:ascii="Times New Roman" w:hAnsi="Times New Roman" w:cs="Times New Roman"/>
        </w:rPr>
        <w:t xml:space="preserve">the standpoint </w:t>
      </w:r>
      <w:r w:rsidR="009E2209" w:rsidRPr="000D3040">
        <w:rPr>
          <w:rFonts w:ascii="Times New Roman" w:hAnsi="Times New Roman" w:cs="Times New Roman"/>
        </w:rPr>
        <w:t>or the ‘story’</w:t>
      </w:r>
      <w:r w:rsidR="009E2209" w:rsidRPr="000D3040">
        <w:rPr>
          <w:rStyle w:val="FootnoteReference"/>
          <w:rFonts w:ascii="Times New Roman" w:hAnsi="Times New Roman" w:cs="Times New Roman"/>
        </w:rPr>
        <w:footnoteReference w:id="147"/>
      </w:r>
      <w:r w:rsidR="009E2209" w:rsidRPr="000D3040">
        <w:rPr>
          <w:rFonts w:ascii="Times New Roman" w:hAnsi="Times New Roman" w:cs="Times New Roman"/>
        </w:rPr>
        <w:t xml:space="preserve"> </w:t>
      </w:r>
      <w:r w:rsidR="00E83978" w:rsidRPr="000D3040">
        <w:rPr>
          <w:rFonts w:ascii="Times New Roman" w:hAnsi="Times New Roman" w:cs="Times New Roman"/>
        </w:rPr>
        <w:t>of the person</w:t>
      </w:r>
      <w:r w:rsidR="00270301" w:rsidRPr="000D3040">
        <w:rPr>
          <w:rFonts w:ascii="Times New Roman" w:hAnsi="Times New Roman" w:cs="Times New Roman"/>
        </w:rPr>
        <w:t xml:space="preserve">, rather than simply </w:t>
      </w:r>
      <w:r w:rsidR="00E83978" w:rsidRPr="000D3040">
        <w:rPr>
          <w:rFonts w:ascii="Times New Roman" w:hAnsi="Times New Roman" w:cs="Times New Roman"/>
        </w:rPr>
        <w:t>dismissing the</w:t>
      </w:r>
      <w:r w:rsidR="009E2209" w:rsidRPr="000D3040">
        <w:rPr>
          <w:rFonts w:ascii="Times New Roman" w:hAnsi="Times New Roman" w:cs="Times New Roman"/>
        </w:rPr>
        <w:t>ir views</w:t>
      </w:r>
      <w:r w:rsidR="00270301" w:rsidRPr="000D3040">
        <w:rPr>
          <w:rFonts w:ascii="Times New Roman" w:hAnsi="Times New Roman" w:cs="Times New Roman"/>
        </w:rPr>
        <w:t xml:space="preserve"> as </w:t>
      </w:r>
      <w:r w:rsidR="00C36504">
        <w:rPr>
          <w:rFonts w:ascii="Times New Roman" w:hAnsi="Times New Roman" w:cs="Times New Roman"/>
        </w:rPr>
        <w:t xml:space="preserve">irrational, or </w:t>
      </w:r>
      <w:r w:rsidR="00270301" w:rsidRPr="000D3040">
        <w:rPr>
          <w:rFonts w:ascii="Times New Roman" w:hAnsi="Times New Roman" w:cs="Times New Roman"/>
        </w:rPr>
        <w:t xml:space="preserve">a ‘symptom’ </w:t>
      </w:r>
      <w:r w:rsidR="00E83978" w:rsidRPr="000D3040">
        <w:rPr>
          <w:rFonts w:ascii="Times New Roman" w:hAnsi="Times New Roman" w:cs="Times New Roman"/>
        </w:rPr>
        <w:t>of their</w:t>
      </w:r>
      <w:r w:rsidR="00270301" w:rsidRPr="000D3040">
        <w:rPr>
          <w:rFonts w:ascii="Times New Roman" w:hAnsi="Times New Roman" w:cs="Times New Roman"/>
        </w:rPr>
        <w:t xml:space="preserve"> dementia.</w:t>
      </w:r>
      <w:r w:rsidR="002C1375" w:rsidRPr="000D3040">
        <w:rPr>
          <w:rFonts w:ascii="Times New Roman" w:hAnsi="Times New Roman" w:cs="Times New Roman"/>
        </w:rPr>
        <w:t xml:space="preserve">  This is an approach that has</w:t>
      </w:r>
      <w:r w:rsidR="00A524B0">
        <w:rPr>
          <w:rFonts w:ascii="Times New Roman" w:hAnsi="Times New Roman" w:cs="Times New Roman"/>
        </w:rPr>
        <w:t>,</w:t>
      </w:r>
      <w:r w:rsidR="002C1375" w:rsidRPr="000D3040">
        <w:rPr>
          <w:rFonts w:ascii="Times New Roman" w:hAnsi="Times New Roman" w:cs="Times New Roman"/>
        </w:rPr>
        <w:t xml:space="preserve"> </w:t>
      </w:r>
      <w:r w:rsidR="00A524B0">
        <w:rPr>
          <w:rFonts w:ascii="Times New Roman" w:hAnsi="Times New Roman" w:cs="Times New Roman"/>
        </w:rPr>
        <w:t xml:space="preserve">in fact, </w:t>
      </w:r>
      <w:r w:rsidR="002C1375" w:rsidRPr="000D3040">
        <w:rPr>
          <w:rFonts w:ascii="Times New Roman" w:hAnsi="Times New Roman" w:cs="Times New Roman"/>
        </w:rPr>
        <w:t xml:space="preserve">long been advocated by </w:t>
      </w:r>
      <w:r w:rsidR="009E4997" w:rsidRPr="000D3040">
        <w:rPr>
          <w:rFonts w:ascii="Times New Roman" w:hAnsi="Times New Roman" w:cs="Times New Roman"/>
        </w:rPr>
        <w:t>researchers on selfhood in dementia</w:t>
      </w:r>
      <w:r w:rsidR="002C1375" w:rsidRPr="000D3040">
        <w:rPr>
          <w:rFonts w:ascii="Times New Roman" w:hAnsi="Times New Roman" w:cs="Times New Roman"/>
        </w:rPr>
        <w:t>.  Sabat and Harré argue</w:t>
      </w:r>
      <w:r w:rsidR="00A82F61">
        <w:rPr>
          <w:rFonts w:ascii="Times New Roman" w:hAnsi="Times New Roman" w:cs="Times New Roman"/>
        </w:rPr>
        <w:t>,</w:t>
      </w:r>
      <w:r w:rsidR="00EA4E7B" w:rsidRPr="000D3040">
        <w:rPr>
          <w:rStyle w:val="FootnoteReference"/>
          <w:rFonts w:ascii="Times New Roman" w:hAnsi="Times New Roman" w:cs="Times New Roman"/>
        </w:rPr>
        <w:footnoteReference w:id="148"/>
      </w:r>
      <w:r w:rsidR="002C1375" w:rsidRPr="000D3040">
        <w:rPr>
          <w:rFonts w:ascii="Times New Roman" w:hAnsi="Times New Roman" w:cs="Times New Roman"/>
        </w:rPr>
        <w:t xml:space="preserve"> for example, that this background contextual information is essential to co-operating in constructing selfhood</w:t>
      </w:r>
      <w:r w:rsidR="009E4997" w:rsidRPr="000D3040">
        <w:rPr>
          <w:rFonts w:ascii="Times New Roman" w:hAnsi="Times New Roman" w:cs="Times New Roman"/>
        </w:rPr>
        <w:t xml:space="preserve"> </w:t>
      </w:r>
      <w:r w:rsidR="00EA4E7B" w:rsidRPr="000D3040">
        <w:rPr>
          <w:rFonts w:ascii="Times New Roman" w:hAnsi="Times New Roman" w:cs="Times New Roman"/>
        </w:rPr>
        <w:t>– and particularly a self that</w:t>
      </w:r>
      <w:r w:rsidR="009E4997" w:rsidRPr="000D3040">
        <w:rPr>
          <w:rFonts w:ascii="Times New Roman" w:hAnsi="Times New Roman" w:cs="Times New Roman"/>
        </w:rPr>
        <w:t xml:space="preserve"> the person with dementia can remain</w:t>
      </w:r>
      <w:r w:rsidR="00EA4E7B" w:rsidRPr="000D3040">
        <w:rPr>
          <w:rFonts w:ascii="Times New Roman" w:hAnsi="Times New Roman" w:cs="Times New Roman"/>
        </w:rPr>
        <w:t xml:space="preserve"> actively and reciprocally involved in creating</w:t>
      </w:r>
      <w:r w:rsidR="002C1375" w:rsidRPr="000D3040">
        <w:rPr>
          <w:rFonts w:ascii="Times New Roman" w:hAnsi="Times New Roman" w:cs="Times New Roman"/>
        </w:rPr>
        <w:t xml:space="preserve">. </w:t>
      </w:r>
      <w:r w:rsidR="00534A1E" w:rsidRPr="000D3040">
        <w:rPr>
          <w:rFonts w:ascii="Times New Roman" w:hAnsi="Times New Roman" w:cs="Times New Roman"/>
        </w:rPr>
        <w:t xml:space="preserve"> </w:t>
      </w:r>
    </w:p>
    <w:p w14:paraId="31E9906A" w14:textId="77777777" w:rsidR="009E4997" w:rsidRPr="000D3040" w:rsidRDefault="009E4997" w:rsidP="000E6DF0">
      <w:pPr>
        <w:pStyle w:val="NoSpacing"/>
        <w:spacing w:line="480" w:lineRule="auto"/>
        <w:jc w:val="both"/>
        <w:rPr>
          <w:rFonts w:ascii="Times New Roman" w:hAnsi="Times New Roman" w:cs="Times New Roman"/>
        </w:rPr>
      </w:pPr>
    </w:p>
    <w:p w14:paraId="6855FA83" w14:textId="2620C350" w:rsidR="006E709F" w:rsidRPr="000D3040" w:rsidRDefault="00534A1E" w:rsidP="000E6DF0">
      <w:pPr>
        <w:pStyle w:val="NoSpacing"/>
        <w:spacing w:line="480" w:lineRule="auto"/>
        <w:jc w:val="both"/>
        <w:rPr>
          <w:rFonts w:ascii="Times New Roman" w:hAnsi="Times New Roman" w:cs="Times New Roman"/>
        </w:rPr>
      </w:pPr>
      <w:r w:rsidRPr="000D3040">
        <w:rPr>
          <w:rFonts w:ascii="Times New Roman" w:hAnsi="Times New Roman" w:cs="Times New Roman"/>
        </w:rPr>
        <w:t xml:space="preserve">In discussing ST’s wishes and feelings in </w:t>
      </w:r>
      <w:r w:rsidRPr="000D3040">
        <w:rPr>
          <w:rFonts w:ascii="Times New Roman" w:hAnsi="Times New Roman" w:cs="Times New Roman"/>
          <w:i/>
        </w:rPr>
        <w:t>VT</w:t>
      </w:r>
      <w:r w:rsidRPr="000D3040">
        <w:rPr>
          <w:rFonts w:ascii="Times New Roman" w:hAnsi="Times New Roman" w:cs="Times New Roman"/>
        </w:rPr>
        <w:t xml:space="preserve">, </w:t>
      </w:r>
      <w:r w:rsidR="00A82F61">
        <w:rPr>
          <w:rFonts w:ascii="Times New Roman" w:hAnsi="Times New Roman" w:cs="Times New Roman"/>
        </w:rPr>
        <w:t>for example,</w:t>
      </w:r>
      <w:r w:rsidRPr="000D3040">
        <w:rPr>
          <w:rFonts w:ascii="Times New Roman" w:hAnsi="Times New Roman" w:cs="Times New Roman"/>
        </w:rPr>
        <w:t xml:space="preserve"> </w:t>
      </w:r>
      <w:r w:rsidR="001A2FA6">
        <w:rPr>
          <w:rFonts w:ascii="Times New Roman" w:hAnsi="Times New Roman" w:cs="Times New Roman"/>
        </w:rPr>
        <w:t xml:space="preserve">DJ </w:t>
      </w:r>
      <w:r w:rsidRPr="000D3040">
        <w:rPr>
          <w:rFonts w:ascii="Times New Roman" w:hAnsi="Times New Roman" w:cs="Times New Roman"/>
        </w:rPr>
        <w:t>Ralton indicates that it i</w:t>
      </w:r>
      <w:r w:rsidR="00F821E0" w:rsidRPr="000D3040">
        <w:rPr>
          <w:rFonts w:ascii="Times New Roman" w:hAnsi="Times New Roman" w:cs="Times New Roman"/>
        </w:rPr>
        <w:t>s a value held by many Nigerian</w:t>
      </w:r>
      <w:r w:rsidRPr="000D3040">
        <w:rPr>
          <w:rFonts w:ascii="Times New Roman" w:hAnsi="Times New Roman" w:cs="Times New Roman"/>
        </w:rPr>
        <w:t>s of ST’s generation that they would expect to retire back to Nigeria at some point, as well as being customary for families to look after each other, only using outside caregivers as and when they need, as well as ST having expressed a ‘consistent rational intention and wish’</w:t>
      </w:r>
      <w:r w:rsidRPr="000D3040">
        <w:rPr>
          <w:rStyle w:val="FootnoteReference"/>
          <w:rFonts w:ascii="Times New Roman" w:hAnsi="Times New Roman" w:cs="Times New Roman"/>
        </w:rPr>
        <w:footnoteReference w:id="149"/>
      </w:r>
      <w:r w:rsidRPr="000D3040">
        <w:rPr>
          <w:rFonts w:ascii="Times New Roman" w:hAnsi="Times New Roman" w:cs="Times New Roman"/>
        </w:rPr>
        <w:t xml:space="preserve"> to return to Nigeria to ‘end his days’ there.  </w:t>
      </w:r>
      <w:r w:rsidR="00DA4810">
        <w:rPr>
          <w:rFonts w:ascii="Times New Roman" w:hAnsi="Times New Roman" w:cs="Times New Roman"/>
        </w:rPr>
        <w:t xml:space="preserve">Although use of language such as ‘consistent and rational’ might imply the presence of the comparator criticised earlier, the judge is keen to stress that this is </w:t>
      </w:r>
      <w:r w:rsidR="00DA4810">
        <w:rPr>
          <w:rFonts w:ascii="Times New Roman" w:hAnsi="Times New Roman" w:cs="Times New Roman"/>
          <w:i/>
        </w:rPr>
        <w:t xml:space="preserve">internal </w:t>
      </w:r>
      <w:r w:rsidR="00DA4810">
        <w:rPr>
          <w:rFonts w:ascii="Times New Roman" w:hAnsi="Times New Roman" w:cs="Times New Roman"/>
        </w:rPr>
        <w:t>consistency and rationality – that is, it is consistent and rational according to what ST’s wishes have been previously. It is</w:t>
      </w:r>
      <w:r w:rsidRPr="000D3040">
        <w:rPr>
          <w:rFonts w:ascii="Times New Roman" w:hAnsi="Times New Roman" w:cs="Times New Roman"/>
        </w:rPr>
        <w:t xml:space="preserve"> not only cognisant of ST’s expressed past </w:t>
      </w:r>
      <w:r w:rsidRPr="000D3040">
        <w:rPr>
          <w:rFonts w:ascii="Times New Roman" w:hAnsi="Times New Roman" w:cs="Times New Roman"/>
          <w:i/>
        </w:rPr>
        <w:t>and</w:t>
      </w:r>
      <w:r w:rsidRPr="000D3040">
        <w:rPr>
          <w:rFonts w:ascii="Times New Roman" w:hAnsi="Times New Roman" w:cs="Times New Roman"/>
        </w:rPr>
        <w:t xml:space="preserve"> present wishes, but also takes account of his heritage, and the customs of his place of birth – rather than simply relying on wishes expressed </w:t>
      </w:r>
      <w:r w:rsidR="009516F8" w:rsidRPr="000D3040">
        <w:rPr>
          <w:rFonts w:ascii="Times New Roman" w:hAnsi="Times New Roman" w:cs="Times New Roman"/>
        </w:rPr>
        <w:t>whe</w:t>
      </w:r>
      <w:r w:rsidR="004C4169" w:rsidRPr="000D3040">
        <w:rPr>
          <w:rFonts w:ascii="Times New Roman" w:hAnsi="Times New Roman" w:cs="Times New Roman"/>
        </w:rPr>
        <w:t>n he is deemed to lack capacity.  I</w:t>
      </w:r>
      <w:r w:rsidR="009516F8" w:rsidRPr="000D3040">
        <w:rPr>
          <w:rFonts w:ascii="Times New Roman" w:hAnsi="Times New Roman" w:cs="Times New Roman"/>
        </w:rPr>
        <w:t xml:space="preserve">t considers whether such wishes are or are not consistent with </w:t>
      </w:r>
      <w:r w:rsidR="009516F8" w:rsidRPr="00D570A8">
        <w:rPr>
          <w:rFonts w:ascii="Times New Roman" w:hAnsi="Times New Roman" w:cs="Times New Roman"/>
          <w:i/>
        </w:rPr>
        <w:t xml:space="preserve">his </w:t>
      </w:r>
      <w:r w:rsidR="009516F8" w:rsidRPr="000D3040">
        <w:rPr>
          <w:rFonts w:ascii="Times New Roman" w:hAnsi="Times New Roman" w:cs="Times New Roman"/>
        </w:rPr>
        <w:t xml:space="preserve">prior wishes, </w:t>
      </w:r>
      <w:r w:rsidR="009516F8" w:rsidRPr="00E05D0F">
        <w:rPr>
          <w:rFonts w:ascii="Times New Roman" w:hAnsi="Times New Roman" w:cs="Times New Roman"/>
        </w:rPr>
        <w:t>and</w:t>
      </w:r>
      <w:r w:rsidR="009516F8" w:rsidRPr="000D3040">
        <w:rPr>
          <w:rFonts w:ascii="Times New Roman" w:hAnsi="Times New Roman" w:cs="Times New Roman"/>
        </w:rPr>
        <w:t xml:space="preserve"> </w:t>
      </w:r>
      <w:r w:rsidR="009516F8" w:rsidRPr="00D570A8">
        <w:rPr>
          <w:rFonts w:ascii="Times New Roman" w:hAnsi="Times New Roman" w:cs="Times New Roman"/>
          <w:i/>
        </w:rPr>
        <w:t>his</w:t>
      </w:r>
      <w:r w:rsidR="009516F8" w:rsidRPr="000D3040">
        <w:rPr>
          <w:rFonts w:ascii="Times New Roman" w:hAnsi="Times New Roman" w:cs="Times New Roman"/>
        </w:rPr>
        <w:t xml:space="preserve"> more widely held values of returning to his home country. </w:t>
      </w:r>
      <w:r w:rsidR="002C493E" w:rsidRPr="000D3040">
        <w:rPr>
          <w:rFonts w:ascii="Times New Roman" w:hAnsi="Times New Roman" w:cs="Times New Roman"/>
        </w:rPr>
        <w:t xml:space="preserve">In </w:t>
      </w:r>
      <w:r w:rsidR="00AE7748">
        <w:rPr>
          <w:rFonts w:ascii="Times New Roman" w:hAnsi="Times New Roman" w:cs="Times New Roman"/>
        </w:rPr>
        <w:t xml:space="preserve">emphasising </w:t>
      </w:r>
      <w:r w:rsidR="00E83978" w:rsidRPr="000D3040">
        <w:rPr>
          <w:rFonts w:ascii="Times New Roman" w:hAnsi="Times New Roman" w:cs="Times New Roman"/>
        </w:rPr>
        <w:t xml:space="preserve">ST’s cultural background and, importantly, ST’s </w:t>
      </w:r>
      <w:r w:rsidR="002C493E" w:rsidRPr="000D3040">
        <w:rPr>
          <w:rFonts w:ascii="Times New Roman" w:hAnsi="Times New Roman" w:cs="Times New Roman"/>
        </w:rPr>
        <w:t>relationship to his culture, the</w:t>
      </w:r>
      <w:r w:rsidR="00E83978" w:rsidRPr="000D3040">
        <w:rPr>
          <w:rFonts w:ascii="Times New Roman" w:hAnsi="Times New Roman" w:cs="Times New Roman"/>
        </w:rPr>
        <w:t xml:space="preserve"> approach taken</w:t>
      </w:r>
      <w:r w:rsidR="009A2B97" w:rsidRPr="000D3040">
        <w:rPr>
          <w:rFonts w:ascii="Times New Roman" w:hAnsi="Times New Roman" w:cs="Times New Roman"/>
        </w:rPr>
        <w:t xml:space="preserve"> by </w:t>
      </w:r>
      <w:r w:rsidR="001A2FA6">
        <w:rPr>
          <w:rFonts w:ascii="Times New Roman" w:hAnsi="Times New Roman" w:cs="Times New Roman"/>
        </w:rPr>
        <w:t xml:space="preserve">DJ </w:t>
      </w:r>
      <w:r w:rsidR="007A1409">
        <w:rPr>
          <w:rFonts w:ascii="Times New Roman" w:hAnsi="Times New Roman" w:cs="Times New Roman"/>
        </w:rPr>
        <w:t>Ralton</w:t>
      </w:r>
      <w:r w:rsidR="009A2B97" w:rsidRPr="000D3040">
        <w:rPr>
          <w:rFonts w:ascii="Times New Roman" w:hAnsi="Times New Roman" w:cs="Times New Roman"/>
        </w:rPr>
        <w:t xml:space="preserve"> </w:t>
      </w:r>
      <w:r w:rsidR="00E83978" w:rsidRPr="000D3040">
        <w:rPr>
          <w:rFonts w:ascii="Times New Roman" w:hAnsi="Times New Roman" w:cs="Times New Roman"/>
        </w:rPr>
        <w:t xml:space="preserve">presents neither </w:t>
      </w:r>
      <w:r w:rsidR="009516F8" w:rsidRPr="000D3040">
        <w:rPr>
          <w:rFonts w:ascii="Times New Roman" w:hAnsi="Times New Roman" w:cs="Times New Roman"/>
        </w:rPr>
        <w:t xml:space="preserve">a fixed </w:t>
      </w:r>
      <w:r w:rsidR="005A647D" w:rsidRPr="000D3040">
        <w:rPr>
          <w:rFonts w:ascii="Times New Roman" w:hAnsi="Times New Roman" w:cs="Times New Roman"/>
        </w:rPr>
        <w:t>image of ST</w:t>
      </w:r>
      <w:r w:rsidR="002C493E" w:rsidRPr="000D3040">
        <w:rPr>
          <w:rFonts w:ascii="Times New Roman" w:hAnsi="Times New Roman" w:cs="Times New Roman"/>
        </w:rPr>
        <w:t xml:space="preserve"> either previously, or </w:t>
      </w:r>
      <w:r w:rsidR="00E83978" w:rsidRPr="000D3040">
        <w:rPr>
          <w:rFonts w:ascii="Times New Roman" w:hAnsi="Times New Roman" w:cs="Times New Roman"/>
        </w:rPr>
        <w:t xml:space="preserve">in his current state </w:t>
      </w:r>
      <w:r w:rsidR="002C493E" w:rsidRPr="000D3040">
        <w:rPr>
          <w:rFonts w:ascii="Times New Roman" w:hAnsi="Times New Roman" w:cs="Times New Roman"/>
        </w:rPr>
        <w:t xml:space="preserve">as </w:t>
      </w:r>
      <w:r w:rsidR="00DC186B">
        <w:rPr>
          <w:rFonts w:ascii="Times New Roman" w:hAnsi="Times New Roman" w:cs="Times New Roman"/>
        </w:rPr>
        <w:t>a person</w:t>
      </w:r>
      <w:r w:rsidR="002C493E" w:rsidRPr="000D3040">
        <w:rPr>
          <w:rFonts w:ascii="Times New Roman" w:hAnsi="Times New Roman" w:cs="Times New Roman"/>
        </w:rPr>
        <w:t xml:space="preserve"> with dementia</w:t>
      </w:r>
      <w:r w:rsidR="00E83978" w:rsidRPr="000D3040">
        <w:rPr>
          <w:rFonts w:ascii="Times New Roman" w:hAnsi="Times New Roman" w:cs="Times New Roman"/>
        </w:rPr>
        <w:t>, but</w:t>
      </w:r>
      <w:r w:rsidR="00EA21C1">
        <w:rPr>
          <w:rFonts w:ascii="Times New Roman" w:hAnsi="Times New Roman" w:cs="Times New Roman"/>
        </w:rPr>
        <w:t xml:space="preserve"> is</w:t>
      </w:r>
      <w:r w:rsidR="00E83978" w:rsidRPr="000D3040">
        <w:rPr>
          <w:rFonts w:ascii="Times New Roman" w:hAnsi="Times New Roman" w:cs="Times New Roman"/>
        </w:rPr>
        <w:t xml:space="preserve"> </w:t>
      </w:r>
      <w:r w:rsidR="009E2209" w:rsidRPr="000D3040">
        <w:rPr>
          <w:rFonts w:ascii="Times New Roman" w:hAnsi="Times New Roman" w:cs="Times New Roman"/>
        </w:rPr>
        <w:t>a ‘unified’ approach to</w:t>
      </w:r>
      <w:r w:rsidR="00C73CA7" w:rsidRPr="000D3040">
        <w:rPr>
          <w:rFonts w:ascii="Times New Roman" w:hAnsi="Times New Roman" w:cs="Times New Roman"/>
        </w:rPr>
        <w:t xml:space="preserve"> ST’s life </w:t>
      </w:r>
      <w:r w:rsidR="009E4997" w:rsidRPr="000D3040">
        <w:rPr>
          <w:rFonts w:ascii="Times New Roman" w:hAnsi="Times New Roman" w:cs="Times New Roman"/>
        </w:rPr>
        <w:t>–</w:t>
      </w:r>
      <w:r w:rsidR="00C73CA7" w:rsidRPr="000D3040">
        <w:rPr>
          <w:rFonts w:ascii="Times New Roman" w:hAnsi="Times New Roman" w:cs="Times New Roman"/>
        </w:rPr>
        <w:t xml:space="preserve"> linking</w:t>
      </w:r>
      <w:r w:rsidR="009E4997" w:rsidRPr="000D3040">
        <w:rPr>
          <w:rFonts w:ascii="Times New Roman" w:hAnsi="Times New Roman" w:cs="Times New Roman"/>
        </w:rPr>
        <w:t xml:space="preserve"> and explaining</w:t>
      </w:r>
      <w:r w:rsidR="00C73CA7" w:rsidRPr="000D3040">
        <w:rPr>
          <w:rFonts w:ascii="Times New Roman" w:hAnsi="Times New Roman" w:cs="Times New Roman"/>
        </w:rPr>
        <w:t xml:space="preserve"> his</w:t>
      </w:r>
      <w:r w:rsidR="00E83978" w:rsidRPr="000D3040">
        <w:rPr>
          <w:rFonts w:ascii="Times New Roman" w:hAnsi="Times New Roman" w:cs="Times New Roman"/>
        </w:rPr>
        <w:t xml:space="preserve"> attitudes before he was diagnosed with dementia to the same views being expressed now</w:t>
      </w:r>
      <w:r w:rsidR="009516F8" w:rsidRPr="000D3040">
        <w:rPr>
          <w:rFonts w:ascii="Times New Roman" w:hAnsi="Times New Roman" w:cs="Times New Roman"/>
        </w:rPr>
        <w:t>.</w:t>
      </w:r>
      <w:r w:rsidR="002C493E" w:rsidRPr="000D3040">
        <w:rPr>
          <w:rFonts w:ascii="Times New Roman" w:hAnsi="Times New Roman" w:cs="Times New Roman"/>
        </w:rPr>
        <w:t xml:space="preserve"> </w:t>
      </w:r>
      <w:r w:rsidR="00AE7748">
        <w:rPr>
          <w:rFonts w:ascii="Times New Roman" w:hAnsi="Times New Roman" w:cs="Times New Roman"/>
        </w:rPr>
        <w:t>The</w:t>
      </w:r>
      <w:r w:rsidR="002C493E" w:rsidRPr="000D3040">
        <w:rPr>
          <w:rFonts w:ascii="Times New Roman" w:hAnsi="Times New Roman" w:cs="Times New Roman"/>
        </w:rPr>
        <w:t xml:space="preserve"> </w:t>
      </w:r>
      <w:r w:rsidR="009E4997" w:rsidRPr="000D3040">
        <w:rPr>
          <w:rFonts w:ascii="Times New Roman" w:hAnsi="Times New Roman" w:cs="Times New Roman"/>
        </w:rPr>
        <w:t xml:space="preserve">identity of </w:t>
      </w:r>
      <w:r w:rsidR="00DC186B">
        <w:rPr>
          <w:rFonts w:ascii="Times New Roman" w:hAnsi="Times New Roman" w:cs="Times New Roman"/>
        </w:rPr>
        <w:t>ST</w:t>
      </w:r>
      <w:r w:rsidR="009E4997" w:rsidRPr="000D3040">
        <w:rPr>
          <w:rFonts w:ascii="Times New Roman" w:hAnsi="Times New Roman" w:cs="Times New Roman"/>
        </w:rPr>
        <w:t xml:space="preserve"> with </w:t>
      </w:r>
      <w:r w:rsidR="002C493E" w:rsidRPr="000D3040">
        <w:rPr>
          <w:rFonts w:ascii="Times New Roman" w:hAnsi="Times New Roman" w:cs="Times New Roman"/>
        </w:rPr>
        <w:t>dementia</w:t>
      </w:r>
      <w:r w:rsidR="007A1409">
        <w:rPr>
          <w:rFonts w:ascii="Times New Roman" w:hAnsi="Times New Roman" w:cs="Times New Roman"/>
        </w:rPr>
        <w:t>,</w:t>
      </w:r>
      <w:r w:rsidR="007A1409" w:rsidRPr="00405255">
        <w:rPr>
          <w:rFonts w:ascii="Times New Roman" w:hAnsi="Times New Roman" w:cs="Times New Roman"/>
          <w:i/>
        </w:rPr>
        <w:t xml:space="preserve"> </w:t>
      </w:r>
      <w:r w:rsidR="007A1409" w:rsidRPr="00E05D0F">
        <w:rPr>
          <w:rFonts w:ascii="Times New Roman" w:hAnsi="Times New Roman" w:cs="Times New Roman"/>
        </w:rPr>
        <w:t>i</w:t>
      </w:r>
      <w:r w:rsidR="00DC186B">
        <w:rPr>
          <w:rFonts w:ascii="Times New Roman" w:hAnsi="Times New Roman" w:cs="Times New Roman"/>
        </w:rPr>
        <w:t xml:space="preserve">n </w:t>
      </w:r>
      <w:r w:rsidR="007A1409" w:rsidRPr="00E05D0F">
        <w:rPr>
          <w:rFonts w:ascii="Times New Roman" w:hAnsi="Times New Roman" w:cs="Times New Roman"/>
        </w:rPr>
        <w:t>e</w:t>
      </w:r>
      <w:r w:rsidR="00DC186B">
        <w:rPr>
          <w:rFonts w:ascii="Times New Roman" w:hAnsi="Times New Roman" w:cs="Times New Roman"/>
        </w:rPr>
        <w:t>ffect</w:t>
      </w:r>
      <w:r w:rsidR="007A1409" w:rsidRPr="00405255">
        <w:rPr>
          <w:rFonts w:ascii="Times New Roman" w:hAnsi="Times New Roman" w:cs="Times New Roman"/>
          <w:i/>
        </w:rPr>
        <w:t xml:space="preserve"> </w:t>
      </w:r>
      <w:r w:rsidR="007A1409">
        <w:rPr>
          <w:rFonts w:ascii="Times New Roman" w:hAnsi="Times New Roman" w:cs="Times New Roman"/>
        </w:rPr>
        <w:t xml:space="preserve">ST </w:t>
      </w:r>
      <w:r w:rsidR="007A1409" w:rsidRPr="007A1409">
        <w:rPr>
          <w:rFonts w:ascii="Times New Roman" w:hAnsi="Times New Roman" w:cs="Times New Roman"/>
          <w:i/>
        </w:rPr>
        <w:t>now</w:t>
      </w:r>
      <w:r w:rsidR="007A1409">
        <w:rPr>
          <w:rFonts w:ascii="Times New Roman" w:hAnsi="Times New Roman" w:cs="Times New Roman"/>
          <w:i/>
        </w:rPr>
        <w:t>,</w:t>
      </w:r>
      <w:r w:rsidR="002C493E" w:rsidRPr="000D3040">
        <w:rPr>
          <w:rFonts w:ascii="Times New Roman" w:hAnsi="Times New Roman" w:cs="Times New Roman"/>
        </w:rPr>
        <w:t xml:space="preserve"> </w:t>
      </w:r>
      <w:r w:rsidR="009E4997" w:rsidRPr="000D3040">
        <w:rPr>
          <w:rFonts w:ascii="Times New Roman" w:hAnsi="Times New Roman" w:cs="Times New Roman"/>
        </w:rPr>
        <w:t>may be seen to assume</w:t>
      </w:r>
      <w:r w:rsidR="007A4203" w:rsidRPr="000D3040">
        <w:rPr>
          <w:rFonts w:ascii="Times New Roman" w:hAnsi="Times New Roman" w:cs="Times New Roman"/>
        </w:rPr>
        <w:t xml:space="preserve"> a subsidiary role </w:t>
      </w:r>
      <w:r w:rsidR="009E2209" w:rsidRPr="000D3040">
        <w:rPr>
          <w:rFonts w:ascii="Times New Roman" w:hAnsi="Times New Roman" w:cs="Times New Roman"/>
        </w:rPr>
        <w:t>to ST’s</w:t>
      </w:r>
      <w:r w:rsidR="002C493E" w:rsidRPr="000D3040">
        <w:rPr>
          <w:rFonts w:ascii="Times New Roman" w:hAnsi="Times New Roman" w:cs="Times New Roman"/>
        </w:rPr>
        <w:t xml:space="preserve"> life</w:t>
      </w:r>
      <w:r w:rsidR="009E2209" w:rsidRPr="000D3040">
        <w:rPr>
          <w:rFonts w:ascii="Times New Roman" w:hAnsi="Times New Roman" w:cs="Times New Roman"/>
        </w:rPr>
        <w:t xml:space="preserve"> viewed in its entirety</w:t>
      </w:r>
      <w:r w:rsidR="0045398C">
        <w:rPr>
          <w:rFonts w:ascii="Times New Roman" w:hAnsi="Times New Roman" w:cs="Times New Roman"/>
        </w:rPr>
        <w:t>, and his lifelong relationship</w:t>
      </w:r>
      <w:r w:rsidR="007A1409">
        <w:rPr>
          <w:rFonts w:ascii="Times New Roman" w:hAnsi="Times New Roman" w:cs="Times New Roman"/>
        </w:rPr>
        <w:t xml:space="preserve"> with his culture</w:t>
      </w:r>
      <w:r w:rsidR="002C493E" w:rsidRPr="000D3040">
        <w:rPr>
          <w:rFonts w:ascii="Times New Roman" w:hAnsi="Times New Roman" w:cs="Times New Roman"/>
        </w:rPr>
        <w:t>.</w:t>
      </w:r>
      <w:r w:rsidR="00E83978" w:rsidRPr="000D3040">
        <w:rPr>
          <w:rStyle w:val="FootnoteReference"/>
          <w:rFonts w:ascii="Times New Roman" w:hAnsi="Times New Roman" w:cs="Times New Roman"/>
        </w:rPr>
        <w:footnoteReference w:id="150"/>
      </w:r>
      <w:r w:rsidR="005C4BCC" w:rsidRPr="000D3040">
        <w:rPr>
          <w:rFonts w:ascii="Times New Roman" w:hAnsi="Times New Roman" w:cs="Times New Roman"/>
        </w:rPr>
        <w:t xml:space="preserve"> </w:t>
      </w:r>
    </w:p>
    <w:p w14:paraId="457862C9" w14:textId="77777777" w:rsidR="007A1409" w:rsidRDefault="007A1409" w:rsidP="000E6DF0">
      <w:pPr>
        <w:pStyle w:val="NoSpacing"/>
        <w:spacing w:line="480" w:lineRule="auto"/>
        <w:jc w:val="both"/>
        <w:rPr>
          <w:rFonts w:ascii="Times New Roman" w:hAnsi="Times New Roman" w:cs="Times New Roman"/>
          <w:lang w:val="en-US"/>
        </w:rPr>
      </w:pPr>
    </w:p>
    <w:p w14:paraId="367281C7" w14:textId="3BAAD775" w:rsidR="00747B0C" w:rsidRPr="000D3040" w:rsidRDefault="006D7A39" w:rsidP="000E6DF0">
      <w:pPr>
        <w:pStyle w:val="NoSpacing"/>
        <w:spacing w:line="480" w:lineRule="auto"/>
        <w:jc w:val="both"/>
        <w:rPr>
          <w:rFonts w:ascii="Times New Roman" w:hAnsi="Times New Roman" w:cs="Times New Roman"/>
          <w:lang w:val="en-US"/>
        </w:rPr>
      </w:pPr>
      <w:r w:rsidRPr="000D3040">
        <w:rPr>
          <w:rFonts w:ascii="Times New Roman" w:hAnsi="Times New Roman" w:cs="Times New Roman"/>
          <w:lang w:val="en-US"/>
        </w:rPr>
        <w:lastRenderedPageBreak/>
        <w:t>In a si</w:t>
      </w:r>
      <w:r w:rsidR="009E4997" w:rsidRPr="000D3040">
        <w:rPr>
          <w:rFonts w:ascii="Times New Roman" w:hAnsi="Times New Roman" w:cs="Times New Roman"/>
          <w:lang w:val="en-US"/>
        </w:rPr>
        <w:t>milar vein, the judgment</w:t>
      </w:r>
      <w:r w:rsidRPr="000D3040">
        <w:rPr>
          <w:rFonts w:ascii="Times New Roman" w:hAnsi="Times New Roman" w:cs="Times New Roman"/>
          <w:lang w:val="en-US"/>
        </w:rPr>
        <w:t xml:space="preserve"> in </w:t>
      </w:r>
      <w:r w:rsidRPr="000D3040">
        <w:rPr>
          <w:rFonts w:ascii="Times New Roman" w:hAnsi="Times New Roman" w:cs="Times New Roman"/>
          <w:i/>
          <w:lang w:val="en-US"/>
        </w:rPr>
        <w:t xml:space="preserve">JH </w:t>
      </w:r>
      <w:r w:rsidR="009E4997" w:rsidRPr="000D3040">
        <w:rPr>
          <w:rFonts w:ascii="Times New Roman" w:hAnsi="Times New Roman" w:cs="Times New Roman"/>
          <w:lang w:val="en-US"/>
        </w:rPr>
        <w:t>is</w:t>
      </w:r>
      <w:r w:rsidRPr="000D3040">
        <w:rPr>
          <w:rFonts w:ascii="Times New Roman" w:hAnsi="Times New Roman" w:cs="Times New Roman"/>
          <w:lang w:val="en-US"/>
        </w:rPr>
        <w:t xml:space="preserve"> also sensitive to the priority that both Mr and Mrs H afford to their marriage, as well as</w:t>
      </w:r>
      <w:r w:rsidR="009E4997" w:rsidRPr="000D3040">
        <w:rPr>
          <w:rFonts w:ascii="Times New Roman" w:hAnsi="Times New Roman" w:cs="Times New Roman"/>
          <w:lang w:val="en-US"/>
        </w:rPr>
        <w:t xml:space="preserve"> the value of</w:t>
      </w:r>
      <w:r w:rsidRPr="000D3040">
        <w:rPr>
          <w:rFonts w:ascii="Times New Roman" w:hAnsi="Times New Roman" w:cs="Times New Roman"/>
          <w:lang w:val="en-US"/>
        </w:rPr>
        <w:t xml:space="preserve"> </w:t>
      </w:r>
      <w:r w:rsidR="00DC186B">
        <w:rPr>
          <w:rFonts w:ascii="Times New Roman" w:hAnsi="Times New Roman" w:cs="Times New Roman"/>
          <w:lang w:val="en-US"/>
        </w:rPr>
        <w:t xml:space="preserve">Ms Sykes’ </w:t>
      </w:r>
      <w:r w:rsidR="007A1409">
        <w:rPr>
          <w:rFonts w:ascii="Times New Roman" w:hAnsi="Times New Roman" w:cs="Times New Roman"/>
          <w:lang w:val="en-US"/>
        </w:rPr>
        <w:t>self-</w:t>
      </w:r>
      <w:r w:rsidRPr="000D3040">
        <w:rPr>
          <w:rFonts w:ascii="Times New Roman" w:hAnsi="Times New Roman" w:cs="Times New Roman"/>
          <w:lang w:val="en-US"/>
        </w:rPr>
        <w:t xml:space="preserve">relations </w:t>
      </w:r>
      <w:r w:rsidR="00DC186B">
        <w:rPr>
          <w:rFonts w:ascii="Times New Roman" w:hAnsi="Times New Roman" w:cs="Times New Roman"/>
          <w:i/>
          <w:lang w:val="en-US"/>
        </w:rPr>
        <w:t>Westminster City Council v Sykes</w:t>
      </w:r>
      <w:r w:rsidRPr="000D3040">
        <w:rPr>
          <w:rFonts w:ascii="Times New Roman" w:hAnsi="Times New Roman" w:cs="Times New Roman"/>
          <w:lang w:val="en-US"/>
        </w:rPr>
        <w:t xml:space="preserve">. </w:t>
      </w:r>
      <w:r w:rsidR="009E4997" w:rsidRPr="000D3040">
        <w:rPr>
          <w:rFonts w:ascii="Times New Roman" w:hAnsi="Times New Roman" w:cs="Times New Roman"/>
          <w:lang w:val="en-US"/>
        </w:rPr>
        <w:t xml:space="preserve">In </w:t>
      </w:r>
      <w:r w:rsidR="009E4997" w:rsidRPr="000D3040">
        <w:rPr>
          <w:rFonts w:ascii="Times New Roman" w:hAnsi="Times New Roman" w:cs="Times New Roman"/>
          <w:i/>
          <w:lang w:val="en-US"/>
        </w:rPr>
        <w:t xml:space="preserve">JH, </w:t>
      </w:r>
      <w:r w:rsidRPr="000D3040">
        <w:rPr>
          <w:rFonts w:ascii="Times New Roman" w:hAnsi="Times New Roman" w:cs="Times New Roman"/>
          <w:lang w:val="en-US"/>
        </w:rPr>
        <w:t xml:space="preserve">Eldergill J outlines </w:t>
      </w:r>
      <w:r w:rsidR="009E2209" w:rsidRPr="000D3040">
        <w:rPr>
          <w:rFonts w:ascii="Times New Roman" w:hAnsi="Times New Roman" w:cs="Times New Roman"/>
          <w:lang w:val="en-US"/>
        </w:rPr>
        <w:t xml:space="preserve">in detail </w:t>
      </w:r>
      <w:r w:rsidRPr="000D3040">
        <w:rPr>
          <w:rFonts w:ascii="Times New Roman" w:hAnsi="Times New Roman" w:cs="Times New Roman"/>
          <w:lang w:val="en-US"/>
        </w:rPr>
        <w:t>Mrs H’s commitment and dedication both to her husband and to her marriage</w:t>
      </w:r>
      <w:r w:rsidR="00313E0B" w:rsidRPr="000D3040">
        <w:rPr>
          <w:rFonts w:ascii="Times New Roman" w:hAnsi="Times New Roman" w:cs="Times New Roman"/>
          <w:lang w:val="en-US"/>
        </w:rPr>
        <w:t xml:space="preserve"> – at one point stating</w:t>
      </w:r>
      <w:r w:rsidRPr="000D3040">
        <w:rPr>
          <w:rFonts w:ascii="Times New Roman" w:hAnsi="Times New Roman" w:cs="Times New Roman"/>
          <w:lang w:val="en-US"/>
        </w:rPr>
        <w:t xml:space="preserve"> that </w:t>
      </w:r>
      <w:r w:rsidR="00313E0B" w:rsidRPr="000D3040">
        <w:rPr>
          <w:rFonts w:ascii="Times New Roman" w:hAnsi="Times New Roman" w:cs="Times New Roman"/>
          <w:lang w:val="en-US"/>
        </w:rPr>
        <w:t xml:space="preserve">both </w:t>
      </w:r>
      <w:r w:rsidR="00313E0B" w:rsidRPr="000D3040">
        <w:rPr>
          <w:rFonts w:ascii="Times New Roman" w:hAnsi="Times New Roman" w:cs="Times New Roman"/>
          <w:i/>
          <w:lang w:val="en-US"/>
        </w:rPr>
        <w:t xml:space="preserve">Mr and </w:t>
      </w:r>
      <w:r w:rsidR="00313E0B" w:rsidRPr="000D3040">
        <w:rPr>
          <w:rFonts w:ascii="Times New Roman" w:hAnsi="Times New Roman" w:cs="Times New Roman"/>
          <w:lang w:val="en-US"/>
        </w:rPr>
        <w:t>Mrs H</w:t>
      </w:r>
      <w:r w:rsidRPr="000D3040">
        <w:rPr>
          <w:rFonts w:ascii="Times New Roman" w:hAnsi="Times New Roman" w:cs="Times New Roman"/>
          <w:lang w:val="en-US"/>
        </w:rPr>
        <w:t xml:space="preserve"> </w:t>
      </w:r>
      <w:r w:rsidR="00313E0B" w:rsidRPr="000D3040">
        <w:rPr>
          <w:rFonts w:ascii="Times New Roman" w:hAnsi="Times New Roman" w:cs="Times New Roman"/>
          <w:lang w:val="en-US"/>
        </w:rPr>
        <w:t>‘…</w:t>
      </w:r>
      <w:r w:rsidRPr="000D3040">
        <w:rPr>
          <w:rFonts w:ascii="Times New Roman" w:hAnsi="Times New Roman" w:cs="Times New Roman"/>
          <w:lang w:val="en-US"/>
        </w:rPr>
        <w:t>take a traditional view of marriage and their vows and have never regarded it as a provisional and reviewable arrangement which could and might be brought to an end…’.</w:t>
      </w:r>
      <w:r w:rsidRPr="000D3040">
        <w:rPr>
          <w:rStyle w:val="FootnoteReference"/>
          <w:rFonts w:ascii="Times New Roman" w:hAnsi="Times New Roman" w:cs="Times New Roman"/>
          <w:lang w:val="en-US"/>
        </w:rPr>
        <w:footnoteReference w:id="151"/>
      </w:r>
      <w:r w:rsidRPr="000D3040">
        <w:rPr>
          <w:rFonts w:ascii="Times New Roman" w:hAnsi="Times New Roman" w:cs="Times New Roman"/>
          <w:lang w:val="en-US"/>
        </w:rPr>
        <w:t xml:space="preserve"> In </w:t>
      </w:r>
      <w:r w:rsidRPr="000D3040">
        <w:rPr>
          <w:rFonts w:ascii="Times New Roman" w:hAnsi="Times New Roman" w:cs="Times New Roman"/>
          <w:i/>
          <w:lang w:val="en-US"/>
        </w:rPr>
        <w:t>Sykes</w:t>
      </w:r>
      <w:r w:rsidRPr="000D3040">
        <w:rPr>
          <w:rFonts w:ascii="Times New Roman" w:hAnsi="Times New Roman" w:cs="Times New Roman"/>
          <w:lang w:val="en-US"/>
        </w:rPr>
        <w:t>, this appr</w:t>
      </w:r>
      <w:r w:rsidR="009E2209" w:rsidRPr="000D3040">
        <w:rPr>
          <w:rFonts w:ascii="Times New Roman" w:hAnsi="Times New Roman" w:cs="Times New Roman"/>
          <w:lang w:val="en-US"/>
        </w:rPr>
        <w:t>oach is particularly pronounced</w:t>
      </w:r>
      <w:r w:rsidRPr="000D3040">
        <w:rPr>
          <w:rFonts w:ascii="Times New Roman" w:hAnsi="Times New Roman" w:cs="Times New Roman"/>
          <w:lang w:val="en-US"/>
        </w:rPr>
        <w:t xml:space="preserve">. </w:t>
      </w:r>
      <w:r w:rsidR="009E2209" w:rsidRPr="000D3040">
        <w:rPr>
          <w:rFonts w:ascii="Times New Roman" w:hAnsi="Times New Roman" w:cs="Times New Roman"/>
          <w:lang w:val="en-US"/>
        </w:rPr>
        <w:t xml:space="preserve">The </w:t>
      </w:r>
      <w:r w:rsidRPr="000D3040">
        <w:rPr>
          <w:rFonts w:ascii="Times New Roman" w:hAnsi="Times New Roman" w:cs="Times New Roman"/>
          <w:lang w:val="en-US"/>
        </w:rPr>
        <w:t>Court relies heavily on the continuity of Ms Sykes’ identity, frequently describing her as a ‘fighter’, as having a ‘strong sense of self and identity’ and opinionated, with a ‘strong will to change the world, to influence others and to draw their attention to the plight of those she believes need and deserve more care, such as…people experiencing dementia’,</w:t>
      </w:r>
      <w:r w:rsidRPr="000D3040">
        <w:rPr>
          <w:rStyle w:val="FootnoteReference"/>
          <w:rFonts w:ascii="Times New Roman" w:hAnsi="Times New Roman" w:cs="Times New Roman"/>
          <w:lang w:val="en-US"/>
        </w:rPr>
        <w:footnoteReference w:id="152"/>
      </w:r>
      <w:r w:rsidRPr="000D3040">
        <w:rPr>
          <w:rFonts w:ascii="Times New Roman" w:hAnsi="Times New Roman" w:cs="Times New Roman"/>
          <w:lang w:val="en-US"/>
        </w:rPr>
        <w:t xml:space="preserve"> and uses this, as well as evidence of her previous </w:t>
      </w:r>
      <w:r w:rsidR="004B725D" w:rsidRPr="000D3040">
        <w:rPr>
          <w:rFonts w:ascii="Times New Roman" w:hAnsi="Times New Roman" w:cs="Times New Roman"/>
          <w:lang w:val="en-US"/>
        </w:rPr>
        <w:t>openness in discussing</w:t>
      </w:r>
      <w:r w:rsidRPr="000D3040">
        <w:rPr>
          <w:rFonts w:ascii="Times New Roman" w:hAnsi="Times New Roman" w:cs="Times New Roman"/>
          <w:lang w:val="en-US"/>
        </w:rPr>
        <w:t xml:space="preserve"> her </w:t>
      </w:r>
      <w:r w:rsidR="0045398C">
        <w:rPr>
          <w:rFonts w:ascii="Times New Roman" w:hAnsi="Times New Roman" w:cs="Times New Roman"/>
          <w:lang w:val="en-US"/>
        </w:rPr>
        <w:t xml:space="preserve">own </w:t>
      </w:r>
      <w:r w:rsidRPr="000D3040">
        <w:rPr>
          <w:rFonts w:ascii="Times New Roman" w:hAnsi="Times New Roman" w:cs="Times New Roman"/>
          <w:lang w:val="en-US"/>
        </w:rPr>
        <w:t>dementia and her experience of caring for her mother who had de</w:t>
      </w:r>
      <w:r w:rsidR="00AE7748">
        <w:rPr>
          <w:rFonts w:ascii="Times New Roman" w:hAnsi="Times New Roman" w:cs="Times New Roman"/>
          <w:lang w:val="en-US"/>
        </w:rPr>
        <w:t xml:space="preserve">mentia, </w:t>
      </w:r>
      <w:r w:rsidRPr="000D3040">
        <w:rPr>
          <w:rFonts w:ascii="Times New Roman" w:hAnsi="Times New Roman" w:cs="Times New Roman"/>
          <w:lang w:val="en-US"/>
        </w:rPr>
        <w:t xml:space="preserve">to authorise </w:t>
      </w:r>
      <w:r w:rsidR="00AE7748">
        <w:rPr>
          <w:rFonts w:ascii="Times New Roman" w:hAnsi="Times New Roman" w:cs="Times New Roman"/>
          <w:lang w:val="en-US"/>
        </w:rPr>
        <w:t xml:space="preserve">both </w:t>
      </w:r>
      <w:r w:rsidRPr="000D3040">
        <w:rPr>
          <w:rFonts w:ascii="Times New Roman" w:hAnsi="Times New Roman" w:cs="Times New Roman"/>
          <w:lang w:val="en-US"/>
        </w:rPr>
        <w:t>a trial period at home and the release of her identity, empha</w:t>
      </w:r>
      <w:r w:rsidR="009A2B97" w:rsidRPr="000D3040">
        <w:rPr>
          <w:rFonts w:ascii="Times New Roman" w:hAnsi="Times New Roman" w:cs="Times New Roman"/>
          <w:lang w:val="en-US"/>
        </w:rPr>
        <w:t>tically stating that being named</w:t>
      </w:r>
      <w:r w:rsidRPr="000D3040">
        <w:rPr>
          <w:rFonts w:ascii="Times New Roman" w:hAnsi="Times New Roman" w:cs="Times New Roman"/>
          <w:lang w:val="en-US"/>
        </w:rPr>
        <w:t xml:space="preserve"> ‘confers dignity, the dignity of being heard, rather than undermines her dignity, the indignity of being forgotten’.</w:t>
      </w:r>
      <w:r w:rsidRPr="000D3040">
        <w:rPr>
          <w:rStyle w:val="FootnoteReference"/>
          <w:rFonts w:ascii="Times New Roman" w:hAnsi="Times New Roman" w:cs="Times New Roman"/>
          <w:lang w:val="en-US"/>
        </w:rPr>
        <w:footnoteReference w:id="153"/>
      </w:r>
      <w:r w:rsidR="006E709F" w:rsidRPr="000D3040">
        <w:rPr>
          <w:rFonts w:ascii="Times New Roman" w:hAnsi="Times New Roman" w:cs="Times New Roman"/>
          <w:lang w:val="en-US"/>
        </w:rPr>
        <w:t xml:space="preserve"> </w:t>
      </w:r>
    </w:p>
    <w:p w14:paraId="61E97114" w14:textId="77777777" w:rsidR="00747B0C" w:rsidRPr="000D3040" w:rsidRDefault="00747B0C" w:rsidP="000E6DF0">
      <w:pPr>
        <w:pStyle w:val="NoSpacing"/>
        <w:spacing w:line="480" w:lineRule="auto"/>
        <w:jc w:val="both"/>
        <w:rPr>
          <w:rFonts w:ascii="Times New Roman" w:hAnsi="Times New Roman" w:cs="Times New Roman"/>
          <w:lang w:val="en-US"/>
        </w:rPr>
      </w:pPr>
    </w:p>
    <w:p w14:paraId="53A3F889" w14:textId="296A1B4E" w:rsidR="007A4203" w:rsidRPr="000D3040" w:rsidRDefault="00747B0C" w:rsidP="000E6DF0">
      <w:pPr>
        <w:pStyle w:val="NoSpacing"/>
        <w:spacing w:line="480" w:lineRule="auto"/>
        <w:jc w:val="both"/>
        <w:rPr>
          <w:rFonts w:ascii="Times New Roman" w:hAnsi="Times New Roman" w:cs="Times New Roman"/>
        </w:rPr>
      </w:pPr>
      <w:r w:rsidRPr="000D3040">
        <w:rPr>
          <w:rFonts w:ascii="Times New Roman" w:hAnsi="Times New Roman" w:cs="Times New Roman"/>
          <w:lang w:val="en-US"/>
        </w:rPr>
        <w:t xml:space="preserve">Finally, the Court </w:t>
      </w:r>
      <w:r w:rsidR="00BA2D1D">
        <w:rPr>
          <w:rFonts w:ascii="Times New Roman" w:hAnsi="Times New Roman" w:cs="Times New Roman"/>
          <w:lang w:val="en-US"/>
        </w:rPr>
        <w:t>employs a</w:t>
      </w:r>
      <w:r w:rsidRPr="000D3040">
        <w:rPr>
          <w:rFonts w:ascii="Times New Roman" w:hAnsi="Times New Roman" w:cs="Times New Roman"/>
          <w:lang w:val="en-US"/>
        </w:rPr>
        <w:t xml:space="preserve"> greater attempt to understand the current </w:t>
      </w:r>
      <w:r w:rsidR="00DC186B">
        <w:rPr>
          <w:rFonts w:ascii="Times New Roman" w:hAnsi="Times New Roman" w:cs="Times New Roman"/>
          <w:lang w:val="en-US"/>
        </w:rPr>
        <w:t>perspective</w:t>
      </w:r>
      <w:r w:rsidRPr="000D3040">
        <w:rPr>
          <w:rFonts w:ascii="Times New Roman" w:hAnsi="Times New Roman" w:cs="Times New Roman"/>
          <w:lang w:val="en-US"/>
        </w:rPr>
        <w:t xml:space="preserve"> of the person with dementia on </w:t>
      </w:r>
      <w:r w:rsidR="00DC186B">
        <w:rPr>
          <w:rFonts w:ascii="Times New Roman" w:hAnsi="Times New Roman" w:cs="Times New Roman"/>
          <w:lang w:val="en-US"/>
        </w:rPr>
        <w:t>its</w:t>
      </w:r>
      <w:r w:rsidRPr="000D3040">
        <w:rPr>
          <w:rFonts w:ascii="Times New Roman" w:hAnsi="Times New Roman" w:cs="Times New Roman"/>
          <w:lang w:val="en-US"/>
        </w:rPr>
        <w:t xml:space="preserve"> own evidentiary merit</w:t>
      </w:r>
      <w:r w:rsidR="00DC186B">
        <w:rPr>
          <w:rFonts w:ascii="Times New Roman" w:hAnsi="Times New Roman" w:cs="Times New Roman"/>
          <w:lang w:val="en-US"/>
        </w:rPr>
        <w:t xml:space="preserve">, rather than masking it, or as portraying their perspective as evidence of </w:t>
      </w:r>
      <w:r w:rsidR="00EA21C1">
        <w:rPr>
          <w:rFonts w:ascii="Times New Roman" w:hAnsi="Times New Roman" w:cs="Times New Roman"/>
          <w:lang w:val="en-US"/>
        </w:rPr>
        <w:t>an</w:t>
      </w:r>
      <w:r w:rsidR="00DC186B">
        <w:rPr>
          <w:rFonts w:ascii="Times New Roman" w:hAnsi="Times New Roman" w:cs="Times New Roman"/>
          <w:lang w:val="en-US"/>
        </w:rPr>
        <w:t xml:space="preserve"> idealistic paradigm</w:t>
      </w:r>
      <w:r w:rsidRPr="000D3040">
        <w:rPr>
          <w:rFonts w:ascii="Times New Roman" w:hAnsi="Times New Roman" w:cs="Times New Roman"/>
          <w:lang w:val="en-US"/>
        </w:rPr>
        <w:t xml:space="preserve">.  In </w:t>
      </w:r>
      <w:r w:rsidRPr="000D3040">
        <w:rPr>
          <w:rFonts w:ascii="Times New Roman" w:hAnsi="Times New Roman" w:cs="Times New Roman"/>
          <w:i/>
          <w:lang w:val="en-US"/>
        </w:rPr>
        <w:t xml:space="preserve">JH, </w:t>
      </w:r>
      <w:r w:rsidR="007A1409">
        <w:rPr>
          <w:rFonts w:ascii="Times New Roman" w:hAnsi="Times New Roman" w:cs="Times New Roman"/>
          <w:lang w:val="en-US"/>
        </w:rPr>
        <w:t>Eldergill J</w:t>
      </w:r>
      <w:r w:rsidRPr="000D3040">
        <w:rPr>
          <w:rFonts w:ascii="Times New Roman" w:hAnsi="Times New Roman" w:cs="Times New Roman"/>
          <w:lang w:val="en-US"/>
        </w:rPr>
        <w:t xml:space="preserve"> states that Mrs H is ‘generally happy at home in [Mr H’s] company. She watches television and whilst watching talks about what is on. She enjoys listening to music…’.</w:t>
      </w:r>
      <w:r w:rsidRPr="000D3040">
        <w:rPr>
          <w:rStyle w:val="FootnoteReference"/>
          <w:rFonts w:ascii="Times New Roman" w:hAnsi="Times New Roman" w:cs="Times New Roman"/>
          <w:lang w:val="en-US"/>
        </w:rPr>
        <w:footnoteReference w:id="154"/>
      </w:r>
      <w:r w:rsidRPr="000D3040">
        <w:rPr>
          <w:rFonts w:ascii="Times New Roman" w:hAnsi="Times New Roman" w:cs="Times New Roman"/>
          <w:lang w:val="en-US"/>
        </w:rPr>
        <w:t xml:space="preserve"> In </w:t>
      </w:r>
      <w:r w:rsidRPr="000D3040">
        <w:rPr>
          <w:rFonts w:ascii="Times New Roman" w:hAnsi="Times New Roman" w:cs="Times New Roman"/>
          <w:i/>
          <w:lang w:val="en-US"/>
        </w:rPr>
        <w:t>Sykes</w:t>
      </w:r>
      <w:r w:rsidR="00C36504">
        <w:rPr>
          <w:rFonts w:ascii="Times New Roman" w:hAnsi="Times New Roman" w:cs="Times New Roman"/>
          <w:lang w:val="en-US"/>
        </w:rPr>
        <w:t>, the Court notes that Ms</w:t>
      </w:r>
      <w:r w:rsidRPr="000D3040">
        <w:rPr>
          <w:rFonts w:ascii="Times New Roman" w:hAnsi="Times New Roman" w:cs="Times New Roman"/>
          <w:lang w:val="en-US"/>
        </w:rPr>
        <w:t xml:space="preserve"> Sykes may become distressed in the care home given her clear and strong </w:t>
      </w:r>
      <w:r w:rsidRPr="000D3040">
        <w:rPr>
          <w:rFonts w:ascii="Times New Roman" w:hAnsi="Times New Roman" w:cs="Times New Roman"/>
          <w:lang w:val="en-US"/>
        </w:rPr>
        <w:lastRenderedPageBreak/>
        <w:t xml:space="preserve">wishes to return home. Furthermore, and as alluded to above, the Court justifies these grounded pictures of those with dementia by reference to broader ethical values and beliefs. For example, </w:t>
      </w:r>
      <w:r w:rsidR="00AE7748">
        <w:rPr>
          <w:rFonts w:ascii="Times New Roman" w:hAnsi="Times New Roman" w:cs="Times New Roman"/>
          <w:lang w:val="en-US"/>
        </w:rPr>
        <w:t>the Court notes</w:t>
      </w:r>
      <w:r w:rsidRPr="000D3040">
        <w:rPr>
          <w:rFonts w:ascii="Times New Roman" w:hAnsi="Times New Roman" w:cs="Times New Roman"/>
          <w:lang w:val="en-US"/>
        </w:rPr>
        <w:t xml:space="preserve"> that Mrs H is ‘still able to appreciate and express the value of being at lib</w:t>
      </w:r>
      <w:r w:rsidR="0045398C">
        <w:rPr>
          <w:rFonts w:ascii="Times New Roman" w:hAnsi="Times New Roman" w:cs="Times New Roman"/>
          <w:lang w:val="en-US"/>
        </w:rPr>
        <w:t>erty and being allowed autonomy</w:t>
      </w:r>
      <w:r w:rsidRPr="000D3040">
        <w:rPr>
          <w:rFonts w:ascii="Times New Roman" w:hAnsi="Times New Roman" w:cs="Times New Roman"/>
          <w:lang w:val="en-US"/>
        </w:rPr>
        <w:t>’</w:t>
      </w:r>
      <w:r w:rsidRPr="000D3040">
        <w:rPr>
          <w:rStyle w:val="FootnoteReference"/>
          <w:rFonts w:ascii="Times New Roman" w:hAnsi="Times New Roman" w:cs="Times New Roman"/>
          <w:lang w:val="en-US"/>
        </w:rPr>
        <w:footnoteReference w:id="155"/>
      </w:r>
      <w:r w:rsidR="00DC186B">
        <w:rPr>
          <w:rFonts w:ascii="Times New Roman" w:hAnsi="Times New Roman" w:cs="Times New Roman"/>
          <w:lang w:val="en-US"/>
        </w:rPr>
        <w:t xml:space="preserve"> – according to what autonomy and liberty now mean to </w:t>
      </w:r>
      <w:r w:rsidR="00DC186B" w:rsidRPr="00D570A8">
        <w:rPr>
          <w:rFonts w:ascii="Times New Roman" w:hAnsi="Times New Roman" w:cs="Times New Roman"/>
          <w:i/>
          <w:lang w:val="en-US"/>
        </w:rPr>
        <w:t>her</w:t>
      </w:r>
      <w:r w:rsidR="00DC186B">
        <w:rPr>
          <w:rFonts w:ascii="Times New Roman" w:hAnsi="Times New Roman" w:cs="Times New Roman"/>
          <w:i/>
          <w:lang w:val="en-US"/>
        </w:rPr>
        <w:t xml:space="preserve">, </w:t>
      </w:r>
      <w:r w:rsidR="00DC186B">
        <w:rPr>
          <w:rFonts w:ascii="Times New Roman" w:hAnsi="Times New Roman" w:cs="Times New Roman"/>
          <w:lang w:val="en-US"/>
        </w:rPr>
        <w:t xml:space="preserve">not the idealistic notions of autonomy and liberty that are present in the judgments in </w:t>
      </w:r>
      <w:r w:rsidR="00DC186B">
        <w:rPr>
          <w:rFonts w:ascii="Times New Roman" w:hAnsi="Times New Roman" w:cs="Times New Roman"/>
          <w:i/>
          <w:lang w:val="en-US"/>
        </w:rPr>
        <w:t xml:space="preserve">Dorset County Council v EH </w:t>
      </w:r>
      <w:r w:rsidR="00DC186B">
        <w:rPr>
          <w:rFonts w:ascii="Times New Roman" w:hAnsi="Times New Roman" w:cs="Times New Roman"/>
          <w:lang w:val="en-US"/>
        </w:rPr>
        <w:t xml:space="preserve">and </w:t>
      </w:r>
      <w:r w:rsidR="00DC186B">
        <w:rPr>
          <w:rFonts w:ascii="Times New Roman" w:hAnsi="Times New Roman" w:cs="Times New Roman"/>
          <w:i/>
          <w:lang w:val="en-US"/>
        </w:rPr>
        <w:t>IIBCC v LG</w:t>
      </w:r>
      <w:r w:rsidR="00DC186B">
        <w:rPr>
          <w:rFonts w:ascii="Times New Roman" w:hAnsi="Times New Roman" w:cs="Times New Roman"/>
          <w:lang w:val="en-US"/>
        </w:rPr>
        <w:t xml:space="preserve">. This is also a feature of </w:t>
      </w:r>
      <w:r w:rsidR="00DC186B">
        <w:rPr>
          <w:rFonts w:ascii="Times New Roman" w:hAnsi="Times New Roman" w:cs="Times New Roman"/>
          <w:i/>
          <w:lang w:val="en-US"/>
        </w:rPr>
        <w:t xml:space="preserve">Sykes, </w:t>
      </w:r>
      <w:r w:rsidR="00DC186B">
        <w:rPr>
          <w:rFonts w:ascii="Times New Roman" w:hAnsi="Times New Roman" w:cs="Times New Roman"/>
          <w:lang w:val="en-US"/>
        </w:rPr>
        <w:t xml:space="preserve">where </w:t>
      </w:r>
      <w:r w:rsidR="001A2FA6">
        <w:rPr>
          <w:rFonts w:ascii="Times New Roman" w:hAnsi="Times New Roman" w:cs="Times New Roman"/>
          <w:lang w:val="en-US"/>
        </w:rPr>
        <w:t>DJ Eldergill</w:t>
      </w:r>
      <w:r w:rsidR="00DC186B">
        <w:rPr>
          <w:rFonts w:ascii="Times New Roman" w:hAnsi="Times New Roman" w:cs="Times New Roman"/>
          <w:lang w:val="en-US"/>
        </w:rPr>
        <w:t xml:space="preserve"> states </w:t>
      </w:r>
      <w:r w:rsidR="0082245C">
        <w:rPr>
          <w:rFonts w:ascii="Times New Roman" w:hAnsi="Times New Roman" w:cs="Times New Roman"/>
          <w:lang w:val="en-US"/>
        </w:rPr>
        <w:t xml:space="preserve">that </w:t>
      </w:r>
      <w:r w:rsidRPr="000D3040">
        <w:rPr>
          <w:rFonts w:ascii="Times New Roman" w:hAnsi="Times New Roman" w:cs="Times New Roman"/>
          <w:lang w:val="en-US"/>
        </w:rPr>
        <w:t xml:space="preserve">her </w:t>
      </w:r>
      <w:r w:rsidR="0082245C">
        <w:rPr>
          <w:rFonts w:ascii="Times New Roman" w:hAnsi="Times New Roman" w:cs="Times New Roman"/>
          <w:lang w:val="en-US"/>
        </w:rPr>
        <w:t>‘…</w:t>
      </w:r>
      <w:r w:rsidRPr="000D3040">
        <w:rPr>
          <w:rFonts w:ascii="Times New Roman" w:hAnsi="Times New Roman" w:cs="Times New Roman"/>
          <w:lang w:val="en-US"/>
        </w:rPr>
        <w:t xml:space="preserve">strong sense of self, her belief in the importance of the individual, her desire for freedom and autonomy are magnetic factors, operating at positive and negative poles by providing both the pull of freedom and the counterforce of resistance to outside care’. </w:t>
      </w:r>
      <w:r w:rsidRPr="000D3040">
        <w:rPr>
          <w:rStyle w:val="FootnoteReference"/>
          <w:rFonts w:ascii="Times New Roman" w:hAnsi="Times New Roman" w:cs="Times New Roman"/>
          <w:lang w:val="en-US"/>
        </w:rPr>
        <w:footnoteReference w:id="156"/>
      </w:r>
      <w:r w:rsidRPr="000D3040">
        <w:rPr>
          <w:rFonts w:ascii="Times New Roman" w:hAnsi="Times New Roman" w:cs="Times New Roman"/>
        </w:rPr>
        <w:t xml:space="preserve"> </w:t>
      </w:r>
      <w:r w:rsidR="006E709F" w:rsidRPr="000D3040">
        <w:rPr>
          <w:rFonts w:ascii="Times New Roman" w:hAnsi="Times New Roman" w:cs="Times New Roman"/>
          <w:lang w:val="en-US"/>
        </w:rPr>
        <w:t xml:space="preserve">In effect, the Courts in these cases do not focus on the person as being an ‘either/or’ entity – ‘either’ someone </w:t>
      </w:r>
      <w:r w:rsidR="006E709F" w:rsidRPr="000D3040">
        <w:rPr>
          <w:rFonts w:ascii="Times New Roman" w:hAnsi="Times New Roman" w:cs="Times New Roman"/>
          <w:i/>
          <w:lang w:val="en-US"/>
        </w:rPr>
        <w:t xml:space="preserve">without </w:t>
      </w:r>
      <w:r w:rsidR="006E709F" w:rsidRPr="000D3040">
        <w:rPr>
          <w:rFonts w:ascii="Times New Roman" w:hAnsi="Times New Roman" w:cs="Times New Roman"/>
          <w:lang w:val="en-US"/>
        </w:rPr>
        <w:t xml:space="preserve">dementia, ‘or’ someone </w:t>
      </w:r>
      <w:r w:rsidR="006E709F" w:rsidRPr="000D3040">
        <w:rPr>
          <w:rFonts w:ascii="Times New Roman" w:hAnsi="Times New Roman" w:cs="Times New Roman"/>
          <w:i/>
          <w:lang w:val="en-US"/>
        </w:rPr>
        <w:t xml:space="preserve">with </w:t>
      </w:r>
      <w:r w:rsidR="006E709F" w:rsidRPr="000D3040">
        <w:rPr>
          <w:rFonts w:ascii="Times New Roman" w:hAnsi="Times New Roman" w:cs="Times New Roman"/>
          <w:lang w:val="en-US"/>
        </w:rPr>
        <w:t>dementia; they do not focus on the artificiality of distinguishing the person in both their pre</w:t>
      </w:r>
      <w:r w:rsidR="00AE7748">
        <w:rPr>
          <w:rFonts w:ascii="Times New Roman" w:hAnsi="Times New Roman" w:cs="Times New Roman"/>
          <w:lang w:val="en-US"/>
        </w:rPr>
        <w:t>-</w:t>
      </w:r>
      <w:r w:rsidR="006E709F" w:rsidRPr="000D3040">
        <w:rPr>
          <w:rFonts w:ascii="Times New Roman" w:hAnsi="Times New Roman" w:cs="Times New Roman"/>
          <w:lang w:val="en-US"/>
        </w:rPr>
        <w:t xml:space="preserve"> and post-dementia states</w:t>
      </w:r>
      <w:r w:rsidR="000A1EFE">
        <w:rPr>
          <w:rFonts w:ascii="Times New Roman" w:hAnsi="Times New Roman" w:cs="Times New Roman"/>
          <w:lang w:val="en-US"/>
        </w:rPr>
        <w:t>, nor hold them up to some unattainable ideal</w:t>
      </w:r>
      <w:r w:rsidR="006E709F" w:rsidRPr="000D3040">
        <w:rPr>
          <w:rFonts w:ascii="Times New Roman" w:hAnsi="Times New Roman" w:cs="Times New Roman"/>
          <w:lang w:val="en-US"/>
        </w:rPr>
        <w:t xml:space="preserve">. They focus on emphasising </w:t>
      </w:r>
      <w:r w:rsidR="000A1EFE">
        <w:rPr>
          <w:rFonts w:ascii="Times New Roman" w:hAnsi="Times New Roman" w:cs="Times New Roman"/>
          <w:lang w:val="en-US"/>
        </w:rPr>
        <w:t>ST, Mrs JH, and Ms Sykes’ subjective character of experience through an analysis of what values such as autonomy mean to them, through an analysis of their inter- and intra-personal</w:t>
      </w:r>
      <w:r w:rsidR="006E709F" w:rsidRPr="000D3040">
        <w:rPr>
          <w:rFonts w:ascii="Times New Roman" w:hAnsi="Times New Roman" w:cs="Times New Roman"/>
          <w:lang w:val="en-US"/>
        </w:rPr>
        <w:t xml:space="preserve"> relationships over time</w:t>
      </w:r>
      <w:r w:rsidR="000A1EFE">
        <w:rPr>
          <w:rFonts w:ascii="Times New Roman" w:hAnsi="Times New Roman" w:cs="Times New Roman"/>
          <w:lang w:val="en-US"/>
        </w:rPr>
        <w:t>,</w:t>
      </w:r>
      <w:r w:rsidR="006E709F" w:rsidRPr="000D3040">
        <w:rPr>
          <w:rFonts w:ascii="Times New Roman" w:hAnsi="Times New Roman" w:cs="Times New Roman"/>
          <w:lang w:val="en-US"/>
        </w:rPr>
        <w:t xml:space="preserve"> thereby arguably transcending the binary that allows for the construction of the person with dementia as ‘Other’.</w:t>
      </w:r>
    </w:p>
    <w:p w14:paraId="54828BAA" w14:textId="77777777" w:rsidR="006D7A39" w:rsidRPr="000D3040" w:rsidRDefault="006D7A39" w:rsidP="000E6DF0">
      <w:pPr>
        <w:pStyle w:val="NoSpacing"/>
        <w:spacing w:line="480" w:lineRule="auto"/>
        <w:jc w:val="both"/>
        <w:rPr>
          <w:rFonts w:ascii="Times New Roman" w:hAnsi="Times New Roman" w:cs="Times New Roman"/>
          <w:b/>
          <w:i/>
          <w:lang w:val="en-US"/>
        </w:rPr>
      </w:pPr>
    </w:p>
    <w:p w14:paraId="2F34E82D" w14:textId="77777777" w:rsidR="008B33C8" w:rsidRPr="00CA0906" w:rsidRDefault="00CA0906" w:rsidP="000E6DF0">
      <w:pPr>
        <w:pStyle w:val="NoSpacing"/>
        <w:spacing w:line="480" w:lineRule="auto"/>
        <w:jc w:val="both"/>
        <w:rPr>
          <w:rFonts w:ascii="Times New Roman" w:hAnsi="Times New Roman" w:cs="Times New Roman"/>
          <w:i/>
          <w:lang w:val="en-US"/>
        </w:rPr>
      </w:pPr>
      <w:r w:rsidRPr="00CA0906">
        <w:rPr>
          <w:rFonts w:ascii="Times New Roman" w:hAnsi="Times New Roman" w:cs="Times New Roman"/>
          <w:i/>
          <w:lang w:val="en-US"/>
        </w:rPr>
        <w:t xml:space="preserve">B. </w:t>
      </w:r>
      <w:r w:rsidR="008B33C8" w:rsidRPr="00CA0906">
        <w:rPr>
          <w:rFonts w:ascii="Times New Roman" w:hAnsi="Times New Roman" w:cs="Times New Roman"/>
          <w:i/>
          <w:lang w:val="en-US"/>
        </w:rPr>
        <w:t>Understanding the effects of dementia</w:t>
      </w:r>
      <w:r w:rsidR="00AE7748">
        <w:rPr>
          <w:rFonts w:ascii="Times New Roman" w:hAnsi="Times New Roman" w:cs="Times New Roman"/>
          <w:i/>
          <w:lang w:val="en-US"/>
        </w:rPr>
        <w:t>.</w:t>
      </w:r>
    </w:p>
    <w:p w14:paraId="1BBBE403" w14:textId="235C7A2D" w:rsidR="00AE7748" w:rsidRDefault="0064653B" w:rsidP="000E6DF0">
      <w:pPr>
        <w:pStyle w:val="NoSpacing"/>
        <w:spacing w:line="480" w:lineRule="auto"/>
        <w:ind w:right="43"/>
        <w:jc w:val="both"/>
        <w:rPr>
          <w:rFonts w:ascii="Times New Roman" w:hAnsi="Times New Roman" w:cs="Times New Roman"/>
        </w:rPr>
      </w:pPr>
      <w:r>
        <w:rPr>
          <w:rFonts w:ascii="Times New Roman" w:hAnsi="Times New Roman" w:cs="Times New Roman"/>
        </w:rPr>
        <w:lastRenderedPageBreak/>
        <w:t xml:space="preserve">If an intersubjective approach requires the Court to focus on the person’s subjective character of experience, then this </w:t>
      </w:r>
      <w:r w:rsidR="00BA2D1D">
        <w:rPr>
          <w:rFonts w:ascii="Times New Roman" w:hAnsi="Times New Roman" w:cs="Times New Roman"/>
        </w:rPr>
        <w:t xml:space="preserve">particular </w:t>
      </w:r>
      <w:r>
        <w:rPr>
          <w:rFonts w:ascii="Times New Roman" w:hAnsi="Times New Roman" w:cs="Times New Roman"/>
        </w:rPr>
        <w:t xml:space="preserve">element </w:t>
      </w:r>
      <w:r w:rsidR="00BA2D1D">
        <w:rPr>
          <w:rFonts w:ascii="Times New Roman" w:hAnsi="Times New Roman" w:cs="Times New Roman"/>
        </w:rPr>
        <w:t xml:space="preserve">of that process </w:t>
      </w:r>
      <w:r>
        <w:rPr>
          <w:rFonts w:ascii="Times New Roman" w:hAnsi="Times New Roman" w:cs="Times New Roman"/>
        </w:rPr>
        <w:t>is crucial</w:t>
      </w:r>
      <w:r w:rsidR="0047745F">
        <w:rPr>
          <w:rFonts w:ascii="Times New Roman" w:hAnsi="Times New Roman" w:cs="Times New Roman"/>
        </w:rPr>
        <w:t xml:space="preserve"> – it effectively entails a consideration of what it is like to have dementia for </w:t>
      </w:r>
      <w:r w:rsidR="0047745F">
        <w:rPr>
          <w:rFonts w:ascii="Times New Roman" w:hAnsi="Times New Roman" w:cs="Times New Roman"/>
          <w:i/>
        </w:rPr>
        <w:t xml:space="preserve">that particular person </w:t>
      </w:r>
      <w:r w:rsidR="0047745F">
        <w:rPr>
          <w:rFonts w:ascii="Times New Roman" w:hAnsi="Times New Roman" w:cs="Times New Roman"/>
        </w:rPr>
        <w:t>before the Court</w:t>
      </w:r>
      <w:r w:rsidR="0047745F">
        <w:rPr>
          <w:rFonts w:ascii="Times New Roman" w:hAnsi="Times New Roman" w:cs="Times New Roman"/>
          <w:i/>
        </w:rPr>
        <w:t xml:space="preserve">, </w:t>
      </w:r>
      <w:r w:rsidR="0047745F">
        <w:rPr>
          <w:rFonts w:ascii="Times New Roman" w:hAnsi="Times New Roman" w:cs="Times New Roman"/>
        </w:rPr>
        <w:t xml:space="preserve">not what the Court suspects it might be like to have dementia in general as they arguably do in the decisions criticised above. </w:t>
      </w:r>
      <w:r w:rsidR="006E709F" w:rsidRPr="000D3040">
        <w:rPr>
          <w:rFonts w:ascii="Times New Roman" w:hAnsi="Times New Roman" w:cs="Times New Roman"/>
        </w:rPr>
        <w:t xml:space="preserve">As </w:t>
      </w:r>
      <w:r w:rsidR="00347CD8" w:rsidRPr="000D3040">
        <w:rPr>
          <w:rFonts w:ascii="Times New Roman" w:hAnsi="Times New Roman" w:cs="Times New Roman"/>
        </w:rPr>
        <w:t>noted earlier, dementia does entail declines and changes in cognition and abilities, but the critical question is, as Kitwood argues</w:t>
      </w:r>
      <w:r w:rsidR="0045398C">
        <w:rPr>
          <w:rFonts w:ascii="Times New Roman" w:hAnsi="Times New Roman" w:cs="Times New Roman"/>
        </w:rPr>
        <w:t>,</w:t>
      </w:r>
      <w:r w:rsidR="00347CD8" w:rsidRPr="000D3040">
        <w:rPr>
          <w:rStyle w:val="FootnoteReference"/>
          <w:rFonts w:ascii="Times New Roman" w:hAnsi="Times New Roman" w:cs="Times New Roman"/>
        </w:rPr>
        <w:footnoteReference w:id="157"/>
      </w:r>
      <w:r w:rsidR="00347CD8" w:rsidRPr="000D3040">
        <w:rPr>
          <w:rFonts w:ascii="Times New Roman" w:hAnsi="Times New Roman" w:cs="Times New Roman"/>
        </w:rPr>
        <w:t xml:space="preserve"> how the evidence of such change</w:t>
      </w:r>
      <w:r w:rsidR="0045398C">
        <w:rPr>
          <w:rFonts w:ascii="Times New Roman" w:hAnsi="Times New Roman" w:cs="Times New Roman"/>
        </w:rPr>
        <w:t>s should be interpreted and used by the c</w:t>
      </w:r>
      <w:r w:rsidR="00347CD8" w:rsidRPr="000D3040">
        <w:rPr>
          <w:rFonts w:ascii="Times New Roman" w:hAnsi="Times New Roman" w:cs="Times New Roman"/>
        </w:rPr>
        <w:t xml:space="preserve">ourts.  Rather than focusing on the person’s deficiencies as standalone evidence of what </w:t>
      </w:r>
      <w:r w:rsidR="00AE2531">
        <w:rPr>
          <w:rFonts w:ascii="Times New Roman" w:hAnsi="Times New Roman" w:cs="Times New Roman"/>
        </w:rPr>
        <w:t>is</w:t>
      </w:r>
      <w:r w:rsidR="00347CD8" w:rsidRPr="000D3040">
        <w:rPr>
          <w:rFonts w:ascii="Times New Roman" w:hAnsi="Times New Roman" w:cs="Times New Roman"/>
        </w:rPr>
        <w:t xml:space="preserve"> in their best interests, </w:t>
      </w:r>
      <w:r w:rsidR="0047745F">
        <w:rPr>
          <w:rFonts w:ascii="Times New Roman" w:hAnsi="Times New Roman" w:cs="Times New Roman"/>
        </w:rPr>
        <w:t>or as evidence of their ‘deviance’, an intersubjective approach necessitates a greater focus on</w:t>
      </w:r>
      <w:r w:rsidR="009516F8" w:rsidRPr="000D3040">
        <w:rPr>
          <w:rFonts w:ascii="Times New Roman" w:hAnsi="Times New Roman" w:cs="Times New Roman"/>
        </w:rPr>
        <w:t xml:space="preserve"> aspects</w:t>
      </w:r>
      <w:r w:rsidR="009A2B97" w:rsidRPr="000D3040">
        <w:rPr>
          <w:rFonts w:ascii="Times New Roman" w:hAnsi="Times New Roman" w:cs="Times New Roman"/>
        </w:rPr>
        <w:t xml:space="preserve"> of the individual’s current circumstances</w:t>
      </w:r>
      <w:r w:rsidR="009516F8" w:rsidRPr="000D3040">
        <w:rPr>
          <w:rFonts w:ascii="Times New Roman" w:hAnsi="Times New Roman" w:cs="Times New Roman"/>
        </w:rPr>
        <w:t xml:space="preserve"> that may </w:t>
      </w:r>
      <w:r w:rsidR="009516F8" w:rsidRPr="00D570A8">
        <w:rPr>
          <w:rFonts w:ascii="Times New Roman" w:hAnsi="Times New Roman" w:cs="Times New Roman"/>
          <w:i/>
        </w:rPr>
        <w:t>explain</w:t>
      </w:r>
      <w:r w:rsidR="009516F8" w:rsidRPr="000D3040">
        <w:rPr>
          <w:rFonts w:ascii="Times New Roman" w:hAnsi="Times New Roman" w:cs="Times New Roman"/>
        </w:rPr>
        <w:t xml:space="preserve"> </w:t>
      </w:r>
      <w:r w:rsidR="002C493E" w:rsidRPr="000D3040">
        <w:rPr>
          <w:rFonts w:ascii="Times New Roman" w:hAnsi="Times New Roman" w:cs="Times New Roman"/>
        </w:rPr>
        <w:t>‘</w:t>
      </w:r>
      <w:r w:rsidR="009516F8" w:rsidRPr="000D3040">
        <w:rPr>
          <w:rFonts w:ascii="Times New Roman" w:hAnsi="Times New Roman" w:cs="Times New Roman"/>
        </w:rPr>
        <w:t>challenging</w:t>
      </w:r>
      <w:r w:rsidR="002C493E" w:rsidRPr="000D3040">
        <w:rPr>
          <w:rFonts w:ascii="Times New Roman" w:hAnsi="Times New Roman" w:cs="Times New Roman"/>
        </w:rPr>
        <w:t>’</w:t>
      </w:r>
      <w:r w:rsidR="009516F8" w:rsidRPr="000D3040">
        <w:rPr>
          <w:rFonts w:ascii="Times New Roman" w:hAnsi="Times New Roman" w:cs="Times New Roman"/>
        </w:rPr>
        <w:t xml:space="preserve"> behaviour</w:t>
      </w:r>
      <w:r w:rsidR="0047745F">
        <w:rPr>
          <w:rFonts w:ascii="Times New Roman" w:hAnsi="Times New Roman" w:cs="Times New Roman"/>
        </w:rPr>
        <w:t>, for example</w:t>
      </w:r>
      <w:r w:rsidR="009A2B97" w:rsidRPr="000D3040">
        <w:rPr>
          <w:rFonts w:ascii="Times New Roman" w:hAnsi="Times New Roman" w:cs="Times New Roman"/>
        </w:rPr>
        <w:t xml:space="preserve"> </w:t>
      </w:r>
      <w:r w:rsidR="009516F8" w:rsidRPr="000D3040">
        <w:rPr>
          <w:rFonts w:ascii="Times New Roman" w:hAnsi="Times New Roman" w:cs="Times New Roman"/>
        </w:rPr>
        <w:t>– such a</w:t>
      </w:r>
      <w:r w:rsidR="005C4BCC" w:rsidRPr="000D3040">
        <w:rPr>
          <w:rFonts w:ascii="Times New Roman" w:hAnsi="Times New Roman" w:cs="Times New Roman"/>
        </w:rPr>
        <w:t>s</w:t>
      </w:r>
      <w:r w:rsidR="004B725D" w:rsidRPr="000D3040">
        <w:rPr>
          <w:rFonts w:ascii="Times New Roman" w:hAnsi="Times New Roman" w:cs="Times New Roman"/>
        </w:rPr>
        <w:t xml:space="preserve">, in </w:t>
      </w:r>
      <w:r w:rsidR="004B725D" w:rsidRPr="000D3040">
        <w:rPr>
          <w:rFonts w:ascii="Times New Roman" w:hAnsi="Times New Roman" w:cs="Times New Roman"/>
          <w:i/>
        </w:rPr>
        <w:t xml:space="preserve">VT </w:t>
      </w:r>
      <w:r w:rsidR="004B725D" w:rsidRPr="000D3040">
        <w:rPr>
          <w:rFonts w:ascii="Times New Roman" w:hAnsi="Times New Roman" w:cs="Times New Roman"/>
        </w:rPr>
        <w:t>for example</w:t>
      </w:r>
      <w:r w:rsidR="004B725D" w:rsidRPr="000D3040">
        <w:rPr>
          <w:rFonts w:ascii="Times New Roman" w:hAnsi="Times New Roman" w:cs="Times New Roman"/>
          <w:i/>
        </w:rPr>
        <w:t>,</w:t>
      </w:r>
      <w:r w:rsidR="005C4BCC" w:rsidRPr="000D3040">
        <w:rPr>
          <w:rFonts w:ascii="Times New Roman" w:hAnsi="Times New Roman" w:cs="Times New Roman"/>
        </w:rPr>
        <w:t xml:space="preserve"> </w:t>
      </w:r>
      <w:r w:rsidR="009516F8" w:rsidRPr="000D3040">
        <w:rPr>
          <w:rFonts w:ascii="Times New Roman" w:hAnsi="Times New Roman" w:cs="Times New Roman"/>
        </w:rPr>
        <w:t>the environment in L Care Home</w:t>
      </w:r>
      <w:r w:rsidR="006D7A39" w:rsidRPr="000D3040">
        <w:rPr>
          <w:rFonts w:ascii="Times New Roman" w:hAnsi="Times New Roman" w:cs="Times New Roman"/>
        </w:rPr>
        <w:t xml:space="preserve"> (ST’s</w:t>
      </w:r>
      <w:r w:rsidR="005C4BCC" w:rsidRPr="000D3040">
        <w:rPr>
          <w:rFonts w:ascii="Times New Roman" w:hAnsi="Times New Roman" w:cs="Times New Roman"/>
        </w:rPr>
        <w:t xml:space="preserve"> current place of residence</w:t>
      </w:r>
      <w:r w:rsidR="004B725D" w:rsidRPr="000D3040">
        <w:rPr>
          <w:rFonts w:ascii="Times New Roman" w:hAnsi="Times New Roman" w:cs="Times New Roman"/>
        </w:rPr>
        <w:t>)</w:t>
      </w:r>
      <w:r w:rsidR="005C4BCC" w:rsidRPr="000D3040">
        <w:rPr>
          <w:rFonts w:ascii="Times New Roman" w:hAnsi="Times New Roman" w:cs="Times New Roman"/>
        </w:rPr>
        <w:t xml:space="preserve">. </w:t>
      </w:r>
      <w:r w:rsidR="001A2FA6">
        <w:rPr>
          <w:rFonts w:ascii="Times New Roman" w:hAnsi="Times New Roman" w:cs="Times New Roman"/>
        </w:rPr>
        <w:t xml:space="preserve">DJ </w:t>
      </w:r>
      <w:r w:rsidR="007A1409">
        <w:rPr>
          <w:rFonts w:ascii="Times New Roman" w:hAnsi="Times New Roman" w:cs="Times New Roman"/>
        </w:rPr>
        <w:t>Ralton</w:t>
      </w:r>
      <w:r w:rsidR="00AE7748">
        <w:rPr>
          <w:rFonts w:ascii="Times New Roman" w:hAnsi="Times New Roman" w:cs="Times New Roman"/>
        </w:rPr>
        <w:t xml:space="preserve"> </w:t>
      </w:r>
      <w:r w:rsidR="009A2B97" w:rsidRPr="000D3040">
        <w:rPr>
          <w:rFonts w:ascii="Times New Roman" w:hAnsi="Times New Roman" w:cs="Times New Roman"/>
        </w:rPr>
        <w:t>notes</w:t>
      </w:r>
      <w:r w:rsidR="004B725D" w:rsidRPr="000D3040">
        <w:rPr>
          <w:rFonts w:ascii="Times New Roman" w:hAnsi="Times New Roman" w:cs="Times New Roman"/>
        </w:rPr>
        <w:t xml:space="preserve"> that</w:t>
      </w:r>
      <w:r w:rsidR="00E772F5">
        <w:rPr>
          <w:rFonts w:ascii="Times New Roman" w:hAnsi="Times New Roman" w:cs="Times New Roman"/>
        </w:rPr>
        <w:t>,</w:t>
      </w:r>
      <w:r w:rsidR="004B725D" w:rsidRPr="000D3040">
        <w:rPr>
          <w:rFonts w:ascii="Times New Roman" w:hAnsi="Times New Roman" w:cs="Times New Roman"/>
        </w:rPr>
        <w:t xml:space="preserve"> at the care home</w:t>
      </w:r>
      <w:r w:rsidR="00E772F5">
        <w:rPr>
          <w:rFonts w:ascii="Times New Roman" w:hAnsi="Times New Roman" w:cs="Times New Roman"/>
        </w:rPr>
        <w:t>,</w:t>
      </w:r>
      <w:r w:rsidR="004B725D" w:rsidRPr="000D3040">
        <w:rPr>
          <w:rFonts w:ascii="Times New Roman" w:hAnsi="Times New Roman" w:cs="Times New Roman"/>
        </w:rPr>
        <w:t xml:space="preserve"> ST</w:t>
      </w:r>
      <w:r w:rsidR="005C4BCC" w:rsidRPr="000D3040">
        <w:rPr>
          <w:rFonts w:ascii="Times New Roman" w:hAnsi="Times New Roman" w:cs="Times New Roman"/>
        </w:rPr>
        <w:t xml:space="preserve"> </w:t>
      </w:r>
      <w:r w:rsidR="0047745F">
        <w:rPr>
          <w:rFonts w:ascii="Times New Roman" w:hAnsi="Times New Roman" w:cs="Times New Roman"/>
        </w:rPr>
        <w:t xml:space="preserve">has presented such ‘challenging’ behaviour, such as barricading himself in his bedroom. This, it is suggested, </w:t>
      </w:r>
      <w:r w:rsidR="005C4BCC" w:rsidRPr="000D3040">
        <w:rPr>
          <w:rFonts w:ascii="Times New Roman" w:hAnsi="Times New Roman" w:cs="Times New Roman"/>
        </w:rPr>
        <w:t>is</w:t>
      </w:r>
      <w:r w:rsidR="0047745F">
        <w:rPr>
          <w:rFonts w:ascii="Times New Roman" w:hAnsi="Times New Roman" w:cs="Times New Roman"/>
        </w:rPr>
        <w:t xml:space="preserve"> due to the fact that ST is</w:t>
      </w:r>
      <w:r w:rsidR="005C4BCC" w:rsidRPr="000D3040">
        <w:rPr>
          <w:rFonts w:ascii="Times New Roman" w:hAnsi="Times New Roman" w:cs="Times New Roman"/>
        </w:rPr>
        <w:t xml:space="preserve"> unhelpfully but unavoidably surrounded by other residents with</w:t>
      </w:r>
      <w:r w:rsidR="004C4169" w:rsidRPr="000D3040">
        <w:rPr>
          <w:rFonts w:ascii="Times New Roman" w:hAnsi="Times New Roman" w:cs="Times New Roman"/>
        </w:rPr>
        <w:t xml:space="preserve"> more advanced dementia</w:t>
      </w:r>
      <w:r w:rsidR="009516F8" w:rsidRPr="000D3040">
        <w:rPr>
          <w:rFonts w:ascii="Times New Roman" w:hAnsi="Times New Roman" w:cs="Times New Roman"/>
        </w:rPr>
        <w:t xml:space="preserve">, is under a high degree of control, and is </w:t>
      </w:r>
      <w:r w:rsidR="0047745F">
        <w:rPr>
          <w:rFonts w:ascii="Times New Roman" w:hAnsi="Times New Roman" w:cs="Times New Roman"/>
        </w:rPr>
        <w:t>demonstrably unhappy in the care home.</w:t>
      </w:r>
      <w:r w:rsidR="0047745F" w:rsidRPr="000D3040">
        <w:rPr>
          <w:rStyle w:val="FootnoteReference"/>
          <w:rFonts w:ascii="Times New Roman" w:hAnsi="Times New Roman" w:cs="Times New Roman"/>
        </w:rPr>
        <w:footnoteReference w:id="158"/>
      </w:r>
      <w:r w:rsidR="0047745F">
        <w:rPr>
          <w:rFonts w:ascii="Times New Roman" w:hAnsi="Times New Roman" w:cs="Times New Roman"/>
        </w:rPr>
        <w:t xml:space="preserve"> It goes further, however, and points out that ST is in fact </w:t>
      </w:r>
      <w:r w:rsidR="009516F8" w:rsidRPr="000D3040">
        <w:rPr>
          <w:rFonts w:ascii="Times New Roman" w:hAnsi="Times New Roman" w:cs="Times New Roman"/>
        </w:rPr>
        <w:t>more co-operative when attended to by caregivers he recognises.</w:t>
      </w:r>
      <w:r w:rsidR="009516F8" w:rsidRPr="000D3040">
        <w:rPr>
          <w:rStyle w:val="FootnoteReference"/>
          <w:rFonts w:ascii="Times New Roman" w:hAnsi="Times New Roman" w:cs="Times New Roman"/>
        </w:rPr>
        <w:footnoteReference w:id="159"/>
      </w:r>
      <w:r w:rsidR="009516F8" w:rsidRPr="000D3040">
        <w:rPr>
          <w:rFonts w:ascii="Times New Roman" w:hAnsi="Times New Roman" w:cs="Times New Roman"/>
        </w:rPr>
        <w:t xml:space="preserve"> </w:t>
      </w:r>
    </w:p>
    <w:p w14:paraId="1226FC84" w14:textId="77777777" w:rsidR="00AE7748" w:rsidRDefault="00AE7748" w:rsidP="000E6DF0">
      <w:pPr>
        <w:pStyle w:val="NoSpacing"/>
        <w:spacing w:line="480" w:lineRule="auto"/>
        <w:ind w:right="43"/>
        <w:jc w:val="both"/>
        <w:rPr>
          <w:rFonts w:ascii="Times New Roman" w:hAnsi="Times New Roman" w:cs="Times New Roman"/>
        </w:rPr>
      </w:pPr>
    </w:p>
    <w:p w14:paraId="7CB21AFB" w14:textId="6866E19D" w:rsidR="000A6D9F" w:rsidRPr="000D3040" w:rsidRDefault="004B725D" w:rsidP="000E6DF0">
      <w:pPr>
        <w:pStyle w:val="NoSpacing"/>
        <w:spacing w:line="480" w:lineRule="auto"/>
        <w:ind w:right="43"/>
        <w:jc w:val="both"/>
        <w:rPr>
          <w:rFonts w:ascii="Times New Roman" w:hAnsi="Times New Roman" w:cs="Times New Roman"/>
          <w:lang w:val="en-US"/>
        </w:rPr>
      </w:pPr>
      <w:r w:rsidRPr="000D3040">
        <w:rPr>
          <w:rFonts w:ascii="Times New Roman" w:hAnsi="Times New Roman" w:cs="Times New Roman"/>
          <w:lang w:val="en-US"/>
        </w:rPr>
        <w:t>Likewise</w:t>
      </w:r>
      <w:r w:rsidR="009A2B97" w:rsidRPr="000D3040">
        <w:rPr>
          <w:rFonts w:ascii="Times New Roman" w:hAnsi="Times New Roman" w:cs="Times New Roman"/>
          <w:lang w:val="en-US"/>
        </w:rPr>
        <w:t xml:space="preserve"> </w:t>
      </w:r>
      <w:r w:rsidRPr="000D3040">
        <w:rPr>
          <w:rFonts w:ascii="Times New Roman" w:hAnsi="Times New Roman" w:cs="Times New Roman"/>
          <w:lang w:val="en-US"/>
        </w:rPr>
        <w:t xml:space="preserve">in </w:t>
      </w:r>
      <w:r w:rsidRPr="000D3040">
        <w:rPr>
          <w:rFonts w:ascii="Times New Roman" w:hAnsi="Times New Roman" w:cs="Times New Roman"/>
          <w:i/>
          <w:lang w:val="en-US"/>
        </w:rPr>
        <w:t>JH</w:t>
      </w:r>
      <w:r w:rsidRPr="000D3040">
        <w:rPr>
          <w:rFonts w:ascii="Times New Roman" w:hAnsi="Times New Roman" w:cs="Times New Roman"/>
          <w:lang w:val="en-US"/>
        </w:rPr>
        <w:t xml:space="preserve">, </w:t>
      </w:r>
      <w:r w:rsidR="006968BF">
        <w:rPr>
          <w:rFonts w:ascii="Times New Roman" w:hAnsi="Times New Roman" w:cs="Times New Roman"/>
          <w:lang w:val="en-US"/>
        </w:rPr>
        <w:t xml:space="preserve">Eldergill J </w:t>
      </w:r>
      <w:r w:rsidR="0047745F">
        <w:rPr>
          <w:rFonts w:ascii="Times New Roman" w:hAnsi="Times New Roman" w:cs="Times New Roman"/>
          <w:lang w:val="en-US"/>
        </w:rPr>
        <w:t>explains</w:t>
      </w:r>
      <w:r w:rsidR="002C493E" w:rsidRPr="000D3040">
        <w:rPr>
          <w:rFonts w:ascii="Times New Roman" w:hAnsi="Times New Roman" w:cs="Times New Roman"/>
          <w:lang w:val="en-US"/>
        </w:rPr>
        <w:t xml:space="preserve"> </w:t>
      </w:r>
      <w:r w:rsidR="002C493E" w:rsidRPr="00D570A8">
        <w:rPr>
          <w:rFonts w:ascii="Times New Roman" w:hAnsi="Times New Roman" w:cs="Times New Roman"/>
          <w:lang w:val="en-US"/>
        </w:rPr>
        <w:t>why</w:t>
      </w:r>
      <w:r w:rsidR="0074673B" w:rsidRPr="000D3040">
        <w:rPr>
          <w:rFonts w:ascii="Times New Roman" w:hAnsi="Times New Roman" w:cs="Times New Roman"/>
          <w:lang w:val="en-US"/>
        </w:rPr>
        <w:t xml:space="preserve"> Mrs H’s</w:t>
      </w:r>
      <w:r w:rsidR="002C493E" w:rsidRPr="000D3040">
        <w:rPr>
          <w:rFonts w:ascii="Times New Roman" w:hAnsi="Times New Roman" w:cs="Times New Roman"/>
          <w:lang w:val="en-US"/>
        </w:rPr>
        <w:t xml:space="preserve"> behaviour may have </w:t>
      </w:r>
      <w:r w:rsidR="0078005B" w:rsidRPr="000D3040">
        <w:rPr>
          <w:rFonts w:ascii="Times New Roman" w:hAnsi="Times New Roman" w:cs="Times New Roman"/>
          <w:lang w:val="en-US"/>
        </w:rPr>
        <w:t xml:space="preserve">sometimes </w:t>
      </w:r>
      <w:r w:rsidR="002C493E" w:rsidRPr="000D3040">
        <w:rPr>
          <w:rFonts w:ascii="Times New Roman" w:hAnsi="Times New Roman" w:cs="Times New Roman"/>
          <w:lang w:val="en-US"/>
        </w:rPr>
        <w:t>been uncooperative</w:t>
      </w:r>
      <w:r w:rsidR="007A1409">
        <w:rPr>
          <w:rFonts w:ascii="Times New Roman" w:hAnsi="Times New Roman" w:cs="Times New Roman"/>
          <w:lang w:val="en-US"/>
        </w:rPr>
        <w:t xml:space="preserve"> during her time in hospital</w:t>
      </w:r>
      <w:r w:rsidR="0078005B" w:rsidRPr="000D3040">
        <w:rPr>
          <w:rFonts w:ascii="Times New Roman" w:hAnsi="Times New Roman" w:cs="Times New Roman"/>
          <w:lang w:val="en-US"/>
        </w:rPr>
        <w:t xml:space="preserve"> (such as refusing to</w:t>
      </w:r>
      <w:r w:rsidR="007A1409">
        <w:rPr>
          <w:rFonts w:ascii="Times New Roman" w:hAnsi="Times New Roman" w:cs="Times New Roman"/>
          <w:lang w:val="en-US"/>
        </w:rPr>
        <w:t xml:space="preserve"> eat or drink, or to</w:t>
      </w:r>
      <w:r w:rsidR="0078005B" w:rsidRPr="000D3040">
        <w:rPr>
          <w:rFonts w:ascii="Times New Roman" w:hAnsi="Times New Roman" w:cs="Times New Roman"/>
          <w:lang w:val="en-US"/>
        </w:rPr>
        <w:t xml:space="preserve"> leave her bed</w:t>
      </w:r>
      <w:r w:rsidR="007A1409">
        <w:rPr>
          <w:rFonts w:ascii="Times New Roman" w:hAnsi="Times New Roman" w:cs="Times New Roman"/>
          <w:lang w:val="en-US"/>
        </w:rPr>
        <w:t>),</w:t>
      </w:r>
      <w:r w:rsidR="006D7A39" w:rsidRPr="000D3040">
        <w:rPr>
          <w:rFonts w:ascii="Times New Roman" w:hAnsi="Times New Roman" w:cs="Times New Roman"/>
          <w:lang w:val="en-US"/>
        </w:rPr>
        <w:t xml:space="preserve"> rather than </w:t>
      </w:r>
      <w:r w:rsidR="007A1409">
        <w:rPr>
          <w:rFonts w:ascii="Times New Roman" w:hAnsi="Times New Roman" w:cs="Times New Roman"/>
          <w:lang w:val="en-US"/>
        </w:rPr>
        <w:t>characterising</w:t>
      </w:r>
      <w:r w:rsidR="006D7A39" w:rsidRPr="000D3040">
        <w:rPr>
          <w:rFonts w:ascii="Times New Roman" w:hAnsi="Times New Roman" w:cs="Times New Roman"/>
          <w:lang w:val="en-US"/>
        </w:rPr>
        <w:t xml:space="preserve"> it s</w:t>
      </w:r>
      <w:r w:rsidRPr="000D3040">
        <w:rPr>
          <w:rFonts w:ascii="Times New Roman" w:hAnsi="Times New Roman" w:cs="Times New Roman"/>
          <w:lang w:val="en-US"/>
        </w:rPr>
        <w:t>olely as a symptom of</w:t>
      </w:r>
      <w:r w:rsidR="0074673B" w:rsidRPr="000D3040">
        <w:rPr>
          <w:rFonts w:ascii="Times New Roman" w:hAnsi="Times New Roman" w:cs="Times New Roman"/>
          <w:lang w:val="en-US"/>
        </w:rPr>
        <w:t xml:space="preserve"> her dementia</w:t>
      </w:r>
      <w:r w:rsidR="002C493E" w:rsidRPr="000D3040">
        <w:rPr>
          <w:rFonts w:ascii="Times New Roman" w:hAnsi="Times New Roman" w:cs="Times New Roman"/>
          <w:lang w:val="en-US"/>
        </w:rPr>
        <w:t>. He indicates t</w:t>
      </w:r>
      <w:r w:rsidR="0074673B" w:rsidRPr="000D3040">
        <w:rPr>
          <w:rFonts w:ascii="Times New Roman" w:hAnsi="Times New Roman" w:cs="Times New Roman"/>
          <w:lang w:val="en-US"/>
        </w:rPr>
        <w:t xml:space="preserve">hat the </w:t>
      </w:r>
      <w:r w:rsidR="00B41758" w:rsidRPr="000D3040">
        <w:rPr>
          <w:rFonts w:ascii="Times New Roman" w:hAnsi="Times New Roman" w:cs="Times New Roman"/>
          <w:lang w:val="en-US"/>
        </w:rPr>
        <w:t>lack of co-operation may be due</w:t>
      </w:r>
      <w:r w:rsidR="002C493E" w:rsidRPr="000D3040">
        <w:rPr>
          <w:rFonts w:ascii="Times New Roman" w:hAnsi="Times New Roman" w:cs="Times New Roman"/>
          <w:lang w:val="en-US"/>
        </w:rPr>
        <w:t xml:space="preserve"> to the hospital environment</w:t>
      </w:r>
      <w:r w:rsidR="0078005B" w:rsidRPr="000D3040">
        <w:rPr>
          <w:rFonts w:ascii="Times New Roman" w:hAnsi="Times New Roman" w:cs="Times New Roman"/>
          <w:lang w:val="en-US"/>
        </w:rPr>
        <w:t>, stating</w:t>
      </w:r>
      <w:r w:rsidR="00E772F5">
        <w:rPr>
          <w:rFonts w:ascii="Times New Roman" w:hAnsi="Times New Roman" w:cs="Times New Roman"/>
          <w:lang w:val="en-US"/>
        </w:rPr>
        <w:t xml:space="preserve"> that</w:t>
      </w:r>
      <w:r w:rsidR="002C493E" w:rsidRPr="000D3040">
        <w:rPr>
          <w:rFonts w:ascii="Times New Roman" w:hAnsi="Times New Roman" w:cs="Times New Roman"/>
          <w:lang w:val="en-US"/>
        </w:rPr>
        <w:t xml:space="preserve"> the evidence </w:t>
      </w:r>
      <w:r w:rsidR="002C493E" w:rsidRPr="000D3040">
        <w:rPr>
          <w:rFonts w:ascii="Times New Roman" w:hAnsi="Times New Roman" w:cs="Times New Roman"/>
          <w:lang w:val="en-US"/>
        </w:rPr>
        <w:lastRenderedPageBreak/>
        <w:t>indicates that Mr H is able to elicit her co-operation</w:t>
      </w:r>
      <w:r w:rsidR="004C4169" w:rsidRPr="000D3040">
        <w:rPr>
          <w:rFonts w:ascii="Times New Roman" w:hAnsi="Times New Roman" w:cs="Times New Roman"/>
          <w:lang w:val="en-US"/>
        </w:rPr>
        <w:t xml:space="preserve"> at home</w:t>
      </w:r>
      <w:r w:rsidR="002C493E" w:rsidRPr="000D3040">
        <w:rPr>
          <w:rFonts w:ascii="Times New Roman" w:hAnsi="Times New Roman" w:cs="Times New Roman"/>
          <w:lang w:val="en-US"/>
        </w:rPr>
        <w:t xml:space="preserve"> because of the long established routine they have – preferring to sleep in and remain undisturbed until midday. As such, given that her </w:t>
      </w:r>
      <w:r w:rsidR="00B41758" w:rsidRPr="000D3040">
        <w:rPr>
          <w:rFonts w:ascii="Times New Roman" w:hAnsi="Times New Roman" w:cs="Times New Roman"/>
          <w:lang w:val="en-US"/>
        </w:rPr>
        <w:t xml:space="preserve">long-established </w:t>
      </w:r>
      <w:r w:rsidR="002C493E" w:rsidRPr="000D3040">
        <w:rPr>
          <w:rFonts w:ascii="Times New Roman" w:hAnsi="Times New Roman" w:cs="Times New Roman"/>
          <w:lang w:val="en-US"/>
        </w:rPr>
        <w:t xml:space="preserve">routine does not fit with that of </w:t>
      </w:r>
      <w:r w:rsidR="00B41758" w:rsidRPr="000D3040">
        <w:rPr>
          <w:rFonts w:ascii="Times New Roman" w:hAnsi="Times New Roman" w:cs="Times New Roman"/>
          <w:lang w:val="en-US"/>
        </w:rPr>
        <w:t>an institution</w:t>
      </w:r>
      <w:r w:rsidR="002C493E" w:rsidRPr="000D3040">
        <w:rPr>
          <w:rFonts w:ascii="Times New Roman" w:hAnsi="Times New Roman" w:cs="Times New Roman"/>
          <w:lang w:val="en-US"/>
        </w:rPr>
        <w:t>, the chances of her co-operating in a residential facility is also minimal</w:t>
      </w:r>
      <w:r w:rsidR="00B41758" w:rsidRPr="000D3040">
        <w:rPr>
          <w:rFonts w:ascii="Times New Roman" w:hAnsi="Times New Roman" w:cs="Times New Roman"/>
          <w:lang w:val="en-US"/>
        </w:rPr>
        <w:t>.</w:t>
      </w:r>
      <w:r w:rsidR="002C493E" w:rsidRPr="000D3040">
        <w:rPr>
          <w:rFonts w:ascii="Times New Roman" w:hAnsi="Times New Roman" w:cs="Times New Roman"/>
          <w:lang w:val="en-US"/>
        </w:rPr>
        <w:t xml:space="preserve"> </w:t>
      </w:r>
      <w:r w:rsidR="004C4169" w:rsidRPr="000D3040">
        <w:rPr>
          <w:rFonts w:ascii="Times New Roman" w:hAnsi="Times New Roman" w:cs="Times New Roman"/>
          <w:lang w:val="en-US"/>
        </w:rPr>
        <w:t xml:space="preserve"> </w:t>
      </w:r>
      <w:r w:rsidR="00B71152">
        <w:rPr>
          <w:rFonts w:ascii="Times New Roman" w:hAnsi="Times New Roman" w:cs="Times New Roman"/>
          <w:lang w:val="en-US"/>
        </w:rPr>
        <w:t>Similarly, i</w:t>
      </w:r>
      <w:r w:rsidR="005C0287" w:rsidRPr="000D3040">
        <w:rPr>
          <w:rFonts w:ascii="Times New Roman" w:hAnsi="Times New Roman" w:cs="Times New Roman"/>
          <w:lang w:val="en-US"/>
        </w:rPr>
        <w:t>n</w:t>
      </w:r>
      <w:r w:rsidR="00DD483C" w:rsidRPr="000D3040">
        <w:rPr>
          <w:rFonts w:ascii="Times New Roman" w:hAnsi="Times New Roman" w:cs="Times New Roman"/>
          <w:lang w:val="en-US"/>
        </w:rPr>
        <w:t xml:space="preserve"> </w:t>
      </w:r>
      <w:r w:rsidR="0074673B" w:rsidRPr="000D3040">
        <w:rPr>
          <w:rFonts w:ascii="Times New Roman" w:hAnsi="Times New Roman" w:cs="Times New Roman"/>
          <w:i/>
          <w:lang w:val="en-US"/>
        </w:rPr>
        <w:t xml:space="preserve">Sykes, </w:t>
      </w:r>
      <w:r w:rsidR="00DD483C" w:rsidRPr="000D3040">
        <w:rPr>
          <w:rFonts w:ascii="Times New Roman" w:hAnsi="Times New Roman" w:cs="Times New Roman"/>
          <w:lang w:val="en-US"/>
        </w:rPr>
        <w:t xml:space="preserve">the Court demonstrates sensitivity to both the emotional and personal aspects of having dementia, as well as its cognitive impacts.   </w:t>
      </w:r>
      <w:r w:rsidR="005C0287" w:rsidRPr="000D3040">
        <w:rPr>
          <w:rFonts w:ascii="Times New Roman" w:hAnsi="Times New Roman" w:cs="Times New Roman"/>
          <w:lang w:val="en-US"/>
        </w:rPr>
        <w:t>The</w:t>
      </w:r>
      <w:r w:rsidR="009A2B97" w:rsidRPr="000D3040">
        <w:rPr>
          <w:rFonts w:ascii="Times New Roman" w:hAnsi="Times New Roman" w:cs="Times New Roman"/>
          <w:lang w:val="en-US"/>
        </w:rPr>
        <w:t xml:space="preserve"> </w:t>
      </w:r>
      <w:r w:rsidR="005C0287" w:rsidRPr="000D3040">
        <w:rPr>
          <w:rFonts w:ascii="Times New Roman" w:hAnsi="Times New Roman" w:cs="Times New Roman"/>
          <w:lang w:val="en-US"/>
        </w:rPr>
        <w:t>judge</w:t>
      </w:r>
      <w:r w:rsidR="009A2B97" w:rsidRPr="000D3040">
        <w:rPr>
          <w:rFonts w:ascii="Times New Roman" w:hAnsi="Times New Roman" w:cs="Times New Roman"/>
          <w:lang w:val="en-US"/>
        </w:rPr>
        <w:t xml:space="preserve"> </w:t>
      </w:r>
      <w:r w:rsidR="005C0287" w:rsidRPr="000D3040">
        <w:rPr>
          <w:rFonts w:ascii="Times New Roman" w:hAnsi="Times New Roman" w:cs="Times New Roman"/>
          <w:lang w:val="en-US"/>
        </w:rPr>
        <w:t>remains</w:t>
      </w:r>
      <w:r w:rsidR="009A2B97" w:rsidRPr="000D3040">
        <w:rPr>
          <w:rFonts w:ascii="Times New Roman" w:hAnsi="Times New Roman" w:cs="Times New Roman"/>
          <w:lang w:val="en-US"/>
        </w:rPr>
        <w:t xml:space="preserve"> sensitive to the ways in which dementia does</w:t>
      </w:r>
      <w:r w:rsidR="005C0287" w:rsidRPr="000D3040">
        <w:rPr>
          <w:rFonts w:ascii="Times New Roman" w:hAnsi="Times New Roman" w:cs="Times New Roman"/>
          <w:lang w:val="en-US"/>
        </w:rPr>
        <w:t xml:space="preserve"> indeed</w:t>
      </w:r>
      <w:r w:rsidR="009A2B97" w:rsidRPr="000D3040">
        <w:rPr>
          <w:rFonts w:ascii="Times New Roman" w:hAnsi="Times New Roman" w:cs="Times New Roman"/>
          <w:lang w:val="en-US"/>
        </w:rPr>
        <w:t xml:space="preserve"> affect cognitive functions, and crucially, </w:t>
      </w:r>
      <w:r w:rsidR="009A2B97" w:rsidRPr="000D3040">
        <w:rPr>
          <w:rFonts w:ascii="Times New Roman" w:hAnsi="Times New Roman" w:cs="Times New Roman"/>
          <w:i/>
          <w:lang w:val="en-US"/>
        </w:rPr>
        <w:t xml:space="preserve">how </w:t>
      </w:r>
      <w:r w:rsidR="009A2B97" w:rsidRPr="000D3040">
        <w:rPr>
          <w:rFonts w:ascii="Times New Roman" w:hAnsi="Times New Roman" w:cs="Times New Roman"/>
          <w:lang w:val="en-US"/>
        </w:rPr>
        <w:t xml:space="preserve">this may explain an individual’s behaviour and interactions with professionals.  </w:t>
      </w:r>
      <w:r w:rsidR="0078005B" w:rsidRPr="000D3040">
        <w:rPr>
          <w:rFonts w:ascii="Times New Roman" w:hAnsi="Times New Roman" w:cs="Times New Roman"/>
          <w:lang w:val="en-US"/>
        </w:rPr>
        <w:t>For</w:t>
      </w:r>
      <w:r w:rsidR="00DD483C" w:rsidRPr="000D3040">
        <w:rPr>
          <w:rFonts w:ascii="Times New Roman" w:hAnsi="Times New Roman" w:cs="Times New Roman"/>
          <w:lang w:val="en-US"/>
        </w:rPr>
        <w:t xml:space="preserve"> example, </w:t>
      </w:r>
      <w:r w:rsidR="0074673B" w:rsidRPr="000D3040">
        <w:rPr>
          <w:rFonts w:ascii="Times New Roman" w:hAnsi="Times New Roman" w:cs="Times New Roman"/>
          <w:lang w:val="en-US"/>
        </w:rPr>
        <w:t xml:space="preserve">in discussing </w:t>
      </w:r>
      <w:r w:rsidR="005C0287" w:rsidRPr="000D3040">
        <w:rPr>
          <w:rFonts w:ascii="Times New Roman" w:hAnsi="Times New Roman" w:cs="Times New Roman"/>
          <w:lang w:val="en-US"/>
        </w:rPr>
        <w:t>Ms Sykes’</w:t>
      </w:r>
      <w:r w:rsidR="0074673B" w:rsidRPr="000D3040">
        <w:rPr>
          <w:rFonts w:ascii="Times New Roman" w:hAnsi="Times New Roman" w:cs="Times New Roman"/>
          <w:lang w:val="en-US"/>
        </w:rPr>
        <w:t xml:space="preserve"> care needs, </w:t>
      </w:r>
      <w:r w:rsidR="00DD483C" w:rsidRPr="000D3040">
        <w:rPr>
          <w:rFonts w:ascii="Times New Roman" w:hAnsi="Times New Roman" w:cs="Times New Roman"/>
          <w:lang w:val="en-US"/>
        </w:rPr>
        <w:t xml:space="preserve">the </w:t>
      </w:r>
      <w:r w:rsidR="005C0287" w:rsidRPr="000D3040">
        <w:rPr>
          <w:rFonts w:ascii="Times New Roman" w:hAnsi="Times New Roman" w:cs="Times New Roman"/>
          <w:lang w:val="en-US"/>
        </w:rPr>
        <w:t>judge</w:t>
      </w:r>
      <w:r w:rsidR="000A6D9F" w:rsidRPr="000D3040">
        <w:rPr>
          <w:rFonts w:ascii="Times New Roman" w:hAnsi="Times New Roman" w:cs="Times New Roman"/>
          <w:lang w:val="en-US"/>
        </w:rPr>
        <w:t xml:space="preserve"> states that</w:t>
      </w:r>
      <w:r w:rsidR="009A2B97" w:rsidRPr="000D3040">
        <w:rPr>
          <w:rFonts w:ascii="Times New Roman" w:hAnsi="Times New Roman" w:cs="Times New Roman"/>
          <w:lang w:val="en-US"/>
        </w:rPr>
        <w:t>:</w:t>
      </w:r>
      <w:r w:rsidR="000A6D9F" w:rsidRPr="000D3040">
        <w:rPr>
          <w:rFonts w:ascii="Times New Roman" w:hAnsi="Times New Roman" w:cs="Times New Roman"/>
          <w:lang w:val="en-US"/>
        </w:rPr>
        <w:t xml:space="preserve"> </w:t>
      </w:r>
    </w:p>
    <w:p w14:paraId="57C216E1" w14:textId="2D857524" w:rsidR="009A2B97" w:rsidRPr="000D3040" w:rsidRDefault="000A6D9F" w:rsidP="000E6DF0">
      <w:pPr>
        <w:pStyle w:val="NoSpacing"/>
        <w:spacing w:line="480" w:lineRule="auto"/>
        <w:ind w:left="567" w:right="751"/>
        <w:jc w:val="both"/>
        <w:rPr>
          <w:rFonts w:ascii="Times New Roman" w:hAnsi="Times New Roman" w:cs="Times New Roman"/>
          <w:lang w:val="en-US"/>
        </w:rPr>
      </w:pPr>
      <w:r w:rsidRPr="000D3040">
        <w:rPr>
          <w:rFonts w:ascii="Times New Roman" w:hAnsi="Times New Roman" w:cs="Times New Roman"/>
          <w:lang w:val="en-US"/>
        </w:rPr>
        <w:t>I</w:t>
      </w:r>
      <w:r w:rsidR="00DD483C" w:rsidRPr="000D3040">
        <w:rPr>
          <w:rFonts w:ascii="Times New Roman" w:hAnsi="Times New Roman" w:cs="Times New Roman"/>
          <w:lang w:val="en-US"/>
        </w:rPr>
        <w:t xml:space="preserve">t is recorded that she has a tendency to become defiant when </w:t>
      </w:r>
      <w:r w:rsidR="0047745F">
        <w:rPr>
          <w:rFonts w:ascii="Times New Roman" w:hAnsi="Times New Roman" w:cs="Times New Roman"/>
          <w:lang w:val="en-US"/>
        </w:rPr>
        <w:t>[issues around Ms Sykes’ residence]</w:t>
      </w:r>
      <w:r w:rsidR="00DD483C" w:rsidRPr="000D3040">
        <w:rPr>
          <w:rFonts w:ascii="Times New Roman" w:hAnsi="Times New Roman" w:cs="Times New Roman"/>
          <w:lang w:val="en-US"/>
        </w:rPr>
        <w:t xml:space="preserve"> are raised. This is logical and understandable because, unless one has a memory of previous difficulties, the profes</w:t>
      </w:r>
      <w:r w:rsidR="00B41758" w:rsidRPr="000D3040">
        <w:rPr>
          <w:rFonts w:ascii="Times New Roman" w:hAnsi="Times New Roman" w:cs="Times New Roman"/>
          <w:lang w:val="en-US"/>
        </w:rPr>
        <w:t>sional view must appear patronis</w:t>
      </w:r>
      <w:r w:rsidR="00DD483C" w:rsidRPr="000D3040">
        <w:rPr>
          <w:rFonts w:ascii="Times New Roman" w:hAnsi="Times New Roman" w:cs="Times New Roman"/>
          <w:lang w:val="en-US"/>
        </w:rPr>
        <w:t>ing and intrusive, and the problems</w:t>
      </w:r>
      <w:r w:rsidRPr="000D3040">
        <w:rPr>
          <w:rFonts w:ascii="Times New Roman" w:hAnsi="Times New Roman" w:cs="Times New Roman"/>
          <w:lang w:val="en-US"/>
        </w:rPr>
        <w:t xml:space="preserve"> made-up or grossly-exaggerated</w:t>
      </w:r>
      <w:r w:rsidR="00DD483C" w:rsidRPr="000D3040">
        <w:rPr>
          <w:rFonts w:ascii="Times New Roman" w:hAnsi="Times New Roman" w:cs="Times New Roman"/>
          <w:lang w:val="en-US"/>
        </w:rPr>
        <w:t>.</w:t>
      </w:r>
      <w:r w:rsidR="00DD483C" w:rsidRPr="000D3040">
        <w:rPr>
          <w:rStyle w:val="FootnoteReference"/>
          <w:rFonts w:ascii="Times New Roman" w:hAnsi="Times New Roman" w:cs="Times New Roman"/>
          <w:lang w:val="en-US"/>
        </w:rPr>
        <w:footnoteReference w:id="160"/>
      </w:r>
      <w:r w:rsidR="00DD483C" w:rsidRPr="000D3040">
        <w:rPr>
          <w:rFonts w:ascii="Times New Roman" w:hAnsi="Times New Roman" w:cs="Times New Roman"/>
          <w:lang w:val="en-US"/>
        </w:rPr>
        <w:t xml:space="preserve">  </w:t>
      </w:r>
    </w:p>
    <w:p w14:paraId="4BF48DC7" w14:textId="77777777" w:rsidR="006F3424" w:rsidRDefault="006F3424" w:rsidP="000E6DF0">
      <w:pPr>
        <w:pStyle w:val="NoSpacing"/>
        <w:spacing w:line="480" w:lineRule="auto"/>
        <w:jc w:val="both"/>
        <w:rPr>
          <w:rFonts w:ascii="Times New Roman" w:hAnsi="Times New Roman" w:cs="Times New Roman"/>
          <w:lang w:val="en-US"/>
        </w:rPr>
      </w:pPr>
    </w:p>
    <w:p w14:paraId="20502305" w14:textId="7779E22F" w:rsidR="00227E64" w:rsidRDefault="005C0287" w:rsidP="00D570A8">
      <w:pPr>
        <w:pStyle w:val="NoSpacing"/>
        <w:spacing w:line="480" w:lineRule="auto"/>
        <w:jc w:val="both"/>
        <w:rPr>
          <w:rFonts w:ascii="Times New Roman" w:hAnsi="Times New Roman" w:cs="Times New Roman"/>
          <w:lang w:val="en-US"/>
        </w:rPr>
      </w:pPr>
      <w:r w:rsidRPr="000D3040">
        <w:rPr>
          <w:rFonts w:ascii="Times New Roman" w:hAnsi="Times New Roman" w:cs="Times New Roman"/>
          <w:lang w:val="en-US"/>
        </w:rPr>
        <w:t>If</w:t>
      </w:r>
      <w:r w:rsidR="008B33C8" w:rsidRPr="000D3040">
        <w:rPr>
          <w:rFonts w:ascii="Times New Roman" w:hAnsi="Times New Roman" w:cs="Times New Roman"/>
          <w:lang w:val="en-US"/>
        </w:rPr>
        <w:t xml:space="preserve"> it is indeed true</w:t>
      </w:r>
      <w:r w:rsidRPr="000D3040">
        <w:rPr>
          <w:rFonts w:ascii="Times New Roman" w:hAnsi="Times New Roman" w:cs="Times New Roman"/>
          <w:lang w:val="en-US"/>
        </w:rPr>
        <w:t xml:space="preserve">, as </w:t>
      </w:r>
      <w:r w:rsidR="009A2B97" w:rsidRPr="000D3040">
        <w:rPr>
          <w:rFonts w:ascii="Times New Roman" w:hAnsi="Times New Roman" w:cs="Times New Roman"/>
          <w:lang w:val="en-US"/>
        </w:rPr>
        <w:t>A</w:t>
      </w:r>
      <w:r w:rsidRPr="000D3040">
        <w:rPr>
          <w:rFonts w:ascii="Times New Roman" w:hAnsi="Times New Roman" w:cs="Times New Roman"/>
          <w:lang w:val="en-US"/>
        </w:rPr>
        <w:t>tkins argues,</w:t>
      </w:r>
      <w:r w:rsidR="009A2B97" w:rsidRPr="000D3040">
        <w:rPr>
          <w:rFonts w:ascii="Times New Roman" w:hAnsi="Times New Roman" w:cs="Times New Roman"/>
          <w:lang w:val="en-US"/>
        </w:rPr>
        <w:t xml:space="preserve"> </w:t>
      </w:r>
      <w:r w:rsidR="0047745F">
        <w:rPr>
          <w:rFonts w:ascii="Times New Roman" w:hAnsi="Times New Roman" w:cs="Times New Roman"/>
          <w:lang w:val="en-US"/>
        </w:rPr>
        <w:t>‘the individuality, the specificity, of each person’s p</w:t>
      </w:r>
      <w:r w:rsidR="00EA21C1">
        <w:rPr>
          <w:rFonts w:ascii="Times New Roman" w:hAnsi="Times New Roman" w:cs="Times New Roman"/>
          <w:lang w:val="en-US"/>
        </w:rPr>
        <w:t>erceptual and cognitive fac</w:t>
      </w:r>
      <w:r w:rsidR="0047745F">
        <w:rPr>
          <w:rFonts w:ascii="Times New Roman" w:hAnsi="Times New Roman" w:cs="Times New Roman"/>
          <w:lang w:val="en-US"/>
        </w:rPr>
        <w:t>ulties endows each subject with a certain unique “take” on experiences which are nonetheless socially and historically situated’,</w:t>
      </w:r>
      <w:r w:rsidR="00043086" w:rsidRPr="000D3040">
        <w:rPr>
          <w:rStyle w:val="FootnoteReference"/>
          <w:rFonts w:ascii="Times New Roman" w:hAnsi="Times New Roman" w:cs="Times New Roman"/>
          <w:lang w:val="en-US"/>
        </w:rPr>
        <w:footnoteReference w:id="161"/>
      </w:r>
      <w:r w:rsidR="00747B0C" w:rsidRPr="000D3040">
        <w:rPr>
          <w:rFonts w:ascii="Times New Roman" w:hAnsi="Times New Roman" w:cs="Times New Roman"/>
          <w:lang w:val="en-US"/>
        </w:rPr>
        <w:t xml:space="preserve"> -</w:t>
      </w:r>
      <w:r w:rsidR="008B33C8" w:rsidRPr="000D3040">
        <w:rPr>
          <w:rFonts w:ascii="Times New Roman" w:hAnsi="Times New Roman" w:cs="Times New Roman"/>
          <w:lang w:val="en-US"/>
        </w:rPr>
        <w:t xml:space="preserve"> </w:t>
      </w:r>
      <w:r w:rsidRPr="000D3040">
        <w:rPr>
          <w:rFonts w:ascii="Times New Roman" w:hAnsi="Times New Roman" w:cs="Times New Roman"/>
          <w:lang w:val="en-US"/>
        </w:rPr>
        <w:t>then t</w:t>
      </w:r>
      <w:r w:rsidR="00043086" w:rsidRPr="000D3040">
        <w:rPr>
          <w:rFonts w:ascii="Times New Roman" w:hAnsi="Times New Roman" w:cs="Times New Roman"/>
          <w:lang w:val="en-US"/>
        </w:rPr>
        <w:t xml:space="preserve">he discussion of the </w:t>
      </w:r>
      <w:r w:rsidR="003D23ED" w:rsidRPr="000D3040">
        <w:rPr>
          <w:rFonts w:ascii="Times New Roman" w:hAnsi="Times New Roman" w:cs="Times New Roman"/>
          <w:lang w:val="en-US"/>
        </w:rPr>
        <w:t xml:space="preserve">three </w:t>
      </w:r>
      <w:r w:rsidR="00043086" w:rsidRPr="000D3040">
        <w:rPr>
          <w:rFonts w:ascii="Times New Roman" w:hAnsi="Times New Roman" w:cs="Times New Roman"/>
          <w:lang w:val="en-US"/>
        </w:rPr>
        <w:t xml:space="preserve">cases here </w:t>
      </w:r>
      <w:r w:rsidR="001D5B96" w:rsidRPr="000D3040">
        <w:rPr>
          <w:rFonts w:ascii="Times New Roman" w:hAnsi="Times New Roman" w:cs="Times New Roman"/>
          <w:lang w:val="en-US"/>
        </w:rPr>
        <w:t>highlight</w:t>
      </w:r>
      <w:r w:rsidR="00043086" w:rsidRPr="000D3040">
        <w:rPr>
          <w:rFonts w:ascii="Times New Roman" w:hAnsi="Times New Roman" w:cs="Times New Roman"/>
          <w:lang w:val="en-US"/>
        </w:rPr>
        <w:t>s</w:t>
      </w:r>
      <w:r w:rsidR="001D5B96" w:rsidRPr="000D3040">
        <w:rPr>
          <w:rFonts w:ascii="Times New Roman" w:hAnsi="Times New Roman" w:cs="Times New Roman"/>
          <w:lang w:val="en-US"/>
        </w:rPr>
        <w:t xml:space="preserve"> the importance of exploring</w:t>
      </w:r>
      <w:r w:rsidR="00D03BC3">
        <w:rPr>
          <w:rFonts w:ascii="Times New Roman" w:hAnsi="Times New Roman" w:cs="Times New Roman"/>
          <w:lang w:val="en-US"/>
        </w:rPr>
        <w:t xml:space="preserve"> </w:t>
      </w:r>
      <w:r w:rsidR="00043086" w:rsidRPr="000D3040">
        <w:rPr>
          <w:rFonts w:ascii="Times New Roman" w:hAnsi="Times New Roman" w:cs="Times New Roman"/>
          <w:lang w:val="en-US"/>
        </w:rPr>
        <w:t>relationships</w:t>
      </w:r>
      <w:r w:rsidR="00AE7748">
        <w:rPr>
          <w:rFonts w:ascii="Times New Roman" w:hAnsi="Times New Roman" w:cs="Times New Roman"/>
          <w:lang w:val="en-US"/>
        </w:rPr>
        <w:t xml:space="preserve"> (familial, social and historical),</w:t>
      </w:r>
      <w:r w:rsidR="009A2B97" w:rsidRPr="000D3040">
        <w:rPr>
          <w:rFonts w:ascii="Times New Roman" w:hAnsi="Times New Roman" w:cs="Times New Roman"/>
          <w:lang w:val="en-US"/>
        </w:rPr>
        <w:t xml:space="preserve"> on </w:t>
      </w:r>
      <w:r w:rsidR="009A2B97" w:rsidRPr="00D570A8">
        <w:rPr>
          <w:rFonts w:ascii="Times New Roman" w:hAnsi="Times New Roman" w:cs="Times New Roman"/>
          <w:lang w:val="en-US"/>
        </w:rPr>
        <w:t>all</w:t>
      </w:r>
      <w:r w:rsidR="009A2B97" w:rsidRPr="000D3040">
        <w:rPr>
          <w:rFonts w:ascii="Times New Roman" w:hAnsi="Times New Roman" w:cs="Times New Roman"/>
          <w:i/>
          <w:lang w:val="en-US"/>
        </w:rPr>
        <w:t xml:space="preserve"> </w:t>
      </w:r>
      <w:r w:rsidR="009A2B97" w:rsidRPr="000D3040">
        <w:rPr>
          <w:rFonts w:ascii="Times New Roman" w:hAnsi="Times New Roman" w:cs="Times New Roman"/>
          <w:lang w:val="en-US"/>
        </w:rPr>
        <w:t>levels</w:t>
      </w:r>
      <w:r w:rsidR="0047745F">
        <w:rPr>
          <w:rFonts w:ascii="Times New Roman" w:hAnsi="Times New Roman" w:cs="Times New Roman"/>
          <w:lang w:val="en-US"/>
        </w:rPr>
        <w:t xml:space="preserve"> - </w:t>
      </w:r>
      <w:r w:rsidR="001D5B96" w:rsidRPr="000D3040">
        <w:rPr>
          <w:rFonts w:ascii="Times New Roman" w:hAnsi="Times New Roman" w:cs="Times New Roman"/>
          <w:lang w:val="en-US"/>
        </w:rPr>
        <w:t xml:space="preserve">between </w:t>
      </w:r>
      <w:r w:rsidR="00043086" w:rsidRPr="000D3040">
        <w:rPr>
          <w:rFonts w:ascii="Times New Roman" w:hAnsi="Times New Roman" w:cs="Times New Roman"/>
          <w:lang w:val="en-US"/>
        </w:rPr>
        <w:t xml:space="preserve">the persons </w:t>
      </w:r>
      <w:r w:rsidR="001D5B96" w:rsidRPr="000D3040">
        <w:rPr>
          <w:rFonts w:ascii="Times New Roman" w:hAnsi="Times New Roman" w:cs="Times New Roman"/>
          <w:lang w:val="en-US"/>
        </w:rPr>
        <w:t>with dementia</w:t>
      </w:r>
      <w:r w:rsidR="00043086" w:rsidRPr="000D3040">
        <w:rPr>
          <w:rFonts w:ascii="Times New Roman" w:hAnsi="Times New Roman" w:cs="Times New Roman"/>
          <w:lang w:val="en-US"/>
        </w:rPr>
        <w:t>,</w:t>
      </w:r>
      <w:r w:rsidR="001D5B96" w:rsidRPr="000D3040">
        <w:rPr>
          <w:rFonts w:ascii="Times New Roman" w:hAnsi="Times New Roman" w:cs="Times New Roman"/>
          <w:lang w:val="en-US"/>
        </w:rPr>
        <w:t xml:space="preserve"> their spouses, </w:t>
      </w:r>
      <w:r w:rsidR="009A2B97" w:rsidRPr="000D3040">
        <w:rPr>
          <w:rFonts w:ascii="Times New Roman" w:hAnsi="Times New Roman" w:cs="Times New Roman"/>
          <w:lang w:val="en-US"/>
        </w:rPr>
        <w:t xml:space="preserve">the local authorities </w:t>
      </w:r>
      <w:r w:rsidR="001D5B96" w:rsidRPr="000D3040">
        <w:rPr>
          <w:rFonts w:ascii="Times New Roman" w:hAnsi="Times New Roman" w:cs="Times New Roman"/>
          <w:lang w:val="en-US"/>
        </w:rPr>
        <w:t xml:space="preserve">as well as </w:t>
      </w:r>
      <w:r w:rsidR="00043086" w:rsidRPr="000D3040">
        <w:rPr>
          <w:rFonts w:ascii="Times New Roman" w:hAnsi="Times New Roman" w:cs="Times New Roman"/>
          <w:lang w:val="en-US"/>
        </w:rPr>
        <w:t xml:space="preserve">with their </w:t>
      </w:r>
      <w:r w:rsidR="0039351C" w:rsidRPr="000D3040">
        <w:rPr>
          <w:rFonts w:ascii="Times New Roman" w:hAnsi="Times New Roman" w:cs="Times New Roman"/>
          <w:lang w:val="en-US"/>
        </w:rPr>
        <w:t xml:space="preserve">past </w:t>
      </w:r>
      <w:r w:rsidR="00AE7748">
        <w:rPr>
          <w:rFonts w:ascii="Times New Roman" w:hAnsi="Times New Roman" w:cs="Times New Roman"/>
          <w:lang w:val="en-US"/>
        </w:rPr>
        <w:t xml:space="preserve">and present </w:t>
      </w:r>
      <w:r w:rsidR="0039351C" w:rsidRPr="000D3040">
        <w:rPr>
          <w:rFonts w:ascii="Times New Roman" w:hAnsi="Times New Roman" w:cs="Times New Roman"/>
          <w:lang w:val="en-US"/>
        </w:rPr>
        <w:t>identities</w:t>
      </w:r>
      <w:r w:rsidR="009A2B97" w:rsidRPr="000D3040">
        <w:rPr>
          <w:rFonts w:ascii="Times New Roman" w:hAnsi="Times New Roman" w:cs="Times New Roman"/>
          <w:lang w:val="en-US"/>
        </w:rPr>
        <w:t xml:space="preserve"> and cultur</w:t>
      </w:r>
      <w:r w:rsidR="00AE7748">
        <w:rPr>
          <w:rFonts w:ascii="Times New Roman" w:hAnsi="Times New Roman" w:cs="Times New Roman"/>
          <w:lang w:val="en-US"/>
        </w:rPr>
        <w:t xml:space="preserve">e </w:t>
      </w:r>
      <w:r w:rsidR="00AE7748">
        <w:rPr>
          <w:rFonts w:ascii="Times New Roman" w:hAnsi="Times New Roman" w:cs="Times New Roman"/>
          <w:lang w:val="en-US"/>
        </w:rPr>
        <w:lastRenderedPageBreak/>
        <w:t>or religion</w:t>
      </w:r>
      <w:r w:rsidR="0047745F">
        <w:rPr>
          <w:rFonts w:ascii="Times New Roman" w:hAnsi="Times New Roman" w:cs="Times New Roman"/>
          <w:lang w:val="en-US"/>
        </w:rPr>
        <w:t xml:space="preserve"> – for the Court to gain a better understanding of the person’s “take” on </w:t>
      </w:r>
      <w:r w:rsidR="00EA21C1">
        <w:rPr>
          <w:rFonts w:ascii="Times New Roman" w:hAnsi="Times New Roman" w:cs="Times New Roman"/>
          <w:lang w:val="en-US"/>
        </w:rPr>
        <w:t xml:space="preserve">their </w:t>
      </w:r>
      <w:r w:rsidR="0047745F">
        <w:rPr>
          <w:rFonts w:ascii="Times New Roman" w:hAnsi="Times New Roman" w:cs="Times New Roman"/>
          <w:lang w:val="en-US"/>
        </w:rPr>
        <w:t>experiences</w:t>
      </w:r>
      <w:r w:rsidR="001D5B96" w:rsidRPr="000D3040">
        <w:rPr>
          <w:rFonts w:ascii="Times New Roman" w:hAnsi="Times New Roman" w:cs="Times New Roman"/>
          <w:lang w:val="en-US"/>
        </w:rPr>
        <w:t xml:space="preserve">.  They </w:t>
      </w:r>
      <w:r w:rsidR="00747B0C" w:rsidRPr="000D3040">
        <w:rPr>
          <w:rFonts w:ascii="Times New Roman" w:hAnsi="Times New Roman" w:cs="Times New Roman"/>
          <w:lang w:val="en-US"/>
        </w:rPr>
        <w:t xml:space="preserve">also </w:t>
      </w:r>
      <w:r w:rsidR="001D5B96" w:rsidRPr="000D3040">
        <w:rPr>
          <w:rFonts w:ascii="Times New Roman" w:hAnsi="Times New Roman" w:cs="Times New Roman"/>
          <w:lang w:val="en-US"/>
        </w:rPr>
        <w:t>highlight the need to</w:t>
      </w:r>
      <w:r w:rsidR="009737E3" w:rsidRPr="000D3040">
        <w:rPr>
          <w:rFonts w:ascii="Times New Roman" w:hAnsi="Times New Roman" w:cs="Times New Roman"/>
          <w:lang w:val="en-US"/>
        </w:rPr>
        <w:t xml:space="preserve"> be</w:t>
      </w:r>
      <w:r w:rsidR="001D5B96" w:rsidRPr="000D3040">
        <w:rPr>
          <w:rFonts w:ascii="Times New Roman" w:hAnsi="Times New Roman" w:cs="Times New Roman"/>
          <w:lang w:val="en-US"/>
        </w:rPr>
        <w:t xml:space="preserve"> more sensitive to the interactions that take place between </w:t>
      </w:r>
      <w:r w:rsidR="00747B0C" w:rsidRPr="000D3040">
        <w:rPr>
          <w:rFonts w:ascii="Times New Roman" w:hAnsi="Times New Roman" w:cs="Times New Roman"/>
          <w:lang w:val="en-US"/>
        </w:rPr>
        <w:t>professionals</w:t>
      </w:r>
      <w:r w:rsidR="00EA21C1">
        <w:rPr>
          <w:rFonts w:ascii="Times New Roman" w:hAnsi="Times New Roman" w:cs="Times New Roman"/>
          <w:lang w:val="en-US"/>
        </w:rPr>
        <w:t xml:space="preserve"> - </w:t>
      </w:r>
      <w:r w:rsidR="00F01E76">
        <w:rPr>
          <w:rFonts w:ascii="Times New Roman" w:hAnsi="Times New Roman" w:cs="Times New Roman"/>
          <w:lang w:val="en-US"/>
        </w:rPr>
        <w:t>including the Court</w:t>
      </w:r>
      <w:r w:rsidR="00EA21C1">
        <w:rPr>
          <w:rFonts w:ascii="Times New Roman" w:hAnsi="Times New Roman" w:cs="Times New Roman"/>
          <w:lang w:val="en-US"/>
        </w:rPr>
        <w:t xml:space="preserve"> -</w:t>
      </w:r>
      <w:r w:rsidR="00747B0C" w:rsidRPr="000D3040">
        <w:rPr>
          <w:rFonts w:ascii="Times New Roman" w:hAnsi="Times New Roman" w:cs="Times New Roman"/>
          <w:lang w:val="en-US"/>
        </w:rPr>
        <w:t xml:space="preserve"> and </w:t>
      </w:r>
      <w:r w:rsidR="00F01E76">
        <w:rPr>
          <w:rFonts w:ascii="Times New Roman" w:hAnsi="Times New Roman" w:cs="Times New Roman"/>
          <w:lang w:val="en-US"/>
        </w:rPr>
        <w:t>persons with dementia</w:t>
      </w:r>
      <w:r w:rsidR="00747B0C" w:rsidRPr="000D3040">
        <w:rPr>
          <w:rFonts w:ascii="Times New Roman" w:hAnsi="Times New Roman" w:cs="Times New Roman"/>
          <w:lang w:val="en-US"/>
        </w:rPr>
        <w:t>.</w:t>
      </w:r>
      <w:r w:rsidR="0038310A" w:rsidRPr="000D3040">
        <w:rPr>
          <w:rFonts w:ascii="Times New Roman" w:hAnsi="Times New Roman" w:cs="Times New Roman"/>
          <w:lang w:val="en-US"/>
        </w:rPr>
        <w:t xml:space="preserve"> </w:t>
      </w:r>
      <w:r w:rsidR="00043086" w:rsidRPr="000D3040">
        <w:rPr>
          <w:rFonts w:ascii="Times New Roman" w:hAnsi="Times New Roman" w:cs="Times New Roman"/>
          <w:lang w:val="en-US"/>
        </w:rPr>
        <w:t xml:space="preserve">As </w:t>
      </w:r>
      <w:r w:rsidR="001A2FA6">
        <w:rPr>
          <w:rFonts w:ascii="Times New Roman" w:hAnsi="Times New Roman" w:cs="Times New Roman"/>
          <w:lang w:val="en-US"/>
        </w:rPr>
        <w:t xml:space="preserve">DJ </w:t>
      </w:r>
      <w:r w:rsidR="00D03BC3">
        <w:rPr>
          <w:rFonts w:ascii="Times New Roman" w:hAnsi="Times New Roman" w:cs="Times New Roman"/>
          <w:lang w:val="en-US"/>
        </w:rPr>
        <w:t>Eldergill</w:t>
      </w:r>
      <w:r w:rsidR="00AE7748">
        <w:rPr>
          <w:rFonts w:ascii="Times New Roman" w:hAnsi="Times New Roman" w:cs="Times New Roman"/>
          <w:lang w:val="en-US"/>
        </w:rPr>
        <w:t xml:space="preserve"> </w:t>
      </w:r>
      <w:r w:rsidR="00043086" w:rsidRPr="000D3040">
        <w:rPr>
          <w:rFonts w:ascii="Times New Roman" w:hAnsi="Times New Roman" w:cs="Times New Roman"/>
          <w:lang w:val="en-US"/>
        </w:rPr>
        <w:t xml:space="preserve">states in </w:t>
      </w:r>
      <w:r w:rsidR="00043086" w:rsidRPr="000D3040">
        <w:rPr>
          <w:rFonts w:ascii="Times New Roman" w:hAnsi="Times New Roman" w:cs="Times New Roman"/>
          <w:i/>
          <w:lang w:val="en-US"/>
        </w:rPr>
        <w:t xml:space="preserve">Sykes, </w:t>
      </w:r>
      <w:r w:rsidR="00043086" w:rsidRPr="000D3040">
        <w:rPr>
          <w:rFonts w:ascii="Times New Roman" w:hAnsi="Times New Roman" w:cs="Times New Roman"/>
          <w:lang w:val="en-US"/>
        </w:rPr>
        <w:t>‘[t]he law requires objective anal</w:t>
      </w:r>
      <w:r w:rsidR="006F3424">
        <w:rPr>
          <w:rFonts w:ascii="Times New Roman" w:hAnsi="Times New Roman" w:cs="Times New Roman"/>
          <w:lang w:val="en-US"/>
        </w:rPr>
        <w:t>ysis of a subject not an object</w:t>
      </w:r>
      <w:r w:rsidR="00043086" w:rsidRPr="000D3040">
        <w:rPr>
          <w:rFonts w:ascii="Times New Roman" w:hAnsi="Times New Roman" w:cs="Times New Roman"/>
          <w:lang w:val="en-US"/>
        </w:rPr>
        <w:t>’</w:t>
      </w:r>
      <w:r w:rsidR="006F3424">
        <w:rPr>
          <w:rFonts w:ascii="Times New Roman" w:hAnsi="Times New Roman" w:cs="Times New Roman"/>
          <w:lang w:val="en-US"/>
        </w:rPr>
        <w:t>.</w:t>
      </w:r>
      <w:r w:rsidR="00043086" w:rsidRPr="000D3040">
        <w:rPr>
          <w:rStyle w:val="FootnoteReference"/>
          <w:rFonts w:ascii="Times New Roman" w:hAnsi="Times New Roman" w:cs="Times New Roman"/>
          <w:lang w:val="en-US"/>
        </w:rPr>
        <w:footnoteReference w:id="162"/>
      </w:r>
      <w:r w:rsidR="00043086" w:rsidRPr="000D3040">
        <w:rPr>
          <w:rFonts w:ascii="Times New Roman" w:hAnsi="Times New Roman" w:cs="Times New Roman"/>
          <w:b/>
          <w:lang w:val="en-US"/>
        </w:rPr>
        <w:t xml:space="preserve"> </w:t>
      </w:r>
      <w:r w:rsidR="00F01E76" w:rsidRPr="00E05D0F">
        <w:rPr>
          <w:rFonts w:ascii="Times New Roman" w:hAnsi="Times New Roman" w:cs="Times New Roman"/>
          <w:lang w:val="en-US"/>
        </w:rPr>
        <w:t>This is the essence of an intersubjective approach.</w:t>
      </w:r>
      <w:r w:rsidR="00F01E76">
        <w:rPr>
          <w:rFonts w:ascii="Times New Roman" w:hAnsi="Times New Roman" w:cs="Times New Roman"/>
          <w:b/>
          <w:lang w:val="en-US"/>
        </w:rPr>
        <w:t xml:space="preserve"> </w:t>
      </w:r>
      <w:r w:rsidR="0038310A" w:rsidRPr="000D3040">
        <w:rPr>
          <w:rFonts w:ascii="Times New Roman" w:hAnsi="Times New Roman" w:cs="Times New Roman"/>
          <w:lang w:val="en-US"/>
        </w:rPr>
        <w:t xml:space="preserve">In </w:t>
      </w:r>
      <w:r w:rsidR="00F01E76">
        <w:rPr>
          <w:rFonts w:ascii="Times New Roman" w:hAnsi="Times New Roman" w:cs="Times New Roman"/>
          <w:lang w:val="en-US"/>
        </w:rPr>
        <w:t>adopting such an approach, it is argued that the Court can</w:t>
      </w:r>
      <w:r w:rsidR="00B152C7" w:rsidRPr="000D3040">
        <w:rPr>
          <w:rFonts w:ascii="Times New Roman" w:hAnsi="Times New Roman" w:cs="Times New Roman"/>
          <w:lang w:val="en-US"/>
        </w:rPr>
        <w:t xml:space="preserve"> </w:t>
      </w:r>
      <w:r w:rsidR="00F01E76">
        <w:rPr>
          <w:rFonts w:ascii="Times New Roman" w:hAnsi="Times New Roman" w:cs="Times New Roman"/>
          <w:lang w:val="en-US"/>
        </w:rPr>
        <w:t xml:space="preserve">make </w:t>
      </w:r>
      <w:r w:rsidR="00B152C7" w:rsidRPr="000D3040">
        <w:rPr>
          <w:rFonts w:ascii="Times New Roman" w:hAnsi="Times New Roman" w:cs="Times New Roman"/>
          <w:lang w:val="en-US"/>
        </w:rPr>
        <w:t xml:space="preserve">‘a place within our collaborative existences for each other’s specific values and </w:t>
      </w:r>
      <w:r w:rsidR="006F3424">
        <w:rPr>
          <w:rFonts w:ascii="Times New Roman" w:hAnsi="Times New Roman" w:cs="Times New Roman"/>
          <w:lang w:val="en-US"/>
        </w:rPr>
        <w:t>differences</w:t>
      </w:r>
      <w:r w:rsidR="00B152C7" w:rsidRPr="000D3040">
        <w:rPr>
          <w:rFonts w:ascii="Times New Roman" w:hAnsi="Times New Roman" w:cs="Times New Roman"/>
          <w:lang w:val="en-US"/>
        </w:rPr>
        <w:t>’</w:t>
      </w:r>
      <w:r w:rsidR="006F3424">
        <w:rPr>
          <w:rFonts w:ascii="Times New Roman" w:hAnsi="Times New Roman" w:cs="Times New Roman"/>
          <w:lang w:val="en-US"/>
        </w:rPr>
        <w:t>.</w:t>
      </w:r>
      <w:r w:rsidR="00B152C7" w:rsidRPr="000D3040">
        <w:rPr>
          <w:rStyle w:val="FootnoteReference"/>
          <w:rFonts w:ascii="Times New Roman" w:hAnsi="Times New Roman" w:cs="Times New Roman"/>
          <w:lang w:val="en-US"/>
        </w:rPr>
        <w:footnoteReference w:id="163"/>
      </w:r>
      <w:r w:rsidR="00D962D6" w:rsidRPr="000D3040">
        <w:rPr>
          <w:rFonts w:ascii="Times New Roman" w:hAnsi="Times New Roman" w:cs="Times New Roman"/>
          <w:lang w:val="en-US"/>
        </w:rPr>
        <w:t xml:space="preserve"> </w:t>
      </w:r>
      <w:r w:rsidR="00B152C7" w:rsidRPr="000D3040">
        <w:rPr>
          <w:rFonts w:ascii="Times New Roman" w:hAnsi="Times New Roman" w:cs="Times New Roman"/>
          <w:lang w:val="en-US"/>
        </w:rPr>
        <w:t xml:space="preserve"> </w:t>
      </w:r>
      <w:r w:rsidR="006F3424">
        <w:rPr>
          <w:rFonts w:ascii="Times New Roman" w:hAnsi="Times New Roman" w:cs="Times New Roman"/>
          <w:lang w:val="en-US"/>
        </w:rPr>
        <w:t>They</w:t>
      </w:r>
      <w:r w:rsidR="00B152C7" w:rsidRPr="000D3040">
        <w:rPr>
          <w:rFonts w:ascii="Times New Roman" w:hAnsi="Times New Roman" w:cs="Times New Roman"/>
          <w:lang w:val="en-US"/>
        </w:rPr>
        <w:t xml:space="preserve"> </w:t>
      </w:r>
      <w:r w:rsidR="00B1781B" w:rsidRPr="000D3040">
        <w:rPr>
          <w:rFonts w:ascii="Times New Roman" w:hAnsi="Times New Roman" w:cs="Times New Roman"/>
          <w:lang w:val="en-US"/>
        </w:rPr>
        <w:t>make room for the</w:t>
      </w:r>
      <w:r w:rsidR="006F3424">
        <w:rPr>
          <w:rFonts w:ascii="Times New Roman" w:hAnsi="Times New Roman" w:cs="Times New Roman"/>
          <w:lang w:val="en-US"/>
        </w:rPr>
        <w:t xml:space="preserve"> perspective of the person with dementia</w:t>
      </w:r>
      <w:r w:rsidR="00B1781B" w:rsidRPr="000D3040">
        <w:rPr>
          <w:rFonts w:ascii="Times New Roman" w:hAnsi="Times New Roman" w:cs="Times New Roman"/>
          <w:lang w:val="en-US"/>
        </w:rPr>
        <w:t>, while avoiding the ‘othering’ process.</w:t>
      </w:r>
    </w:p>
    <w:p w14:paraId="7705401E" w14:textId="77777777" w:rsidR="0032165D" w:rsidRDefault="0032165D" w:rsidP="00D570A8">
      <w:pPr>
        <w:pStyle w:val="NoSpacing"/>
        <w:spacing w:line="480" w:lineRule="auto"/>
        <w:jc w:val="both"/>
        <w:rPr>
          <w:rFonts w:ascii="Times New Roman" w:hAnsi="Times New Roman" w:cs="Times New Roman"/>
          <w:caps/>
          <w:lang w:val="en-US"/>
        </w:rPr>
      </w:pPr>
    </w:p>
    <w:p w14:paraId="59F424B3" w14:textId="77777777" w:rsidR="00BF3139" w:rsidRPr="00795E6D" w:rsidRDefault="00673CFD" w:rsidP="000E6DF0">
      <w:pPr>
        <w:pStyle w:val="NoSpacing"/>
        <w:spacing w:line="480" w:lineRule="auto"/>
        <w:jc w:val="center"/>
        <w:rPr>
          <w:rFonts w:ascii="Times New Roman" w:hAnsi="Times New Roman" w:cs="Times New Roman"/>
          <w:caps/>
          <w:lang w:val="en-US"/>
        </w:rPr>
      </w:pPr>
      <w:r w:rsidRPr="00795E6D">
        <w:rPr>
          <w:rFonts w:ascii="Times New Roman" w:hAnsi="Times New Roman" w:cs="Times New Roman"/>
          <w:caps/>
          <w:lang w:val="en-US"/>
        </w:rPr>
        <w:t xml:space="preserve">VI. </w:t>
      </w:r>
      <w:r w:rsidR="00DC6514" w:rsidRPr="00795E6D">
        <w:rPr>
          <w:rFonts w:ascii="Times New Roman" w:hAnsi="Times New Roman" w:cs="Times New Roman"/>
          <w:caps/>
          <w:lang w:val="en-US"/>
        </w:rPr>
        <w:t>Difficulties with this</w:t>
      </w:r>
      <w:r w:rsidR="000E6DF0" w:rsidRPr="00795E6D">
        <w:rPr>
          <w:rFonts w:ascii="Times New Roman" w:hAnsi="Times New Roman" w:cs="Times New Roman"/>
          <w:caps/>
          <w:lang w:val="en-US"/>
        </w:rPr>
        <w:t xml:space="preserve"> Approach</w:t>
      </w:r>
      <w:r w:rsidR="006F3424">
        <w:rPr>
          <w:rFonts w:ascii="Times New Roman" w:hAnsi="Times New Roman" w:cs="Times New Roman"/>
          <w:caps/>
          <w:lang w:val="en-US"/>
        </w:rPr>
        <w:t>.</w:t>
      </w:r>
    </w:p>
    <w:p w14:paraId="0630C18B" w14:textId="5E161A55" w:rsidR="005C0287" w:rsidRPr="000D3040" w:rsidRDefault="00E25202" w:rsidP="000E6DF0">
      <w:pPr>
        <w:pStyle w:val="NoSpacing"/>
        <w:spacing w:line="480" w:lineRule="auto"/>
        <w:jc w:val="both"/>
        <w:rPr>
          <w:rFonts w:ascii="Times New Roman" w:hAnsi="Times New Roman" w:cs="Times New Roman"/>
          <w:lang w:val="en-US"/>
        </w:rPr>
      </w:pPr>
      <w:r w:rsidRPr="000D3040">
        <w:rPr>
          <w:rFonts w:ascii="Times New Roman" w:hAnsi="Times New Roman" w:cs="Times New Roman"/>
          <w:lang w:val="en-US"/>
        </w:rPr>
        <w:t xml:space="preserve">Adopting </w:t>
      </w:r>
      <w:r w:rsidR="00BA2D1D">
        <w:rPr>
          <w:rFonts w:ascii="Times New Roman" w:hAnsi="Times New Roman" w:cs="Times New Roman"/>
          <w:lang w:val="en-US"/>
        </w:rPr>
        <w:t>an intersubjective</w:t>
      </w:r>
      <w:r w:rsidRPr="000D3040">
        <w:rPr>
          <w:rFonts w:ascii="Times New Roman" w:hAnsi="Times New Roman" w:cs="Times New Roman"/>
          <w:lang w:val="en-US"/>
        </w:rPr>
        <w:t xml:space="preserve"> approach to cases</w:t>
      </w:r>
      <w:r w:rsidR="00227E64">
        <w:rPr>
          <w:rFonts w:ascii="Times New Roman" w:hAnsi="Times New Roman" w:cs="Times New Roman"/>
          <w:lang w:val="en-US"/>
        </w:rPr>
        <w:t xml:space="preserve"> involving persons with</w:t>
      </w:r>
      <w:r w:rsidRPr="000D3040">
        <w:rPr>
          <w:rFonts w:ascii="Times New Roman" w:hAnsi="Times New Roman" w:cs="Times New Roman"/>
          <w:lang w:val="en-US"/>
        </w:rPr>
        <w:t xml:space="preserve"> </w:t>
      </w:r>
      <w:r w:rsidR="00EA21C1">
        <w:rPr>
          <w:rFonts w:ascii="Times New Roman" w:hAnsi="Times New Roman" w:cs="Times New Roman"/>
          <w:lang w:val="en-US"/>
        </w:rPr>
        <w:t xml:space="preserve">dementia </w:t>
      </w:r>
      <w:r w:rsidRPr="000D3040">
        <w:rPr>
          <w:rFonts w:ascii="Times New Roman" w:hAnsi="Times New Roman" w:cs="Times New Roman"/>
          <w:lang w:val="en-US"/>
        </w:rPr>
        <w:t xml:space="preserve">as </w:t>
      </w:r>
      <w:r w:rsidR="00AE7748">
        <w:rPr>
          <w:rFonts w:ascii="Times New Roman" w:hAnsi="Times New Roman" w:cs="Times New Roman"/>
          <w:lang w:val="en-US"/>
        </w:rPr>
        <w:t>has been</w:t>
      </w:r>
      <w:r w:rsidRPr="000D3040">
        <w:rPr>
          <w:rFonts w:ascii="Times New Roman" w:hAnsi="Times New Roman" w:cs="Times New Roman"/>
          <w:lang w:val="en-US"/>
        </w:rPr>
        <w:t xml:space="preserve"> </w:t>
      </w:r>
      <w:r w:rsidR="00043086" w:rsidRPr="000D3040">
        <w:rPr>
          <w:rFonts w:ascii="Times New Roman" w:hAnsi="Times New Roman" w:cs="Times New Roman"/>
          <w:lang w:val="en-US"/>
        </w:rPr>
        <w:t xml:space="preserve">advocated </w:t>
      </w:r>
      <w:r w:rsidR="00EA21C1">
        <w:rPr>
          <w:rFonts w:ascii="Times New Roman" w:hAnsi="Times New Roman" w:cs="Times New Roman"/>
          <w:lang w:val="en-US"/>
        </w:rPr>
        <w:t xml:space="preserve">in this paper </w:t>
      </w:r>
      <w:r w:rsidRPr="000D3040">
        <w:rPr>
          <w:rFonts w:ascii="Times New Roman" w:hAnsi="Times New Roman" w:cs="Times New Roman"/>
          <w:lang w:val="en-US"/>
        </w:rPr>
        <w:t>is not necessarily a panacea</w:t>
      </w:r>
      <w:r w:rsidR="000D041B" w:rsidRPr="000D3040">
        <w:rPr>
          <w:rFonts w:ascii="Times New Roman" w:hAnsi="Times New Roman" w:cs="Times New Roman"/>
          <w:lang w:val="en-US"/>
        </w:rPr>
        <w:t xml:space="preserve">, </w:t>
      </w:r>
      <w:r w:rsidRPr="000D3040">
        <w:rPr>
          <w:rFonts w:ascii="Times New Roman" w:hAnsi="Times New Roman" w:cs="Times New Roman"/>
          <w:lang w:val="en-US"/>
        </w:rPr>
        <w:t>and</w:t>
      </w:r>
      <w:r w:rsidR="000D041B" w:rsidRPr="000D3040">
        <w:rPr>
          <w:rFonts w:ascii="Times New Roman" w:hAnsi="Times New Roman" w:cs="Times New Roman"/>
          <w:lang w:val="en-US"/>
        </w:rPr>
        <w:t xml:space="preserve"> it</w:t>
      </w:r>
      <w:r w:rsidR="00043086" w:rsidRPr="000D3040">
        <w:rPr>
          <w:rFonts w:ascii="Times New Roman" w:hAnsi="Times New Roman" w:cs="Times New Roman"/>
          <w:lang w:val="en-US"/>
        </w:rPr>
        <w:t xml:space="preserve"> is therefore important to </w:t>
      </w:r>
      <w:r w:rsidR="009D48EB" w:rsidRPr="000D3040">
        <w:rPr>
          <w:rFonts w:ascii="Times New Roman" w:hAnsi="Times New Roman" w:cs="Times New Roman"/>
          <w:lang w:val="en-US"/>
        </w:rPr>
        <w:t xml:space="preserve">note some of the potential </w:t>
      </w:r>
      <w:r w:rsidR="00AE7748">
        <w:rPr>
          <w:rFonts w:ascii="Times New Roman" w:hAnsi="Times New Roman" w:cs="Times New Roman"/>
          <w:lang w:val="en-US"/>
        </w:rPr>
        <w:t>difficulties with such</w:t>
      </w:r>
      <w:r w:rsidR="009D48EB" w:rsidRPr="000D3040">
        <w:rPr>
          <w:rFonts w:ascii="Times New Roman" w:hAnsi="Times New Roman" w:cs="Times New Roman"/>
          <w:lang w:val="en-US"/>
        </w:rPr>
        <w:t xml:space="preserve"> an approach.</w:t>
      </w:r>
      <w:r w:rsidR="003C0B95" w:rsidRPr="000D3040">
        <w:rPr>
          <w:rFonts w:ascii="Times New Roman" w:hAnsi="Times New Roman" w:cs="Times New Roman"/>
          <w:lang w:val="en-US"/>
        </w:rPr>
        <w:t xml:space="preserve"> </w:t>
      </w:r>
      <w:r w:rsidR="00B152C7" w:rsidRPr="000D3040">
        <w:rPr>
          <w:rFonts w:ascii="Times New Roman" w:hAnsi="Times New Roman" w:cs="Times New Roman"/>
          <w:lang w:val="en-US"/>
        </w:rPr>
        <w:t>Some may</w:t>
      </w:r>
      <w:r w:rsidR="003C0B95" w:rsidRPr="000D3040">
        <w:rPr>
          <w:rFonts w:ascii="Times New Roman" w:hAnsi="Times New Roman" w:cs="Times New Roman"/>
          <w:lang w:val="en-US"/>
        </w:rPr>
        <w:t xml:space="preserve"> argue that </w:t>
      </w:r>
      <w:r w:rsidR="0062040A">
        <w:rPr>
          <w:rFonts w:ascii="Times New Roman" w:hAnsi="Times New Roman" w:cs="Times New Roman"/>
          <w:lang w:val="en-US"/>
        </w:rPr>
        <w:t>such an</w:t>
      </w:r>
      <w:r w:rsidR="00D0579F" w:rsidRPr="000D3040">
        <w:rPr>
          <w:rFonts w:ascii="Times New Roman" w:hAnsi="Times New Roman" w:cs="Times New Roman"/>
          <w:lang w:val="en-US"/>
        </w:rPr>
        <w:t xml:space="preserve"> approach leaves the individual with dementia at the mercy of potentially abusive relationships either ind</w:t>
      </w:r>
      <w:r w:rsidR="000D041B" w:rsidRPr="000D3040">
        <w:rPr>
          <w:rFonts w:ascii="Times New Roman" w:hAnsi="Times New Roman" w:cs="Times New Roman"/>
          <w:lang w:val="en-US"/>
        </w:rPr>
        <w:t>ividually or in</w:t>
      </w:r>
      <w:r w:rsidR="004C4169" w:rsidRPr="000D3040">
        <w:rPr>
          <w:rFonts w:ascii="Times New Roman" w:hAnsi="Times New Roman" w:cs="Times New Roman"/>
          <w:lang w:val="en-US"/>
        </w:rPr>
        <w:t>stitutionally. As Nedelsky notes</w:t>
      </w:r>
      <w:r w:rsidR="00D03BC3" w:rsidRPr="000D3040">
        <w:rPr>
          <w:rStyle w:val="FootnoteReference"/>
          <w:rFonts w:ascii="Times New Roman" w:hAnsi="Times New Roman" w:cs="Times New Roman"/>
          <w:lang w:val="en-US"/>
        </w:rPr>
        <w:footnoteReference w:id="164"/>
      </w:r>
      <w:r w:rsidR="004C4169" w:rsidRPr="000D3040">
        <w:rPr>
          <w:rFonts w:ascii="Times New Roman" w:hAnsi="Times New Roman" w:cs="Times New Roman"/>
          <w:lang w:val="en-US"/>
        </w:rPr>
        <w:t xml:space="preserve"> however, </w:t>
      </w:r>
      <w:r w:rsidR="0040079A">
        <w:rPr>
          <w:rFonts w:ascii="Times New Roman" w:hAnsi="Times New Roman" w:cs="Times New Roman"/>
          <w:lang w:val="en-US"/>
        </w:rPr>
        <w:t xml:space="preserve">approaches </w:t>
      </w:r>
      <w:r w:rsidR="00213A18" w:rsidRPr="000D3040">
        <w:rPr>
          <w:rFonts w:ascii="Times New Roman" w:hAnsi="Times New Roman" w:cs="Times New Roman"/>
          <w:lang w:val="en-US"/>
        </w:rPr>
        <w:t>that emphasise the importance of</w:t>
      </w:r>
      <w:r w:rsidR="00B1781B" w:rsidRPr="000D3040">
        <w:rPr>
          <w:rFonts w:ascii="Times New Roman" w:hAnsi="Times New Roman" w:cs="Times New Roman"/>
          <w:lang w:val="en-US"/>
        </w:rPr>
        <w:t xml:space="preserve"> exploring</w:t>
      </w:r>
      <w:r w:rsidR="00213A18" w:rsidRPr="000D3040">
        <w:rPr>
          <w:rFonts w:ascii="Times New Roman" w:hAnsi="Times New Roman" w:cs="Times New Roman"/>
          <w:lang w:val="en-US"/>
        </w:rPr>
        <w:t xml:space="preserve"> relationships, </w:t>
      </w:r>
      <w:r w:rsidR="00B1781B" w:rsidRPr="000D3040">
        <w:rPr>
          <w:rFonts w:ascii="Times New Roman" w:hAnsi="Times New Roman" w:cs="Times New Roman"/>
          <w:lang w:val="en-US"/>
        </w:rPr>
        <w:t>such as advocated in this paper, necessarily require attention to detail, and are</w:t>
      </w:r>
      <w:r w:rsidR="00227E64">
        <w:rPr>
          <w:rFonts w:ascii="Times New Roman" w:hAnsi="Times New Roman" w:cs="Times New Roman"/>
          <w:lang w:val="en-US"/>
        </w:rPr>
        <w:t xml:space="preserve"> </w:t>
      </w:r>
      <w:r w:rsidR="00B1781B" w:rsidRPr="000D3040">
        <w:rPr>
          <w:rFonts w:ascii="Times New Roman" w:hAnsi="Times New Roman" w:cs="Times New Roman"/>
          <w:lang w:val="en-US"/>
        </w:rPr>
        <w:t>simply good practice whoever the decision maker is.</w:t>
      </w:r>
      <w:r w:rsidR="00B1781B" w:rsidRPr="000D3040">
        <w:rPr>
          <w:rStyle w:val="FootnoteReference"/>
          <w:rFonts w:ascii="Times New Roman" w:hAnsi="Times New Roman" w:cs="Times New Roman"/>
          <w:lang w:val="en-US"/>
        </w:rPr>
        <w:footnoteReference w:id="165"/>
      </w:r>
      <w:r w:rsidR="004C4169" w:rsidRPr="000D3040">
        <w:rPr>
          <w:rFonts w:ascii="Times New Roman" w:hAnsi="Times New Roman" w:cs="Times New Roman"/>
          <w:lang w:val="en-US"/>
        </w:rPr>
        <w:t xml:space="preserve"> </w:t>
      </w:r>
      <w:r w:rsidR="000D041B" w:rsidRPr="000D3040">
        <w:rPr>
          <w:rFonts w:ascii="Times New Roman" w:hAnsi="Times New Roman" w:cs="Times New Roman"/>
          <w:lang w:val="en-US"/>
        </w:rPr>
        <w:t xml:space="preserve"> </w:t>
      </w:r>
      <w:r w:rsidR="00213A18" w:rsidRPr="000D3040">
        <w:rPr>
          <w:rFonts w:ascii="Times New Roman" w:hAnsi="Times New Roman" w:cs="Times New Roman"/>
          <w:lang w:val="en-US"/>
        </w:rPr>
        <w:t>We</w:t>
      </w:r>
      <w:r w:rsidR="00D0579F" w:rsidRPr="000D3040">
        <w:rPr>
          <w:rFonts w:ascii="Times New Roman" w:hAnsi="Times New Roman" w:cs="Times New Roman"/>
          <w:lang w:val="en-US"/>
        </w:rPr>
        <w:t xml:space="preserve"> </w:t>
      </w:r>
      <w:r w:rsidR="000D041B" w:rsidRPr="000D3040">
        <w:rPr>
          <w:rFonts w:ascii="Times New Roman" w:hAnsi="Times New Roman" w:cs="Times New Roman"/>
          <w:lang w:val="en-US"/>
        </w:rPr>
        <w:t>must have confidence</w:t>
      </w:r>
      <w:r w:rsidR="00D0579F" w:rsidRPr="000D3040">
        <w:rPr>
          <w:rFonts w:ascii="Times New Roman" w:hAnsi="Times New Roman" w:cs="Times New Roman"/>
          <w:lang w:val="en-US"/>
        </w:rPr>
        <w:t xml:space="preserve"> that </w:t>
      </w:r>
      <w:r w:rsidR="000D041B" w:rsidRPr="000D3040">
        <w:rPr>
          <w:rFonts w:ascii="Times New Roman" w:hAnsi="Times New Roman" w:cs="Times New Roman"/>
          <w:lang w:val="en-US"/>
        </w:rPr>
        <w:t xml:space="preserve">such detail </w:t>
      </w:r>
      <w:r w:rsidR="00D0579F" w:rsidRPr="000D3040">
        <w:rPr>
          <w:rFonts w:ascii="Times New Roman" w:hAnsi="Times New Roman" w:cs="Times New Roman"/>
          <w:lang w:val="en-US"/>
        </w:rPr>
        <w:t xml:space="preserve">would </w:t>
      </w:r>
      <w:r w:rsidR="000D041B" w:rsidRPr="000D3040">
        <w:rPr>
          <w:rFonts w:ascii="Times New Roman" w:hAnsi="Times New Roman" w:cs="Times New Roman"/>
          <w:lang w:val="en-US"/>
        </w:rPr>
        <w:t>highlight</w:t>
      </w:r>
      <w:r w:rsidR="00D0579F" w:rsidRPr="000D3040">
        <w:rPr>
          <w:rFonts w:ascii="Times New Roman" w:hAnsi="Times New Roman" w:cs="Times New Roman"/>
          <w:lang w:val="en-US"/>
        </w:rPr>
        <w:t xml:space="preserve"> potentially abusive relationships to the Court as it has done in other cases</w:t>
      </w:r>
      <w:r w:rsidR="004C4169" w:rsidRPr="000D3040">
        <w:rPr>
          <w:rFonts w:ascii="Times New Roman" w:hAnsi="Times New Roman" w:cs="Times New Roman"/>
          <w:lang w:val="en-US"/>
        </w:rPr>
        <w:t>.</w:t>
      </w:r>
      <w:r w:rsidR="00D0579F" w:rsidRPr="000D3040">
        <w:rPr>
          <w:rStyle w:val="FootnoteReference"/>
          <w:rFonts w:ascii="Times New Roman" w:hAnsi="Times New Roman" w:cs="Times New Roman"/>
          <w:lang w:val="en-US"/>
        </w:rPr>
        <w:footnoteReference w:id="166"/>
      </w:r>
      <w:r w:rsidR="004C4169" w:rsidRPr="000D3040">
        <w:rPr>
          <w:rFonts w:ascii="Times New Roman" w:hAnsi="Times New Roman" w:cs="Times New Roman"/>
          <w:lang w:val="en-US"/>
        </w:rPr>
        <w:t xml:space="preserve">  S</w:t>
      </w:r>
      <w:r w:rsidR="00D0579F" w:rsidRPr="000D3040">
        <w:rPr>
          <w:rFonts w:ascii="Times New Roman" w:hAnsi="Times New Roman" w:cs="Times New Roman"/>
          <w:lang w:val="en-US"/>
        </w:rPr>
        <w:t xml:space="preserve">imilarly, by </w:t>
      </w:r>
      <w:r w:rsidR="00B1781B" w:rsidRPr="000D3040">
        <w:rPr>
          <w:rFonts w:ascii="Times New Roman" w:hAnsi="Times New Roman" w:cs="Times New Roman"/>
          <w:lang w:val="en-US"/>
        </w:rPr>
        <w:t>undertaking this level of detail</w:t>
      </w:r>
      <w:r w:rsidR="006F3424">
        <w:rPr>
          <w:rFonts w:ascii="Times New Roman" w:hAnsi="Times New Roman" w:cs="Times New Roman"/>
          <w:lang w:val="en-US"/>
        </w:rPr>
        <w:t xml:space="preserve">, </w:t>
      </w:r>
      <w:r w:rsidR="000D041B" w:rsidRPr="000D3040">
        <w:rPr>
          <w:rFonts w:ascii="Times New Roman" w:hAnsi="Times New Roman" w:cs="Times New Roman"/>
          <w:lang w:val="en-US"/>
        </w:rPr>
        <w:t>the Court</w:t>
      </w:r>
      <w:r w:rsidR="00D0579F" w:rsidRPr="000D3040">
        <w:rPr>
          <w:rFonts w:ascii="Times New Roman" w:hAnsi="Times New Roman" w:cs="Times New Roman"/>
          <w:lang w:val="en-US"/>
        </w:rPr>
        <w:t xml:space="preserve"> will be more transparent as to those relationships</w:t>
      </w:r>
      <w:r w:rsidR="000D041B" w:rsidRPr="000D3040">
        <w:rPr>
          <w:rFonts w:ascii="Times New Roman" w:hAnsi="Times New Roman" w:cs="Times New Roman"/>
          <w:lang w:val="en-US"/>
        </w:rPr>
        <w:t xml:space="preserve"> </w:t>
      </w:r>
      <w:r w:rsidR="00227E64">
        <w:rPr>
          <w:rFonts w:ascii="Times New Roman" w:hAnsi="Times New Roman" w:cs="Times New Roman"/>
          <w:lang w:val="en-US"/>
        </w:rPr>
        <w:t xml:space="preserve">that are </w:t>
      </w:r>
      <w:r w:rsidR="000D041B" w:rsidRPr="000D3040">
        <w:rPr>
          <w:rFonts w:ascii="Times New Roman" w:hAnsi="Times New Roman" w:cs="Times New Roman"/>
          <w:lang w:val="en-US"/>
        </w:rPr>
        <w:t>beneficial for the</w:t>
      </w:r>
      <w:r w:rsidR="00213A18" w:rsidRPr="000D3040">
        <w:rPr>
          <w:rFonts w:ascii="Times New Roman" w:hAnsi="Times New Roman" w:cs="Times New Roman"/>
          <w:lang w:val="en-US"/>
        </w:rPr>
        <w:t xml:space="preserve"> wellbeing of the</w:t>
      </w:r>
      <w:r w:rsidR="000D041B" w:rsidRPr="000D3040">
        <w:rPr>
          <w:rFonts w:ascii="Times New Roman" w:hAnsi="Times New Roman" w:cs="Times New Roman"/>
          <w:lang w:val="en-US"/>
        </w:rPr>
        <w:t xml:space="preserve"> person with dementia</w:t>
      </w:r>
      <w:r w:rsidR="00213A18" w:rsidRPr="000D3040">
        <w:rPr>
          <w:rFonts w:ascii="Times New Roman" w:hAnsi="Times New Roman" w:cs="Times New Roman"/>
          <w:lang w:val="en-US"/>
        </w:rPr>
        <w:t xml:space="preserve"> </w:t>
      </w:r>
      <w:r w:rsidR="00213A18" w:rsidRPr="00D570A8">
        <w:rPr>
          <w:rFonts w:ascii="Times New Roman" w:hAnsi="Times New Roman" w:cs="Times New Roman"/>
          <w:lang w:val="en-US"/>
        </w:rPr>
        <w:t>overall</w:t>
      </w:r>
      <w:r w:rsidR="00213A18" w:rsidRPr="000D3040">
        <w:rPr>
          <w:rFonts w:ascii="Times New Roman" w:hAnsi="Times New Roman" w:cs="Times New Roman"/>
          <w:i/>
          <w:lang w:val="en-US"/>
        </w:rPr>
        <w:t xml:space="preserve">, </w:t>
      </w:r>
      <w:r w:rsidR="00213A18" w:rsidRPr="000D3040">
        <w:rPr>
          <w:rFonts w:ascii="Times New Roman" w:hAnsi="Times New Roman" w:cs="Times New Roman"/>
          <w:lang w:val="en-US"/>
        </w:rPr>
        <w:lastRenderedPageBreak/>
        <w:t>even if</w:t>
      </w:r>
      <w:r w:rsidR="003D23ED" w:rsidRPr="000D3040">
        <w:rPr>
          <w:rFonts w:ascii="Times New Roman" w:hAnsi="Times New Roman" w:cs="Times New Roman"/>
          <w:lang w:val="en-US"/>
        </w:rPr>
        <w:t xml:space="preserve"> the</w:t>
      </w:r>
      <w:r w:rsidR="00213A18" w:rsidRPr="000D3040">
        <w:rPr>
          <w:rFonts w:ascii="Times New Roman" w:hAnsi="Times New Roman" w:cs="Times New Roman"/>
          <w:lang w:val="en-US"/>
        </w:rPr>
        <w:t xml:space="preserve"> relationship</w:t>
      </w:r>
      <w:r w:rsidR="003D23ED" w:rsidRPr="000D3040">
        <w:rPr>
          <w:rFonts w:ascii="Times New Roman" w:hAnsi="Times New Roman" w:cs="Times New Roman"/>
          <w:lang w:val="en-US"/>
        </w:rPr>
        <w:t xml:space="preserve"> may be detrimental on some counts</w:t>
      </w:r>
      <w:r w:rsidR="00EA21C1">
        <w:rPr>
          <w:rFonts w:ascii="Times New Roman" w:hAnsi="Times New Roman" w:cs="Times New Roman"/>
          <w:lang w:val="en-US"/>
        </w:rPr>
        <w:t xml:space="preserve"> – and example of which is</w:t>
      </w:r>
      <w:r w:rsidR="008871CE">
        <w:rPr>
          <w:rFonts w:ascii="Times New Roman" w:hAnsi="Times New Roman" w:cs="Times New Roman"/>
          <w:lang w:val="en-US"/>
        </w:rPr>
        <w:t xml:space="preserve"> </w:t>
      </w:r>
      <w:r w:rsidR="00227E64" w:rsidRPr="00227E64">
        <w:rPr>
          <w:rFonts w:ascii="Times New Roman" w:hAnsi="Times New Roman" w:cs="Times New Roman"/>
          <w:i/>
          <w:lang w:val="en-US"/>
        </w:rPr>
        <w:t>Re MM</w:t>
      </w:r>
      <w:r w:rsidR="00EA21C1">
        <w:rPr>
          <w:rFonts w:ascii="Times New Roman" w:hAnsi="Times New Roman" w:cs="Times New Roman"/>
          <w:i/>
          <w:lang w:val="en-US"/>
        </w:rPr>
        <w:t>.</w:t>
      </w:r>
      <w:r w:rsidR="00227E64">
        <w:rPr>
          <w:rStyle w:val="FootnoteReference"/>
          <w:rFonts w:ascii="Times New Roman" w:hAnsi="Times New Roman" w:cs="Times New Roman"/>
          <w:i/>
          <w:lang w:val="en-US"/>
        </w:rPr>
        <w:footnoteReference w:id="167"/>
      </w:r>
      <w:r w:rsidR="00EA21C1">
        <w:rPr>
          <w:rFonts w:ascii="Times New Roman" w:hAnsi="Times New Roman" w:cs="Times New Roman"/>
          <w:lang w:val="en-US"/>
        </w:rPr>
        <w:t xml:space="preserve"> Th</w:t>
      </w:r>
      <w:r w:rsidR="00F66CD8">
        <w:rPr>
          <w:rFonts w:ascii="Times New Roman" w:hAnsi="Times New Roman" w:cs="Times New Roman"/>
          <w:lang w:val="en-US"/>
        </w:rPr>
        <w:t>i</w:t>
      </w:r>
      <w:r w:rsidR="00EA21C1">
        <w:rPr>
          <w:rFonts w:ascii="Times New Roman" w:hAnsi="Times New Roman" w:cs="Times New Roman"/>
          <w:lang w:val="en-US"/>
        </w:rPr>
        <w:t xml:space="preserve">s case </w:t>
      </w:r>
      <w:r w:rsidR="008871CE">
        <w:rPr>
          <w:rFonts w:ascii="Times New Roman" w:hAnsi="Times New Roman" w:cs="Times New Roman"/>
          <w:lang w:val="en-US"/>
        </w:rPr>
        <w:t>concerned</w:t>
      </w:r>
      <w:r w:rsidR="00227E64" w:rsidRPr="00227E64">
        <w:rPr>
          <w:rFonts w:ascii="Times New Roman" w:hAnsi="Times New Roman" w:cs="Times New Roman"/>
          <w:lang w:val="en-US"/>
        </w:rPr>
        <w:t xml:space="preserve"> the suspension of contact between MM, an 80-</w:t>
      </w:r>
      <w:r w:rsidR="00227E64">
        <w:rPr>
          <w:rFonts w:ascii="Times New Roman" w:hAnsi="Times New Roman" w:cs="Times New Roman"/>
          <w:lang w:val="en-US"/>
        </w:rPr>
        <w:t>year-old woman</w:t>
      </w:r>
      <w:r w:rsidR="00227E64" w:rsidRPr="00227E64">
        <w:rPr>
          <w:rFonts w:ascii="Times New Roman" w:hAnsi="Times New Roman" w:cs="Times New Roman"/>
          <w:lang w:val="en-US"/>
        </w:rPr>
        <w:t xml:space="preserve"> with dementia residing in a care home, and RS, her close friend</w:t>
      </w:r>
      <w:r w:rsidR="00227E64">
        <w:rPr>
          <w:rFonts w:ascii="Times New Roman" w:hAnsi="Times New Roman" w:cs="Times New Roman"/>
          <w:lang w:val="en-US"/>
        </w:rPr>
        <w:t xml:space="preserve">. Contact had been suspended following a misinterpretation of the Mental Capacity Act by the care home in which she was residing, who believed that it was for MM’s next of kin – her daughters – to make best interests decisions on their mother’s behalf if she lacked capacity. </w:t>
      </w:r>
      <w:r w:rsidR="008871CE">
        <w:rPr>
          <w:rFonts w:ascii="Times New Roman" w:hAnsi="Times New Roman" w:cs="Times New Roman"/>
          <w:lang w:val="en-US"/>
        </w:rPr>
        <w:t xml:space="preserve">MM’s daughters then initiated the suspension of contact between MM and RS. This </w:t>
      </w:r>
      <w:r w:rsidR="00227E64">
        <w:rPr>
          <w:rFonts w:ascii="Times New Roman" w:hAnsi="Times New Roman" w:cs="Times New Roman"/>
          <w:lang w:val="en-US"/>
        </w:rPr>
        <w:t>was</w:t>
      </w:r>
      <w:r w:rsidR="008871CE">
        <w:rPr>
          <w:rFonts w:ascii="Times New Roman" w:hAnsi="Times New Roman" w:cs="Times New Roman"/>
          <w:lang w:val="en-US"/>
        </w:rPr>
        <w:t xml:space="preserve"> held to be a violation of the RS</w:t>
      </w:r>
      <w:r w:rsidR="00227E64">
        <w:rPr>
          <w:rFonts w:ascii="Times New Roman" w:hAnsi="Times New Roman" w:cs="Times New Roman"/>
          <w:lang w:val="en-US"/>
        </w:rPr>
        <w:t>’s Article 8 rights, and that</w:t>
      </w:r>
      <w:r w:rsidR="00EA21C1">
        <w:rPr>
          <w:rFonts w:ascii="Times New Roman" w:hAnsi="Times New Roman" w:cs="Times New Roman"/>
          <w:lang w:val="en-US"/>
        </w:rPr>
        <w:t>, notwithstanding the fact that there were some concerns over RS’ aggressive behavio</w:t>
      </w:r>
      <w:r w:rsidR="00AB16F8">
        <w:rPr>
          <w:rFonts w:ascii="Times New Roman" w:hAnsi="Times New Roman" w:cs="Times New Roman"/>
          <w:lang w:val="en-US"/>
        </w:rPr>
        <w:t>u</w:t>
      </w:r>
      <w:r w:rsidR="00EA21C1">
        <w:rPr>
          <w:rFonts w:ascii="Times New Roman" w:hAnsi="Times New Roman" w:cs="Times New Roman"/>
          <w:lang w:val="en-US"/>
        </w:rPr>
        <w:t xml:space="preserve">r around MM, that </w:t>
      </w:r>
      <w:r w:rsidR="00227E64">
        <w:rPr>
          <w:rFonts w:ascii="Times New Roman" w:hAnsi="Times New Roman" w:cs="Times New Roman"/>
          <w:lang w:val="en-US"/>
        </w:rPr>
        <w:t xml:space="preserve">contact should be reinstated given MM’s </w:t>
      </w:r>
      <w:r w:rsidR="008871CE">
        <w:rPr>
          <w:rFonts w:ascii="Times New Roman" w:hAnsi="Times New Roman" w:cs="Times New Roman"/>
          <w:lang w:val="en-US"/>
        </w:rPr>
        <w:t>demonstrable</w:t>
      </w:r>
      <w:r w:rsidR="00227E64">
        <w:rPr>
          <w:rFonts w:ascii="Times New Roman" w:hAnsi="Times New Roman" w:cs="Times New Roman"/>
          <w:lang w:val="en-US"/>
        </w:rPr>
        <w:t xml:space="preserve"> </w:t>
      </w:r>
      <w:r w:rsidR="008871CE">
        <w:rPr>
          <w:rFonts w:ascii="Times New Roman" w:hAnsi="Times New Roman" w:cs="Times New Roman"/>
          <w:lang w:val="en-US"/>
        </w:rPr>
        <w:t>happiness</w:t>
      </w:r>
      <w:r w:rsidR="00227E64">
        <w:rPr>
          <w:rFonts w:ascii="Times New Roman" w:hAnsi="Times New Roman" w:cs="Times New Roman"/>
          <w:lang w:val="en-US"/>
        </w:rPr>
        <w:t xml:space="preserve"> when seeing RS</w:t>
      </w:r>
      <w:r w:rsidR="008871CE">
        <w:rPr>
          <w:rFonts w:ascii="Times New Roman" w:hAnsi="Times New Roman" w:cs="Times New Roman"/>
          <w:lang w:val="en-US"/>
        </w:rPr>
        <w:t>:</w:t>
      </w:r>
    </w:p>
    <w:p w14:paraId="177DB529" w14:textId="287D92B1" w:rsidR="005C0287" w:rsidRPr="000D3040" w:rsidRDefault="008871CE" w:rsidP="008871CE">
      <w:pPr>
        <w:pStyle w:val="NoSpacing"/>
        <w:spacing w:line="480" w:lineRule="auto"/>
        <w:ind w:left="540" w:right="538"/>
        <w:jc w:val="both"/>
        <w:rPr>
          <w:rFonts w:ascii="Times New Roman" w:hAnsi="Times New Roman" w:cs="Times New Roman"/>
          <w:lang w:val="en-US"/>
        </w:rPr>
      </w:pPr>
      <w:r>
        <w:rPr>
          <w:rFonts w:ascii="Times New Roman" w:hAnsi="Times New Roman" w:cs="Times New Roman"/>
          <w:lang w:val="en-US"/>
        </w:rPr>
        <w:t>“As soon as she saw RS face her face lit up in a smile. She called him by nam</w:t>
      </w:r>
      <w:r w:rsidR="00EE1B35">
        <w:rPr>
          <w:rFonts w:ascii="Times New Roman" w:hAnsi="Times New Roman" w:cs="Times New Roman"/>
          <w:lang w:val="en-US"/>
        </w:rPr>
        <w:t>e and when asked if she recognis</w:t>
      </w:r>
      <w:r>
        <w:rPr>
          <w:rFonts w:ascii="Times New Roman" w:hAnsi="Times New Roman" w:cs="Times New Roman"/>
          <w:lang w:val="en-US"/>
        </w:rPr>
        <w:t>ed him she commented I knew him as soon as I saw him. She held his hand firmly and asked what he has been doing with himself…MM interacted extremely well with RS.”</w:t>
      </w:r>
      <w:r>
        <w:rPr>
          <w:rStyle w:val="FootnoteReference"/>
          <w:rFonts w:ascii="Times New Roman" w:hAnsi="Times New Roman" w:cs="Times New Roman"/>
          <w:lang w:val="en-US"/>
        </w:rPr>
        <w:footnoteReference w:id="168"/>
      </w:r>
    </w:p>
    <w:p w14:paraId="2DFEB206" w14:textId="77777777" w:rsidR="00CC4E9D" w:rsidRDefault="00CC4E9D" w:rsidP="000E6DF0">
      <w:pPr>
        <w:pStyle w:val="NoSpacing"/>
        <w:spacing w:line="480" w:lineRule="auto"/>
        <w:jc w:val="both"/>
        <w:rPr>
          <w:rFonts w:ascii="Times New Roman" w:hAnsi="Times New Roman" w:cs="Times New Roman"/>
          <w:lang w:val="en-US"/>
        </w:rPr>
      </w:pPr>
    </w:p>
    <w:p w14:paraId="344513D8" w14:textId="439CD8D7" w:rsidR="00AE2531" w:rsidRPr="00795E6D" w:rsidRDefault="00AE7748" w:rsidP="000E6DF0">
      <w:pPr>
        <w:pStyle w:val="NoSpacing"/>
        <w:spacing w:line="480" w:lineRule="auto"/>
        <w:jc w:val="both"/>
        <w:rPr>
          <w:rFonts w:ascii="Times New Roman" w:hAnsi="Times New Roman" w:cs="Times New Roman"/>
          <w:lang w:val="en-US"/>
        </w:rPr>
      </w:pPr>
      <w:r>
        <w:rPr>
          <w:rFonts w:ascii="Times New Roman" w:hAnsi="Times New Roman" w:cs="Times New Roman"/>
          <w:lang w:val="en-US"/>
        </w:rPr>
        <w:t xml:space="preserve">Neither must we be quixotic about the </w:t>
      </w:r>
      <w:r w:rsidR="00E772F5">
        <w:rPr>
          <w:rFonts w:ascii="Times New Roman" w:hAnsi="Times New Roman" w:cs="Times New Roman"/>
          <w:lang w:val="en-US"/>
        </w:rPr>
        <w:t>practicalities of</w:t>
      </w:r>
      <w:r>
        <w:rPr>
          <w:rFonts w:ascii="Times New Roman" w:hAnsi="Times New Roman" w:cs="Times New Roman"/>
          <w:lang w:val="en-US"/>
        </w:rPr>
        <w:t xml:space="preserve"> such an approach</w:t>
      </w:r>
      <w:r w:rsidR="00CC4E9D">
        <w:rPr>
          <w:rFonts w:ascii="Times New Roman" w:hAnsi="Times New Roman" w:cs="Times New Roman"/>
          <w:lang w:val="en-US"/>
        </w:rPr>
        <w:t xml:space="preserve"> in terms of the ultimate decision that </w:t>
      </w:r>
      <w:r w:rsidR="00CC4E9D">
        <w:rPr>
          <w:rFonts w:ascii="Times New Roman" w:hAnsi="Times New Roman" w:cs="Times New Roman"/>
          <w:i/>
          <w:lang w:val="en-US"/>
        </w:rPr>
        <w:t xml:space="preserve">can </w:t>
      </w:r>
      <w:r w:rsidR="00CC4E9D">
        <w:rPr>
          <w:rFonts w:ascii="Times New Roman" w:hAnsi="Times New Roman" w:cs="Times New Roman"/>
          <w:lang w:val="en-US"/>
        </w:rPr>
        <w:t>be made</w:t>
      </w:r>
      <w:r w:rsidR="00BA2D1D">
        <w:rPr>
          <w:rFonts w:ascii="Times New Roman" w:hAnsi="Times New Roman" w:cs="Times New Roman"/>
          <w:lang w:val="en-US"/>
        </w:rPr>
        <w:t xml:space="preserve"> in light of the</w:t>
      </w:r>
      <w:r w:rsidR="00B73DDF" w:rsidRPr="000D3040">
        <w:rPr>
          <w:rFonts w:ascii="Times New Roman" w:hAnsi="Times New Roman" w:cs="Times New Roman"/>
          <w:lang w:val="en-US"/>
        </w:rPr>
        <w:t xml:space="preserve"> inc</w:t>
      </w:r>
      <w:r w:rsidR="0040079A">
        <w:rPr>
          <w:rFonts w:ascii="Times New Roman" w:hAnsi="Times New Roman" w:cs="Times New Roman"/>
          <w:lang w:val="en-US"/>
        </w:rPr>
        <w:t xml:space="preserve">reasingly contentious </w:t>
      </w:r>
      <w:r w:rsidR="00BA2D1D">
        <w:rPr>
          <w:rFonts w:ascii="Times New Roman" w:hAnsi="Times New Roman" w:cs="Times New Roman"/>
          <w:lang w:val="en-US"/>
        </w:rPr>
        <w:t xml:space="preserve">issue </w:t>
      </w:r>
      <w:r w:rsidR="00B73DDF" w:rsidRPr="000D3040">
        <w:rPr>
          <w:rFonts w:ascii="Times New Roman" w:hAnsi="Times New Roman" w:cs="Times New Roman"/>
          <w:lang w:val="en-US"/>
        </w:rPr>
        <w:t xml:space="preserve">of </w:t>
      </w:r>
      <w:r w:rsidR="00BA2D1D">
        <w:rPr>
          <w:rFonts w:ascii="Times New Roman" w:hAnsi="Times New Roman" w:cs="Times New Roman"/>
          <w:lang w:val="en-US"/>
        </w:rPr>
        <w:t xml:space="preserve">local authority </w:t>
      </w:r>
      <w:r w:rsidR="00B73DDF" w:rsidRPr="000D3040">
        <w:rPr>
          <w:rFonts w:ascii="Times New Roman" w:hAnsi="Times New Roman" w:cs="Times New Roman"/>
          <w:lang w:val="en-US"/>
        </w:rPr>
        <w:t xml:space="preserve">resources. The Court of Appeal </w:t>
      </w:r>
      <w:r w:rsidR="000D041B" w:rsidRPr="000D3040">
        <w:rPr>
          <w:rFonts w:ascii="Times New Roman" w:hAnsi="Times New Roman" w:cs="Times New Roman"/>
          <w:lang w:val="en-US"/>
        </w:rPr>
        <w:t xml:space="preserve">in </w:t>
      </w:r>
      <w:r w:rsidR="000D041B" w:rsidRPr="000D3040">
        <w:rPr>
          <w:rFonts w:ascii="Times New Roman" w:hAnsi="Times New Roman" w:cs="Times New Roman"/>
          <w:i/>
          <w:lang w:val="en-US"/>
        </w:rPr>
        <w:t>Re MN</w:t>
      </w:r>
      <w:r w:rsidR="008423A7" w:rsidRPr="006F3424">
        <w:rPr>
          <w:rStyle w:val="FootnoteReference"/>
          <w:rFonts w:ascii="Times New Roman" w:hAnsi="Times New Roman" w:cs="Times New Roman"/>
          <w:lang w:val="en-US"/>
        </w:rPr>
        <w:footnoteReference w:id="169"/>
      </w:r>
      <w:r w:rsidR="008423A7" w:rsidRPr="000D3040">
        <w:rPr>
          <w:rFonts w:ascii="Times New Roman" w:hAnsi="Times New Roman" w:cs="Times New Roman"/>
          <w:i/>
          <w:lang w:val="en-US"/>
        </w:rPr>
        <w:t xml:space="preserve"> </w:t>
      </w:r>
      <w:r w:rsidR="00B73DDF" w:rsidRPr="000D3040">
        <w:rPr>
          <w:rFonts w:ascii="Times New Roman" w:hAnsi="Times New Roman" w:cs="Times New Roman"/>
          <w:lang w:val="en-US"/>
        </w:rPr>
        <w:t xml:space="preserve">recently affirmed that the </w:t>
      </w:r>
      <w:r w:rsidR="00B73DDF" w:rsidRPr="000D3040">
        <w:rPr>
          <w:rFonts w:ascii="Times New Roman" w:hAnsi="Times New Roman" w:cs="Times New Roman"/>
          <w:kern w:val="1"/>
        </w:rPr>
        <w:t>Court of Protection ‘…has no more power, just because it is acting on behalf of an adult who lacks capacity, to obtain resources or facilities from a third party…than the adult if he had capacity would be able to obtain himself</w:t>
      </w:r>
      <w:r w:rsidR="006011F7">
        <w:rPr>
          <w:rFonts w:ascii="Times New Roman" w:hAnsi="Times New Roman" w:cs="Times New Roman"/>
          <w:kern w:val="1"/>
        </w:rPr>
        <w:t>.</w:t>
      </w:r>
      <w:r w:rsidR="00B73DDF" w:rsidRPr="000D3040">
        <w:rPr>
          <w:rFonts w:ascii="Times New Roman" w:hAnsi="Times New Roman" w:cs="Times New Roman"/>
          <w:kern w:val="1"/>
        </w:rPr>
        <w:t>’</w:t>
      </w:r>
      <w:r w:rsidR="00B73DDF" w:rsidRPr="000D3040">
        <w:rPr>
          <w:rStyle w:val="FootnoteReference"/>
          <w:rFonts w:ascii="Times New Roman" w:hAnsi="Times New Roman" w:cs="Times New Roman"/>
          <w:kern w:val="1"/>
        </w:rPr>
        <w:footnoteReference w:id="170"/>
      </w:r>
      <w:r w:rsidR="006011F7">
        <w:rPr>
          <w:rFonts w:ascii="Times New Roman" w:hAnsi="Times New Roman" w:cs="Times New Roman"/>
          <w:kern w:val="1"/>
        </w:rPr>
        <w:t xml:space="preserve"> In effect, best interests is confined to the options in front of the Court, and the Court cannot direct a local authority to provide </w:t>
      </w:r>
      <w:r w:rsidR="009D0FD1">
        <w:rPr>
          <w:rFonts w:ascii="Times New Roman" w:hAnsi="Times New Roman" w:cs="Times New Roman"/>
          <w:kern w:val="1"/>
        </w:rPr>
        <w:t>a</w:t>
      </w:r>
      <w:r w:rsidR="006011F7">
        <w:rPr>
          <w:rFonts w:ascii="Times New Roman" w:hAnsi="Times New Roman" w:cs="Times New Roman"/>
          <w:kern w:val="1"/>
        </w:rPr>
        <w:t xml:space="preserve"> particular care plan</w:t>
      </w:r>
      <w:r w:rsidR="009D0FD1">
        <w:rPr>
          <w:rFonts w:ascii="Times New Roman" w:hAnsi="Times New Roman" w:cs="Times New Roman"/>
          <w:kern w:val="1"/>
        </w:rPr>
        <w:t xml:space="preserve"> unless it is already an option before the Court</w:t>
      </w:r>
      <w:r w:rsidR="006011F7">
        <w:rPr>
          <w:rFonts w:ascii="Times New Roman" w:hAnsi="Times New Roman" w:cs="Times New Roman"/>
          <w:kern w:val="1"/>
        </w:rPr>
        <w:t>.</w:t>
      </w:r>
      <w:r w:rsidR="009B2BCB" w:rsidRPr="000D3040">
        <w:rPr>
          <w:rFonts w:ascii="Times New Roman" w:hAnsi="Times New Roman" w:cs="Times New Roman"/>
          <w:kern w:val="1"/>
        </w:rPr>
        <w:t xml:space="preserve"> </w:t>
      </w:r>
      <w:r w:rsidR="00CC4E9D">
        <w:rPr>
          <w:rFonts w:ascii="Times New Roman" w:hAnsi="Times New Roman" w:cs="Times New Roman"/>
          <w:kern w:val="1"/>
        </w:rPr>
        <w:t>The</w:t>
      </w:r>
      <w:r w:rsidR="003957F6" w:rsidRPr="000D3040">
        <w:rPr>
          <w:rFonts w:ascii="Times New Roman" w:hAnsi="Times New Roman" w:cs="Times New Roman"/>
          <w:kern w:val="1"/>
        </w:rPr>
        <w:t xml:space="preserve"> decision in </w:t>
      </w:r>
      <w:r w:rsidR="003957F6" w:rsidRPr="000D3040">
        <w:rPr>
          <w:rFonts w:ascii="Times New Roman" w:hAnsi="Times New Roman" w:cs="Times New Roman"/>
          <w:i/>
          <w:kern w:val="1"/>
        </w:rPr>
        <w:t>Re MN</w:t>
      </w:r>
      <w:r w:rsidR="00CC4E9D">
        <w:rPr>
          <w:rFonts w:ascii="Times New Roman" w:hAnsi="Times New Roman" w:cs="Times New Roman"/>
          <w:i/>
          <w:kern w:val="1"/>
        </w:rPr>
        <w:t xml:space="preserve">, </w:t>
      </w:r>
      <w:r w:rsidR="00CC4E9D">
        <w:rPr>
          <w:rFonts w:ascii="Times New Roman" w:hAnsi="Times New Roman" w:cs="Times New Roman"/>
          <w:kern w:val="1"/>
        </w:rPr>
        <w:lastRenderedPageBreak/>
        <w:t xml:space="preserve">recently applied in </w:t>
      </w:r>
      <w:r w:rsidR="00CC4E9D">
        <w:rPr>
          <w:rFonts w:ascii="Times New Roman" w:hAnsi="Times New Roman" w:cs="Times New Roman"/>
          <w:i/>
          <w:kern w:val="1"/>
        </w:rPr>
        <w:t>North Yorkshire County Council v MAG</w:t>
      </w:r>
      <w:r w:rsidR="00CC4E9D">
        <w:rPr>
          <w:rStyle w:val="FootnoteReference"/>
          <w:rFonts w:ascii="Times New Roman" w:hAnsi="Times New Roman" w:cs="Times New Roman"/>
          <w:i/>
          <w:kern w:val="1"/>
        </w:rPr>
        <w:footnoteReference w:id="171"/>
      </w:r>
      <w:r w:rsidR="003957F6" w:rsidRPr="000D3040">
        <w:rPr>
          <w:rFonts w:ascii="Times New Roman" w:hAnsi="Times New Roman" w:cs="Times New Roman"/>
          <w:i/>
          <w:kern w:val="1"/>
        </w:rPr>
        <w:t xml:space="preserve"> </w:t>
      </w:r>
      <w:r w:rsidR="00DC6514" w:rsidRPr="000D3040">
        <w:rPr>
          <w:rFonts w:ascii="Times New Roman" w:hAnsi="Times New Roman" w:cs="Times New Roman"/>
          <w:kern w:val="1"/>
        </w:rPr>
        <w:t xml:space="preserve">may </w:t>
      </w:r>
      <w:r w:rsidR="00CC4E9D">
        <w:rPr>
          <w:rFonts w:ascii="Times New Roman" w:hAnsi="Times New Roman" w:cs="Times New Roman"/>
          <w:kern w:val="1"/>
        </w:rPr>
        <w:t xml:space="preserve">therefore </w:t>
      </w:r>
      <w:r w:rsidR="0062040A">
        <w:rPr>
          <w:rFonts w:ascii="Times New Roman" w:hAnsi="Times New Roman" w:cs="Times New Roman"/>
          <w:kern w:val="1"/>
        </w:rPr>
        <w:t xml:space="preserve">prove to </w:t>
      </w:r>
      <w:r w:rsidR="00DC6514" w:rsidRPr="000D3040">
        <w:rPr>
          <w:rFonts w:ascii="Times New Roman" w:hAnsi="Times New Roman" w:cs="Times New Roman"/>
          <w:kern w:val="1"/>
        </w:rPr>
        <w:t>be</w:t>
      </w:r>
      <w:r w:rsidR="0028241A" w:rsidRPr="000D3040">
        <w:rPr>
          <w:rFonts w:ascii="Times New Roman" w:hAnsi="Times New Roman" w:cs="Times New Roman"/>
          <w:kern w:val="1"/>
        </w:rPr>
        <w:t xml:space="preserve"> </w:t>
      </w:r>
      <w:r w:rsidR="00DC6514" w:rsidRPr="000D3040">
        <w:rPr>
          <w:rFonts w:ascii="Times New Roman" w:hAnsi="Times New Roman" w:cs="Times New Roman"/>
          <w:kern w:val="1"/>
        </w:rPr>
        <w:t>particularly</w:t>
      </w:r>
      <w:r w:rsidR="0028241A" w:rsidRPr="000D3040">
        <w:rPr>
          <w:rFonts w:ascii="Times New Roman" w:hAnsi="Times New Roman" w:cs="Times New Roman"/>
          <w:kern w:val="1"/>
        </w:rPr>
        <w:t xml:space="preserve"> </w:t>
      </w:r>
      <w:r w:rsidR="00DC6514" w:rsidRPr="000D3040">
        <w:rPr>
          <w:rFonts w:ascii="Times New Roman" w:hAnsi="Times New Roman" w:cs="Times New Roman"/>
          <w:kern w:val="1"/>
        </w:rPr>
        <w:t>problematic in</w:t>
      </w:r>
      <w:r w:rsidR="0028241A" w:rsidRPr="000D3040">
        <w:rPr>
          <w:rFonts w:ascii="Times New Roman" w:hAnsi="Times New Roman" w:cs="Times New Roman"/>
          <w:kern w:val="1"/>
        </w:rPr>
        <w:t xml:space="preserve"> residence decisions where a local authority </w:t>
      </w:r>
      <w:r>
        <w:rPr>
          <w:rFonts w:ascii="Times New Roman" w:hAnsi="Times New Roman" w:cs="Times New Roman"/>
          <w:kern w:val="1"/>
        </w:rPr>
        <w:t>refuses</w:t>
      </w:r>
      <w:r w:rsidR="0028241A" w:rsidRPr="000D3040">
        <w:rPr>
          <w:rFonts w:ascii="Times New Roman" w:hAnsi="Times New Roman" w:cs="Times New Roman"/>
          <w:kern w:val="1"/>
        </w:rPr>
        <w:t xml:space="preserve"> to provide a care plan at home, and where the individual in question has only a small network of family caregivers</w:t>
      </w:r>
      <w:r w:rsidR="00213A18" w:rsidRPr="000D3040">
        <w:rPr>
          <w:rFonts w:ascii="Times New Roman" w:hAnsi="Times New Roman" w:cs="Times New Roman"/>
          <w:kern w:val="1"/>
        </w:rPr>
        <w:t xml:space="preserve"> to rely upon</w:t>
      </w:r>
      <w:r>
        <w:rPr>
          <w:rFonts w:ascii="Times New Roman" w:hAnsi="Times New Roman" w:cs="Times New Roman"/>
          <w:kern w:val="1"/>
        </w:rPr>
        <w:t>, yet an</w:t>
      </w:r>
      <w:r w:rsidR="006F3424">
        <w:rPr>
          <w:rFonts w:ascii="Times New Roman" w:hAnsi="Times New Roman" w:cs="Times New Roman"/>
          <w:kern w:val="1"/>
        </w:rPr>
        <w:t xml:space="preserve"> </w:t>
      </w:r>
      <w:r w:rsidR="00AC2B22">
        <w:rPr>
          <w:rFonts w:ascii="Times New Roman" w:hAnsi="Times New Roman" w:cs="Times New Roman"/>
          <w:kern w:val="1"/>
        </w:rPr>
        <w:t xml:space="preserve">intersubjective approach </w:t>
      </w:r>
      <w:r>
        <w:rPr>
          <w:rFonts w:ascii="Times New Roman" w:hAnsi="Times New Roman" w:cs="Times New Roman"/>
          <w:kern w:val="1"/>
        </w:rPr>
        <w:t>indicates</w:t>
      </w:r>
      <w:r w:rsidR="006011F7">
        <w:rPr>
          <w:rFonts w:ascii="Times New Roman" w:hAnsi="Times New Roman" w:cs="Times New Roman"/>
          <w:kern w:val="1"/>
        </w:rPr>
        <w:t xml:space="preserve"> that it would be</w:t>
      </w:r>
      <w:r w:rsidR="00AC2B22">
        <w:rPr>
          <w:rFonts w:ascii="Times New Roman" w:hAnsi="Times New Roman" w:cs="Times New Roman"/>
          <w:kern w:val="1"/>
        </w:rPr>
        <w:t xml:space="preserve"> in the person’s best interests to continue to reside at home</w:t>
      </w:r>
      <w:r w:rsidR="006011F7">
        <w:rPr>
          <w:rFonts w:ascii="Times New Roman" w:hAnsi="Times New Roman" w:cs="Times New Roman"/>
          <w:kern w:val="1"/>
        </w:rPr>
        <w:t>, if that option were available</w:t>
      </w:r>
      <w:r w:rsidR="0028241A" w:rsidRPr="000D3040">
        <w:rPr>
          <w:rFonts w:ascii="Times New Roman" w:hAnsi="Times New Roman" w:cs="Times New Roman"/>
          <w:kern w:val="1"/>
        </w:rPr>
        <w:t>.</w:t>
      </w:r>
      <w:r w:rsidR="006011F7">
        <w:rPr>
          <w:rFonts w:ascii="Times New Roman" w:hAnsi="Times New Roman" w:cs="Times New Roman"/>
          <w:kern w:val="1"/>
        </w:rPr>
        <w:t xml:space="preserve"> If a package of a care plan at home is </w:t>
      </w:r>
      <w:r w:rsidR="006011F7">
        <w:rPr>
          <w:rFonts w:ascii="Times New Roman" w:hAnsi="Times New Roman" w:cs="Times New Roman"/>
          <w:i/>
          <w:kern w:val="1"/>
        </w:rPr>
        <w:t xml:space="preserve">not </w:t>
      </w:r>
      <w:r w:rsidR="006011F7">
        <w:rPr>
          <w:rFonts w:ascii="Times New Roman" w:hAnsi="Times New Roman" w:cs="Times New Roman"/>
          <w:kern w:val="1"/>
        </w:rPr>
        <w:t xml:space="preserve">an option before the Court, then under </w:t>
      </w:r>
      <w:r w:rsidR="006011F7">
        <w:rPr>
          <w:rFonts w:ascii="Times New Roman" w:hAnsi="Times New Roman" w:cs="Times New Roman"/>
          <w:i/>
          <w:kern w:val="1"/>
        </w:rPr>
        <w:t xml:space="preserve">Re MN, </w:t>
      </w:r>
      <w:r w:rsidR="006011F7">
        <w:rPr>
          <w:rFonts w:ascii="Times New Roman" w:hAnsi="Times New Roman" w:cs="Times New Roman"/>
          <w:kern w:val="1"/>
        </w:rPr>
        <w:t>the Court cannot direct that it would be in the person’s best interests.</w:t>
      </w:r>
      <w:r w:rsidR="0028241A" w:rsidRPr="000D3040">
        <w:rPr>
          <w:rFonts w:ascii="Times New Roman" w:hAnsi="Times New Roman" w:cs="Times New Roman"/>
          <w:kern w:val="1"/>
        </w:rPr>
        <w:t xml:space="preserve"> </w:t>
      </w:r>
      <w:r w:rsidR="006011F7">
        <w:rPr>
          <w:rFonts w:ascii="Times New Roman" w:hAnsi="Times New Roman" w:cs="Times New Roman"/>
          <w:kern w:val="1"/>
        </w:rPr>
        <w:t xml:space="preserve"> This tension</w:t>
      </w:r>
      <w:r w:rsidR="000D041B" w:rsidRPr="000D3040">
        <w:rPr>
          <w:rFonts w:ascii="Times New Roman" w:hAnsi="Times New Roman" w:cs="Times New Roman"/>
          <w:kern w:val="1"/>
        </w:rPr>
        <w:t xml:space="preserve"> is a valid one, and unfortunately remains until, or even </w:t>
      </w:r>
      <w:r w:rsidR="000D041B" w:rsidRPr="000D3040">
        <w:rPr>
          <w:rFonts w:ascii="Times New Roman" w:hAnsi="Times New Roman" w:cs="Times New Roman"/>
          <w:i/>
          <w:kern w:val="1"/>
        </w:rPr>
        <w:t>if</w:t>
      </w:r>
      <w:r w:rsidR="00DC6514" w:rsidRPr="000D3040">
        <w:rPr>
          <w:rFonts w:ascii="Times New Roman" w:hAnsi="Times New Roman" w:cs="Times New Roman"/>
          <w:i/>
          <w:kern w:val="1"/>
        </w:rPr>
        <w:t>,</w:t>
      </w:r>
      <w:r w:rsidR="000D041B" w:rsidRPr="000D3040">
        <w:rPr>
          <w:rFonts w:ascii="Times New Roman" w:hAnsi="Times New Roman" w:cs="Times New Roman"/>
          <w:kern w:val="1"/>
        </w:rPr>
        <w:t xml:space="preserve"> the decision</w:t>
      </w:r>
      <w:r w:rsidR="00DC6514" w:rsidRPr="000D3040">
        <w:rPr>
          <w:rFonts w:ascii="Times New Roman" w:hAnsi="Times New Roman" w:cs="Times New Roman"/>
          <w:kern w:val="1"/>
        </w:rPr>
        <w:t xml:space="preserve"> in</w:t>
      </w:r>
      <w:r w:rsidR="000D041B" w:rsidRPr="000D3040">
        <w:rPr>
          <w:rFonts w:ascii="Times New Roman" w:hAnsi="Times New Roman" w:cs="Times New Roman"/>
          <w:kern w:val="1"/>
        </w:rPr>
        <w:t xml:space="preserve"> </w:t>
      </w:r>
      <w:r w:rsidR="000D041B" w:rsidRPr="000D3040">
        <w:rPr>
          <w:rFonts w:ascii="Times New Roman" w:hAnsi="Times New Roman" w:cs="Times New Roman"/>
          <w:i/>
          <w:kern w:val="1"/>
        </w:rPr>
        <w:t xml:space="preserve">Re MN </w:t>
      </w:r>
      <w:r w:rsidR="000D041B" w:rsidRPr="000D3040">
        <w:rPr>
          <w:rFonts w:ascii="Times New Roman" w:hAnsi="Times New Roman" w:cs="Times New Roman"/>
          <w:kern w:val="1"/>
        </w:rPr>
        <w:t>is reconsidered.</w:t>
      </w:r>
    </w:p>
    <w:p w14:paraId="7A6B42DA" w14:textId="77777777" w:rsidR="001A58B5" w:rsidRDefault="001A58B5" w:rsidP="00D570A8">
      <w:pPr>
        <w:pStyle w:val="NoSpacing"/>
        <w:spacing w:line="480" w:lineRule="auto"/>
        <w:jc w:val="both"/>
        <w:rPr>
          <w:rFonts w:ascii="Times New Roman" w:hAnsi="Times New Roman" w:cs="Times New Roman"/>
          <w:bCs/>
          <w:caps/>
          <w:lang w:val="en-US"/>
        </w:rPr>
      </w:pPr>
    </w:p>
    <w:p w14:paraId="669DE4AF" w14:textId="77777777" w:rsidR="004F0A6E" w:rsidRPr="00795E6D" w:rsidRDefault="00673CFD" w:rsidP="000E6DF0">
      <w:pPr>
        <w:pStyle w:val="NoSpacing"/>
        <w:spacing w:line="480" w:lineRule="auto"/>
        <w:jc w:val="center"/>
        <w:rPr>
          <w:rFonts w:ascii="Times New Roman" w:hAnsi="Times New Roman" w:cs="Times New Roman"/>
          <w:bCs/>
          <w:caps/>
          <w:lang w:val="en-US"/>
        </w:rPr>
      </w:pPr>
      <w:r w:rsidRPr="00795E6D">
        <w:rPr>
          <w:rFonts w:ascii="Times New Roman" w:hAnsi="Times New Roman" w:cs="Times New Roman"/>
          <w:bCs/>
          <w:caps/>
          <w:lang w:val="en-US"/>
        </w:rPr>
        <w:t xml:space="preserve">VII. </w:t>
      </w:r>
      <w:r w:rsidR="004F0A6E" w:rsidRPr="00795E6D">
        <w:rPr>
          <w:rFonts w:ascii="Times New Roman" w:hAnsi="Times New Roman" w:cs="Times New Roman"/>
          <w:bCs/>
          <w:caps/>
          <w:lang w:val="en-US"/>
        </w:rPr>
        <w:t>Conclusion</w:t>
      </w:r>
    </w:p>
    <w:p w14:paraId="525AFF51" w14:textId="5CD1D4D3" w:rsidR="0040219B" w:rsidRDefault="004F0A6E" w:rsidP="000E6DF0">
      <w:pPr>
        <w:pStyle w:val="NoSpacing"/>
        <w:spacing w:line="480" w:lineRule="auto"/>
        <w:jc w:val="both"/>
        <w:rPr>
          <w:rFonts w:ascii="Times New Roman" w:hAnsi="Times New Roman" w:cs="Times New Roman"/>
          <w:lang w:val="en-US"/>
        </w:rPr>
      </w:pPr>
      <w:r w:rsidRPr="000D3040">
        <w:rPr>
          <w:rFonts w:ascii="Times New Roman" w:hAnsi="Times New Roman" w:cs="Times New Roman"/>
          <w:lang w:val="en-US"/>
        </w:rPr>
        <w:t xml:space="preserve">The Court’s approach </w:t>
      </w:r>
      <w:r w:rsidR="002122A3">
        <w:rPr>
          <w:rFonts w:ascii="Times New Roman" w:hAnsi="Times New Roman" w:cs="Times New Roman"/>
          <w:lang w:val="en-US"/>
        </w:rPr>
        <w:t>in the cases outlined above have led, on occasions, to a portrayal of the person</w:t>
      </w:r>
      <w:r w:rsidR="003957F6" w:rsidRPr="000D3040">
        <w:rPr>
          <w:rFonts w:ascii="Times New Roman" w:hAnsi="Times New Roman" w:cs="Times New Roman"/>
          <w:lang w:val="en-US"/>
        </w:rPr>
        <w:t xml:space="preserve"> with dementia as ‘O</w:t>
      </w:r>
      <w:r w:rsidR="00D03BC3">
        <w:rPr>
          <w:rFonts w:ascii="Times New Roman" w:hAnsi="Times New Roman" w:cs="Times New Roman"/>
          <w:lang w:val="en-US"/>
        </w:rPr>
        <w:t>ther’</w:t>
      </w:r>
      <w:r w:rsidR="002122A3">
        <w:rPr>
          <w:rFonts w:ascii="Times New Roman" w:hAnsi="Times New Roman" w:cs="Times New Roman"/>
          <w:lang w:val="en-US"/>
        </w:rPr>
        <w:t xml:space="preserve"> during the best interests decision-making process</w:t>
      </w:r>
      <w:r w:rsidRPr="000D3040">
        <w:rPr>
          <w:rFonts w:ascii="Times New Roman" w:hAnsi="Times New Roman" w:cs="Times New Roman"/>
          <w:lang w:val="en-US"/>
        </w:rPr>
        <w:t>.  The argument put forward here</w:t>
      </w:r>
      <w:r w:rsidR="00D03BC3">
        <w:rPr>
          <w:rFonts w:ascii="Times New Roman" w:hAnsi="Times New Roman" w:cs="Times New Roman"/>
          <w:lang w:val="en-US"/>
        </w:rPr>
        <w:t xml:space="preserve"> </w:t>
      </w:r>
      <w:r w:rsidRPr="000D3040">
        <w:rPr>
          <w:rFonts w:ascii="Times New Roman" w:hAnsi="Times New Roman" w:cs="Times New Roman"/>
          <w:lang w:val="en-US"/>
        </w:rPr>
        <w:t xml:space="preserve">is that </w:t>
      </w:r>
      <w:r w:rsidR="00492D8C" w:rsidRPr="000D3040">
        <w:rPr>
          <w:rFonts w:ascii="Times New Roman" w:hAnsi="Times New Roman" w:cs="Times New Roman"/>
          <w:lang w:val="en-US"/>
        </w:rPr>
        <w:t xml:space="preserve">by </w:t>
      </w:r>
      <w:r w:rsidR="00BA2D1D">
        <w:rPr>
          <w:rFonts w:ascii="Times New Roman" w:hAnsi="Times New Roman" w:cs="Times New Roman"/>
          <w:lang w:val="en-US"/>
        </w:rPr>
        <w:t xml:space="preserve">adopting an intersubjective approach - </w:t>
      </w:r>
      <w:r w:rsidR="00E962E4" w:rsidRPr="000D3040">
        <w:rPr>
          <w:rFonts w:ascii="Times New Roman" w:hAnsi="Times New Roman" w:cs="Times New Roman"/>
          <w:lang w:val="en-US"/>
        </w:rPr>
        <w:t xml:space="preserve">emphasising the importance </w:t>
      </w:r>
      <w:r w:rsidR="00E772F5">
        <w:rPr>
          <w:rFonts w:ascii="Times New Roman" w:hAnsi="Times New Roman" w:cs="Times New Roman"/>
          <w:lang w:val="en-US"/>
        </w:rPr>
        <w:t xml:space="preserve">and complexity </w:t>
      </w:r>
      <w:r w:rsidR="00E962E4" w:rsidRPr="000D3040">
        <w:rPr>
          <w:rFonts w:ascii="Times New Roman" w:hAnsi="Times New Roman" w:cs="Times New Roman"/>
          <w:lang w:val="en-US"/>
        </w:rPr>
        <w:t>of</w:t>
      </w:r>
      <w:r w:rsidR="00E772F5">
        <w:rPr>
          <w:rFonts w:ascii="Times New Roman" w:hAnsi="Times New Roman" w:cs="Times New Roman"/>
          <w:lang w:val="en-US"/>
        </w:rPr>
        <w:t xml:space="preserve"> </w:t>
      </w:r>
      <w:r w:rsidR="00E962E4" w:rsidRPr="000D3040">
        <w:rPr>
          <w:rFonts w:ascii="Times New Roman" w:hAnsi="Times New Roman" w:cs="Times New Roman"/>
          <w:lang w:val="en-US"/>
        </w:rPr>
        <w:t>their relationships</w:t>
      </w:r>
      <w:r w:rsidRPr="000D3040">
        <w:rPr>
          <w:rFonts w:ascii="Times New Roman" w:hAnsi="Times New Roman" w:cs="Times New Roman"/>
          <w:lang w:val="en-US"/>
        </w:rPr>
        <w:t>, as well</w:t>
      </w:r>
      <w:r w:rsidR="00213A18" w:rsidRPr="000D3040">
        <w:rPr>
          <w:rFonts w:ascii="Times New Roman" w:hAnsi="Times New Roman" w:cs="Times New Roman"/>
          <w:lang w:val="en-US"/>
        </w:rPr>
        <w:t xml:space="preserve"> trying to</w:t>
      </w:r>
      <w:r w:rsidRPr="000D3040">
        <w:rPr>
          <w:rFonts w:ascii="Times New Roman" w:hAnsi="Times New Roman" w:cs="Times New Roman"/>
          <w:lang w:val="en-US"/>
        </w:rPr>
        <w:t xml:space="preserve"> </w:t>
      </w:r>
      <w:r w:rsidRPr="000D3040">
        <w:rPr>
          <w:rFonts w:ascii="Times New Roman" w:hAnsi="Times New Roman" w:cs="Times New Roman"/>
          <w:i/>
          <w:lang w:val="en-US"/>
        </w:rPr>
        <w:t>understand</w:t>
      </w:r>
      <w:r w:rsidRPr="000D3040">
        <w:rPr>
          <w:rFonts w:ascii="Times New Roman" w:hAnsi="Times New Roman" w:cs="Times New Roman"/>
          <w:lang w:val="en-US"/>
        </w:rPr>
        <w:t xml:space="preserve"> </w:t>
      </w:r>
      <w:r w:rsidR="00C5266A" w:rsidRPr="000D3040">
        <w:rPr>
          <w:rFonts w:ascii="Times New Roman" w:hAnsi="Times New Roman" w:cs="Times New Roman"/>
          <w:lang w:val="en-US"/>
        </w:rPr>
        <w:t xml:space="preserve">the </w:t>
      </w:r>
      <w:r w:rsidRPr="000D3040">
        <w:rPr>
          <w:rFonts w:ascii="Times New Roman" w:hAnsi="Times New Roman" w:cs="Times New Roman"/>
          <w:lang w:val="en-US"/>
        </w:rPr>
        <w:t>symptoms, behaviour</w:t>
      </w:r>
      <w:r w:rsidR="00E962E4" w:rsidRPr="000D3040">
        <w:rPr>
          <w:rFonts w:ascii="Times New Roman" w:hAnsi="Times New Roman" w:cs="Times New Roman"/>
          <w:lang w:val="en-US"/>
        </w:rPr>
        <w:t xml:space="preserve"> and</w:t>
      </w:r>
      <w:r w:rsidR="009E3D50" w:rsidRPr="000D3040">
        <w:rPr>
          <w:rFonts w:ascii="Times New Roman" w:hAnsi="Times New Roman" w:cs="Times New Roman"/>
          <w:lang w:val="en-US"/>
        </w:rPr>
        <w:t xml:space="preserve"> personalities</w:t>
      </w:r>
      <w:r w:rsidRPr="000D3040">
        <w:rPr>
          <w:rFonts w:ascii="Times New Roman" w:hAnsi="Times New Roman" w:cs="Times New Roman"/>
          <w:lang w:val="en-US"/>
        </w:rPr>
        <w:t xml:space="preserve"> of those with dementia</w:t>
      </w:r>
      <w:r w:rsidR="00BA2D1D">
        <w:rPr>
          <w:rFonts w:ascii="Times New Roman" w:hAnsi="Times New Roman" w:cs="Times New Roman"/>
          <w:lang w:val="en-US"/>
        </w:rPr>
        <w:t xml:space="preserve"> -</w:t>
      </w:r>
      <w:r w:rsidRPr="000D3040">
        <w:rPr>
          <w:rFonts w:ascii="Times New Roman" w:hAnsi="Times New Roman" w:cs="Times New Roman"/>
          <w:lang w:val="en-US"/>
        </w:rPr>
        <w:t xml:space="preserve"> the Court can be more attentive to their </w:t>
      </w:r>
      <w:r w:rsidR="00492D8C" w:rsidRPr="000D3040">
        <w:rPr>
          <w:rFonts w:ascii="Times New Roman" w:hAnsi="Times New Roman" w:cs="Times New Roman"/>
          <w:lang w:val="en-US"/>
        </w:rPr>
        <w:t>subjectiv</w:t>
      </w:r>
      <w:r w:rsidR="002122A3">
        <w:rPr>
          <w:rFonts w:ascii="Times New Roman" w:hAnsi="Times New Roman" w:cs="Times New Roman"/>
          <w:lang w:val="en-US"/>
        </w:rPr>
        <w:t>e character of experience</w:t>
      </w:r>
      <w:r w:rsidR="00213A18" w:rsidRPr="000D3040">
        <w:rPr>
          <w:rFonts w:ascii="Times New Roman" w:hAnsi="Times New Roman" w:cs="Times New Roman"/>
          <w:lang w:val="en-US"/>
        </w:rPr>
        <w:t>.  This will</w:t>
      </w:r>
      <w:r w:rsidR="0060038B">
        <w:rPr>
          <w:rFonts w:ascii="Times New Roman" w:hAnsi="Times New Roman" w:cs="Times New Roman"/>
          <w:lang w:val="en-US"/>
        </w:rPr>
        <w:t xml:space="preserve"> </w:t>
      </w:r>
      <w:r w:rsidR="00233471" w:rsidRPr="000D3040">
        <w:rPr>
          <w:rFonts w:ascii="Times New Roman" w:hAnsi="Times New Roman" w:cs="Times New Roman"/>
          <w:lang w:val="en-US"/>
        </w:rPr>
        <w:t>begin to dismant</w:t>
      </w:r>
      <w:r w:rsidR="008423A7" w:rsidRPr="000D3040">
        <w:rPr>
          <w:rFonts w:ascii="Times New Roman" w:hAnsi="Times New Roman" w:cs="Times New Roman"/>
          <w:lang w:val="en-US"/>
        </w:rPr>
        <w:t xml:space="preserve">le </w:t>
      </w:r>
      <w:r w:rsidR="002122A3">
        <w:rPr>
          <w:rFonts w:ascii="Times New Roman" w:hAnsi="Times New Roman" w:cs="Times New Roman"/>
          <w:lang w:val="en-US"/>
        </w:rPr>
        <w:t>t</w:t>
      </w:r>
      <w:r w:rsidR="008423A7" w:rsidRPr="000D3040">
        <w:rPr>
          <w:rFonts w:ascii="Times New Roman" w:hAnsi="Times New Roman" w:cs="Times New Roman"/>
          <w:lang w:val="en-US"/>
        </w:rPr>
        <w:t xml:space="preserve">he binaries that </w:t>
      </w:r>
      <w:r w:rsidR="002122A3">
        <w:rPr>
          <w:rFonts w:ascii="Times New Roman" w:hAnsi="Times New Roman" w:cs="Times New Roman"/>
          <w:lang w:val="en-US"/>
        </w:rPr>
        <w:t>exist</w:t>
      </w:r>
      <w:r w:rsidR="008423A7" w:rsidRPr="000D3040">
        <w:rPr>
          <w:rFonts w:ascii="Times New Roman" w:hAnsi="Times New Roman" w:cs="Times New Roman"/>
          <w:lang w:val="en-US"/>
        </w:rPr>
        <w:t xml:space="preserve"> between those </w:t>
      </w:r>
      <w:r w:rsidR="00213A18" w:rsidRPr="000D3040">
        <w:rPr>
          <w:rFonts w:ascii="Times New Roman" w:hAnsi="Times New Roman" w:cs="Times New Roman"/>
          <w:lang w:val="en-US"/>
        </w:rPr>
        <w:t>‘</w:t>
      </w:r>
      <w:r w:rsidR="008423A7" w:rsidRPr="000D3040">
        <w:rPr>
          <w:rFonts w:ascii="Times New Roman" w:hAnsi="Times New Roman" w:cs="Times New Roman"/>
          <w:lang w:val="en-US"/>
        </w:rPr>
        <w:t>with</w:t>
      </w:r>
      <w:r w:rsidR="00213A18" w:rsidRPr="000D3040">
        <w:rPr>
          <w:rFonts w:ascii="Times New Roman" w:hAnsi="Times New Roman" w:cs="Times New Roman"/>
          <w:lang w:val="en-US"/>
        </w:rPr>
        <w:t>’</w:t>
      </w:r>
      <w:r w:rsidR="008423A7" w:rsidRPr="000D3040">
        <w:rPr>
          <w:rFonts w:ascii="Times New Roman" w:hAnsi="Times New Roman" w:cs="Times New Roman"/>
          <w:lang w:val="en-US"/>
        </w:rPr>
        <w:t xml:space="preserve"> dementia and those </w:t>
      </w:r>
      <w:r w:rsidR="00213A18" w:rsidRPr="000D3040">
        <w:rPr>
          <w:rFonts w:ascii="Times New Roman" w:hAnsi="Times New Roman" w:cs="Times New Roman"/>
          <w:lang w:val="en-US"/>
        </w:rPr>
        <w:t>‘</w:t>
      </w:r>
      <w:r w:rsidR="008423A7" w:rsidRPr="000D3040">
        <w:rPr>
          <w:rFonts w:ascii="Times New Roman" w:hAnsi="Times New Roman" w:cs="Times New Roman"/>
          <w:lang w:val="en-US"/>
        </w:rPr>
        <w:t>without</w:t>
      </w:r>
      <w:r w:rsidR="00213A18" w:rsidRPr="000D3040">
        <w:rPr>
          <w:rFonts w:ascii="Times New Roman" w:hAnsi="Times New Roman" w:cs="Times New Roman"/>
          <w:lang w:val="en-US"/>
        </w:rPr>
        <w:t>’</w:t>
      </w:r>
      <w:r w:rsidR="002122A3">
        <w:rPr>
          <w:rFonts w:ascii="Times New Roman" w:hAnsi="Times New Roman" w:cs="Times New Roman"/>
          <w:lang w:val="en-US"/>
        </w:rPr>
        <w:t>, wh</w:t>
      </w:r>
      <w:r w:rsidR="00E65145">
        <w:rPr>
          <w:rFonts w:ascii="Times New Roman" w:hAnsi="Times New Roman" w:cs="Times New Roman"/>
          <w:lang w:val="en-US"/>
        </w:rPr>
        <w:t>ich can lead to their labelling</w:t>
      </w:r>
      <w:r w:rsidR="002122A3">
        <w:rPr>
          <w:rFonts w:ascii="Times New Roman" w:hAnsi="Times New Roman" w:cs="Times New Roman"/>
          <w:lang w:val="en-US"/>
        </w:rPr>
        <w:t xml:space="preserve"> as ‘Other’</w:t>
      </w:r>
      <w:r w:rsidRPr="000D3040">
        <w:rPr>
          <w:rFonts w:ascii="Times New Roman" w:hAnsi="Times New Roman" w:cs="Times New Roman"/>
          <w:lang w:val="en-US"/>
        </w:rPr>
        <w:t xml:space="preserve">. </w:t>
      </w:r>
      <w:r w:rsidR="00E962E4" w:rsidRPr="000D3040">
        <w:rPr>
          <w:rFonts w:ascii="Times New Roman" w:hAnsi="Times New Roman" w:cs="Times New Roman"/>
          <w:lang w:val="en-US"/>
        </w:rPr>
        <w:t>W</w:t>
      </w:r>
      <w:r w:rsidR="00213A18" w:rsidRPr="000D3040">
        <w:rPr>
          <w:rFonts w:ascii="Times New Roman" w:hAnsi="Times New Roman" w:cs="Times New Roman"/>
          <w:lang w:val="en-US"/>
        </w:rPr>
        <w:t>hat is required for</w:t>
      </w:r>
      <w:r w:rsidR="00233471" w:rsidRPr="000D3040">
        <w:rPr>
          <w:rFonts w:ascii="Times New Roman" w:hAnsi="Times New Roman" w:cs="Times New Roman"/>
          <w:lang w:val="en-US"/>
        </w:rPr>
        <w:t xml:space="preserve"> the Court </w:t>
      </w:r>
      <w:r w:rsidR="00213A18" w:rsidRPr="000D3040">
        <w:rPr>
          <w:rFonts w:ascii="Times New Roman" w:hAnsi="Times New Roman" w:cs="Times New Roman"/>
          <w:lang w:val="en-US"/>
        </w:rPr>
        <w:t xml:space="preserve">to do this effectively, however, </w:t>
      </w:r>
      <w:r w:rsidR="00492D8C" w:rsidRPr="000D3040">
        <w:rPr>
          <w:rFonts w:ascii="Times New Roman" w:hAnsi="Times New Roman" w:cs="Times New Roman"/>
          <w:lang w:val="en-US"/>
        </w:rPr>
        <w:t>is explicit recognition of the fac</w:t>
      </w:r>
      <w:r w:rsidR="00AE7748">
        <w:rPr>
          <w:rFonts w:ascii="Times New Roman" w:hAnsi="Times New Roman" w:cs="Times New Roman"/>
          <w:lang w:val="en-US"/>
        </w:rPr>
        <w:t>t that for those with dementia - and indeed those without -</w:t>
      </w:r>
      <w:r w:rsidR="00492D8C" w:rsidRPr="000D3040">
        <w:rPr>
          <w:rFonts w:ascii="Times New Roman" w:hAnsi="Times New Roman" w:cs="Times New Roman"/>
          <w:lang w:val="en-US"/>
        </w:rPr>
        <w:t xml:space="preserve"> life is inescapably and overwhelmingly characterised and defined by a labyrinth of </w:t>
      </w:r>
      <w:r w:rsidR="002B7D47">
        <w:rPr>
          <w:rFonts w:ascii="Times New Roman" w:hAnsi="Times New Roman" w:cs="Times New Roman"/>
          <w:lang w:val="en-US"/>
        </w:rPr>
        <w:t xml:space="preserve">intra- and inter-personal </w:t>
      </w:r>
      <w:r w:rsidR="00492D8C" w:rsidRPr="000D3040">
        <w:rPr>
          <w:rFonts w:ascii="Times New Roman" w:hAnsi="Times New Roman" w:cs="Times New Roman"/>
          <w:lang w:val="en-US"/>
        </w:rPr>
        <w:t>relationships and connections; both personal</w:t>
      </w:r>
      <w:r w:rsidR="002B7D47">
        <w:rPr>
          <w:rFonts w:ascii="Times New Roman" w:hAnsi="Times New Roman" w:cs="Times New Roman"/>
          <w:lang w:val="en-US"/>
        </w:rPr>
        <w:t>ly</w:t>
      </w:r>
      <w:r w:rsidR="00492D8C" w:rsidRPr="000D3040">
        <w:rPr>
          <w:rFonts w:ascii="Times New Roman" w:hAnsi="Times New Roman" w:cs="Times New Roman"/>
          <w:lang w:val="en-US"/>
        </w:rPr>
        <w:t xml:space="preserve"> and societal</w:t>
      </w:r>
      <w:r w:rsidR="002B7D47">
        <w:rPr>
          <w:rFonts w:ascii="Times New Roman" w:hAnsi="Times New Roman" w:cs="Times New Roman"/>
          <w:lang w:val="en-US"/>
        </w:rPr>
        <w:t>ly</w:t>
      </w:r>
      <w:r w:rsidR="008423A7" w:rsidRPr="000D3040">
        <w:rPr>
          <w:rFonts w:ascii="Times New Roman" w:hAnsi="Times New Roman" w:cs="Times New Roman"/>
          <w:lang w:val="en-US"/>
        </w:rPr>
        <w:t xml:space="preserve">.  </w:t>
      </w:r>
      <w:r w:rsidR="00EE1B35">
        <w:rPr>
          <w:rFonts w:ascii="Times New Roman" w:hAnsi="Times New Roman" w:cs="Times New Roman"/>
          <w:lang w:val="en-US"/>
        </w:rPr>
        <w:t>The</w:t>
      </w:r>
      <w:r w:rsidR="00492D8C" w:rsidRPr="000D3040">
        <w:rPr>
          <w:rFonts w:ascii="Times New Roman" w:hAnsi="Times New Roman" w:cs="Times New Roman"/>
          <w:lang w:val="en-US"/>
        </w:rPr>
        <w:t xml:space="preserve"> Court of Protection must </w:t>
      </w:r>
      <w:r w:rsidR="00695662" w:rsidRPr="000D3040">
        <w:rPr>
          <w:rFonts w:ascii="Times New Roman" w:hAnsi="Times New Roman" w:cs="Times New Roman"/>
          <w:lang w:val="en-US"/>
        </w:rPr>
        <w:t xml:space="preserve">be prepared to examine those relationships in detail if it </w:t>
      </w:r>
      <w:r w:rsidR="00D03BC3">
        <w:rPr>
          <w:rFonts w:ascii="Times New Roman" w:hAnsi="Times New Roman" w:cs="Times New Roman"/>
          <w:lang w:val="en-US"/>
        </w:rPr>
        <w:t>wants to make a decision that is</w:t>
      </w:r>
      <w:r w:rsidR="00EE1B35">
        <w:rPr>
          <w:rFonts w:ascii="Times New Roman" w:hAnsi="Times New Roman" w:cs="Times New Roman"/>
          <w:lang w:val="en-US"/>
        </w:rPr>
        <w:t>, to use Lady Hale’s language,</w:t>
      </w:r>
      <w:r w:rsidR="00D03BC3">
        <w:rPr>
          <w:rFonts w:ascii="Times New Roman" w:hAnsi="Times New Roman" w:cs="Times New Roman"/>
          <w:lang w:val="en-US"/>
        </w:rPr>
        <w:t xml:space="preserve"> right for that person ‘as an </w:t>
      </w:r>
      <w:r w:rsidR="00D03BC3" w:rsidRPr="00D03BC3">
        <w:rPr>
          <w:rFonts w:ascii="Times New Roman" w:hAnsi="Times New Roman" w:cs="Times New Roman"/>
          <w:lang w:val="en-US"/>
        </w:rPr>
        <w:lastRenderedPageBreak/>
        <w:t>individual human being</w:t>
      </w:r>
      <w:r w:rsidR="0060038B">
        <w:rPr>
          <w:rFonts w:ascii="Times New Roman" w:hAnsi="Times New Roman" w:cs="Times New Roman"/>
          <w:lang w:val="en-US"/>
        </w:rPr>
        <w:t>’</w:t>
      </w:r>
      <w:r w:rsidR="006F3424">
        <w:rPr>
          <w:rFonts w:ascii="Times New Roman" w:hAnsi="Times New Roman" w:cs="Times New Roman"/>
          <w:lang w:val="en-US"/>
        </w:rPr>
        <w:t>.</w:t>
      </w:r>
      <w:r w:rsidR="00695662" w:rsidRPr="000D3040">
        <w:rPr>
          <w:rStyle w:val="FootnoteReference"/>
          <w:rFonts w:ascii="Times New Roman" w:hAnsi="Times New Roman" w:cs="Times New Roman"/>
          <w:lang w:val="en-US"/>
        </w:rPr>
        <w:footnoteReference w:id="172"/>
      </w:r>
      <w:r w:rsidR="00492D8C" w:rsidRPr="000D3040">
        <w:rPr>
          <w:rFonts w:ascii="Times New Roman" w:hAnsi="Times New Roman" w:cs="Times New Roman"/>
          <w:lang w:val="en-US"/>
        </w:rPr>
        <w:t xml:space="preserve"> </w:t>
      </w:r>
      <w:r w:rsidR="00663D99" w:rsidRPr="000D3040">
        <w:rPr>
          <w:rFonts w:ascii="Times New Roman" w:hAnsi="Times New Roman" w:cs="Times New Roman"/>
          <w:lang w:val="en-US"/>
        </w:rPr>
        <w:t>In essence,</w:t>
      </w:r>
      <w:r w:rsidR="00AB16F8">
        <w:rPr>
          <w:rFonts w:ascii="Times New Roman" w:hAnsi="Times New Roman" w:cs="Times New Roman"/>
          <w:lang w:val="en-US"/>
        </w:rPr>
        <w:t xml:space="preserve"> what this entails is</w:t>
      </w:r>
      <w:r w:rsidR="002122A3">
        <w:rPr>
          <w:rFonts w:ascii="Times New Roman" w:hAnsi="Times New Roman" w:cs="Times New Roman"/>
          <w:lang w:val="en-US"/>
        </w:rPr>
        <w:t xml:space="preserve"> </w:t>
      </w:r>
      <w:r w:rsidR="00663D99" w:rsidRPr="000D3040">
        <w:rPr>
          <w:rFonts w:ascii="Times New Roman" w:hAnsi="Times New Roman" w:cs="Times New Roman"/>
          <w:lang w:val="en-US"/>
        </w:rPr>
        <w:t>‘instead of trying to pull people with dementia into your world, you have to enter theirs’.</w:t>
      </w:r>
      <w:r w:rsidR="00663D99" w:rsidRPr="000D3040">
        <w:rPr>
          <w:rStyle w:val="FootnoteReference"/>
          <w:rFonts w:ascii="Times New Roman" w:hAnsi="Times New Roman" w:cs="Times New Roman"/>
          <w:lang w:val="en-US"/>
        </w:rPr>
        <w:footnoteReference w:id="173"/>
      </w:r>
      <w:r w:rsidR="00663D99" w:rsidRPr="000D3040">
        <w:rPr>
          <w:rFonts w:ascii="Times New Roman" w:hAnsi="Times New Roman" w:cs="Times New Roman"/>
          <w:lang w:val="en-US"/>
        </w:rPr>
        <w:t xml:space="preserve"> </w:t>
      </w:r>
    </w:p>
    <w:p w14:paraId="080195EE" w14:textId="77777777" w:rsidR="007C6769" w:rsidRPr="000D3040" w:rsidRDefault="007C6769" w:rsidP="000E6DF0">
      <w:pPr>
        <w:pStyle w:val="NoSpacing"/>
        <w:spacing w:line="480" w:lineRule="auto"/>
        <w:jc w:val="both"/>
        <w:rPr>
          <w:rFonts w:ascii="Times New Roman" w:hAnsi="Times New Roman" w:cs="Times New Roman"/>
          <w:lang w:val="en-US"/>
        </w:rPr>
      </w:pPr>
    </w:p>
    <w:sectPr w:rsidR="007C6769" w:rsidRPr="000D3040" w:rsidSect="00A65294">
      <w:footerReference w:type="even" r:id="rId8"/>
      <w:footerReference w:type="default" r:id="rId9"/>
      <w:pgSz w:w="11900" w:h="16840"/>
      <w:pgMar w:top="1440" w:right="1552"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1990E" w14:textId="77777777" w:rsidR="001E0281" w:rsidRDefault="001E0281" w:rsidP="006A2438">
      <w:r>
        <w:separator/>
      </w:r>
    </w:p>
  </w:endnote>
  <w:endnote w:type="continuationSeparator" w:id="0">
    <w:p w14:paraId="141D7499" w14:textId="77777777" w:rsidR="001E0281" w:rsidRDefault="001E0281" w:rsidP="006A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6CD25" w14:textId="77777777" w:rsidR="001A2FA6" w:rsidRDefault="001A2FA6" w:rsidP="00A963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8E579" w14:textId="77777777" w:rsidR="001A2FA6" w:rsidRDefault="001A2FA6" w:rsidP="00A53E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5F0E8" w14:textId="77777777" w:rsidR="001A2FA6" w:rsidRDefault="001A2FA6" w:rsidP="00A963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555F">
      <w:rPr>
        <w:rStyle w:val="PageNumber"/>
        <w:noProof/>
      </w:rPr>
      <w:t>41</w:t>
    </w:r>
    <w:r>
      <w:rPr>
        <w:rStyle w:val="PageNumber"/>
      </w:rPr>
      <w:fldChar w:fldCharType="end"/>
    </w:r>
  </w:p>
  <w:p w14:paraId="3137E679" w14:textId="77777777" w:rsidR="001A2FA6" w:rsidRDefault="001A2FA6" w:rsidP="00A53E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0FAAF" w14:textId="77777777" w:rsidR="001E0281" w:rsidRDefault="001E0281" w:rsidP="006A2438">
      <w:r>
        <w:separator/>
      </w:r>
    </w:p>
  </w:footnote>
  <w:footnote w:type="continuationSeparator" w:id="0">
    <w:p w14:paraId="771A586E" w14:textId="77777777" w:rsidR="001E0281" w:rsidRDefault="001E0281" w:rsidP="006A2438">
      <w:r>
        <w:continuationSeparator/>
      </w:r>
    </w:p>
  </w:footnote>
  <w:footnote w:id="1">
    <w:p w14:paraId="6CBB4C1A" w14:textId="77777777" w:rsidR="001A2FA6" w:rsidRPr="00140A42" w:rsidRDefault="001A2FA6" w:rsidP="00325987">
      <w:pPr>
        <w:pStyle w:val="FootnoteText"/>
        <w:jc w:val="both"/>
        <w:rPr>
          <w:rFonts w:ascii="Times New Roman" w:hAnsi="Times New Roman" w:cs="Times New Roman"/>
          <w:sz w:val="20"/>
          <w:szCs w:val="20"/>
        </w:rPr>
      </w:pPr>
      <w:r w:rsidRPr="00F3120F">
        <w:rPr>
          <w:rStyle w:val="FootnoteReference"/>
          <w:rFonts w:ascii="Times New Roman" w:hAnsi="Times New Roman" w:cs="Times New Roman"/>
          <w:sz w:val="20"/>
          <w:szCs w:val="20"/>
        </w:rPr>
        <w:footnoteRef/>
      </w:r>
      <w:r w:rsidRPr="00F3120F">
        <w:rPr>
          <w:rFonts w:ascii="Times New Roman" w:hAnsi="Times New Roman" w:cs="Times New Roman"/>
          <w:sz w:val="20"/>
          <w:szCs w:val="20"/>
        </w:rPr>
        <w:t xml:space="preserve"> </w:t>
      </w:r>
      <w:r>
        <w:rPr>
          <w:rFonts w:ascii="Times New Roman" w:hAnsi="Times New Roman" w:cs="Times New Roman"/>
          <w:i/>
          <w:sz w:val="20"/>
          <w:szCs w:val="20"/>
          <w:lang w:val="en-US"/>
        </w:rPr>
        <w:t xml:space="preserve">SCC v LM </w:t>
      </w:r>
      <w:r>
        <w:rPr>
          <w:rFonts w:ascii="Times New Roman" w:hAnsi="Times New Roman" w:cs="Times New Roman"/>
          <w:sz w:val="20"/>
          <w:szCs w:val="20"/>
          <w:lang w:val="en-US"/>
        </w:rPr>
        <w:t xml:space="preserve">[2012] </w:t>
      </w:r>
      <w:r w:rsidRPr="00325987">
        <w:rPr>
          <w:rFonts w:ascii="Times New Roman" w:hAnsi="Times New Roman" w:cs="Times New Roman"/>
          <w:sz w:val="20"/>
          <w:szCs w:val="20"/>
          <w:lang w:val="en-US"/>
        </w:rPr>
        <w:t>EWHC 1137 (COP) [84].</w:t>
      </w:r>
    </w:p>
  </w:footnote>
  <w:footnote w:id="2">
    <w:p w14:paraId="686379EE" w14:textId="77777777" w:rsidR="001A2FA6" w:rsidRPr="002F5117" w:rsidRDefault="001A2FA6" w:rsidP="00627FFE">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Dementia is used to refer to a collection of similar symptoms, caused by different illnesses, such as Alzheimer’s, vascular dementia, Lewy Bodie</w:t>
      </w:r>
      <w:r w:rsidRPr="002F5117">
        <w:rPr>
          <w:rFonts w:ascii="Times New Roman" w:hAnsi="Times New Roman" w:cs="Times New Roman"/>
          <w:sz w:val="20"/>
          <w:szCs w:val="20"/>
          <w:lang w:val="en-US"/>
        </w:rPr>
        <w:t xml:space="preserve">s Dementia, Parkinson’s and Huntington’s. </w:t>
      </w:r>
    </w:p>
  </w:footnote>
  <w:footnote w:id="3">
    <w:p w14:paraId="4B497C4C" w14:textId="77777777" w:rsidR="001A2FA6" w:rsidRPr="00627FFE" w:rsidRDefault="001A2FA6" w:rsidP="00627FFE">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Alzheimer’s Society, </w:t>
      </w:r>
      <w:r w:rsidRPr="00325987">
        <w:rPr>
          <w:rFonts w:ascii="Times New Roman" w:hAnsi="Times New Roman" w:cs="Times New Roman"/>
          <w:i/>
          <w:sz w:val="20"/>
          <w:szCs w:val="20"/>
        </w:rPr>
        <w:t xml:space="preserve">Dementia 2014: Opportunity for Change, </w:t>
      </w:r>
      <w:r w:rsidRPr="00627FFE">
        <w:rPr>
          <w:rFonts w:ascii="Times New Roman" w:hAnsi="Times New Roman" w:cs="Times New Roman"/>
          <w:sz w:val="20"/>
          <w:szCs w:val="20"/>
        </w:rPr>
        <w:t>(Alzheimer’s Society, 2014) 1.</w:t>
      </w:r>
      <w:r w:rsidRPr="00627FFE">
        <w:rPr>
          <w:rFonts w:ascii="Times New Roman" w:hAnsi="Times New Roman" w:cs="Times New Roman"/>
          <w:sz w:val="20"/>
          <w:szCs w:val="20"/>
          <w:lang w:val="en-US"/>
        </w:rPr>
        <w:t xml:space="preserve"> </w:t>
      </w:r>
    </w:p>
  </w:footnote>
  <w:footnote w:id="4">
    <w:p w14:paraId="5D324B78" w14:textId="102F02E2" w:rsidR="001A2FA6" w:rsidRPr="00325987" w:rsidRDefault="001A2FA6" w:rsidP="00627FFE">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 xml:space="preserve">Nuffield Council on Bioethics, </w:t>
      </w:r>
      <w:r w:rsidRPr="00627FFE">
        <w:rPr>
          <w:rFonts w:ascii="Times New Roman" w:hAnsi="Times New Roman" w:cs="Times New Roman"/>
          <w:i/>
          <w:sz w:val="20"/>
          <w:szCs w:val="20"/>
          <w:lang w:val="en-US"/>
        </w:rPr>
        <w:t xml:space="preserve">Dementia: Ethical Issues, </w:t>
      </w:r>
      <w:r w:rsidRPr="00627FFE">
        <w:rPr>
          <w:rFonts w:ascii="Times New Roman" w:hAnsi="Times New Roman" w:cs="Times New Roman"/>
          <w:sz w:val="20"/>
          <w:szCs w:val="20"/>
          <w:lang w:val="en-US"/>
        </w:rPr>
        <w:t>(Nuffield C</w:t>
      </w:r>
      <w:r w:rsidR="00E6357A">
        <w:rPr>
          <w:rFonts w:ascii="Times New Roman" w:hAnsi="Times New Roman" w:cs="Times New Roman"/>
          <w:sz w:val="20"/>
          <w:szCs w:val="20"/>
          <w:lang w:val="en-US"/>
        </w:rPr>
        <w:t xml:space="preserve">ouncil on Bioethics, 2009) </w:t>
      </w:r>
      <w:r w:rsidRPr="00627FFE">
        <w:rPr>
          <w:rFonts w:ascii="Times New Roman" w:hAnsi="Times New Roman" w:cs="Times New Roman"/>
          <w:sz w:val="20"/>
          <w:szCs w:val="20"/>
          <w:lang w:val="en-US"/>
        </w:rPr>
        <w:t xml:space="preserve">1.18, G Boyle, ‘The Role of Autonomy in Explaining Mental Ill-Health and Depression among Older People in Long-Term Care Settings’, (2005) 25 </w:t>
      </w:r>
      <w:r w:rsidRPr="002F5117">
        <w:rPr>
          <w:rFonts w:ascii="Times New Roman" w:hAnsi="Times New Roman" w:cs="Times New Roman"/>
          <w:sz w:val="20"/>
          <w:szCs w:val="20"/>
          <w:lang w:val="en-US"/>
        </w:rPr>
        <w:t xml:space="preserve">Ageing &amp; Society 731-748; M Cook </w:t>
      </w:r>
      <w:r w:rsidRPr="002F5117">
        <w:rPr>
          <w:rFonts w:ascii="Times New Roman" w:hAnsi="Times New Roman" w:cs="Times New Roman"/>
          <w:i/>
          <w:sz w:val="20"/>
          <w:szCs w:val="20"/>
          <w:lang w:val="en-US"/>
        </w:rPr>
        <w:t>et al</w:t>
      </w:r>
      <w:r w:rsidRPr="00ED46D5">
        <w:rPr>
          <w:rFonts w:ascii="Times New Roman" w:hAnsi="Times New Roman" w:cs="Times New Roman"/>
          <w:sz w:val="20"/>
          <w:szCs w:val="20"/>
          <w:lang w:val="en-US"/>
        </w:rPr>
        <w:t xml:space="preserve">, ‘Incidence of Stroke and Seizure in Alzheimer’s Disease Dementia’, (2015) 44(4) Age &amp; </w:t>
      </w:r>
      <w:r w:rsidRPr="00325987">
        <w:rPr>
          <w:rFonts w:ascii="Times New Roman" w:hAnsi="Times New Roman" w:cs="Times New Roman"/>
          <w:sz w:val="20"/>
          <w:szCs w:val="20"/>
          <w:lang w:val="en-US"/>
        </w:rPr>
        <w:t>Ageing</w:t>
      </w:r>
      <w:r w:rsidRPr="00325987">
        <w:rPr>
          <w:rFonts w:ascii="Times New Roman" w:hAnsi="Times New Roman" w:cs="Times New Roman"/>
          <w:i/>
          <w:sz w:val="20"/>
          <w:szCs w:val="20"/>
          <w:lang w:val="en-US"/>
        </w:rPr>
        <w:t xml:space="preserve"> </w:t>
      </w:r>
      <w:r w:rsidRPr="00325987">
        <w:rPr>
          <w:rFonts w:ascii="Times New Roman" w:hAnsi="Times New Roman" w:cs="Times New Roman"/>
          <w:sz w:val="20"/>
          <w:szCs w:val="20"/>
          <w:lang w:val="en-US"/>
        </w:rPr>
        <w:t>700-704.</w:t>
      </w:r>
    </w:p>
  </w:footnote>
  <w:footnote w:id="5">
    <w:p w14:paraId="6D862EF4" w14:textId="7350E78D" w:rsidR="001A2FA6" w:rsidRPr="00325987" w:rsidRDefault="001A2FA6" w:rsidP="00627FFE">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See, for example: </w:t>
      </w:r>
      <w:r w:rsidRPr="00627FFE">
        <w:rPr>
          <w:rFonts w:ascii="Times New Roman" w:hAnsi="Times New Roman" w:cs="Times New Roman"/>
          <w:sz w:val="20"/>
          <w:szCs w:val="20"/>
          <w:lang w:val="en-US"/>
        </w:rPr>
        <w:t>R Dworkin, ‘Autonomy and the Demented Self’, (1986) 64(2) The Millbank</w:t>
      </w:r>
      <w:r w:rsidRPr="005855CD">
        <w:rPr>
          <w:rFonts w:ascii="Times New Roman" w:hAnsi="Times New Roman" w:cs="Times New Roman"/>
          <w:i/>
          <w:sz w:val="20"/>
          <w:szCs w:val="20"/>
          <w:lang w:val="en-US"/>
        </w:rPr>
        <w:t xml:space="preserve"> </w:t>
      </w:r>
      <w:r w:rsidRPr="002F5117">
        <w:rPr>
          <w:rFonts w:ascii="Times New Roman" w:hAnsi="Times New Roman" w:cs="Times New Roman"/>
          <w:sz w:val="20"/>
          <w:szCs w:val="20"/>
          <w:lang w:val="en-US"/>
        </w:rPr>
        <w:t xml:space="preserve">Quarterly 4-16; R Dworkin, </w:t>
      </w:r>
      <w:r w:rsidRPr="00325987">
        <w:rPr>
          <w:rFonts w:ascii="Times New Roman" w:hAnsi="Times New Roman" w:cs="Times New Roman"/>
          <w:i/>
          <w:sz w:val="20"/>
          <w:szCs w:val="20"/>
          <w:lang w:val="en-US"/>
        </w:rPr>
        <w:t>Life’s Dominion</w:t>
      </w:r>
      <w:r w:rsidRPr="00325987">
        <w:rPr>
          <w:rFonts w:ascii="Times New Roman" w:hAnsi="Times New Roman" w:cs="Times New Roman"/>
          <w:sz w:val="20"/>
          <w:szCs w:val="20"/>
          <w:lang w:val="en-US"/>
        </w:rPr>
        <w:t>, (HarperCollins: London, 1993);</w:t>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 xml:space="preserve">MJ Newton, ‘Precedent Autonomy: Life Sustaining Intervention and the Demented Patient’, (1999) 8 Cambridge Quarterly of Healthcare Ethics 189-199; D Degrazia, ‘Advance Directives, Dementia, and ‘the Someone Else Problem’, (1999) 13(5) Bioethics 373-391; AR Maclean, ‘Advance Directives, Future Selves and </w:t>
      </w:r>
      <w:r w:rsidR="00E6357A">
        <w:rPr>
          <w:rFonts w:ascii="Times New Roman" w:hAnsi="Times New Roman" w:cs="Times New Roman"/>
          <w:sz w:val="20"/>
          <w:szCs w:val="20"/>
          <w:lang w:val="en-US"/>
        </w:rPr>
        <w:t>Decision-Making’, (2006) 14 Med</w:t>
      </w:r>
      <w:r w:rsidRPr="00325987">
        <w:rPr>
          <w:rFonts w:ascii="Times New Roman" w:hAnsi="Times New Roman" w:cs="Times New Roman"/>
          <w:sz w:val="20"/>
          <w:szCs w:val="20"/>
          <w:lang w:val="en-US"/>
        </w:rPr>
        <w:t xml:space="preserve"> L</w:t>
      </w:r>
      <w:r w:rsidR="00E6357A">
        <w:rPr>
          <w:rFonts w:ascii="Times New Roman" w:hAnsi="Times New Roman" w:cs="Times New Roman"/>
          <w:sz w:val="20"/>
          <w:szCs w:val="20"/>
          <w:lang w:val="en-US"/>
        </w:rPr>
        <w:t>R</w:t>
      </w:r>
      <w:r w:rsidRPr="00325987">
        <w:rPr>
          <w:rFonts w:ascii="Times New Roman" w:hAnsi="Times New Roman" w:cs="Times New Roman"/>
          <w:sz w:val="20"/>
          <w:szCs w:val="20"/>
          <w:lang w:val="en-US"/>
        </w:rPr>
        <w:t xml:space="preserve"> 291-320; S Holm, ‘Autonomy, Authenticity or Best Interest: Everyday Decision-Making and Persons with Dementia’, (2001) 4 Medicine, Health Care and Philosophy</w:t>
      </w:r>
      <w:r w:rsidRPr="00325987">
        <w:rPr>
          <w:rFonts w:ascii="Times New Roman" w:hAnsi="Times New Roman" w:cs="Times New Roman"/>
          <w:i/>
          <w:sz w:val="20"/>
          <w:szCs w:val="20"/>
          <w:lang w:val="en-US"/>
        </w:rPr>
        <w:t xml:space="preserve"> </w:t>
      </w:r>
      <w:r w:rsidRPr="00325987">
        <w:rPr>
          <w:rFonts w:ascii="Times New Roman" w:hAnsi="Times New Roman" w:cs="Times New Roman"/>
          <w:sz w:val="20"/>
          <w:szCs w:val="20"/>
          <w:lang w:val="en-US"/>
        </w:rPr>
        <w:t>153-159.</w:t>
      </w:r>
    </w:p>
  </w:footnote>
  <w:footnote w:id="6">
    <w:p w14:paraId="4FC44A37" w14:textId="77777777" w:rsidR="001A2FA6" w:rsidRPr="002F5117" w:rsidRDefault="001A2FA6" w:rsidP="00627FFE">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R </w:t>
      </w:r>
      <w:r w:rsidRPr="00627FFE">
        <w:rPr>
          <w:rFonts w:ascii="Times New Roman" w:hAnsi="Times New Roman" w:cs="Times New Roman"/>
          <w:sz w:val="20"/>
          <w:szCs w:val="20"/>
          <w:lang w:val="en-US"/>
        </w:rPr>
        <w:t xml:space="preserve">Dresser, ‘Dworkin on Dementia: Elegant Theory, Questionable Policy’, (1995) 25(6) Hastings Center Report 32-38; </w:t>
      </w:r>
      <w:r w:rsidRPr="005855CD">
        <w:rPr>
          <w:rFonts w:ascii="Times New Roman" w:hAnsi="Times New Roman" w:cs="Times New Roman"/>
          <w:sz w:val="20"/>
          <w:szCs w:val="20"/>
        </w:rPr>
        <w:t>R</w:t>
      </w:r>
      <w:r w:rsidRPr="002F5117">
        <w:rPr>
          <w:rFonts w:ascii="Times New Roman" w:hAnsi="Times New Roman" w:cs="Times New Roman"/>
          <w:sz w:val="20"/>
          <w:szCs w:val="20"/>
        </w:rPr>
        <w:t xml:space="preserve"> Dresser, ‘Missing Persons: Legal Perceptions of Incompetent Patients’, (1994) 46(2) Rutgers Law Review 609-719.</w:t>
      </w:r>
    </w:p>
  </w:footnote>
  <w:footnote w:id="7">
    <w:p w14:paraId="385FF852" w14:textId="77777777" w:rsidR="001A2FA6" w:rsidRPr="002F5117" w:rsidRDefault="001A2FA6" w:rsidP="00627FFE">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In</w:t>
      </w:r>
      <w:r w:rsidRPr="00627FFE">
        <w:rPr>
          <w:rFonts w:ascii="Times New Roman" w:hAnsi="Times New Roman" w:cs="Times New Roman"/>
          <w:sz w:val="20"/>
          <w:szCs w:val="20"/>
          <w:lang w:val="en-US"/>
        </w:rPr>
        <w:t xml:space="preserve"> England and Wales, an individual is legally treated as being the ‘same’ person, therefore in law the literature on the personhood problem is only </w:t>
      </w:r>
      <w:r w:rsidRPr="005855CD">
        <w:rPr>
          <w:rFonts w:ascii="Times New Roman" w:hAnsi="Times New Roman" w:cs="Times New Roman"/>
          <w:sz w:val="20"/>
          <w:szCs w:val="20"/>
          <w:lang w:val="en-US"/>
        </w:rPr>
        <w:t>hypothetically relevant</w:t>
      </w:r>
      <w:r w:rsidRPr="002F5117">
        <w:rPr>
          <w:rFonts w:ascii="Times New Roman" w:hAnsi="Times New Roman" w:cs="Times New Roman"/>
          <w:sz w:val="20"/>
          <w:szCs w:val="20"/>
          <w:lang w:val="en-US"/>
        </w:rPr>
        <w:t>.</w:t>
      </w:r>
    </w:p>
  </w:footnote>
  <w:footnote w:id="8">
    <w:p w14:paraId="54C6418C" w14:textId="77777777" w:rsidR="001A2FA6" w:rsidRPr="009F32D9" w:rsidRDefault="001A2FA6" w:rsidP="005855CD">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 xml:space="preserve">This reliance on cognitive functioning for personhood is replicated in </w:t>
      </w:r>
      <w:r w:rsidRPr="00627FFE">
        <w:rPr>
          <w:rFonts w:ascii="Times New Roman" w:hAnsi="Times New Roman" w:cs="Times New Roman"/>
          <w:sz w:val="20"/>
          <w:szCs w:val="20"/>
          <w:lang w:val="en-US"/>
        </w:rPr>
        <w:t>some areas of law.  As Herring notes, legal death is related to the death of the brain stem, which implies that …once the brain stem has gone, all that gives life value has been lost…</w:t>
      </w:r>
      <w:r w:rsidRPr="005855CD">
        <w:rPr>
          <w:rFonts w:ascii="Times New Roman" w:hAnsi="Times New Roman" w:cs="Times New Roman"/>
          <w:sz w:val="20"/>
          <w:szCs w:val="20"/>
          <w:lang w:val="en-US"/>
        </w:rPr>
        <w:t>’: J</w:t>
      </w:r>
      <w:r w:rsidRPr="002F5117">
        <w:rPr>
          <w:rFonts w:ascii="Times New Roman" w:hAnsi="Times New Roman" w:cs="Times New Roman"/>
          <w:sz w:val="20"/>
          <w:szCs w:val="20"/>
          <w:lang w:val="en-US"/>
        </w:rPr>
        <w:t xml:space="preserve"> Herring, </w:t>
      </w:r>
      <w:r w:rsidRPr="002F5117">
        <w:rPr>
          <w:rFonts w:ascii="Times New Roman" w:hAnsi="Times New Roman" w:cs="Times New Roman"/>
          <w:i/>
          <w:sz w:val="20"/>
          <w:szCs w:val="20"/>
          <w:lang w:val="en-US"/>
        </w:rPr>
        <w:t xml:space="preserve">Medical Law and Ethics, </w:t>
      </w:r>
      <w:r w:rsidRPr="00ED46D5">
        <w:rPr>
          <w:rFonts w:ascii="Times New Roman" w:hAnsi="Times New Roman" w:cs="Times New Roman"/>
          <w:sz w:val="20"/>
          <w:szCs w:val="20"/>
          <w:lang w:val="en-US"/>
        </w:rPr>
        <w:t>(OUP: Oxford, 5</w:t>
      </w:r>
      <w:r w:rsidRPr="009F32D9">
        <w:rPr>
          <w:rFonts w:ascii="Times New Roman" w:hAnsi="Times New Roman" w:cs="Times New Roman"/>
          <w:sz w:val="20"/>
          <w:szCs w:val="20"/>
          <w:vertAlign w:val="superscript"/>
          <w:lang w:val="en-US"/>
        </w:rPr>
        <w:t>th</w:t>
      </w:r>
      <w:r w:rsidRPr="009F32D9">
        <w:rPr>
          <w:rFonts w:ascii="Times New Roman" w:hAnsi="Times New Roman" w:cs="Times New Roman"/>
          <w:sz w:val="20"/>
          <w:szCs w:val="20"/>
          <w:lang w:val="en-US"/>
        </w:rPr>
        <w:t xml:space="preserve"> edn, 2014) 479.</w:t>
      </w:r>
    </w:p>
  </w:footnote>
  <w:footnote w:id="9">
    <w:p w14:paraId="54CD76F1" w14:textId="77777777" w:rsidR="001A2FA6" w:rsidRPr="00140A42" w:rsidRDefault="001A2FA6" w:rsidP="002F5117">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It is such</w:t>
      </w:r>
      <w:r w:rsidRPr="00627FFE">
        <w:rPr>
          <w:rFonts w:ascii="Times New Roman" w:hAnsi="Times New Roman" w:cs="Times New Roman"/>
          <w:sz w:val="20"/>
          <w:szCs w:val="20"/>
          <w:lang w:val="en-US"/>
        </w:rPr>
        <w:t xml:space="preserve"> concerns that have led to some developing a ‘relational’ theory of personhood. See, for example, KJ</w:t>
      </w:r>
      <w:r w:rsidRPr="005855CD">
        <w:rPr>
          <w:rFonts w:ascii="Times New Roman" w:hAnsi="Times New Roman" w:cs="Times New Roman"/>
          <w:sz w:val="20"/>
          <w:szCs w:val="20"/>
          <w:lang w:val="en-US"/>
        </w:rPr>
        <w:t xml:space="preserve"> Gergen, </w:t>
      </w:r>
      <w:r w:rsidRPr="005855CD">
        <w:rPr>
          <w:rFonts w:ascii="Times New Roman" w:hAnsi="Times New Roman" w:cs="Times New Roman"/>
          <w:i/>
          <w:sz w:val="20"/>
          <w:szCs w:val="20"/>
          <w:lang w:val="en-US"/>
        </w:rPr>
        <w:t xml:space="preserve">Relational Being: Beyond Self and Community, </w:t>
      </w:r>
      <w:r w:rsidRPr="002F5117">
        <w:rPr>
          <w:rFonts w:ascii="Times New Roman" w:hAnsi="Times New Roman" w:cs="Times New Roman"/>
          <w:sz w:val="20"/>
          <w:szCs w:val="20"/>
          <w:lang w:val="en-US"/>
        </w:rPr>
        <w:t>(OUP: Oxford, 2009).</w:t>
      </w:r>
    </w:p>
  </w:footnote>
  <w:footnote w:id="10">
    <w:p w14:paraId="6958E8A5" w14:textId="77777777" w:rsidR="001A2FA6" w:rsidRPr="002F5117" w:rsidRDefault="001A2FA6" w:rsidP="002F5117">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GS</w:t>
      </w:r>
      <w:r w:rsidRPr="00627FFE">
        <w:rPr>
          <w:rFonts w:ascii="Times New Roman" w:hAnsi="Times New Roman" w:cs="Times New Roman"/>
          <w:sz w:val="20"/>
          <w:szCs w:val="20"/>
          <w:lang w:val="en-US"/>
        </w:rPr>
        <w:t xml:space="preserve"> Rai, </w:t>
      </w:r>
      <w:r w:rsidRPr="00627FFE">
        <w:rPr>
          <w:rFonts w:ascii="Times New Roman" w:hAnsi="Times New Roman" w:cs="Times New Roman"/>
          <w:i/>
          <w:sz w:val="20"/>
          <w:szCs w:val="20"/>
          <w:lang w:val="en-US"/>
        </w:rPr>
        <w:t>Medical Ethics and the Elderly</w:t>
      </w:r>
      <w:r w:rsidRPr="005855CD">
        <w:rPr>
          <w:rFonts w:ascii="Times New Roman" w:hAnsi="Times New Roman" w:cs="Times New Roman"/>
          <w:sz w:val="20"/>
          <w:szCs w:val="20"/>
          <w:lang w:val="en-US"/>
        </w:rPr>
        <w:t>, (Radcliffe Medical Press: Oxford, 2</w:t>
      </w:r>
      <w:r w:rsidRPr="005855CD">
        <w:rPr>
          <w:rFonts w:ascii="Times New Roman" w:hAnsi="Times New Roman" w:cs="Times New Roman"/>
          <w:sz w:val="20"/>
          <w:szCs w:val="20"/>
          <w:vertAlign w:val="superscript"/>
          <w:lang w:val="en-US"/>
        </w:rPr>
        <w:t>nd</w:t>
      </w:r>
      <w:r w:rsidRPr="002F5117">
        <w:rPr>
          <w:rFonts w:ascii="Times New Roman" w:hAnsi="Times New Roman" w:cs="Times New Roman"/>
          <w:sz w:val="20"/>
          <w:szCs w:val="20"/>
          <w:lang w:val="en-US"/>
        </w:rPr>
        <w:t xml:space="preserve"> edn, 2004) 125.</w:t>
      </w:r>
    </w:p>
  </w:footnote>
  <w:footnote w:id="11">
    <w:p w14:paraId="12E1EDC4" w14:textId="6C1176AA" w:rsidR="001A2FA6" w:rsidRPr="002F5117"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J</w:t>
      </w:r>
      <w:r w:rsidRPr="00627FFE">
        <w:rPr>
          <w:rFonts w:ascii="Times New Roman" w:hAnsi="Times New Roman" w:cs="Times New Roman"/>
          <w:sz w:val="20"/>
          <w:szCs w:val="20"/>
          <w:lang w:val="en-US"/>
        </w:rPr>
        <w:t xml:space="preserve"> Herring, </w:t>
      </w:r>
      <w:r w:rsidRPr="00627FFE">
        <w:rPr>
          <w:rFonts w:ascii="Times New Roman" w:hAnsi="Times New Roman" w:cs="Times New Roman"/>
          <w:i/>
          <w:sz w:val="20"/>
          <w:szCs w:val="20"/>
          <w:lang w:val="en-US"/>
        </w:rPr>
        <w:t>Older People in Law and Society</w:t>
      </w:r>
      <w:r w:rsidRPr="005855CD">
        <w:rPr>
          <w:rFonts w:ascii="Times New Roman" w:hAnsi="Times New Roman" w:cs="Times New Roman"/>
          <w:sz w:val="20"/>
          <w:szCs w:val="20"/>
          <w:lang w:val="en-US"/>
        </w:rPr>
        <w:t>, (OUP</w:t>
      </w:r>
      <w:r w:rsidRPr="002F5117">
        <w:rPr>
          <w:rFonts w:ascii="Times New Roman" w:hAnsi="Times New Roman" w:cs="Times New Roman"/>
          <w:sz w:val="20"/>
          <w:szCs w:val="20"/>
          <w:lang w:val="en-US"/>
        </w:rPr>
        <w:t>: Oxford, 2009) 92.</w:t>
      </w:r>
      <w:r>
        <w:rPr>
          <w:rFonts w:ascii="Times New Roman" w:hAnsi="Times New Roman" w:cs="Times New Roman"/>
          <w:sz w:val="20"/>
          <w:szCs w:val="20"/>
          <w:lang w:val="en-US"/>
        </w:rPr>
        <w:t xml:space="preserve"> This is a similar argument made by Dresser, who seeks to move away from cognitive functioning alone as the marker of personhood: see Dresser, above (n 6).</w:t>
      </w:r>
    </w:p>
  </w:footnote>
  <w:footnote w:id="12">
    <w:p w14:paraId="006B3A4B" w14:textId="77777777" w:rsidR="001A2FA6" w:rsidRPr="00325987"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JC</w:t>
      </w:r>
      <w:r w:rsidRPr="00627FFE">
        <w:rPr>
          <w:rFonts w:ascii="Times New Roman" w:hAnsi="Times New Roman" w:cs="Times New Roman"/>
          <w:sz w:val="20"/>
          <w:szCs w:val="20"/>
        </w:rPr>
        <w:t xml:space="preserve"> Hughes, ‘Views of the Person with Dementia’, (2001) 27(2) Journal of Medical Ethics</w:t>
      </w:r>
      <w:r w:rsidRPr="005855CD">
        <w:rPr>
          <w:rFonts w:ascii="Times New Roman" w:hAnsi="Times New Roman" w:cs="Times New Roman"/>
          <w:i/>
          <w:sz w:val="20"/>
          <w:szCs w:val="20"/>
        </w:rPr>
        <w:t xml:space="preserve"> </w:t>
      </w:r>
      <w:r w:rsidRPr="005855CD">
        <w:rPr>
          <w:rFonts w:ascii="Times New Roman" w:hAnsi="Times New Roman" w:cs="Times New Roman"/>
          <w:sz w:val="20"/>
          <w:szCs w:val="20"/>
        </w:rPr>
        <w:t xml:space="preserve">86-91; </w:t>
      </w:r>
      <w:r w:rsidRPr="002F5117">
        <w:rPr>
          <w:rFonts w:ascii="Times New Roman" w:hAnsi="Times New Roman" w:cs="Times New Roman"/>
          <w:sz w:val="20"/>
          <w:szCs w:val="20"/>
          <w:lang w:val="en-US"/>
        </w:rPr>
        <w:t>A Jaworska, ‘Respecting the Margins of Agency: Alzheimer’s Patients and the Capacity to Value’, (1999) 28(2) Philosophy &amp; Public Affairs</w:t>
      </w:r>
      <w:r w:rsidRPr="00325987">
        <w:rPr>
          <w:rFonts w:ascii="Times New Roman" w:hAnsi="Times New Roman" w:cs="Times New Roman"/>
          <w:i/>
          <w:sz w:val="20"/>
          <w:szCs w:val="20"/>
          <w:lang w:val="en-US"/>
        </w:rPr>
        <w:t xml:space="preserve"> </w:t>
      </w:r>
      <w:r w:rsidRPr="00325987">
        <w:rPr>
          <w:rFonts w:ascii="Times New Roman" w:hAnsi="Times New Roman" w:cs="Times New Roman"/>
          <w:sz w:val="20"/>
          <w:szCs w:val="20"/>
          <w:lang w:val="en-US"/>
        </w:rPr>
        <w:t>105-138.</w:t>
      </w:r>
    </w:p>
  </w:footnote>
  <w:footnote w:id="13">
    <w:p w14:paraId="2CA80AAA" w14:textId="77777777" w:rsidR="001A2FA6" w:rsidRPr="00140A42"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Hughes </w:t>
      </w:r>
      <w:r w:rsidRPr="00325987">
        <w:rPr>
          <w:rFonts w:ascii="Times New Roman" w:hAnsi="Times New Roman" w:cs="Times New Roman"/>
          <w:i/>
          <w:sz w:val="20"/>
          <w:szCs w:val="20"/>
        </w:rPr>
        <w:t xml:space="preserve">ibid. </w:t>
      </w:r>
      <w:r w:rsidRPr="00627FFE">
        <w:rPr>
          <w:rFonts w:ascii="Times New Roman" w:hAnsi="Times New Roman" w:cs="Times New Roman"/>
          <w:sz w:val="20"/>
          <w:szCs w:val="20"/>
        </w:rPr>
        <w:t>87.</w:t>
      </w:r>
    </w:p>
  </w:footnote>
  <w:footnote w:id="14">
    <w:p w14:paraId="45ADF72C" w14:textId="77777777" w:rsidR="001A2FA6" w:rsidRPr="00325987"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This</w:t>
      </w:r>
      <w:r w:rsidRPr="00627FFE">
        <w:rPr>
          <w:rFonts w:ascii="Times New Roman" w:hAnsi="Times New Roman" w:cs="Times New Roman"/>
          <w:sz w:val="20"/>
          <w:szCs w:val="20"/>
        </w:rPr>
        <w:t xml:space="preserve"> paper focuses predominantly on health and welfare decisions, </w:t>
      </w:r>
      <w:r w:rsidRPr="005855CD">
        <w:rPr>
          <w:rFonts w:ascii="Times New Roman" w:hAnsi="Times New Roman" w:cs="Times New Roman"/>
          <w:sz w:val="20"/>
          <w:szCs w:val="20"/>
        </w:rPr>
        <w:t xml:space="preserve">which represent only </w:t>
      </w:r>
      <w:r w:rsidRPr="002F5117">
        <w:rPr>
          <w:rFonts w:ascii="Times New Roman" w:hAnsi="Times New Roman" w:cs="Times New Roman"/>
          <w:sz w:val="20"/>
          <w:szCs w:val="20"/>
        </w:rPr>
        <w:t xml:space="preserve">a small minority of contested best interests decisions.  </w:t>
      </w:r>
    </w:p>
  </w:footnote>
  <w:footnote w:id="15">
    <w:p w14:paraId="3DF0290A" w14:textId="003F639B" w:rsidR="001A2FA6" w:rsidRPr="00ED46D5"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627FFE">
        <w:rPr>
          <w:rFonts w:ascii="Times New Roman" w:hAnsi="Times New Roman" w:cs="Times New Roman"/>
          <w:sz w:val="20"/>
          <w:szCs w:val="20"/>
          <w:lang w:val="en-US"/>
        </w:rPr>
        <w:t>See also: P</w:t>
      </w:r>
      <w:r w:rsidRPr="005855CD">
        <w:rPr>
          <w:rFonts w:ascii="Times New Roman" w:hAnsi="Times New Roman" w:cs="Times New Roman"/>
          <w:sz w:val="20"/>
          <w:szCs w:val="20"/>
          <w:lang w:val="en-US"/>
        </w:rPr>
        <w:t xml:space="preserve"> Bartlett, ‘Sex, Dementia, Capacity and Care Homes’, (2010) 31 Liverpool Law Review</w:t>
      </w:r>
      <w:r w:rsidRPr="002F5117">
        <w:rPr>
          <w:rFonts w:ascii="Times New Roman" w:hAnsi="Times New Roman" w:cs="Times New Roman"/>
          <w:sz w:val="20"/>
          <w:szCs w:val="20"/>
          <w:lang w:val="en-US"/>
        </w:rPr>
        <w:t xml:space="preserve"> 137-154; C Foster, J Herring and I Doron, </w:t>
      </w:r>
      <w:r w:rsidRPr="002F5117">
        <w:rPr>
          <w:rFonts w:ascii="Times New Roman" w:hAnsi="Times New Roman" w:cs="Times New Roman"/>
          <w:i/>
          <w:sz w:val="20"/>
          <w:szCs w:val="20"/>
          <w:lang w:val="en-US"/>
        </w:rPr>
        <w:t>The Law and Ethics of Dementia</w:t>
      </w:r>
      <w:r w:rsidRPr="00ED46D5">
        <w:rPr>
          <w:rFonts w:ascii="Times New Roman" w:hAnsi="Times New Roman" w:cs="Times New Roman"/>
          <w:sz w:val="20"/>
          <w:szCs w:val="20"/>
          <w:lang w:val="en-US"/>
        </w:rPr>
        <w:t xml:space="preserve">, (Hart: Oxford, 2014); J Herring, ‘Losing It? Losing What? The Law and Dementia’, (2009) 21 </w:t>
      </w:r>
      <w:r w:rsidR="00EB528E">
        <w:rPr>
          <w:rFonts w:ascii="Times New Roman" w:hAnsi="Times New Roman" w:cs="Times New Roman"/>
          <w:sz w:val="20"/>
          <w:szCs w:val="20"/>
          <w:lang w:val="en-US"/>
        </w:rPr>
        <w:t>CFLQ</w:t>
      </w:r>
      <w:r w:rsidRPr="00ED46D5">
        <w:rPr>
          <w:rFonts w:ascii="Times New Roman" w:hAnsi="Times New Roman" w:cs="Times New Roman"/>
          <w:sz w:val="20"/>
          <w:szCs w:val="20"/>
          <w:lang w:val="en-US"/>
        </w:rPr>
        <w:t xml:space="preserve"> 3-29.</w:t>
      </w:r>
    </w:p>
  </w:footnote>
  <w:footnote w:id="16">
    <w:p w14:paraId="416342E5" w14:textId="77777777" w:rsidR="001A2FA6" w:rsidRPr="002F5117"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 xml:space="preserve">Although these tensions </w:t>
      </w:r>
      <w:r w:rsidRPr="00627FFE">
        <w:rPr>
          <w:rFonts w:ascii="Times New Roman" w:hAnsi="Times New Roman" w:cs="Times New Roman"/>
          <w:sz w:val="20"/>
          <w:szCs w:val="20"/>
          <w:lang w:val="en-US"/>
        </w:rPr>
        <w:t>are ones that have had a large corpus of academic literature dedicated to them</w:t>
      </w:r>
      <w:r w:rsidRPr="005855CD">
        <w:rPr>
          <w:rFonts w:ascii="Times New Roman" w:hAnsi="Times New Roman" w:cs="Times New Roman"/>
          <w:sz w:val="20"/>
          <w:szCs w:val="20"/>
          <w:lang w:val="en-US"/>
        </w:rPr>
        <w:t xml:space="preserve">, </w:t>
      </w:r>
      <w:r w:rsidRPr="002F5117">
        <w:rPr>
          <w:rFonts w:ascii="Times New Roman" w:hAnsi="Times New Roman" w:cs="Times New Roman"/>
          <w:sz w:val="20"/>
          <w:szCs w:val="20"/>
          <w:lang w:val="en-US"/>
        </w:rPr>
        <w:t xml:space="preserve">they have yet to be applied to a concrete legal context such as proffered in this paper. </w:t>
      </w:r>
    </w:p>
  </w:footnote>
  <w:footnote w:id="17">
    <w:p w14:paraId="180A1200" w14:textId="264AF180" w:rsidR="001A2FA6" w:rsidRPr="005855CD" w:rsidRDefault="001A2FA6">
      <w:pPr>
        <w:pStyle w:val="FootnoteText"/>
        <w:jc w:val="both"/>
        <w:rPr>
          <w:rFonts w:ascii="Times New Roman" w:hAnsi="Times New Roman" w:cs="Times New Roman"/>
          <w:sz w:val="20"/>
          <w:szCs w:val="20"/>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325987">
        <w:rPr>
          <w:rFonts w:ascii="Times New Roman" w:hAnsi="Times New Roman" w:cs="Times New Roman"/>
          <w:sz w:val="20"/>
          <w:szCs w:val="20"/>
          <w:lang w:val="en-US"/>
        </w:rPr>
        <w:t>M</w:t>
      </w:r>
      <w:r w:rsidRPr="00627FFE">
        <w:rPr>
          <w:rFonts w:ascii="Times New Roman" w:hAnsi="Times New Roman" w:cs="Times New Roman"/>
          <w:sz w:val="20"/>
          <w:szCs w:val="20"/>
          <w:lang w:val="en-US"/>
        </w:rPr>
        <w:t xml:space="preserve"> Donnelly, ‘Best Interests, Patient Participation and the Mental Capacity Act 2005’, (2009) 17(1) </w:t>
      </w:r>
      <w:r w:rsidR="00EB528E">
        <w:rPr>
          <w:rFonts w:ascii="Times New Roman" w:hAnsi="Times New Roman" w:cs="Times New Roman"/>
          <w:sz w:val="20"/>
          <w:szCs w:val="20"/>
          <w:lang w:val="en-US"/>
        </w:rPr>
        <w:t>Med LR</w:t>
      </w:r>
      <w:r w:rsidRPr="005855CD">
        <w:rPr>
          <w:rFonts w:ascii="Times New Roman" w:hAnsi="Times New Roman" w:cs="Times New Roman"/>
          <w:sz w:val="20"/>
          <w:szCs w:val="20"/>
          <w:lang w:val="en-US"/>
        </w:rPr>
        <w:t xml:space="preserve"> 1-29.</w:t>
      </w:r>
    </w:p>
  </w:footnote>
  <w:footnote w:id="18">
    <w:p w14:paraId="2B172857" w14:textId="2E91CB89" w:rsidR="001A2FA6" w:rsidRPr="00140A42" w:rsidRDefault="001A2FA6" w:rsidP="00140A42">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Pr="00140A42">
        <w:rPr>
          <w:rFonts w:ascii="Times New Roman" w:hAnsi="Times New Roman" w:cs="Times New Roman"/>
          <w:sz w:val="20"/>
          <w:szCs w:val="20"/>
        </w:rPr>
        <w:t xml:space="preserve"> B Winick, ‘The Side Effects of Incompetency Labelling and the Implications for Mental Health Law’, (1995) 1(1) Psychology, Public Policy and Law</w:t>
      </w:r>
      <w:r w:rsidRPr="00140A42">
        <w:rPr>
          <w:rFonts w:ascii="Times New Roman" w:hAnsi="Times New Roman" w:cs="Times New Roman"/>
          <w:i/>
          <w:sz w:val="20"/>
          <w:szCs w:val="20"/>
        </w:rPr>
        <w:t xml:space="preserve"> </w:t>
      </w:r>
      <w:r w:rsidRPr="00EB528E">
        <w:rPr>
          <w:rFonts w:ascii="Times New Roman" w:hAnsi="Times New Roman" w:cs="Times New Roman"/>
          <w:sz w:val="20"/>
          <w:szCs w:val="20"/>
        </w:rPr>
        <w:t>6-42.</w:t>
      </w:r>
    </w:p>
  </w:footnote>
  <w:footnote w:id="19">
    <w:p w14:paraId="5FEAD3BE" w14:textId="4D59481B" w:rsidR="001A2FA6" w:rsidRPr="005855CD" w:rsidRDefault="001A2FA6" w:rsidP="00140A42">
      <w:pPr>
        <w:pStyle w:val="FootnoteText"/>
        <w:jc w:val="both"/>
        <w:rPr>
          <w:rFonts w:ascii="Times New Roman" w:hAnsi="Times New Roman" w:cs="Times New Roman"/>
          <w:i/>
          <w:sz w:val="20"/>
          <w:szCs w:val="20"/>
          <w:u w:val="single"/>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Pr>
          <w:rFonts w:ascii="Times New Roman" w:hAnsi="Times New Roman" w:cs="Times New Roman"/>
          <w:sz w:val="20"/>
          <w:szCs w:val="20"/>
        </w:rPr>
        <w:t>Herring, above (n 15),</w:t>
      </w:r>
      <w:r w:rsidRPr="005855CD">
        <w:rPr>
          <w:rFonts w:ascii="Times New Roman" w:hAnsi="Times New Roman" w:cs="Times New Roman"/>
          <w:sz w:val="20"/>
          <w:szCs w:val="20"/>
          <w:lang w:val="en-US"/>
        </w:rPr>
        <w:t xml:space="preserve"> and more broadly, see: J Herring and J Wall, ‘Autonomy, Capacity and Vulnerable Adults: Filling the Gaps in the Mental Capacity Act’, (2015) 35(4) Legal Studies </w:t>
      </w:r>
      <w:r w:rsidRPr="008B74AF">
        <w:rPr>
          <w:rFonts w:ascii="Times New Roman" w:hAnsi="Times New Roman" w:cs="Times New Roman"/>
          <w:sz w:val="20"/>
          <w:szCs w:val="20"/>
          <w:lang w:val="en-US"/>
        </w:rPr>
        <w:t>698-719.</w:t>
      </w:r>
    </w:p>
  </w:footnote>
  <w:footnote w:id="20">
    <w:p w14:paraId="123D77EE" w14:textId="087FF78A" w:rsidR="001A2FA6" w:rsidRPr="00627FFE"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627FFE">
        <w:rPr>
          <w:rFonts w:ascii="Times New Roman" w:hAnsi="Times New Roman" w:cs="Times New Roman"/>
          <w:sz w:val="20"/>
          <w:szCs w:val="20"/>
          <w:lang w:val="en-US"/>
        </w:rPr>
        <w:t xml:space="preserve">S de Beauvoir, </w:t>
      </w:r>
      <w:r w:rsidRPr="00627FFE">
        <w:rPr>
          <w:rFonts w:ascii="Times New Roman" w:hAnsi="Times New Roman" w:cs="Times New Roman"/>
          <w:i/>
          <w:sz w:val="20"/>
          <w:szCs w:val="20"/>
          <w:lang w:val="en-US"/>
        </w:rPr>
        <w:t xml:space="preserve">The Second Sex, </w:t>
      </w:r>
      <w:r w:rsidRPr="00627FFE">
        <w:rPr>
          <w:rFonts w:ascii="Times New Roman" w:hAnsi="Times New Roman" w:cs="Times New Roman"/>
          <w:sz w:val="20"/>
          <w:szCs w:val="20"/>
          <w:lang w:val="en-US"/>
        </w:rPr>
        <w:t xml:space="preserve">(HM Parshley tr, Penguin: Harmondsworth, 1972); S de Beauvoir, </w:t>
      </w:r>
      <w:r w:rsidRPr="00627FFE">
        <w:rPr>
          <w:rFonts w:ascii="Times New Roman" w:hAnsi="Times New Roman" w:cs="Times New Roman"/>
          <w:i/>
          <w:sz w:val="20"/>
          <w:szCs w:val="20"/>
          <w:lang w:val="en-US"/>
        </w:rPr>
        <w:t xml:space="preserve">Old Age, </w:t>
      </w:r>
      <w:r w:rsidRPr="00627FFE">
        <w:rPr>
          <w:rFonts w:ascii="Times New Roman" w:hAnsi="Times New Roman" w:cs="Times New Roman"/>
          <w:sz w:val="20"/>
          <w:szCs w:val="20"/>
          <w:lang w:val="en-US"/>
        </w:rPr>
        <w:t>(P O’Brien tr, Penguin: Middlesex, 1977);</w:t>
      </w:r>
      <w:r w:rsidRPr="002F5117">
        <w:rPr>
          <w:rFonts w:ascii="Times New Roman" w:hAnsi="Times New Roman" w:cs="Times New Roman"/>
          <w:sz w:val="20"/>
          <w:szCs w:val="20"/>
          <w:lang w:val="en-US"/>
        </w:rPr>
        <w:t xml:space="preserve"> C Gilligan, </w:t>
      </w:r>
      <w:r w:rsidRPr="002F5117">
        <w:rPr>
          <w:rFonts w:ascii="Times New Roman" w:hAnsi="Times New Roman" w:cs="Times New Roman"/>
          <w:i/>
          <w:sz w:val="20"/>
          <w:szCs w:val="20"/>
          <w:lang w:val="en-US"/>
        </w:rPr>
        <w:t xml:space="preserve">In a Different Voice, </w:t>
      </w:r>
      <w:r w:rsidRPr="002F5117">
        <w:rPr>
          <w:rFonts w:ascii="Times New Roman" w:hAnsi="Times New Roman" w:cs="Times New Roman"/>
          <w:sz w:val="20"/>
          <w:szCs w:val="20"/>
          <w:lang w:val="en-US"/>
        </w:rPr>
        <w:t xml:space="preserve">(Harvard University Press: Cambridge, 1982); N Naffine, </w:t>
      </w:r>
      <w:r w:rsidRPr="00325987">
        <w:rPr>
          <w:rFonts w:ascii="Times New Roman" w:hAnsi="Times New Roman" w:cs="Times New Roman"/>
          <w:i/>
          <w:sz w:val="20"/>
          <w:szCs w:val="20"/>
          <w:lang w:val="en-US"/>
        </w:rPr>
        <w:t>Law and the Sexes: Explorations in Feminist Jurisprudence</w:t>
      </w:r>
      <w:r w:rsidRPr="00325987">
        <w:rPr>
          <w:rFonts w:ascii="Times New Roman" w:hAnsi="Times New Roman" w:cs="Times New Roman"/>
          <w:sz w:val="20"/>
          <w:szCs w:val="20"/>
          <w:lang w:val="en-US"/>
        </w:rPr>
        <w:t xml:space="preserve">, (Allen &amp; Unwin: London, 1990); C Smart, ‘The Woman of Legal Discourse’, (1992) 1(1) Social &amp; Legal Studies </w:t>
      </w:r>
      <w:r>
        <w:rPr>
          <w:rFonts w:ascii="Times New Roman" w:hAnsi="Times New Roman" w:cs="Times New Roman"/>
          <w:sz w:val="20"/>
          <w:szCs w:val="20"/>
          <w:lang w:val="en-US"/>
        </w:rPr>
        <w:t xml:space="preserve">29-44, B Turner, </w:t>
      </w:r>
      <w:r>
        <w:rPr>
          <w:rFonts w:ascii="Times New Roman" w:hAnsi="Times New Roman" w:cs="Times New Roman"/>
          <w:i/>
          <w:sz w:val="20"/>
          <w:szCs w:val="20"/>
          <w:lang w:val="en-US"/>
        </w:rPr>
        <w:t xml:space="preserve">Vulnerability and Human Rights, </w:t>
      </w:r>
      <w:r>
        <w:rPr>
          <w:rFonts w:ascii="Times New Roman" w:hAnsi="Times New Roman" w:cs="Times New Roman"/>
          <w:sz w:val="20"/>
          <w:szCs w:val="20"/>
          <w:lang w:val="en-US"/>
        </w:rPr>
        <w:t>(Pennsylvania State University Press: Pennsylvania, 2006).</w:t>
      </w:r>
      <w:r w:rsidRPr="00627FFE">
        <w:rPr>
          <w:rFonts w:ascii="Times New Roman" w:hAnsi="Times New Roman" w:cs="Times New Roman"/>
          <w:sz w:val="20"/>
          <w:szCs w:val="20"/>
          <w:lang w:val="en-US"/>
        </w:rPr>
        <w:t xml:space="preserve"> In a specifically medico-legal context, see: K Keywood, ‘More Than a Woman? Embodiment and Sexual Difference in Medical Law’, (2000) 8(3) Feminist Legal Studies</w:t>
      </w:r>
      <w:r w:rsidRPr="00627FFE">
        <w:rPr>
          <w:rFonts w:ascii="Times New Roman" w:hAnsi="Times New Roman" w:cs="Times New Roman"/>
          <w:i/>
          <w:sz w:val="20"/>
          <w:szCs w:val="20"/>
          <w:lang w:val="en-US"/>
        </w:rPr>
        <w:t xml:space="preserve"> </w:t>
      </w:r>
      <w:r w:rsidRPr="00627FFE">
        <w:rPr>
          <w:rFonts w:ascii="Times New Roman" w:hAnsi="Times New Roman" w:cs="Times New Roman"/>
          <w:sz w:val="20"/>
          <w:szCs w:val="20"/>
          <w:lang w:val="en-US"/>
        </w:rPr>
        <w:t xml:space="preserve">319-342; </w:t>
      </w:r>
      <w:r>
        <w:rPr>
          <w:rFonts w:ascii="Times New Roman" w:hAnsi="Times New Roman" w:cs="Times New Roman"/>
          <w:sz w:val="20"/>
          <w:szCs w:val="20"/>
          <w:lang w:val="en-US"/>
        </w:rPr>
        <w:t xml:space="preserve">S Stefan, ‘Silencing the Different Voice: Competence, Feminist Theory and Law’, (1993) 47 University of Miami Law Review 763-815, </w:t>
      </w:r>
      <w:r w:rsidRPr="00627FFE">
        <w:rPr>
          <w:rFonts w:ascii="Times New Roman" w:hAnsi="Times New Roman" w:cs="Times New Roman"/>
          <w:sz w:val="20"/>
          <w:szCs w:val="20"/>
          <w:lang w:val="en-US"/>
        </w:rPr>
        <w:t>M Thomson, ‘Legislating for the Monstrous: Access to Reproductive Services and the Monstrous Feminine’, (1997) 6(3) Social &amp; Legal Studies 401-424.</w:t>
      </w:r>
    </w:p>
  </w:footnote>
  <w:footnote w:id="21">
    <w:p w14:paraId="5B2EA141" w14:textId="77777777" w:rsidR="001A2FA6" w:rsidRPr="00627FFE" w:rsidRDefault="001A2FA6">
      <w:pPr>
        <w:pStyle w:val="FootnoteText"/>
        <w:jc w:val="both"/>
        <w:rPr>
          <w:rFonts w:ascii="Times New Roman" w:hAnsi="Times New Roman" w:cs="Times New Roman"/>
          <w:sz w:val="20"/>
          <w:szCs w:val="20"/>
          <w:lang w:val="en-US"/>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w:t>
      </w:r>
      <w:r w:rsidRPr="00627FFE">
        <w:rPr>
          <w:rFonts w:ascii="Times New Roman" w:hAnsi="Times New Roman" w:cs="Times New Roman"/>
          <w:sz w:val="20"/>
          <w:szCs w:val="20"/>
          <w:lang w:val="en-US"/>
        </w:rPr>
        <w:t xml:space="preserve">M Shildrick, </w:t>
      </w:r>
      <w:r w:rsidRPr="00627FFE">
        <w:rPr>
          <w:rFonts w:ascii="Times New Roman" w:hAnsi="Times New Roman" w:cs="Times New Roman"/>
          <w:i/>
          <w:sz w:val="20"/>
          <w:szCs w:val="20"/>
          <w:lang w:val="en-US"/>
        </w:rPr>
        <w:t>Embodying the Monster: Encounters with the Vulnerable Self</w:t>
      </w:r>
      <w:r w:rsidRPr="00627FFE">
        <w:rPr>
          <w:rFonts w:ascii="Times New Roman" w:hAnsi="Times New Roman" w:cs="Times New Roman"/>
          <w:sz w:val="20"/>
          <w:szCs w:val="20"/>
          <w:lang w:val="en-US"/>
        </w:rPr>
        <w:t>, (Sage: London, 2002) 49.</w:t>
      </w:r>
    </w:p>
  </w:footnote>
  <w:footnote w:id="22">
    <w:p w14:paraId="26ED1282" w14:textId="77777777" w:rsidR="001A2FA6" w:rsidRPr="00627FFE" w:rsidRDefault="001A2FA6" w:rsidP="00140A42">
      <w:pPr>
        <w:pStyle w:val="FootnoteText"/>
        <w:jc w:val="both"/>
        <w:rPr>
          <w:rFonts w:ascii="Times New Roman" w:hAnsi="Times New Roman" w:cs="Times New Roman"/>
          <w:sz w:val="20"/>
          <w:szCs w:val="20"/>
        </w:rPr>
      </w:pPr>
      <w:r w:rsidRPr="00325987">
        <w:rPr>
          <w:rStyle w:val="FootnoteReference"/>
          <w:rFonts w:ascii="Times New Roman" w:hAnsi="Times New Roman" w:cs="Times New Roman"/>
          <w:sz w:val="20"/>
          <w:szCs w:val="20"/>
        </w:rPr>
        <w:footnoteRef/>
      </w:r>
      <w:r w:rsidRPr="00325987">
        <w:rPr>
          <w:rFonts w:ascii="Times New Roman" w:hAnsi="Times New Roman" w:cs="Times New Roman"/>
          <w:sz w:val="20"/>
          <w:szCs w:val="20"/>
        </w:rPr>
        <w:t xml:space="preserve"> K Keywood, ‘My Body and Other Stories: Anorexia Nervosa and the Legal Politics of Embodiment’, (2000) 9(4) Social &amp; Legal Studies 495-513, 499.</w:t>
      </w:r>
    </w:p>
  </w:footnote>
  <w:footnote w:id="23">
    <w:p w14:paraId="7946579D" w14:textId="25A4B32D" w:rsidR="001A2FA6" w:rsidRPr="00140A42" w:rsidRDefault="001A2FA6" w:rsidP="00627FFE">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Pr="00140A42">
        <w:rPr>
          <w:rFonts w:ascii="Times New Roman" w:hAnsi="Times New Roman" w:cs="Times New Roman"/>
          <w:sz w:val="20"/>
          <w:szCs w:val="20"/>
        </w:rPr>
        <w:t xml:space="preserve"> Section 2(1) of the Mental Capacity Act 2005 states that: ‘…a person lacks capacity in relation to a matter if at the material time he is unable to make a decision for himself in relation to the matter because of an impairment of, or a disturbance in the functioning of, the mind or brain.’</w:t>
      </w:r>
    </w:p>
  </w:footnote>
  <w:footnote w:id="24">
    <w:p w14:paraId="6FEBBB2C" w14:textId="6F7E4E67" w:rsidR="001A2FA6" w:rsidRPr="00325987" w:rsidRDefault="001A2FA6" w:rsidP="00627FFE">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627FFE">
        <w:rPr>
          <w:rFonts w:ascii="Times New Roman" w:hAnsi="Times New Roman" w:cs="Times New Roman"/>
          <w:sz w:val="20"/>
          <w:szCs w:val="20"/>
          <w:lang w:val="en-US"/>
        </w:rPr>
        <w:t xml:space="preserve">For a discussion of </w:t>
      </w:r>
      <w:r w:rsidRPr="005855CD">
        <w:rPr>
          <w:rFonts w:ascii="Times New Roman" w:hAnsi="Times New Roman" w:cs="Times New Roman"/>
          <w:sz w:val="20"/>
          <w:szCs w:val="20"/>
          <w:lang w:val="en-US"/>
        </w:rPr>
        <w:t>this point from the standpoint of the social m</w:t>
      </w:r>
      <w:r w:rsidRPr="002F5117">
        <w:rPr>
          <w:rFonts w:ascii="Times New Roman" w:hAnsi="Times New Roman" w:cs="Times New Roman"/>
          <w:sz w:val="20"/>
          <w:szCs w:val="20"/>
          <w:lang w:val="en-US"/>
        </w:rPr>
        <w:t>odel of disability see: B Clough, ‘“People Like That”: Realising the Social Model in Mental Capacity Jurisprudence’, (2015) 23(1) Med</w:t>
      </w:r>
      <w:r w:rsidR="000A0FF3">
        <w:rPr>
          <w:rFonts w:ascii="Times New Roman" w:hAnsi="Times New Roman" w:cs="Times New Roman"/>
          <w:sz w:val="20"/>
          <w:szCs w:val="20"/>
          <w:lang w:val="en-US"/>
        </w:rPr>
        <w:t xml:space="preserve"> L</w:t>
      </w:r>
      <w:r w:rsidRPr="00325987">
        <w:rPr>
          <w:rFonts w:ascii="Times New Roman" w:hAnsi="Times New Roman" w:cs="Times New Roman"/>
          <w:sz w:val="20"/>
          <w:szCs w:val="20"/>
          <w:lang w:val="en-US"/>
        </w:rPr>
        <w:t>R</w:t>
      </w:r>
      <w:r w:rsidRPr="00325987">
        <w:rPr>
          <w:rFonts w:ascii="Times New Roman" w:hAnsi="Times New Roman" w:cs="Times New Roman"/>
          <w:i/>
          <w:sz w:val="20"/>
          <w:szCs w:val="20"/>
          <w:lang w:val="en-US"/>
        </w:rPr>
        <w:t xml:space="preserve"> </w:t>
      </w:r>
      <w:r w:rsidRPr="00325987">
        <w:rPr>
          <w:rFonts w:ascii="Times New Roman" w:hAnsi="Times New Roman" w:cs="Times New Roman"/>
          <w:sz w:val="20"/>
          <w:szCs w:val="20"/>
          <w:lang w:val="en-US"/>
        </w:rPr>
        <w:t>53-80.</w:t>
      </w:r>
    </w:p>
  </w:footnote>
  <w:footnote w:id="25">
    <w:p w14:paraId="41787ECC" w14:textId="77777777" w:rsidR="001A2FA6" w:rsidRPr="002F5117" w:rsidRDefault="001A2FA6" w:rsidP="005855CD">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627FFE">
        <w:rPr>
          <w:rFonts w:ascii="Times New Roman" w:hAnsi="Times New Roman" w:cs="Times New Roman"/>
          <w:sz w:val="20"/>
          <w:szCs w:val="20"/>
          <w:lang w:val="en-US"/>
        </w:rPr>
        <w:t>T</w:t>
      </w:r>
      <w:r w:rsidRPr="005855CD">
        <w:rPr>
          <w:rFonts w:ascii="Times New Roman" w:hAnsi="Times New Roman" w:cs="Times New Roman"/>
          <w:sz w:val="20"/>
          <w:szCs w:val="20"/>
          <w:lang w:val="en-US"/>
        </w:rPr>
        <w:t xml:space="preserve">here is a presumption of capacity until </w:t>
      </w:r>
      <w:r w:rsidRPr="002F5117">
        <w:rPr>
          <w:rFonts w:ascii="Times New Roman" w:hAnsi="Times New Roman" w:cs="Times New Roman"/>
          <w:sz w:val="20"/>
          <w:szCs w:val="20"/>
          <w:lang w:val="en-US"/>
        </w:rPr>
        <w:t>proven otherwise: Mental Capacity Act 2005, s 1(2).</w:t>
      </w:r>
    </w:p>
  </w:footnote>
  <w:footnote w:id="26">
    <w:p w14:paraId="7F55AC82" w14:textId="4DF1E30E" w:rsidR="001A2FA6" w:rsidRPr="00140A42" w:rsidRDefault="001A2FA6" w:rsidP="005855CD">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Pr="00140A42">
        <w:rPr>
          <w:rFonts w:ascii="Times New Roman" w:hAnsi="Times New Roman" w:cs="Times New Roman"/>
          <w:sz w:val="20"/>
          <w:szCs w:val="20"/>
        </w:rPr>
        <w:t xml:space="preserve"> This is not akin to arguing for the removal of the threshold of mental (in)capacity. For such an argument, see: G den Hartogh, ‘Do we Need a Threshold Conception of Competence?’, (2015) 19(1) Medicine, Health Care and Philosophy 71-83. Indeed it is argued in Section V that even within the framework of the Act, the Court of Protection is able to avoid the process of ‘othering’.</w:t>
      </w:r>
    </w:p>
  </w:footnote>
  <w:footnote w:id="27">
    <w:p w14:paraId="54158F07" w14:textId="2ABCA7B6" w:rsidR="001A2FA6" w:rsidRPr="00140A42" w:rsidRDefault="001A2FA6" w:rsidP="00140A42">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Pr="00140A42">
        <w:rPr>
          <w:rFonts w:ascii="Times New Roman" w:hAnsi="Times New Roman" w:cs="Times New Roman"/>
          <w:sz w:val="20"/>
          <w:szCs w:val="20"/>
        </w:rPr>
        <w:t xml:space="preserve"> A person is deemed unable to make a decision if they are unable to understand or retain information relevant to the decision, to use or weight the information, or communicate their decision: s 3(1)(a)-(d).</w:t>
      </w:r>
    </w:p>
  </w:footnote>
  <w:footnote w:id="28">
    <w:p w14:paraId="455746A1" w14:textId="4AA8B2AA" w:rsidR="001A2FA6" w:rsidRPr="00140A42" w:rsidRDefault="001A2FA6" w:rsidP="00140A42">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Pr="00140A42">
        <w:rPr>
          <w:rFonts w:ascii="Times New Roman" w:hAnsi="Times New Roman" w:cs="Times New Roman"/>
          <w:sz w:val="20"/>
          <w:szCs w:val="20"/>
        </w:rPr>
        <w:t xml:space="preserve"> L Davis, </w:t>
      </w:r>
      <w:r w:rsidRPr="00140A42">
        <w:rPr>
          <w:rFonts w:ascii="Times New Roman" w:hAnsi="Times New Roman" w:cs="Times New Roman"/>
          <w:i/>
          <w:sz w:val="20"/>
          <w:szCs w:val="20"/>
        </w:rPr>
        <w:t xml:space="preserve">Bending Over Backwards: Disability, Dismodernism and Other Difficult Positions, </w:t>
      </w:r>
      <w:r w:rsidRPr="00140A42">
        <w:rPr>
          <w:rFonts w:ascii="Times New Roman" w:hAnsi="Times New Roman" w:cs="Times New Roman"/>
          <w:sz w:val="20"/>
          <w:szCs w:val="20"/>
        </w:rPr>
        <w:t xml:space="preserve">(New York University Press: New York, 2002) 50, cited in T Shakespeare, </w:t>
      </w:r>
      <w:r w:rsidRPr="00140A42">
        <w:rPr>
          <w:rFonts w:ascii="Times New Roman" w:hAnsi="Times New Roman" w:cs="Times New Roman"/>
          <w:i/>
          <w:sz w:val="20"/>
          <w:szCs w:val="20"/>
        </w:rPr>
        <w:t xml:space="preserve">Disability Rights and Wrongs Revisited, </w:t>
      </w:r>
      <w:r w:rsidRPr="00140A42">
        <w:rPr>
          <w:rFonts w:ascii="Times New Roman" w:hAnsi="Times New Roman" w:cs="Times New Roman"/>
          <w:sz w:val="20"/>
          <w:szCs w:val="20"/>
        </w:rPr>
        <w:t>(Routledge: Abingdon, 2</w:t>
      </w:r>
      <w:r w:rsidRPr="00140A42">
        <w:rPr>
          <w:rFonts w:ascii="Times New Roman" w:hAnsi="Times New Roman" w:cs="Times New Roman"/>
          <w:sz w:val="20"/>
          <w:szCs w:val="20"/>
          <w:vertAlign w:val="superscript"/>
        </w:rPr>
        <w:t>nd</w:t>
      </w:r>
      <w:r w:rsidRPr="00140A42">
        <w:rPr>
          <w:rFonts w:ascii="Times New Roman" w:hAnsi="Times New Roman" w:cs="Times New Roman"/>
          <w:sz w:val="20"/>
          <w:szCs w:val="20"/>
        </w:rPr>
        <w:t xml:space="preserve"> edn, 2014) 50. </w:t>
      </w:r>
    </w:p>
  </w:footnote>
  <w:footnote w:id="29">
    <w:p w14:paraId="7BB07A38" w14:textId="5B92B369" w:rsidR="001A2FA6" w:rsidRPr="00140A42" w:rsidRDefault="001A2FA6" w:rsidP="00140A42">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000A0FF3">
        <w:rPr>
          <w:rFonts w:ascii="Times New Roman" w:hAnsi="Times New Roman" w:cs="Times New Roman"/>
          <w:sz w:val="20"/>
          <w:szCs w:val="20"/>
        </w:rPr>
        <w:t xml:space="preserve"> Shakespeare</w:t>
      </w:r>
      <w:r w:rsidRPr="00140A42">
        <w:rPr>
          <w:rFonts w:ascii="Times New Roman" w:hAnsi="Times New Roman" w:cs="Times New Roman"/>
          <w:sz w:val="20"/>
          <w:szCs w:val="20"/>
        </w:rPr>
        <w:t xml:space="preserve"> </w:t>
      </w:r>
      <w:r w:rsidRPr="00140A42">
        <w:rPr>
          <w:rFonts w:ascii="Times New Roman" w:hAnsi="Times New Roman" w:cs="Times New Roman"/>
          <w:i/>
          <w:sz w:val="20"/>
          <w:szCs w:val="20"/>
        </w:rPr>
        <w:t xml:space="preserve">ibid. </w:t>
      </w:r>
      <w:r w:rsidRPr="00140A42">
        <w:rPr>
          <w:rFonts w:ascii="Times New Roman" w:hAnsi="Times New Roman" w:cs="Times New Roman"/>
          <w:sz w:val="20"/>
          <w:szCs w:val="20"/>
        </w:rPr>
        <w:t>63.</w:t>
      </w:r>
    </w:p>
  </w:footnote>
  <w:footnote w:id="30">
    <w:p w14:paraId="7098B2B7" w14:textId="77777777" w:rsidR="001A2FA6" w:rsidRPr="002F5117" w:rsidRDefault="001A2FA6">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C</w:t>
      </w:r>
      <w:r w:rsidRPr="005855CD">
        <w:rPr>
          <w:rFonts w:ascii="Times New Roman" w:hAnsi="Times New Roman" w:cs="Times New Roman"/>
          <w:sz w:val="20"/>
          <w:szCs w:val="20"/>
        </w:rPr>
        <w:t xml:space="preserve"> MacKinnon, ‘Reflections on Sex Equality Under Law’, (1991) 100(5) Yale Law Journal</w:t>
      </w:r>
      <w:r w:rsidRPr="005855CD">
        <w:rPr>
          <w:rFonts w:ascii="Times New Roman" w:hAnsi="Times New Roman" w:cs="Times New Roman"/>
          <w:i/>
          <w:sz w:val="20"/>
          <w:szCs w:val="20"/>
        </w:rPr>
        <w:t xml:space="preserve">, </w:t>
      </w:r>
      <w:r w:rsidRPr="002F5117">
        <w:rPr>
          <w:rFonts w:ascii="Times New Roman" w:hAnsi="Times New Roman" w:cs="Times New Roman"/>
          <w:sz w:val="20"/>
          <w:szCs w:val="20"/>
        </w:rPr>
        <w:t>1281-1328, 1294.</w:t>
      </w:r>
    </w:p>
  </w:footnote>
  <w:footnote w:id="31">
    <w:p w14:paraId="1D637F1D" w14:textId="1C513565" w:rsidR="001A2FA6" w:rsidRPr="00140A42" w:rsidRDefault="001A2FA6" w:rsidP="00140A42">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Pr="00140A42">
        <w:rPr>
          <w:rFonts w:ascii="Times New Roman" w:hAnsi="Times New Roman" w:cs="Times New Roman"/>
          <w:sz w:val="20"/>
          <w:szCs w:val="20"/>
        </w:rPr>
        <w:t xml:space="preserve"> Above (</w:t>
      </w:r>
      <w:r w:rsidR="001D5EF3">
        <w:rPr>
          <w:rFonts w:ascii="Times New Roman" w:hAnsi="Times New Roman" w:cs="Times New Roman"/>
          <w:sz w:val="20"/>
          <w:szCs w:val="20"/>
        </w:rPr>
        <w:t>n 22</w:t>
      </w:r>
      <w:r w:rsidRPr="00140A42">
        <w:rPr>
          <w:rFonts w:ascii="Times New Roman" w:hAnsi="Times New Roman" w:cs="Times New Roman"/>
          <w:sz w:val="20"/>
          <w:szCs w:val="20"/>
        </w:rPr>
        <w:t>).</w:t>
      </w:r>
    </w:p>
  </w:footnote>
  <w:footnote w:id="32">
    <w:p w14:paraId="2D0D13C3" w14:textId="625C1051" w:rsidR="001A2FA6" w:rsidRPr="00325987" w:rsidRDefault="001A2FA6" w:rsidP="00627FFE">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In </w:t>
      </w:r>
      <w:r w:rsidRPr="005855CD">
        <w:rPr>
          <w:rFonts w:ascii="Times New Roman" w:hAnsi="Times New Roman" w:cs="Times New Roman"/>
          <w:i/>
          <w:sz w:val="20"/>
          <w:szCs w:val="20"/>
        </w:rPr>
        <w:t xml:space="preserve">Re C (A Patient) </w:t>
      </w:r>
      <w:r w:rsidRPr="005855CD">
        <w:rPr>
          <w:rFonts w:ascii="Times New Roman" w:hAnsi="Times New Roman" w:cs="Times New Roman"/>
          <w:sz w:val="20"/>
          <w:szCs w:val="20"/>
        </w:rPr>
        <w:t>[1992] 1 FLR</w:t>
      </w:r>
      <w:r w:rsidRPr="002F5117">
        <w:rPr>
          <w:rFonts w:ascii="Times New Roman" w:hAnsi="Times New Roman" w:cs="Times New Roman"/>
          <w:sz w:val="20"/>
          <w:szCs w:val="20"/>
        </w:rPr>
        <w:t xml:space="preserve"> 51</w:t>
      </w:r>
      <w:r w:rsidRPr="002F5117">
        <w:rPr>
          <w:rFonts w:ascii="Times New Roman" w:hAnsi="Times New Roman" w:cs="Times New Roman"/>
          <w:i/>
          <w:sz w:val="20"/>
          <w:szCs w:val="20"/>
        </w:rPr>
        <w:t xml:space="preserve"> </w:t>
      </w:r>
      <w:r w:rsidRPr="002F5117">
        <w:rPr>
          <w:rFonts w:ascii="Times New Roman" w:hAnsi="Times New Roman" w:cs="Times New Roman"/>
          <w:sz w:val="20"/>
          <w:szCs w:val="20"/>
        </w:rPr>
        <w:t xml:space="preserve">it was held that if there was no indication of the person’s wishes prior to becoming incapacitated, the Court could </w:t>
      </w:r>
      <w:r w:rsidR="00ED5125">
        <w:rPr>
          <w:rFonts w:ascii="Times New Roman" w:hAnsi="Times New Roman" w:cs="Times New Roman"/>
          <w:sz w:val="20"/>
          <w:szCs w:val="20"/>
        </w:rPr>
        <w:t xml:space="preserve">explicitly </w:t>
      </w:r>
      <w:r w:rsidRPr="002F5117">
        <w:rPr>
          <w:rFonts w:ascii="Times New Roman" w:hAnsi="Times New Roman" w:cs="Times New Roman"/>
          <w:sz w:val="20"/>
          <w:szCs w:val="20"/>
        </w:rPr>
        <w:t xml:space="preserve">assume the standard of ‘a normal decent person, acting in accordance with contemporary standards of morality’.  In </w:t>
      </w:r>
      <w:r w:rsidRPr="00325987">
        <w:rPr>
          <w:rFonts w:ascii="Times New Roman" w:hAnsi="Times New Roman" w:cs="Times New Roman"/>
          <w:i/>
          <w:sz w:val="20"/>
          <w:szCs w:val="20"/>
        </w:rPr>
        <w:t xml:space="preserve">Aintree University Hospitals NHS Trust v James </w:t>
      </w:r>
      <w:r w:rsidRPr="00325987">
        <w:rPr>
          <w:rFonts w:ascii="Times New Roman" w:hAnsi="Times New Roman" w:cs="Times New Roman"/>
          <w:sz w:val="20"/>
          <w:szCs w:val="20"/>
        </w:rPr>
        <w:t>[2013] EWCA Civ 65 [59]</w:t>
      </w:r>
      <w:r w:rsidRPr="00325987">
        <w:rPr>
          <w:rFonts w:ascii="Times New Roman" w:hAnsi="Times New Roman" w:cs="Times New Roman"/>
          <w:i/>
          <w:sz w:val="20"/>
          <w:szCs w:val="20"/>
        </w:rPr>
        <w:t xml:space="preserve">, </w:t>
      </w:r>
      <w:r w:rsidRPr="00325987">
        <w:rPr>
          <w:rFonts w:ascii="Times New Roman" w:hAnsi="Times New Roman" w:cs="Times New Roman"/>
          <w:sz w:val="20"/>
          <w:szCs w:val="20"/>
        </w:rPr>
        <w:t>Arden LJ held that</w:t>
      </w:r>
      <w:r w:rsidRPr="00325987">
        <w:rPr>
          <w:rFonts w:ascii="Times New Roman" w:hAnsi="Times New Roman" w:cs="Times New Roman"/>
          <w:i/>
          <w:sz w:val="20"/>
          <w:szCs w:val="20"/>
        </w:rPr>
        <w:t xml:space="preserve"> </w:t>
      </w:r>
      <w:bookmarkStart w:id="0" w:name="para59"/>
      <w:r w:rsidRPr="00325987">
        <w:rPr>
          <w:rFonts w:ascii="Times New Roman" w:hAnsi="Times New Roman" w:cs="Times New Roman"/>
          <w:i/>
          <w:sz w:val="20"/>
          <w:szCs w:val="20"/>
        </w:rPr>
        <w:t>‘</w:t>
      </w:r>
      <w:r w:rsidRPr="00325987">
        <w:rPr>
          <w:rFonts w:ascii="Times New Roman" w:hAnsi="Times New Roman" w:cs="Times New Roman"/>
          <w:sz w:val="20"/>
          <w:szCs w:val="20"/>
          <w:lang w:val="en-US"/>
        </w:rPr>
        <w:t>[i]f the court has any doubt as to an individual's wishes or as to whether treatment should be given, it should proceed on the basis that the individual would act as a reasonable individual would act</w:t>
      </w:r>
      <w:bookmarkEnd w:id="0"/>
      <w:r w:rsidRPr="00325987">
        <w:rPr>
          <w:rFonts w:ascii="Times New Roman" w:hAnsi="Times New Roman" w:cs="Times New Roman"/>
          <w:sz w:val="20"/>
          <w:szCs w:val="20"/>
          <w:lang w:val="en-US"/>
        </w:rPr>
        <w:t>’.</w:t>
      </w:r>
      <w:r w:rsidRPr="00325987">
        <w:rPr>
          <w:rFonts w:ascii="Times New Roman" w:hAnsi="Times New Roman" w:cs="Times New Roman"/>
          <w:sz w:val="20"/>
          <w:szCs w:val="20"/>
        </w:rPr>
        <w:t xml:space="preserve"> The Supreme Court reversed this aspect of the Court of Appeal’s decision.</w:t>
      </w:r>
    </w:p>
  </w:footnote>
  <w:footnote w:id="33">
    <w:p w14:paraId="69BBEE4A" w14:textId="77777777" w:rsidR="001A2FA6" w:rsidRPr="00140A42" w:rsidRDefault="001A2FA6" w:rsidP="00627FFE">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5855CD">
        <w:rPr>
          <w:rFonts w:ascii="Times New Roman" w:hAnsi="Times New Roman" w:cs="Times New Roman"/>
          <w:sz w:val="20"/>
          <w:szCs w:val="20"/>
          <w:lang w:val="en-US"/>
        </w:rPr>
        <w:t xml:space="preserve">B Weicht, ‘Embracing Dependency: Rethinking (In)dependence in the Discourse of Care’, (2011) 58(2) </w:t>
      </w:r>
      <w:r w:rsidRPr="002F5117">
        <w:rPr>
          <w:rFonts w:ascii="Times New Roman" w:hAnsi="Times New Roman" w:cs="Times New Roman"/>
          <w:sz w:val="20"/>
          <w:szCs w:val="20"/>
          <w:lang w:val="en-US"/>
        </w:rPr>
        <w:t>The Sociological Review</w:t>
      </w:r>
      <w:r w:rsidRPr="002F5117">
        <w:rPr>
          <w:rFonts w:ascii="Times New Roman" w:hAnsi="Times New Roman" w:cs="Times New Roman"/>
          <w:i/>
          <w:sz w:val="20"/>
          <w:szCs w:val="20"/>
          <w:lang w:val="en-US"/>
        </w:rPr>
        <w:t xml:space="preserve"> </w:t>
      </w:r>
      <w:r w:rsidRPr="002F5117">
        <w:rPr>
          <w:rFonts w:ascii="Times New Roman" w:hAnsi="Times New Roman" w:cs="Times New Roman"/>
          <w:sz w:val="20"/>
          <w:szCs w:val="20"/>
          <w:lang w:val="en-US"/>
        </w:rPr>
        <w:t>205-224, 210.</w:t>
      </w:r>
    </w:p>
  </w:footnote>
  <w:footnote w:id="34">
    <w:p w14:paraId="69B16D8A" w14:textId="77777777" w:rsidR="001A2FA6" w:rsidRPr="00F66CD8" w:rsidRDefault="001A2FA6" w:rsidP="005855CD">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5855CD">
        <w:rPr>
          <w:rFonts w:ascii="Times New Roman" w:hAnsi="Times New Roman" w:cs="Times New Roman"/>
          <w:sz w:val="20"/>
          <w:szCs w:val="20"/>
          <w:lang w:val="en-US"/>
        </w:rPr>
        <w:t xml:space="preserve">SR Sabat and R </w:t>
      </w:r>
      <w:r w:rsidRPr="002F5117">
        <w:rPr>
          <w:rFonts w:ascii="Times New Roman" w:hAnsi="Times New Roman" w:cs="Times New Roman"/>
          <w:sz w:val="20"/>
          <w:szCs w:val="20"/>
        </w:rPr>
        <w:t>Harré, ‘The Construction and Deconstruction of Self in Alzheimer’s Disease’, (1992) 12 Ageing &amp; Society</w:t>
      </w:r>
      <w:r w:rsidRPr="009F32D9">
        <w:rPr>
          <w:rFonts w:ascii="Times New Roman" w:hAnsi="Times New Roman" w:cs="Times New Roman"/>
          <w:i/>
          <w:sz w:val="20"/>
          <w:szCs w:val="20"/>
        </w:rPr>
        <w:t xml:space="preserve"> </w:t>
      </w:r>
      <w:r w:rsidRPr="00F66CD8">
        <w:rPr>
          <w:rFonts w:ascii="Times New Roman" w:hAnsi="Times New Roman" w:cs="Times New Roman"/>
          <w:sz w:val="20"/>
          <w:szCs w:val="20"/>
        </w:rPr>
        <w:t>443-461, 456.</w:t>
      </w:r>
    </w:p>
  </w:footnote>
  <w:footnote w:id="35">
    <w:p w14:paraId="56C42D1C" w14:textId="77777777" w:rsidR="001A2FA6" w:rsidRPr="00ED46D5" w:rsidRDefault="001A2FA6" w:rsidP="005855CD">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5855CD">
        <w:rPr>
          <w:rFonts w:ascii="Times New Roman" w:hAnsi="Times New Roman" w:cs="Times New Roman"/>
          <w:sz w:val="20"/>
          <w:szCs w:val="20"/>
          <w:lang w:val="en-US"/>
        </w:rPr>
        <w:t xml:space="preserve">LP </w:t>
      </w:r>
      <w:r w:rsidRPr="002F5117">
        <w:rPr>
          <w:rFonts w:ascii="Times New Roman" w:hAnsi="Times New Roman" w:cs="Times New Roman"/>
          <w:sz w:val="20"/>
          <w:szCs w:val="20"/>
          <w:lang w:val="en-US"/>
        </w:rPr>
        <w:t>Francis, ‘Decisionmaking at the End of Life: Patients with Alzheimer’s or other Dementias’, (2000-2001) 35 Georgia Law Review</w:t>
      </w:r>
      <w:r w:rsidRPr="002F5117">
        <w:rPr>
          <w:rFonts w:ascii="Times New Roman" w:hAnsi="Times New Roman" w:cs="Times New Roman"/>
          <w:i/>
          <w:sz w:val="20"/>
          <w:szCs w:val="20"/>
          <w:lang w:val="en-US"/>
        </w:rPr>
        <w:t xml:space="preserve"> </w:t>
      </w:r>
      <w:r w:rsidRPr="00ED46D5">
        <w:rPr>
          <w:rFonts w:ascii="Times New Roman" w:hAnsi="Times New Roman" w:cs="Times New Roman"/>
          <w:sz w:val="20"/>
          <w:szCs w:val="20"/>
          <w:lang w:val="en-US"/>
        </w:rPr>
        <w:t>539-592, 541.</w:t>
      </w:r>
    </w:p>
  </w:footnote>
  <w:footnote w:id="36">
    <w:p w14:paraId="3F036D2E" w14:textId="77777777" w:rsidR="001A2FA6" w:rsidRPr="002F5117" w:rsidRDefault="001A2FA6" w:rsidP="002F5117">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T</w:t>
      </w:r>
      <w:r w:rsidRPr="005855CD">
        <w:rPr>
          <w:rFonts w:ascii="Times New Roman" w:hAnsi="Times New Roman" w:cs="Times New Roman"/>
          <w:sz w:val="20"/>
          <w:szCs w:val="20"/>
        </w:rPr>
        <w:t xml:space="preserve"> Kitwood, </w:t>
      </w:r>
      <w:r w:rsidRPr="002F5117">
        <w:rPr>
          <w:rFonts w:ascii="Times New Roman" w:hAnsi="Times New Roman" w:cs="Times New Roman"/>
          <w:i/>
          <w:sz w:val="20"/>
          <w:szCs w:val="20"/>
        </w:rPr>
        <w:t>Dementia Reconsidered: The Person Comes First</w:t>
      </w:r>
      <w:r w:rsidRPr="002F5117">
        <w:rPr>
          <w:rFonts w:ascii="Times New Roman" w:hAnsi="Times New Roman" w:cs="Times New Roman"/>
          <w:sz w:val="20"/>
          <w:szCs w:val="20"/>
        </w:rPr>
        <w:t>, (Open University Press: Buckingham, 1997).</w:t>
      </w:r>
    </w:p>
  </w:footnote>
  <w:footnote w:id="37">
    <w:p w14:paraId="018047AB" w14:textId="77777777" w:rsidR="001A2FA6" w:rsidRPr="005855CD" w:rsidRDefault="001A2FA6" w:rsidP="002F5117">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Dresser, ‘Missing Persons: Legal Perceptions of Incompetent Patients’ (n 6) 663.</w:t>
      </w:r>
    </w:p>
  </w:footnote>
  <w:footnote w:id="38">
    <w:p w14:paraId="314A2950" w14:textId="77777777" w:rsidR="001A2FA6" w:rsidRPr="00325987" w:rsidRDefault="001A2FA6" w:rsidP="002F5117">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PC Kontos, ‘Embodied Selfhood: An Ethnographic Exploration’ in A Leibing and L Cohen (eds), </w:t>
      </w:r>
      <w:r w:rsidRPr="00325987">
        <w:rPr>
          <w:rFonts w:ascii="Times New Roman" w:hAnsi="Times New Roman" w:cs="Times New Roman"/>
          <w:i/>
          <w:sz w:val="20"/>
          <w:szCs w:val="20"/>
          <w:lang w:val="en-US"/>
        </w:rPr>
        <w:t>Thinking about Dementia: Culture, Loss, and the Anthropology of Senility</w:t>
      </w:r>
      <w:r w:rsidRPr="00325987">
        <w:rPr>
          <w:rFonts w:ascii="Times New Roman" w:hAnsi="Times New Roman" w:cs="Times New Roman"/>
          <w:sz w:val="20"/>
          <w:szCs w:val="20"/>
          <w:lang w:val="en-US"/>
        </w:rPr>
        <w:t>, (Rutgers University Press: New Brunswick, 2006).</w:t>
      </w:r>
    </w:p>
  </w:footnote>
  <w:footnote w:id="39">
    <w:p w14:paraId="051FB2C4" w14:textId="77777777" w:rsidR="001A2FA6" w:rsidRPr="0032598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T Kitwood and K Bredin, ‘Towards a Theory of Dementia Care: Personhood and Well-being’, (1992) 12 Ageing &amp; Society</w:t>
      </w:r>
      <w:r w:rsidRPr="00325987">
        <w:rPr>
          <w:rFonts w:ascii="Times New Roman" w:hAnsi="Times New Roman" w:cs="Times New Roman"/>
          <w:i/>
          <w:sz w:val="20"/>
          <w:szCs w:val="20"/>
          <w:lang w:val="en-US"/>
        </w:rPr>
        <w:t xml:space="preserve"> </w:t>
      </w:r>
      <w:r w:rsidRPr="00325987">
        <w:rPr>
          <w:rFonts w:ascii="Times New Roman" w:hAnsi="Times New Roman" w:cs="Times New Roman"/>
          <w:sz w:val="20"/>
          <w:szCs w:val="20"/>
          <w:lang w:val="en-US"/>
        </w:rPr>
        <w:t xml:space="preserve">269-287.  Similarly, Nedelsky argues that ‘...when a “syndrome” is recognized it invites individual psychological analysis – rather than systematic relational analysis.’ J Nedelsky, </w:t>
      </w:r>
      <w:r w:rsidRPr="00325987">
        <w:rPr>
          <w:rFonts w:ascii="Times New Roman" w:hAnsi="Times New Roman" w:cs="Times New Roman"/>
          <w:i/>
          <w:sz w:val="20"/>
          <w:szCs w:val="20"/>
          <w:lang w:val="en-US"/>
        </w:rPr>
        <w:t xml:space="preserve">Law’s Relations: A Relational Theory of Self, Autonomy and Law, </w:t>
      </w:r>
      <w:r w:rsidRPr="00325987">
        <w:rPr>
          <w:rFonts w:ascii="Times New Roman" w:hAnsi="Times New Roman" w:cs="Times New Roman"/>
          <w:sz w:val="20"/>
          <w:szCs w:val="20"/>
          <w:lang w:val="en-US"/>
        </w:rPr>
        <w:t xml:space="preserve">(OUP: Oxford, 2012) 312. See also </w:t>
      </w:r>
      <w:r w:rsidRPr="00325987">
        <w:rPr>
          <w:rFonts w:ascii="Times New Roman" w:hAnsi="Times New Roman" w:cs="Times New Roman"/>
          <w:sz w:val="20"/>
          <w:szCs w:val="20"/>
        </w:rPr>
        <w:t>J Stirling, ‘Dementia, Discourse, Difference and Denial: “Who Did I Become?” (1995) 2 Law Text Culture 147-159, 155.</w:t>
      </w:r>
    </w:p>
  </w:footnote>
  <w:footnote w:id="40">
    <w:p w14:paraId="2C19B9DF" w14:textId="54A92C12" w:rsidR="001A2FA6" w:rsidRPr="00325987" w:rsidRDefault="001A2FA6">
      <w:pPr>
        <w:pStyle w:val="FootnoteText"/>
        <w:jc w:val="both"/>
        <w:rPr>
          <w:rFonts w:ascii="Times New Roman" w:hAnsi="Times New Roman" w:cs="Times New Roman"/>
          <w:i/>
          <w:sz w:val="20"/>
          <w:szCs w:val="20"/>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G Boyle, ‘Facilitating Decision-Making by People with Dementia: Is Spousal Support Gendered?’, (2013) 35(2) Journal of Social Welfare and Family Law 227-243</w:t>
      </w:r>
      <w:r>
        <w:rPr>
          <w:rFonts w:ascii="Times New Roman" w:hAnsi="Times New Roman" w:cs="Times New Roman"/>
          <w:sz w:val="20"/>
          <w:szCs w:val="20"/>
          <w:lang w:val="en-US"/>
        </w:rPr>
        <w:t xml:space="preserve">; </w:t>
      </w:r>
      <w:r w:rsidRPr="005855CD">
        <w:rPr>
          <w:rFonts w:ascii="Times New Roman" w:hAnsi="Times New Roman" w:cs="Times New Roman"/>
          <w:sz w:val="20"/>
          <w:szCs w:val="20"/>
        </w:rPr>
        <w:t xml:space="preserve">E Mackinlay, ‘Journeys with People who have Dementia: Connecting and Finding Meaning in the Journey’, (2015) </w:t>
      </w:r>
      <w:r w:rsidRPr="002F5117">
        <w:rPr>
          <w:rFonts w:ascii="Times New Roman" w:hAnsi="Times New Roman" w:cs="Times New Roman"/>
          <w:sz w:val="20"/>
          <w:szCs w:val="20"/>
        </w:rPr>
        <w:t>Journal of Spirituality &amp; Aging</w:t>
      </w:r>
      <w:r w:rsidRPr="002F5117">
        <w:rPr>
          <w:rFonts w:ascii="Times New Roman" w:hAnsi="Times New Roman" w:cs="Times New Roman"/>
          <w:i/>
          <w:sz w:val="20"/>
          <w:szCs w:val="20"/>
        </w:rPr>
        <w:t xml:space="preserve"> </w:t>
      </w:r>
      <w:r w:rsidRPr="002F5117">
        <w:rPr>
          <w:rFonts w:ascii="Times New Roman" w:hAnsi="Times New Roman" w:cs="Times New Roman"/>
          <w:sz w:val="20"/>
          <w:szCs w:val="20"/>
        </w:rPr>
        <w:t>DOI:</w:t>
      </w:r>
      <w:r w:rsidRPr="002F5117">
        <w:rPr>
          <w:rFonts w:ascii="Times New Roman" w:hAnsi="Times New Roman" w:cs="Times New Roman"/>
          <w:sz w:val="20"/>
          <w:szCs w:val="20"/>
          <w:lang w:val="en-US"/>
        </w:rPr>
        <w:t>10.1080/15528030.2015.1046632 (Online First)</w:t>
      </w:r>
      <w:r w:rsidRPr="00ED46D5">
        <w:rPr>
          <w:rFonts w:ascii="Times New Roman" w:hAnsi="Times New Roman" w:cs="Times New Roman"/>
          <w:sz w:val="20"/>
          <w:szCs w:val="20"/>
        </w:rPr>
        <w:t>; CR Macquar</w:t>
      </w:r>
      <w:r w:rsidR="001D5EF3">
        <w:rPr>
          <w:rFonts w:ascii="Times New Roman" w:hAnsi="Times New Roman" w:cs="Times New Roman"/>
          <w:sz w:val="20"/>
          <w:szCs w:val="20"/>
        </w:rPr>
        <w:t>rie, ‘Experiences in Early Stage Alzheimer’s Disease: Understanding the Paradox of Acceptance and D</w:t>
      </w:r>
      <w:r w:rsidRPr="00ED46D5">
        <w:rPr>
          <w:rFonts w:ascii="Times New Roman" w:hAnsi="Times New Roman" w:cs="Times New Roman"/>
          <w:sz w:val="20"/>
          <w:szCs w:val="20"/>
        </w:rPr>
        <w:t xml:space="preserve">enial’, (2005) 9(5) Aging &amp; Mental Health 430-441; E Steeman </w:t>
      </w:r>
      <w:r w:rsidRPr="00325987">
        <w:rPr>
          <w:rFonts w:ascii="Times New Roman" w:hAnsi="Times New Roman" w:cs="Times New Roman"/>
          <w:i/>
          <w:sz w:val="20"/>
          <w:szCs w:val="20"/>
        </w:rPr>
        <w:t>et al</w:t>
      </w:r>
      <w:r w:rsidRPr="00325987">
        <w:rPr>
          <w:rFonts w:ascii="Times New Roman" w:hAnsi="Times New Roman" w:cs="Times New Roman"/>
          <w:sz w:val="20"/>
          <w:szCs w:val="20"/>
        </w:rPr>
        <w:t>, ‘Living with Dementia from the Perspective of Older People: Is it a Positive Story?’, (2007), 11(2) Aging &amp; Mental Health 119-130.</w:t>
      </w:r>
    </w:p>
  </w:footnote>
  <w:footnote w:id="41">
    <w:p w14:paraId="71FC65BB" w14:textId="77777777" w:rsidR="001A2FA6" w:rsidRPr="002F511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U Naue and T</w:t>
      </w:r>
      <w:r w:rsidRPr="002F5117">
        <w:rPr>
          <w:rFonts w:ascii="Times New Roman" w:hAnsi="Times New Roman" w:cs="Times New Roman"/>
          <w:sz w:val="20"/>
          <w:szCs w:val="20"/>
        </w:rPr>
        <w:t xml:space="preserve"> Kroll, ‘The Demented Other’: Identity and Difference in Dementia’, (2008) 10 Nursing Philosophy 26-33. </w:t>
      </w:r>
    </w:p>
  </w:footnote>
  <w:footnote w:id="42">
    <w:p w14:paraId="7AD7A496" w14:textId="6F6E9334" w:rsidR="001A2FA6" w:rsidRPr="00140A42"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Above (n </w:t>
      </w:r>
      <w:r w:rsidR="001D5EF3">
        <w:rPr>
          <w:rFonts w:ascii="Times New Roman" w:hAnsi="Times New Roman" w:cs="Times New Roman"/>
          <w:sz w:val="20"/>
          <w:szCs w:val="20"/>
          <w:lang w:val="en-US"/>
        </w:rPr>
        <w:t>34</w:t>
      </w:r>
      <w:r w:rsidRPr="002F5117">
        <w:rPr>
          <w:rFonts w:ascii="Times New Roman" w:hAnsi="Times New Roman" w:cs="Times New Roman"/>
          <w:sz w:val="20"/>
          <w:szCs w:val="20"/>
          <w:lang w:val="en-US"/>
        </w:rPr>
        <w:t>)</w:t>
      </w:r>
      <w:r w:rsidRPr="002F5117">
        <w:rPr>
          <w:rFonts w:ascii="Times New Roman" w:hAnsi="Times New Roman" w:cs="Times New Roman"/>
          <w:sz w:val="20"/>
          <w:szCs w:val="20"/>
        </w:rPr>
        <w:t xml:space="preserve"> 460.  </w:t>
      </w:r>
    </w:p>
  </w:footnote>
  <w:footnote w:id="43">
    <w:p w14:paraId="3DD21B6F" w14:textId="77777777" w:rsidR="001A2FA6" w:rsidRPr="002F511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rPr>
        <w:t xml:space="preserve">In light of this, even if ‘will and preferences’ does replace best interests, the courts may still face the same sort of interpretative problems: United Nations Convention on the Rights of Persons with Disabilities (UNCRPD) Article 12, and UNCRPD General Comment No 1 ‘Equal recognition before the law (art. 12)’ (11 April 2014) </w:t>
      </w:r>
      <w:r w:rsidRPr="002F5117">
        <w:rPr>
          <w:rFonts w:ascii="Times New Roman" w:eastAsia="Times New Roman" w:hAnsi="Times New Roman" w:cs="Times New Roman"/>
          <w:sz w:val="20"/>
          <w:szCs w:val="20"/>
        </w:rPr>
        <w:t>CRPD/C/GC/1</w:t>
      </w:r>
      <w:r w:rsidRPr="002F5117">
        <w:rPr>
          <w:rFonts w:ascii="Times New Roman" w:hAnsi="Times New Roman" w:cs="Times New Roman"/>
          <w:sz w:val="20"/>
          <w:szCs w:val="20"/>
        </w:rPr>
        <w:t>.</w:t>
      </w:r>
    </w:p>
  </w:footnote>
  <w:footnote w:id="44">
    <w:p w14:paraId="2EC88CC3" w14:textId="37750895" w:rsidR="001A2FA6" w:rsidRPr="00140A42" w:rsidRDefault="001A2FA6" w:rsidP="00140A42">
      <w:pPr>
        <w:pStyle w:val="FootnoteText"/>
        <w:jc w:val="both"/>
        <w:rPr>
          <w:rFonts w:ascii="Times New Roman" w:hAnsi="Times New Roman" w:cs="Times New Roman"/>
          <w:sz w:val="20"/>
          <w:szCs w:val="20"/>
        </w:rPr>
      </w:pPr>
      <w:r w:rsidRPr="00140A42">
        <w:rPr>
          <w:rStyle w:val="FootnoteReference"/>
          <w:rFonts w:ascii="Times New Roman" w:hAnsi="Times New Roman" w:cs="Times New Roman"/>
          <w:sz w:val="20"/>
          <w:szCs w:val="20"/>
        </w:rPr>
        <w:footnoteRef/>
      </w:r>
      <w:r w:rsidRPr="00140A42">
        <w:rPr>
          <w:rFonts w:ascii="Times New Roman" w:hAnsi="Times New Roman" w:cs="Times New Roman"/>
          <w:sz w:val="20"/>
          <w:szCs w:val="20"/>
        </w:rPr>
        <w:t xml:space="preserve"> S Cox, ‘Decision-Making and Dementia – How well does the Mental Capacity Act Serve People Living with the Condition?’, (2015) 5(1) Elder Law Journal 74-83, 75-76.</w:t>
      </w:r>
    </w:p>
  </w:footnote>
  <w:footnote w:id="45">
    <w:p w14:paraId="40733E6D" w14:textId="77777777" w:rsidR="001A2FA6" w:rsidRPr="00325987" w:rsidRDefault="001A2FA6" w:rsidP="005855CD">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i/>
          <w:sz w:val="20"/>
          <w:szCs w:val="20"/>
          <w:lang w:val="en-US"/>
        </w:rPr>
        <w:t>Bolam v Friern Hospital Management Committee</w:t>
      </w:r>
      <w:r w:rsidRPr="002F5117">
        <w:rPr>
          <w:rFonts w:ascii="Times New Roman" w:hAnsi="Times New Roman" w:cs="Times New Roman"/>
          <w:sz w:val="20"/>
          <w:szCs w:val="20"/>
          <w:lang w:val="en-US"/>
        </w:rPr>
        <w:t xml:space="preserve"> [1957] 1 WLR 582 [587]; </w:t>
      </w:r>
      <w:r w:rsidRPr="002F5117">
        <w:rPr>
          <w:rFonts w:ascii="Times New Roman" w:hAnsi="Times New Roman" w:cs="Times New Roman"/>
          <w:i/>
          <w:sz w:val="20"/>
          <w:szCs w:val="20"/>
          <w:lang w:val="en-US"/>
        </w:rPr>
        <w:t>Re F (Mental Patient: Sterilisation)</w:t>
      </w:r>
      <w:r w:rsidRPr="002F5117">
        <w:rPr>
          <w:rFonts w:ascii="Times New Roman" w:hAnsi="Times New Roman" w:cs="Times New Roman"/>
          <w:sz w:val="20"/>
          <w:szCs w:val="20"/>
          <w:lang w:val="en-US"/>
        </w:rPr>
        <w:t xml:space="preserve"> [1990] 2 AC 1 [78]. This approach continued throughout the early 1990s:</w:t>
      </w:r>
      <w:r w:rsidRPr="00325987">
        <w:rPr>
          <w:rFonts w:ascii="Times New Roman" w:hAnsi="Times New Roman" w:cs="Times New Roman"/>
          <w:sz w:val="20"/>
          <w:szCs w:val="20"/>
        </w:rPr>
        <w:t xml:space="preserve"> </w:t>
      </w:r>
      <w:r w:rsidRPr="00325987">
        <w:rPr>
          <w:rFonts w:ascii="Times New Roman" w:hAnsi="Times New Roman" w:cs="Times New Roman"/>
          <w:i/>
          <w:sz w:val="20"/>
          <w:szCs w:val="20"/>
          <w:lang w:val="en-US"/>
        </w:rPr>
        <w:t>Airedale NHS Trust v Bland</w:t>
      </w:r>
      <w:r w:rsidRPr="00325987">
        <w:rPr>
          <w:rFonts w:ascii="Times New Roman" w:hAnsi="Times New Roman" w:cs="Times New Roman"/>
          <w:sz w:val="20"/>
          <w:szCs w:val="20"/>
          <w:lang w:val="en-US"/>
        </w:rPr>
        <w:t xml:space="preserve"> [1993] AC 789. </w:t>
      </w:r>
    </w:p>
  </w:footnote>
  <w:footnote w:id="46">
    <w:p w14:paraId="202EB1EB" w14:textId="77777777" w:rsidR="001A2FA6" w:rsidRPr="002F5117" w:rsidRDefault="001A2FA6" w:rsidP="002F5117">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i/>
          <w:sz w:val="20"/>
          <w:szCs w:val="20"/>
        </w:rPr>
        <w:t>Re F</w:t>
      </w:r>
      <w:r w:rsidRPr="002F5117">
        <w:rPr>
          <w:rFonts w:ascii="Times New Roman" w:hAnsi="Times New Roman" w:cs="Times New Roman"/>
          <w:sz w:val="20"/>
          <w:szCs w:val="20"/>
        </w:rPr>
        <w:t xml:space="preserve"> [2000] EWCA Civ 192; </w:t>
      </w:r>
      <w:r w:rsidRPr="002F5117">
        <w:rPr>
          <w:rFonts w:ascii="Times New Roman" w:hAnsi="Times New Roman" w:cs="Times New Roman"/>
          <w:i/>
          <w:iCs/>
          <w:sz w:val="20"/>
          <w:szCs w:val="20"/>
        </w:rPr>
        <w:t>Re S</w:t>
      </w:r>
      <w:r w:rsidRPr="002F5117">
        <w:rPr>
          <w:rFonts w:ascii="Times New Roman" w:hAnsi="Times New Roman" w:cs="Times New Roman"/>
          <w:sz w:val="20"/>
          <w:szCs w:val="20"/>
        </w:rPr>
        <w:t xml:space="preserve"> [2002] EWHC 2278; </w:t>
      </w:r>
      <w:r w:rsidRPr="002F5117">
        <w:rPr>
          <w:rFonts w:ascii="Times New Roman" w:hAnsi="Times New Roman" w:cs="Times New Roman"/>
          <w:i/>
          <w:iCs/>
          <w:sz w:val="20"/>
          <w:szCs w:val="20"/>
        </w:rPr>
        <w:t>Re S</w:t>
      </w:r>
      <w:r w:rsidRPr="002F5117">
        <w:rPr>
          <w:rFonts w:ascii="Times New Roman" w:hAnsi="Times New Roman" w:cs="Times New Roman"/>
          <w:sz w:val="20"/>
          <w:szCs w:val="20"/>
        </w:rPr>
        <w:t xml:space="preserve"> [2003] EWHC 1909 (Fam).</w:t>
      </w:r>
    </w:p>
  </w:footnote>
  <w:footnote w:id="47">
    <w:p w14:paraId="3A6C4170" w14:textId="525B3405" w:rsidR="001A2FA6" w:rsidRPr="00325987" w:rsidRDefault="001A2FA6" w:rsidP="002F5117">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Lord Chancellor’s Department, </w:t>
      </w:r>
      <w:r w:rsidRPr="002F5117">
        <w:rPr>
          <w:rFonts w:ascii="Times New Roman" w:hAnsi="Times New Roman" w:cs="Times New Roman"/>
          <w:i/>
          <w:iCs/>
          <w:sz w:val="20"/>
          <w:szCs w:val="20"/>
        </w:rPr>
        <w:t xml:space="preserve">Who Decides: Making Decisions on Behalf of Mentally Incapacitated Adults, </w:t>
      </w:r>
      <w:r w:rsidRPr="002F5117">
        <w:rPr>
          <w:rFonts w:ascii="Times New Roman" w:hAnsi="Times New Roman" w:cs="Times New Roman"/>
          <w:iCs/>
          <w:sz w:val="20"/>
          <w:szCs w:val="20"/>
        </w:rPr>
        <w:t>(The Statio</w:t>
      </w:r>
      <w:r w:rsidR="001D5EF3">
        <w:rPr>
          <w:rFonts w:ascii="Times New Roman" w:hAnsi="Times New Roman" w:cs="Times New Roman"/>
          <w:iCs/>
          <w:sz w:val="20"/>
          <w:szCs w:val="20"/>
        </w:rPr>
        <w:t xml:space="preserve">nery Office: London, 1997) </w:t>
      </w:r>
      <w:r w:rsidRPr="002F5117">
        <w:rPr>
          <w:rFonts w:ascii="Times New Roman" w:hAnsi="Times New Roman" w:cs="Times New Roman"/>
          <w:iCs/>
          <w:sz w:val="20"/>
          <w:szCs w:val="20"/>
        </w:rPr>
        <w:t>3.23.</w:t>
      </w:r>
    </w:p>
  </w:footnote>
  <w:footnote w:id="48">
    <w:p w14:paraId="661740F3" w14:textId="77777777" w:rsidR="001A2FA6" w:rsidRPr="002F511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[2000] 1 FLR 549.</w:t>
      </w:r>
    </w:p>
  </w:footnote>
  <w:footnote w:id="49">
    <w:p w14:paraId="25238D42" w14:textId="77777777" w:rsidR="001A2FA6" w:rsidRPr="002F511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i/>
          <w:sz w:val="20"/>
          <w:szCs w:val="20"/>
          <w:lang w:val="en-US"/>
        </w:rPr>
        <w:t>ibid.</w:t>
      </w:r>
      <w:r w:rsidRPr="002F5117">
        <w:rPr>
          <w:rFonts w:ascii="Times New Roman" w:hAnsi="Times New Roman" w:cs="Times New Roman"/>
          <w:sz w:val="20"/>
          <w:szCs w:val="20"/>
          <w:lang w:val="en-US"/>
        </w:rPr>
        <w:t xml:space="preserve"> [555], echoing her earlier approach to best interests in </w:t>
      </w:r>
      <w:r w:rsidRPr="002F5117">
        <w:rPr>
          <w:rFonts w:ascii="Times New Roman" w:hAnsi="Times New Roman" w:cs="Times New Roman"/>
          <w:i/>
          <w:sz w:val="20"/>
          <w:szCs w:val="20"/>
          <w:lang w:val="en-US"/>
        </w:rPr>
        <w:t>Re MB (Medical Treatment)</w:t>
      </w:r>
      <w:r w:rsidRPr="002F5117">
        <w:rPr>
          <w:rFonts w:ascii="Times New Roman" w:hAnsi="Times New Roman" w:cs="Times New Roman"/>
          <w:sz w:val="20"/>
          <w:szCs w:val="20"/>
          <w:lang w:val="en-US"/>
        </w:rPr>
        <w:t xml:space="preserve"> [1997] EWCA Civ 3093. </w:t>
      </w:r>
    </w:p>
  </w:footnote>
  <w:footnote w:id="50">
    <w:p w14:paraId="5FEEF4CA" w14:textId="0360BD74" w:rsidR="001A2FA6" w:rsidRPr="0032598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M</w:t>
      </w:r>
      <w:r w:rsidRPr="002F5117">
        <w:rPr>
          <w:rFonts w:ascii="Times New Roman" w:hAnsi="Times New Roman" w:cs="Times New Roman"/>
          <w:sz w:val="20"/>
          <w:szCs w:val="20"/>
        </w:rPr>
        <w:t xml:space="preserve"> Dunn </w:t>
      </w:r>
      <w:r w:rsidRPr="002F5117">
        <w:rPr>
          <w:rFonts w:ascii="Times New Roman" w:hAnsi="Times New Roman" w:cs="Times New Roman"/>
          <w:i/>
          <w:sz w:val="20"/>
          <w:szCs w:val="20"/>
        </w:rPr>
        <w:t>et al</w:t>
      </w:r>
      <w:r w:rsidRPr="002F5117">
        <w:rPr>
          <w:rFonts w:ascii="Times New Roman" w:hAnsi="Times New Roman" w:cs="Times New Roman"/>
          <w:sz w:val="20"/>
          <w:szCs w:val="20"/>
        </w:rPr>
        <w:t>, ‘Constructing and Reconstructing ‘Best Interests’: An Interpretative Examination of Substitute Decision-Making under the Mental Capacity Act’, (2007) 29(2</w:t>
      </w:r>
      <w:r w:rsidRPr="00325987">
        <w:rPr>
          <w:rFonts w:ascii="Times New Roman" w:hAnsi="Times New Roman" w:cs="Times New Roman"/>
          <w:i/>
          <w:sz w:val="20"/>
          <w:szCs w:val="20"/>
        </w:rPr>
        <w:t xml:space="preserve">) </w:t>
      </w:r>
      <w:r w:rsidRPr="00325987">
        <w:rPr>
          <w:rFonts w:ascii="Times New Roman" w:hAnsi="Times New Roman" w:cs="Times New Roman"/>
          <w:sz w:val="20"/>
          <w:szCs w:val="20"/>
        </w:rPr>
        <w:t>Journal of Social Welfare and Family Law 117-133; P Fennell, ‘Best Interests and Treatment for Mental Disorder’, (2008) 16 Health Care Analysis 255-267; M Brazier and J Miola, ‘Bye-Bye Bolam: A Medical Litiga</w:t>
      </w:r>
      <w:r w:rsidR="001D5EF3">
        <w:rPr>
          <w:rFonts w:ascii="Times New Roman" w:hAnsi="Times New Roman" w:cs="Times New Roman"/>
          <w:sz w:val="20"/>
          <w:szCs w:val="20"/>
        </w:rPr>
        <w:t>tion Revolution?’, (2000) 8 Med LR</w:t>
      </w:r>
      <w:r w:rsidRPr="00325987">
        <w:rPr>
          <w:rFonts w:ascii="Times New Roman" w:hAnsi="Times New Roman" w:cs="Times New Roman"/>
          <w:sz w:val="20"/>
          <w:szCs w:val="20"/>
        </w:rPr>
        <w:t xml:space="preserve"> 85-114.</w:t>
      </w:r>
    </w:p>
  </w:footnote>
  <w:footnote w:id="51">
    <w:p w14:paraId="6D31E516" w14:textId="77777777" w:rsidR="001A2FA6" w:rsidRPr="0032598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M</w:t>
      </w:r>
      <w:r w:rsidRPr="002F5117">
        <w:rPr>
          <w:rFonts w:ascii="Times New Roman" w:hAnsi="Times New Roman" w:cs="Times New Roman"/>
          <w:sz w:val="20"/>
          <w:szCs w:val="20"/>
        </w:rPr>
        <w:t xml:space="preserve"> Holstein, ‘Home Care, Women and Aging’ in MU Walker (ed), </w:t>
      </w:r>
      <w:r w:rsidRPr="002F5117">
        <w:rPr>
          <w:rFonts w:ascii="Times New Roman" w:hAnsi="Times New Roman" w:cs="Times New Roman"/>
          <w:i/>
          <w:sz w:val="20"/>
          <w:szCs w:val="20"/>
        </w:rPr>
        <w:t xml:space="preserve">Mother Time: Women, Aging, Ethics, </w:t>
      </w:r>
      <w:r w:rsidRPr="00325987">
        <w:rPr>
          <w:rFonts w:ascii="Times New Roman" w:hAnsi="Times New Roman" w:cs="Times New Roman"/>
          <w:sz w:val="20"/>
          <w:szCs w:val="20"/>
        </w:rPr>
        <w:t xml:space="preserve">(Rowman &amp; Littlefield: Oxford, 2000) 232, citing J Shklar, </w:t>
      </w:r>
      <w:r w:rsidRPr="00325987">
        <w:rPr>
          <w:rFonts w:ascii="Times New Roman" w:hAnsi="Times New Roman" w:cs="Times New Roman"/>
          <w:i/>
          <w:sz w:val="20"/>
          <w:szCs w:val="20"/>
        </w:rPr>
        <w:t xml:space="preserve">The Faces of Injustice, </w:t>
      </w:r>
      <w:r w:rsidRPr="00325987">
        <w:rPr>
          <w:rFonts w:ascii="Times New Roman" w:hAnsi="Times New Roman" w:cs="Times New Roman"/>
          <w:sz w:val="20"/>
          <w:szCs w:val="20"/>
        </w:rPr>
        <w:t>(Yale University Press: New Haven, 1990).</w:t>
      </w:r>
    </w:p>
  </w:footnote>
  <w:footnote w:id="52">
    <w:p w14:paraId="2E2E78ED" w14:textId="77777777" w:rsidR="001A2FA6" w:rsidRPr="00140A42"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N Munro, ‘Taking Wishes and Feelings Seriously: The Views of People Lacking Capacity in Court of Protection Decision-Making’, (2014) 36(1) Journal of Social Welfare and Family Law 59-75.  </w:t>
      </w:r>
    </w:p>
  </w:footnote>
  <w:footnote w:id="53">
    <w:p w14:paraId="47E1E05B" w14:textId="77777777" w:rsidR="001A2FA6" w:rsidRPr="002F511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Law Commission, </w:t>
      </w:r>
      <w:r w:rsidRPr="002F5117">
        <w:rPr>
          <w:rFonts w:ascii="Times New Roman" w:hAnsi="Times New Roman" w:cs="Times New Roman"/>
          <w:i/>
          <w:sz w:val="20"/>
          <w:szCs w:val="20"/>
          <w:lang w:val="en-US"/>
        </w:rPr>
        <w:t>Mentally Incapacitated Adults and Decision-Making: A New Jurisdiction</w:t>
      </w:r>
      <w:r w:rsidRPr="002F5117">
        <w:rPr>
          <w:rFonts w:ascii="Times New Roman" w:hAnsi="Times New Roman" w:cs="Times New Roman"/>
          <w:sz w:val="20"/>
          <w:szCs w:val="20"/>
          <w:lang w:val="en-US"/>
        </w:rPr>
        <w:t xml:space="preserve"> (Law Com No 128, 1995). </w:t>
      </w:r>
    </w:p>
  </w:footnote>
  <w:footnote w:id="54">
    <w:p w14:paraId="3F68EF1B" w14:textId="0168882E" w:rsidR="001A2FA6" w:rsidRPr="002F511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Above (n </w:t>
      </w:r>
      <w:r w:rsidR="001D5EF3">
        <w:rPr>
          <w:rFonts w:ascii="Times New Roman" w:hAnsi="Times New Roman" w:cs="Times New Roman"/>
          <w:sz w:val="20"/>
          <w:szCs w:val="20"/>
          <w:lang w:val="en-US"/>
        </w:rPr>
        <w:t>48</w:t>
      </w:r>
      <w:r w:rsidRPr="002F5117">
        <w:rPr>
          <w:rFonts w:ascii="Times New Roman" w:hAnsi="Times New Roman" w:cs="Times New Roman"/>
          <w:sz w:val="20"/>
          <w:szCs w:val="20"/>
          <w:lang w:val="en-US"/>
        </w:rPr>
        <w:t>) [560].</w:t>
      </w:r>
    </w:p>
  </w:footnote>
  <w:footnote w:id="55">
    <w:p w14:paraId="37A9B5CD" w14:textId="77777777" w:rsidR="001A2FA6" w:rsidRPr="002F5117" w:rsidRDefault="001A2FA6">
      <w:pPr>
        <w:pStyle w:val="FootnoteText"/>
        <w:jc w:val="both"/>
        <w:rPr>
          <w:rFonts w:ascii="Times New Roman" w:hAnsi="Times New Roman" w:cs="Times New Roman"/>
          <w:sz w:val="20"/>
          <w:szCs w:val="20"/>
          <w:lang w:val="en-US"/>
        </w:rPr>
      </w:pPr>
      <w:r w:rsidRPr="005855CD">
        <w:rPr>
          <w:rStyle w:val="FootnoteReference"/>
          <w:rFonts w:ascii="Times New Roman" w:hAnsi="Times New Roman" w:cs="Times New Roman"/>
          <w:sz w:val="20"/>
          <w:szCs w:val="20"/>
        </w:rPr>
        <w:footnoteRef/>
      </w:r>
      <w:r w:rsidRPr="005855CD">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See, for example: </w:t>
      </w:r>
      <w:r w:rsidRPr="002F5117">
        <w:rPr>
          <w:rFonts w:ascii="Times New Roman" w:hAnsi="Times New Roman" w:cs="Times New Roman"/>
          <w:i/>
          <w:iCs/>
          <w:sz w:val="20"/>
          <w:szCs w:val="20"/>
        </w:rPr>
        <w:t>Local Authority X v MM and KM</w:t>
      </w:r>
      <w:r w:rsidRPr="002F5117">
        <w:rPr>
          <w:rFonts w:ascii="Times New Roman" w:hAnsi="Times New Roman" w:cs="Times New Roman"/>
          <w:sz w:val="20"/>
          <w:szCs w:val="20"/>
        </w:rPr>
        <w:t xml:space="preserve"> [2007] EWHC 2003 (Fam), </w:t>
      </w:r>
      <w:r w:rsidRPr="002F5117">
        <w:rPr>
          <w:rFonts w:ascii="Times New Roman" w:hAnsi="Times New Roman" w:cs="Times New Roman"/>
          <w:i/>
          <w:sz w:val="20"/>
          <w:szCs w:val="20"/>
        </w:rPr>
        <w:t xml:space="preserve">An NHS Trust v A </w:t>
      </w:r>
      <w:r w:rsidRPr="002F5117">
        <w:rPr>
          <w:rFonts w:ascii="Times New Roman" w:hAnsi="Times New Roman" w:cs="Times New Roman"/>
          <w:sz w:val="20"/>
          <w:szCs w:val="20"/>
        </w:rPr>
        <w:t>[2013] EWHC 2442 (COP).</w:t>
      </w:r>
    </w:p>
  </w:footnote>
  <w:footnote w:id="56">
    <w:p w14:paraId="04B04EE5" w14:textId="77777777" w:rsidR="001A2FA6" w:rsidRPr="00D570A8"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It is also potentially problematic (albeit necessary given the nature of the inherent jurisdiction) that this approach </w:t>
      </w:r>
      <w:r w:rsidRPr="002F5117">
        <w:rPr>
          <w:rFonts w:ascii="Times New Roman" w:hAnsi="Times New Roman" w:cs="Times New Roman"/>
          <w:i/>
          <w:sz w:val="20"/>
          <w:szCs w:val="20"/>
          <w:lang w:val="en-US"/>
        </w:rPr>
        <w:t>begins</w:t>
      </w:r>
      <w:r w:rsidRPr="00325987">
        <w:rPr>
          <w:rFonts w:ascii="Times New Roman" w:hAnsi="Times New Roman" w:cs="Times New Roman"/>
          <w:sz w:val="20"/>
          <w:szCs w:val="20"/>
          <w:lang w:val="en-US"/>
        </w:rPr>
        <w:t xml:space="preserve"> with the proposed treatment or intervention, and </w:t>
      </w:r>
      <w:r w:rsidRPr="00325987">
        <w:rPr>
          <w:rFonts w:ascii="Times New Roman" w:hAnsi="Times New Roman" w:cs="Times New Roman"/>
          <w:i/>
          <w:sz w:val="20"/>
          <w:szCs w:val="20"/>
          <w:lang w:val="en-US"/>
        </w:rPr>
        <w:t>then</w:t>
      </w:r>
      <w:r w:rsidRPr="00325987">
        <w:rPr>
          <w:rFonts w:ascii="Times New Roman" w:hAnsi="Times New Roman" w:cs="Times New Roman"/>
          <w:sz w:val="20"/>
          <w:szCs w:val="20"/>
          <w:lang w:val="en-US"/>
        </w:rPr>
        <w:t xml:space="preserve"> follows with the question of whether this is in the individual’s best interests. It does not ask ‘what is in this person’s best interests?’ but instead asks ‘is procedure X in this person’s best interests?’ In effect, it already begins its best interests analysis from an overtly biased position. </w:t>
      </w:r>
    </w:p>
  </w:footnote>
  <w:footnote w:id="57">
    <w:p w14:paraId="7ACF5D5C" w14:textId="16BEDFD3" w:rsidR="001A2FA6" w:rsidRPr="002F511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iCs/>
          <w:sz w:val="20"/>
          <w:szCs w:val="20"/>
        </w:rPr>
        <w:t>Local Authority X v MM and KM</w:t>
      </w:r>
      <w:r w:rsidRPr="002F5117">
        <w:rPr>
          <w:rFonts w:ascii="Times New Roman" w:hAnsi="Times New Roman" w:cs="Times New Roman"/>
          <w:sz w:val="20"/>
          <w:szCs w:val="20"/>
        </w:rPr>
        <w:t xml:space="preserve"> (n </w:t>
      </w:r>
      <w:r w:rsidR="001D5EF3">
        <w:rPr>
          <w:rFonts w:ascii="Times New Roman" w:hAnsi="Times New Roman" w:cs="Times New Roman"/>
          <w:sz w:val="20"/>
          <w:szCs w:val="20"/>
        </w:rPr>
        <w:t>55</w:t>
      </w:r>
      <w:r w:rsidRPr="002F5117">
        <w:rPr>
          <w:rFonts w:ascii="Times New Roman" w:hAnsi="Times New Roman" w:cs="Times New Roman"/>
          <w:sz w:val="20"/>
          <w:szCs w:val="20"/>
        </w:rPr>
        <w:t>).</w:t>
      </w:r>
    </w:p>
  </w:footnote>
  <w:footnote w:id="58">
    <w:p w14:paraId="003D9F24" w14:textId="77777777" w:rsidR="001A2FA6" w:rsidRPr="002F511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iCs/>
          <w:sz w:val="20"/>
          <w:szCs w:val="20"/>
        </w:rPr>
        <w:t xml:space="preserve">ibid. </w:t>
      </w:r>
      <w:r w:rsidRPr="002F5117">
        <w:rPr>
          <w:rFonts w:ascii="Times New Roman" w:hAnsi="Times New Roman" w:cs="Times New Roman"/>
          <w:sz w:val="20"/>
          <w:szCs w:val="20"/>
        </w:rPr>
        <w:t xml:space="preserve">[121]. </w:t>
      </w:r>
    </w:p>
  </w:footnote>
  <w:footnote w:id="59">
    <w:p w14:paraId="570EE059" w14:textId="77777777" w:rsidR="001A2FA6" w:rsidRPr="00F66CD8"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M Quigley, ‘Best Interests, the Power of the Medical Profession, and the Power of the Judiciary’, (2008) 16 Health Care Analysis</w:t>
      </w:r>
      <w:r w:rsidRPr="00F66CD8">
        <w:rPr>
          <w:rFonts w:ascii="Times New Roman" w:hAnsi="Times New Roman" w:cs="Times New Roman"/>
          <w:i/>
          <w:sz w:val="20"/>
          <w:szCs w:val="20"/>
        </w:rPr>
        <w:t xml:space="preserve"> </w:t>
      </w:r>
      <w:r w:rsidRPr="00F66CD8">
        <w:rPr>
          <w:rFonts w:ascii="Times New Roman" w:hAnsi="Times New Roman" w:cs="Times New Roman"/>
          <w:sz w:val="20"/>
          <w:szCs w:val="20"/>
        </w:rPr>
        <w:t xml:space="preserve">233-239, 235. </w:t>
      </w:r>
    </w:p>
  </w:footnote>
  <w:footnote w:id="60">
    <w:p w14:paraId="4F234CC1" w14:textId="77777777" w:rsidR="001A2FA6" w:rsidRPr="002F511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sz w:val="20"/>
          <w:szCs w:val="20"/>
          <w:lang w:val="en-US"/>
        </w:rPr>
        <w:t>Mental Capacity Act, s 4(6)(a)-(b).</w:t>
      </w:r>
    </w:p>
  </w:footnote>
  <w:footnote w:id="61">
    <w:p w14:paraId="18446999" w14:textId="7EAA4F1A" w:rsidR="001A2FA6" w:rsidRPr="002F5117"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Mental Capacity Act, s 1(3), and </w:t>
      </w:r>
      <w:r w:rsidRPr="002F5117">
        <w:rPr>
          <w:rFonts w:ascii="Times New Roman" w:hAnsi="Times New Roman" w:cs="Times New Roman"/>
          <w:sz w:val="20"/>
          <w:szCs w:val="20"/>
          <w:lang w:val="en-US"/>
        </w:rPr>
        <w:t>Mental Capacity Act 2005, s 4(1)</w:t>
      </w:r>
      <w:r>
        <w:rPr>
          <w:rFonts w:ascii="Times New Roman" w:hAnsi="Times New Roman" w:cs="Times New Roman"/>
          <w:sz w:val="20"/>
          <w:szCs w:val="20"/>
          <w:lang w:val="en-US"/>
        </w:rPr>
        <w:t xml:space="preserve"> respectively</w:t>
      </w:r>
      <w:r w:rsidRPr="002F5117">
        <w:rPr>
          <w:rFonts w:ascii="Times New Roman" w:hAnsi="Times New Roman" w:cs="Times New Roman"/>
          <w:sz w:val="20"/>
          <w:szCs w:val="20"/>
          <w:lang w:val="en-US"/>
        </w:rPr>
        <w:t xml:space="preserve">. </w:t>
      </w:r>
    </w:p>
  </w:footnote>
  <w:footnote w:id="62">
    <w:p w14:paraId="1393D220" w14:textId="2A52FDB9" w:rsidR="001A2FA6" w:rsidRPr="00325987"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As noted above, a similar tension exists in the capacity assessment process. Section 1(3) of the Act states that ‘person is not to be treated as unable to make a decision </w:t>
      </w:r>
      <w:r w:rsidRPr="00F66CD8">
        <w:rPr>
          <w:rFonts w:ascii="Times New Roman" w:hAnsi="Times New Roman" w:cs="Times New Roman"/>
          <w:i/>
          <w:sz w:val="20"/>
          <w:szCs w:val="20"/>
          <w:lang w:val="en-US"/>
        </w:rPr>
        <w:t xml:space="preserve">merely </w:t>
      </w:r>
      <w:r w:rsidRPr="00F66CD8">
        <w:rPr>
          <w:rFonts w:ascii="Times New Roman" w:hAnsi="Times New Roman" w:cs="Times New Roman"/>
          <w:sz w:val="20"/>
          <w:szCs w:val="20"/>
          <w:lang w:val="en-US"/>
        </w:rPr>
        <w:t>because he makes an unwise decision’ (emphasis added). Skowron indicates that ‘</w:t>
      </w:r>
      <w:r w:rsidRPr="00325987">
        <w:rPr>
          <w:rFonts w:ascii="Times New Roman" w:hAnsi="Times New Roman" w:cs="Times New Roman"/>
          <w:sz w:val="20"/>
          <w:szCs w:val="20"/>
        </w:rPr>
        <w:t xml:space="preserve">[t]his begs the question of how much reliance on the outcome of a person’s decision </w:t>
      </w:r>
      <w:r w:rsidRPr="00325987">
        <w:rPr>
          <w:rFonts w:ascii="Times New Roman" w:hAnsi="Times New Roman" w:cs="Times New Roman"/>
          <w:i/>
          <w:sz w:val="20"/>
          <w:szCs w:val="20"/>
        </w:rPr>
        <w:t>is</w:t>
      </w:r>
      <w:r w:rsidRPr="00325987">
        <w:rPr>
          <w:rFonts w:ascii="Times New Roman" w:hAnsi="Times New Roman" w:cs="Times New Roman"/>
          <w:sz w:val="20"/>
          <w:szCs w:val="20"/>
        </w:rPr>
        <w:t xml:space="preserve"> acceptable’ (emphasis added): P Skowron, ‘Evidence and Causation in Mental Capacity Assessments: </w:t>
      </w:r>
      <w:r w:rsidRPr="00325987">
        <w:rPr>
          <w:rFonts w:ascii="Times New Roman" w:hAnsi="Times New Roman" w:cs="Times New Roman"/>
          <w:i/>
          <w:sz w:val="20"/>
          <w:szCs w:val="20"/>
        </w:rPr>
        <w:t xml:space="preserve">PC v City of York Council </w:t>
      </w:r>
      <w:r w:rsidRPr="00325987">
        <w:rPr>
          <w:rFonts w:ascii="Times New Roman" w:hAnsi="Times New Roman" w:cs="Times New Roman"/>
          <w:sz w:val="20"/>
          <w:szCs w:val="20"/>
        </w:rPr>
        <w:t xml:space="preserve">[2013] EWCA Civ 478’, </w:t>
      </w:r>
      <w:r w:rsidR="001D5EF3">
        <w:rPr>
          <w:rFonts w:ascii="Times New Roman" w:hAnsi="Times New Roman" w:cs="Times New Roman"/>
          <w:sz w:val="20"/>
          <w:szCs w:val="20"/>
        </w:rPr>
        <w:t>(2014) 22(4) Med L</w:t>
      </w:r>
      <w:r w:rsidRPr="00325987">
        <w:rPr>
          <w:rFonts w:ascii="Times New Roman" w:hAnsi="Times New Roman" w:cs="Times New Roman"/>
          <w:sz w:val="20"/>
          <w:szCs w:val="20"/>
        </w:rPr>
        <w:t>R</w:t>
      </w:r>
      <w:r w:rsidRPr="00325987">
        <w:rPr>
          <w:rFonts w:ascii="Times New Roman" w:hAnsi="Times New Roman" w:cs="Times New Roman"/>
          <w:i/>
          <w:sz w:val="20"/>
          <w:szCs w:val="20"/>
        </w:rPr>
        <w:t xml:space="preserve"> </w:t>
      </w:r>
      <w:r w:rsidRPr="00325987">
        <w:rPr>
          <w:rFonts w:ascii="Times New Roman" w:hAnsi="Times New Roman" w:cs="Times New Roman"/>
          <w:sz w:val="20"/>
          <w:szCs w:val="20"/>
        </w:rPr>
        <w:t>631-639, 634.</w:t>
      </w:r>
    </w:p>
  </w:footnote>
  <w:footnote w:id="63">
    <w:p w14:paraId="28F0CA4D" w14:textId="77777777" w:rsidR="001A2FA6" w:rsidRPr="0032598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bCs/>
          <w:sz w:val="20"/>
          <w:szCs w:val="20"/>
          <w:lang w:val="en-US"/>
        </w:rPr>
        <w:t>The general lack of awareness of the provisions of the Act has…allowed decision-making to be dominated by professionals, without the required input from families and carers about P’s wishes and feelings’.</w:t>
      </w:r>
      <w:r w:rsidRPr="00F66CD8">
        <w:rPr>
          <w:rFonts w:ascii="Times New Roman" w:hAnsi="Times New Roman" w:cs="Times New Roman"/>
          <w:b/>
          <w:bCs/>
          <w:sz w:val="20"/>
          <w:szCs w:val="20"/>
          <w:lang w:val="en-US"/>
        </w:rPr>
        <w:t xml:space="preserve"> </w:t>
      </w:r>
      <w:r w:rsidRPr="00F66CD8">
        <w:rPr>
          <w:rFonts w:ascii="Times New Roman" w:hAnsi="Times New Roman" w:cs="Times New Roman"/>
          <w:sz w:val="20"/>
          <w:szCs w:val="20"/>
          <w:lang w:val="en-US"/>
        </w:rPr>
        <w:t xml:space="preserve">House of Lords Select Committee on the Mental Capacity Act 2005, </w:t>
      </w:r>
      <w:r w:rsidRPr="00F66CD8">
        <w:rPr>
          <w:rFonts w:ascii="Times New Roman" w:hAnsi="Times New Roman" w:cs="Times New Roman"/>
          <w:i/>
          <w:iCs/>
          <w:sz w:val="20"/>
          <w:szCs w:val="20"/>
          <w:lang w:val="en-US"/>
        </w:rPr>
        <w:t xml:space="preserve">Mental Capacity Act 2005: Post-Legislative Scrutiny </w:t>
      </w:r>
      <w:r w:rsidRPr="00325987">
        <w:rPr>
          <w:rFonts w:ascii="Times New Roman" w:hAnsi="Times New Roman" w:cs="Times New Roman"/>
          <w:iCs/>
          <w:sz w:val="20"/>
          <w:szCs w:val="20"/>
          <w:lang w:val="en-US"/>
        </w:rPr>
        <w:t>(The Stationery Office: London, 2014) para 107.</w:t>
      </w:r>
    </w:p>
  </w:footnote>
  <w:footnote w:id="64">
    <w:p w14:paraId="388DBA0C" w14:textId="77777777" w:rsidR="001A2FA6" w:rsidRPr="002F511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sz w:val="20"/>
          <w:szCs w:val="20"/>
        </w:rPr>
        <w:t xml:space="preserve">Aintree University Hospitals NHS Trust v James </w:t>
      </w:r>
      <w:r w:rsidRPr="002F5117">
        <w:rPr>
          <w:rFonts w:ascii="Times New Roman" w:hAnsi="Times New Roman" w:cs="Times New Roman"/>
          <w:sz w:val="20"/>
          <w:szCs w:val="20"/>
        </w:rPr>
        <w:t>[2013] UKSC 67 [45].</w:t>
      </w:r>
    </w:p>
  </w:footnote>
  <w:footnote w:id="65">
    <w:p w14:paraId="3027428A" w14:textId="77777777" w:rsidR="001A2FA6" w:rsidRPr="002F511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sz w:val="20"/>
          <w:szCs w:val="20"/>
          <w:lang w:val="en-US"/>
        </w:rPr>
        <w:t xml:space="preserve">Re Peter Jones </w:t>
      </w:r>
      <w:r w:rsidRPr="002F5117">
        <w:rPr>
          <w:rFonts w:ascii="Times New Roman" w:hAnsi="Times New Roman" w:cs="Times New Roman"/>
          <w:sz w:val="20"/>
          <w:szCs w:val="20"/>
          <w:lang w:val="en-US"/>
        </w:rPr>
        <w:t>[2014] EWCOP 59 [65].</w:t>
      </w:r>
    </w:p>
  </w:footnote>
  <w:footnote w:id="66">
    <w:p w14:paraId="6D307C5A" w14:textId="0C24BEFC" w:rsidR="001A2FA6" w:rsidRPr="00F66CD8"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sz w:val="20"/>
          <w:szCs w:val="20"/>
        </w:rPr>
        <w:t xml:space="preserve">Wye Valley NHS Trust v B </w:t>
      </w:r>
      <w:r w:rsidRPr="002F5117">
        <w:rPr>
          <w:rFonts w:ascii="Times New Roman" w:hAnsi="Times New Roman" w:cs="Times New Roman"/>
          <w:sz w:val="20"/>
          <w:szCs w:val="20"/>
        </w:rPr>
        <w:t>[2015] EWCOP 60 [11]. See also at paragraph 13: ‘</w:t>
      </w:r>
      <w:r w:rsidRPr="002F5117">
        <w:rPr>
          <w:rFonts w:ascii="Times New Roman" w:hAnsi="Times New Roman" w:cs="Times New Roman"/>
          <w:sz w:val="20"/>
          <w:szCs w:val="20"/>
          <w:lang w:val="en-US"/>
        </w:rPr>
        <w:t>In some cases…the wishes and feelings, beliefs an</w:t>
      </w:r>
      <w:r w:rsidRPr="00F66CD8">
        <w:rPr>
          <w:rFonts w:ascii="Times New Roman" w:hAnsi="Times New Roman" w:cs="Times New Roman"/>
          <w:sz w:val="20"/>
          <w:szCs w:val="20"/>
          <w:lang w:val="en-US"/>
        </w:rPr>
        <w:t>d values of a person with a mental illness can be of such long standing that they are an inextricable part of the person that he is. In this situation…[i]t is more real and more respectful to recognise him for who he is: a person with his own intrinsic beliefs and values. It is no more meaningful to think of Mr B without his illnesses and idiosyncratic beliefs than it is to speak of an unmusical Mozart.’</w:t>
      </w:r>
    </w:p>
  </w:footnote>
  <w:footnote w:id="67">
    <w:p w14:paraId="781F68D3" w14:textId="7CB5AA94" w:rsidR="001A2FA6" w:rsidRPr="00F66CD8" w:rsidRDefault="001A2FA6">
      <w:pPr>
        <w:jc w:val="both"/>
        <w:rPr>
          <w:rFonts w:eastAsia="Times New Roman"/>
          <w:sz w:val="20"/>
          <w:szCs w:val="20"/>
          <w:lang w:eastAsia="en-US"/>
        </w:rPr>
      </w:pPr>
      <w:r w:rsidRPr="002F5117">
        <w:rPr>
          <w:rStyle w:val="FootnoteReference"/>
          <w:sz w:val="20"/>
          <w:szCs w:val="20"/>
        </w:rPr>
        <w:footnoteRef/>
      </w:r>
      <w:r w:rsidRPr="002F5117">
        <w:rPr>
          <w:sz w:val="20"/>
          <w:szCs w:val="20"/>
        </w:rPr>
        <w:t xml:space="preserve"> UNCRPD General Comment 1 (n </w:t>
      </w:r>
      <w:r w:rsidR="001D5EF3">
        <w:rPr>
          <w:sz w:val="20"/>
          <w:szCs w:val="20"/>
        </w:rPr>
        <w:t>43</w:t>
      </w:r>
      <w:r w:rsidRPr="002F5117">
        <w:rPr>
          <w:sz w:val="20"/>
          <w:szCs w:val="20"/>
        </w:rPr>
        <w:t>) para 21. There has been significant debate on the meaning of these provisions, see: P Bartlett, ‘The United Nations Convention on the Rights of Persons with Disabilities and Mental Health Law’, (2012) 75(5) MLR</w:t>
      </w:r>
      <w:r w:rsidRPr="00ED46D5">
        <w:rPr>
          <w:i/>
          <w:sz w:val="20"/>
          <w:szCs w:val="20"/>
        </w:rPr>
        <w:t xml:space="preserve"> </w:t>
      </w:r>
      <w:r w:rsidRPr="00ED46D5">
        <w:rPr>
          <w:sz w:val="20"/>
          <w:szCs w:val="20"/>
        </w:rPr>
        <w:t>752-778; P Gooding, ‘Navigating the ‘Flashing Amber Lights’ of the Right to Legal Capacity in the United Nations Co</w:t>
      </w:r>
      <w:r w:rsidRPr="00F66CD8">
        <w:rPr>
          <w:sz w:val="20"/>
          <w:szCs w:val="20"/>
        </w:rPr>
        <w:t xml:space="preserve">nvention on the Rights of Persons with Disabilities: Responding to Major Concerns’, (2015) 15 </w:t>
      </w:r>
      <w:r w:rsidR="001D5EF3">
        <w:rPr>
          <w:sz w:val="20"/>
          <w:szCs w:val="20"/>
        </w:rPr>
        <w:t>HRLR</w:t>
      </w:r>
      <w:r w:rsidRPr="00F66CD8">
        <w:rPr>
          <w:i/>
          <w:sz w:val="20"/>
          <w:szCs w:val="20"/>
        </w:rPr>
        <w:t xml:space="preserve"> </w:t>
      </w:r>
      <w:r w:rsidRPr="00F66CD8">
        <w:rPr>
          <w:sz w:val="20"/>
          <w:szCs w:val="20"/>
        </w:rPr>
        <w:t>45-71.</w:t>
      </w:r>
    </w:p>
  </w:footnote>
  <w:footnote w:id="68">
    <w:p w14:paraId="6ED4D074" w14:textId="40CAC26D" w:rsidR="001A2FA6" w:rsidRPr="002F5117" w:rsidRDefault="001A2FA6" w:rsidP="00140A42">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Committee on the Rights of Persons with Disabilities, ‘Statement on Article 14 of the Convention on the Rights of Persons with Disabilities</w:t>
      </w:r>
      <w:r w:rsidRPr="00ED46D5">
        <w:rPr>
          <w:rFonts w:ascii="Times New Roman" w:hAnsi="Times New Roman" w:cs="Times New Roman"/>
          <w:sz w:val="20"/>
          <w:szCs w:val="20"/>
        </w:rPr>
        <w:t>’</w:t>
      </w:r>
      <w:r w:rsidRPr="00ED46D5">
        <w:rPr>
          <w:rFonts w:ascii="Times New Roman" w:hAnsi="Times New Roman" w:cs="Times New Roman"/>
          <w:i/>
          <w:sz w:val="20"/>
          <w:szCs w:val="20"/>
        </w:rPr>
        <w:t xml:space="preserve">, </w:t>
      </w:r>
      <w:hyperlink r:id="rId1" w:history="1">
        <w:r w:rsidRPr="002F5117">
          <w:rPr>
            <w:rStyle w:val="Hyperlink"/>
            <w:rFonts w:ascii="Times New Roman" w:hAnsi="Times New Roman" w:cs="Times New Roman"/>
            <w:sz w:val="20"/>
            <w:szCs w:val="20"/>
          </w:rPr>
          <w:t>http://www.ohchr.org/EN/NewsEvents/Pages/DisplayNews.aspx?NewsID=15183&amp;LangID=E</w:t>
        </w:r>
      </w:hyperlink>
      <w:r w:rsidRPr="002F5117">
        <w:rPr>
          <w:rFonts w:ascii="Times New Roman" w:hAnsi="Times New Roman" w:cs="Times New Roman"/>
          <w:sz w:val="20"/>
          <w:szCs w:val="20"/>
        </w:rPr>
        <w:t xml:space="preserve"> accessed 10 April 2016</w:t>
      </w:r>
      <w:r>
        <w:rPr>
          <w:rFonts w:ascii="Times New Roman" w:hAnsi="Times New Roman" w:cs="Times New Roman"/>
          <w:sz w:val="20"/>
          <w:szCs w:val="20"/>
        </w:rPr>
        <w:t>. It might also be suggested that having a diagnostic element of the Mental Capacity Act 2005, such as in section 2, also goes against the idea of de-stigmatisation.</w:t>
      </w:r>
    </w:p>
  </w:footnote>
  <w:footnote w:id="69">
    <w:p w14:paraId="680568A7" w14:textId="0C8A08EA" w:rsidR="001A2FA6" w:rsidRPr="00ED46D5" w:rsidRDefault="001A2FA6" w:rsidP="002F5117">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Department of Health, </w:t>
      </w:r>
      <w:r w:rsidRPr="002F5117">
        <w:rPr>
          <w:rFonts w:ascii="Times New Roman" w:hAnsi="Times New Roman" w:cs="Times New Roman"/>
          <w:i/>
          <w:sz w:val="20"/>
          <w:szCs w:val="20"/>
        </w:rPr>
        <w:t xml:space="preserve">Mental Health Act 1983: Code of Practice </w:t>
      </w:r>
      <w:r w:rsidRPr="002F5117">
        <w:rPr>
          <w:rFonts w:ascii="Times New Roman" w:hAnsi="Times New Roman" w:cs="Times New Roman"/>
          <w:sz w:val="20"/>
          <w:szCs w:val="20"/>
        </w:rPr>
        <w:t>(The Statio</w:t>
      </w:r>
      <w:r w:rsidR="001D5EF3">
        <w:rPr>
          <w:rFonts w:ascii="Times New Roman" w:hAnsi="Times New Roman" w:cs="Times New Roman"/>
          <w:sz w:val="20"/>
          <w:szCs w:val="20"/>
        </w:rPr>
        <w:t>nery Office: London, 2015)</w:t>
      </w:r>
      <w:r w:rsidRPr="002F5117">
        <w:rPr>
          <w:rFonts w:ascii="Times New Roman" w:hAnsi="Times New Roman" w:cs="Times New Roman"/>
          <w:sz w:val="20"/>
          <w:szCs w:val="20"/>
        </w:rPr>
        <w:t xml:space="preserve"> 1.7 - 1.10. The Care Act 2014 also states that in promoting an individual’s well-being, the relevant local authority must begin with the assumption that the individual is best placed to judg</w:t>
      </w:r>
      <w:r w:rsidRPr="00ED46D5">
        <w:rPr>
          <w:rFonts w:ascii="Times New Roman" w:hAnsi="Times New Roman" w:cs="Times New Roman"/>
          <w:sz w:val="20"/>
          <w:szCs w:val="20"/>
        </w:rPr>
        <w:t>e her own well-being (Care Act 2014, s 1(3)(a)), and must have regard to the individual’s views, wishes, feelings and beliefs when assessing their care needs (Care Act 2014, s 1(3)(b)).</w:t>
      </w:r>
    </w:p>
  </w:footnote>
  <w:footnote w:id="70">
    <w:p w14:paraId="328CAE34" w14:textId="77777777" w:rsidR="001A2FA6" w:rsidRPr="002F5117" w:rsidRDefault="001A2FA6" w:rsidP="002F5117">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Declaration of Rights for Older People in Wales (2014), available at: </w:t>
      </w:r>
      <w:hyperlink r:id="rId2" w:history="1">
        <w:r w:rsidRPr="00325987">
          <w:rPr>
            <w:rStyle w:val="Hyperlink"/>
            <w:rFonts w:ascii="Times New Roman" w:hAnsi="Times New Roman" w:cs="Times New Roman"/>
            <w:sz w:val="20"/>
            <w:szCs w:val="20"/>
          </w:rPr>
          <w:t>htt</w:t>
        </w:r>
        <w:r w:rsidRPr="00325987">
          <w:rPr>
            <w:rStyle w:val="Hyperlink"/>
            <w:rFonts w:ascii="Times New Roman" w:hAnsi="Times New Roman" w:cs="Times New Roman"/>
            <w:sz w:val="20"/>
            <w:szCs w:val="20"/>
          </w:rPr>
          <w:t>p</w:t>
        </w:r>
        <w:r w:rsidRPr="00325987">
          <w:rPr>
            <w:rStyle w:val="Hyperlink"/>
            <w:rFonts w:ascii="Times New Roman" w:hAnsi="Times New Roman" w:cs="Times New Roman"/>
            <w:sz w:val="20"/>
            <w:szCs w:val="20"/>
          </w:rPr>
          <w:t>://gov.wales/docs/dhss/publications/140716olderen.pdf</w:t>
        </w:r>
      </w:hyperlink>
      <w:r w:rsidRPr="002F5117">
        <w:rPr>
          <w:rFonts w:ascii="Times New Roman" w:hAnsi="Times New Roman" w:cs="Times New Roman"/>
          <w:sz w:val="20"/>
          <w:szCs w:val="20"/>
        </w:rPr>
        <w:t xml:space="preserve">  accessed 25 August 2015.</w:t>
      </w:r>
    </w:p>
  </w:footnote>
  <w:footnote w:id="71">
    <w:p w14:paraId="5A03CB12" w14:textId="77777777" w:rsidR="001A2FA6" w:rsidRPr="002F5117" w:rsidRDefault="001A2FA6" w:rsidP="002F5117">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sz w:val="20"/>
          <w:szCs w:val="20"/>
          <w:lang w:val="en-US"/>
        </w:rPr>
        <w:t>Scotland has its own legislation on incapacity: Adults with Incapacity (Scotland) Act 2000, and issues concerning incapacity do not fall under the Mental Capacity Act 2005.</w:t>
      </w:r>
    </w:p>
  </w:footnote>
  <w:footnote w:id="72">
    <w:p w14:paraId="5E9244A2" w14:textId="77777777" w:rsidR="001A2FA6" w:rsidRPr="002F5117" w:rsidRDefault="001A2FA6" w:rsidP="002F5117">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Charter of Rights for People with Dementia and their Carers in Scotland, (2009), available at: </w:t>
      </w:r>
      <w:hyperlink r:id="rId3" w:history="1">
        <w:r w:rsidRPr="00325987">
          <w:rPr>
            <w:rStyle w:val="Hyperlink"/>
            <w:rFonts w:ascii="Times New Roman" w:hAnsi="Times New Roman" w:cs="Times New Roman"/>
            <w:sz w:val="20"/>
            <w:szCs w:val="20"/>
            <w:lang w:val="en-US"/>
          </w:rPr>
          <w:t>http://www.scottishhumanrights.com/application/resources/documents/FINALCharterofRights.pdf</w:t>
        </w:r>
      </w:hyperlink>
      <w:r w:rsidRPr="002F5117">
        <w:rPr>
          <w:rFonts w:ascii="Times New Roman" w:hAnsi="Times New Roman" w:cs="Times New Roman"/>
          <w:sz w:val="20"/>
          <w:szCs w:val="20"/>
          <w:lang w:val="en-US"/>
        </w:rPr>
        <w:t xml:space="preserve"> accessed 14 October 2015.</w:t>
      </w:r>
    </w:p>
  </w:footnote>
  <w:footnote w:id="73">
    <w:p w14:paraId="63748CFC" w14:textId="51B4CD1A" w:rsidR="001A2FA6" w:rsidRPr="00325987" w:rsidRDefault="001A2FA6" w:rsidP="00286DC2">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T Brannelly, ‘</w:t>
      </w:r>
      <w:r w:rsidRPr="00ED46D5">
        <w:rPr>
          <w:rFonts w:ascii="Times New Roman" w:hAnsi="Times New Roman" w:cs="Times New Roman"/>
          <w:sz w:val="20"/>
          <w:szCs w:val="20"/>
        </w:rPr>
        <w:t xml:space="preserve">Sustaining Citizenship: People with Dementia and the Phenomenon of Social Death’, </w:t>
      </w:r>
      <w:r>
        <w:rPr>
          <w:rFonts w:ascii="Times New Roman" w:hAnsi="Times New Roman" w:cs="Times New Roman"/>
          <w:sz w:val="20"/>
          <w:szCs w:val="20"/>
        </w:rPr>
        <w:t xml:space="preserve">(2011) 18(5) Dementia 662-671. See also: </w:t>
      </w:r>
      <w:r w:rsidRPr="002F5117">
        <w:rPr>
          <w:rFonts w:ascii="Times New Roman" w:hAnsi="Times New Roman" w:cs="Times New Roman"/>
          <w:sz w:val="20"/>
          <w:szCs w:val="20"/>
        </w:rPr>
        <w:t xml:space="preserve">Nuffield Council on Bioethics, above (n4) Ch 4, </w:t>
      </w:r>
      <w:r w:rsidRPr="00F66CD8">
        <w:rPr>
          <w:rFonts w:ascii="Times New Roman" w:hAnsi="Times New Roman" w:cs="Times New Roman"/>
          <w:sz w:val="20"/>
          <w:szCs w:val="20"/>
        </w:rPr>
        <w:t xml:space="preserve">D Gove </w:t>
      </w:r>
      <w:r w:rsidRPr="00F66CD8">
        <w:rPr>
          <w:rFonts w:ascii="Times New Roman" w:hAnsi="Times New Roman" w:cs="Times New Roman"/>
          <w:i/>
          <w:sz w:val="20"/>
          <w:szCs w:val="20"/>
        </w:rPr>
        <w:t xml:space="preserve">et al, </w:t>
      </w:r>
      <w:r w:rsidRPr="00F66CD8">
        <w:rPr>
          <w:rFonts w:ascii="Times New Roman" w:hAnsi="Times New Roman" w:cs="Times New Roman"/>
          <w:sz w:val="20"/>
          <w:szCs w:val="20"/>
        </w:rPr>
        <w:t>‘General Practitioners’ Perceptions of the Stigma of Dementia and the Role of Reciprocity</w:t>
      </w:r>
      <w:r w:rsidRPr="00325987">
        <w:rPr>
          <w:rFonts w:ascii="Times New Roman" w:hAnsi="Times New Roman" w:cs="Times New Roman"/>
          <w:sz w:val="20"/>
          <w:szCs w:val="20"/>
        </w:rPr>
        <w:t>’, (2015) Dementia DOI: 10.1177/1471301215625657 (Online First).</w:t>
      </w:r>
    </w:p>
  </w:footnote>
  <w:footnote w:id="74">
    <w:p w14:paraId="2C5FE58D" w14:textId="4A868678" w:rsidR="001A2FA6" w:rsidRPr="00ED46D5" w:rsidRDefault="001A2FA6" w:rsidP="002F5117">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001D5EF3">
        <w:rPr>
          <w:rFonts w:ascii="Times New Roman" w:hAnsi="Times New Roman" w:cs="Times New Roman"/>
          <w:sz w:val="20"/>
          <w:szCs w:val="20"/>
        </w:rPr>
        <w:t>Above (n 44</w:t>
      </w:r>
      <w:r>
        <w:rPr>
          <w:rFonts w:ascii="Times New Roman" w:hAnsi="Times New Roman" w:cs="Times New Roman"/>
          <w:sz w:val="20"/>
          <w:szCs w:val="20"/>
        </w:rPr>
        <w:t>).</w:t>
      </w:r>
      <w:r w:rsidRPr="002F5117">
        <w:rPr>
          <w:rFonts w:ascii="Times New Roman" w:hAnsi="Times New Roman" w:cs="Times New Roman"/>
          <w:sz w:val="20"/>
          <w:szCs w:val="20"/>
        </w:rPr>
        <w:t xml:space="preserve">  </w:t>
      </w:r>
    </w:p>
  </w:footnote>
  <w:footnote w:id="75">
    <w:p w14:paraId="75F61EDF" w14:textId="58146424" w:rsidR="001A2FA6" w:rsidRPr="00325987" w:rsidRDefault="001A2FA6" w:rsidP="002F5117">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sz w:val="20"/>
          <w:szCs w:val="20"/>
          <w:lang w:val="en-US"/>
        </w:rPr>
        <w:t>Boyle</w:t>
      </w:r>
      <w:r w:rsidR="001D5EF3">
        <w:rPr>
          <w:rFonts w:ascii="Times New Roman" w:hAnsi="Times New Roman" w:cs="Times New Roman"/>
          <w:sz w:val="20"/>
          <w:szCs w:val="20"/>
          <w:lang w:val="en-US"/>
        </w:rPr>
        <w:t>, above (n 40</w:t>
      </w:r>
      <w:r>
        <w:rPr>
          <w:rFonts w:ascii="Times New Roman" w:hAnsi="Times New Roman" w:cs="Times New Roman"/>
          <w:sz w:val="20"/>
          <w:szCs w:val="20"/>
          <w:lang w:val="en-US"/>
        </w:rPr>
        <w:t>)</w:t>
      </w:r>
      <w:r w:rsidRPr="002F5117">
        <w:rPr>
          <w:rFonts w:ascii="Times New Roman" w:hAnsi="Times New Roman" w:cs="Times New Roman"/>
          <w:sz w:val="20"/>
          <w:szCs w:val="20"/>
          <w:lang w:val="en-US"/>
        </w:rPr>
        <w:t xml:space="preserve">; </w:t>
      </w:r>
      <w:r w:rsidRPr="00F66CD8">
        <w:rPr>
          <w:rFonts w:ascii="Times New Roman" w:hAnsi="Times New Roman" w:cs="Times New Roman"/>
          <w:sz w:val="20"/>
          <w:szCs w:val="20"/>
        </w:rPr>
        <w:t xml:space="preserve">V Williams </w:t>
      </w:r>
      <w:r w:rsidRPr="00F66CD8">
        <w:rPr>
          <w:rFonts w:ascii="Times New Roman" w:hAnsi="Times New Roman" w:cs="Times New Roman"/>
          <w:i/>
          <w:sz w:val="20"/>
          <w:szCs w:val="20"/>
        </w:rPr>
        <w:t>et al,</w:t>
      </w:r>
      <w:r w:rsidRPr="00F66CD8">
        <w:rPr>
          <w:rFonts w:ascii="Times New Roman" w:hAnsi="Times New Roman" w:cs="Times New Roman"/>
          <w:sz w:val="20"/>
          <w:szCs w:val="20"/>
        </w:rPr>
        <w:t xml:space="preserve"> ‘Making Best Interests Decisions: People and Processes’, (Mental Health Foundation: London, 2012); T Williamson </w:t>
      </w:r>
      <w:r w:rsidRPr="00325987">
        <w:rPr>
          <w:rFonts w:ascii="Times New Roman" w:hAnsi="Times New Roman" w:cs="Times New Roman"/>
          <w:i/>
          <w:sz w:val="20"/>
          <w:szCs w:val="20"/>
        </w:rPr>
        <w:t>et al</w:t>
      </w:r>
      <w:r w:rsidRPr="00325987">
        <w:rPr>
          <w:rFonts w:ascii="Times New Roman" w:hAnsi="Times New Roman" w:cs="Times New Roman"/>
          <w:sz w:val="20"/>
          <w:szCs w:val="20"/>
        </w:rPr>
        <w:t>, ‘Listening to the lady in the bed: The Mental Capacity Act 2005 in Practice for Older People’, (2012) 2(2</w:t>
      </w:r>
      <w:r w:rsidRPr="001D5EF3">
        <w:rPr>
          <w:rFonts w:ascii="Times New Roman" w:hAnsi="Times New Roman" w:cs="Times New Roman"/>
          <w:sz w:val="20"/>
          <w:szCs w:val="20"/>
        </w:rPr>
        <w:t>)</w:t>
      </w:r>
      <w:r w:rsidRPr="00325987">
        <w:rPr>
          <w:rFonts w:ascii="Times New Roman" w:hAnsi="Times New Roman" w:cs="Times New Roman"/>
          <w:i/>
          <w:sz w:val="20"/>
          <w:szCs w:val="20"/>
        </w:rPr>
        <w:t xml:space="preserve"> </w:t>
      </w:r>
      <w:r w:rsidRPr="00325987">
        <w:rPr>
          <w:rFonts w:ascii="Times New Roman" w:hAnsi="Times New Roman" w:cs="Times New Roman"/>
          <w:sz w:val="20"/>
          <w:szCs w:val="20"/>
        </w:rPr>
        <w:t>Elder Law Journal</w:t>
      </w:r>
      <w:r w:rsidRPr="00325987">
        <w:rPr>
          <w:rFonts w:ascii="Times New Roman" w:hAnsi="Times New Roman" w:cs="Times New Roman"/>
          <w:i/>
          <w:sz w:val="20"/>
          <w:szCs w:val="20"/>
        </w:rPr>
        <w:t xml:space="preserve"> </w:t>
      </w:r>
      <w:r w:rsidRPr="00325987">
        <w:rPr>
          <w:rFonts w:ascii="Times New Roman" w:hAnsi="Times New Roman" w:cs="Times New Roman"/>
          <w:sz w:val="20"/>
          <w:szCs w:val="20"/>
        </w:rPr>
        <w:t xml:space="preserve">185-192; </w:t>
      </w:r>
      <w:r w:rsidRPr="00325987">
        <w:rPr>
          <w:rFonts w:ascii="Times New Roman" w:hAnsi="Times New Roman" w:cs="Times New Roman"/>
          <w:sz w:val="20"/>
          <w:szCs w:val="20"/>
          <w:lang w:val="en-US"/>
        </w:rPr>
        <w:t xml:space="preserve">C Emmett </w:t>
      </w:r>
      <w:r w:rsidRPr="00325987">
        <w:rPr>
          <w:rFonts w:ascii="Times New Roman" w:hAnsi="Times New Roman" w:cs="Times New Roman"/>
          <w:i/>
          <w:sz w:val="20"/>
          <w:szCs w:val="20"/>
          <w:lang w:val="en-US"/>
        </w:rPr>
        <w:t>et al</w:t>
      </w:r>
      <w:r w:rsidRPr="00325987">
        <w:rPr>
          <w:rFonts w:ascii="Times New Roman" w:hAnsi="Times New Roman" w:cs="Times New Roman"/>
          <w:sz w:val="20"/>
          <w:szCs w:val="20"/>
          <w:lang w:val="en-US"/>
        </w:rPr>
        <w:t xml:space="preserve">, ‘Homeward Bound or Bound for a Home? Assessing the Capacity of Dementia Patients to Make Decisions about Hospital Discharge: Comparing Practice with Legal Standards’, (2013) 36 International Journal of Law and Psychiatry 73-82; M Poole </w:t>
      </w:r>
      <w:r w:rsidRPr="00325987">
        <w:rPr>
          <w:rFonts w:ascii="Times New Roman" w:hAnsi="Times New Roman" w:cs="Times New Roman"/>
          <w:i/>
          <w:sz w:val="20"/>
          <w:szCs w:val="20"/>
          <w:lang w:val="en-US"/>
        </w:rPr>
        <w:t>et al</w:t>
      </w:r>
      <w:r w:rsidRPr="00325987">
        <w:rPr>
          <w:rFonts w:ascii="Times New Roman" w:hAnsi="Times New Roman" w:cs="Times New Roman"/>
          <w:sz w:val="20"/>
          <w:szCs w:val="20"/>
          <w:lang w:val="en-US"/>
        </w:rPr>
        <w:t>, ‘Going Home? An Ethnographic Study of Assessment Capacity and Best Interests in People with Dementia being Discharged from Hospital’, (2014) 14 BMC Geriatrics 56-71.</w:t>
      </w:r>
    </w:p>
  </w:footnote>
  <w:footnote w:id="76">
    <w:p w14:paraId="7E0B4A3E" w14:textId="798D1F83" w:rsidR="001A2FA6" w:rsidRPr="002F5117" w:rsidRDefault="001A2FA6" w:rsidP="002F5117">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This was also a major theme in the recent House of Lords post-legislative scrutiny on the Act: Above (n </w:t>
      </w:r>
      <w:r w:rsidR="001D5EF3">
        <w:rPr>
          <w:rFonts w:ascii="Times New Roman" w:hAnsi="Times New Roman" w:cs="Times New Roman"/>
          <w:sz w:val="20"/>
          <w:szCs w:val="20"/>
          <w:lang w:val="en-US"/>
        </w:rPr>
        <w:t>63</w:t>
      </w:r>
      <w:r w:rsidRPr="002F5117">
        <w:rPr>
          <w:rFonts w:ascii="Times New Roman" w:hAnsi="Times New Roman" w:cs="Times New Roman"/>
          <w:sz w:val="20"/>
          <w:szCs w:val="20"/>
          <w:lang w:val="en-US"/>
        </w:rPr>
        <w:t>).</w:t>
      </w:r>
    </w:p>
  </w:footnote>
  <w:footnote w:id="77">
    <w:p w14:paraId="122C28D5" w14:textId="77777777" w:rsidR="001A2FA6" w:rsidRPr="002F5117" w:rsidRDefault="001A2FA6" w:rsidP="00ED46D5">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[2015] EWCOP 1. </w:t>
      </w:r>
    </w:p>
  </w:footnote>
  <w:footnote w:id="78">
    <w:p w14:paraId="4327340B" w14:textId="77777777" w:rsidR="001A2FA6" w:rsidRPr="002F5117" w:rsidRDefault="001A2FA6" w:rsidP="009F32D9">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sz w:val="20"/>
          <w:szCs w:val="20"/>
        </w:rPr>
        <w:t>ibid.</w:t>
      </w:r>
      <w:r w:rsidRPr="002F5117">
        <w:rPr>
          <w:rFonts w:ascii="Times New Roman" w:hAnsi="Times New Roman" w:cs="Times New Roman"/>
          <w:sz w:val="20"/>
          <w:szCs w:val="20"/>
        </w:rPr>
        <w:t xml:space="preserve"> [15].</w:t>
      </w:r>
    </w:p>
  </w:footnote>
  <w:footnote w:id="79">
    <w:p w14:paraId="52045A78" w14:textId="0E98DDD6" w:rsidR="001A2FA6" w:rsidRPr="00ED46D5" w:rsidRDefault="001A2FA6" w:rsidP="009F32D9">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sz w:val="20"/>
          <w:szCs w:val="20"/>
        </w:rPr>
        <w:t xml:space="preserve">ibid. </w:t>
      </w:r>
      <w:r w:rsidRPr="002F5117">
        <w:rPr>
          <w:rFonts w:ascii="Times New Roman" w:hAnsi="Times New Roman" w:cs="Times New Roman"/>
          <w:sz w:val="20"/>
          <w:szCs w:val="20"/>
        </w:rPr>
        <w:t xml:space="preserve">[68]. See also </w:t>
      </w:r>
      <w:r w:rsidRPr="00ED46D5">
        <w:rPr>
          <w:rFonts w:ascii="Times New Roman" w:hAnsi="Times New Roman" w:cs="Times New Roman"/>
          <w:i/>
          <w:sz w:val="20"/>
          <w:szCs w:val="20"/>
        </w:rPr>
        <w:t xml:space="preserve">Re MM </w:t>
      </w:r>
      <w:r w:rsidRPr="00ED46D5">
        <w:rPr>
          <w:rFonts w:ascii="Times New Roman" w:hAnsi="Times New Roman" w:cs="Times New Roman"/>
          <w:sz w:val="20"/>
          <w:szCs w:val="20"/>
        </w:rPr>
        <w:t>[2011] 1 FLR 712, which involved the suspension of contact between a woman with dementia residing in a care home, MM, and her partner, RS. It was held to be a violation of RS’s article 8 rights.</w:t>
      </w:r>
    </w:p>
  </w:footnote>
  <w:footnote w:id="80">
    <w:p w14:paraId="0C0F8A95" w14:textId="77777777" w:rsidR="001A2FA6" w:rsidRPr="00ED46D5" w:rsidRDefault="001A2FA6" w:rsidP="00F66CD8">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2F5117">
        <w:rPr>
          <w:rFonts w:ascii="Times New Roman" w:hAnsi="Times New Roman" w:cs="Times New Roman"/>
          <w:i/>
          <w:sz w:val="20"/>
          <w:szCs w:val="20"/>
        </w:rPr>
        <w:t xml:space="preserve">Re GC </w:t>
      </w:r>
      <w:r w:rsidRPr="002F5117">
        <w:rPr>
          <w:rFonts w:ascii="Times New Roman" w:hAnsi="Times New Roman" w:cs="Times New Roman"/>
          <w:sz w:val="20"/>
          <w:szCs w:val="20"/>
        </w:rPr>
        <w:t>[2008] EWHC 3402 (Fam) [21].</w:t>
      </w:r>
    </w:p>
  </w:footnote>
  <w:footnote w:id="81">
    <w:p w14:paraId="4B443990" w14:textId="77777777" w:rsidR="001A2FA6" w:rsidRPr="002F511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Following recent scandals at a number of south Wales care homes, as well as the Mid-Staffordshire inquiry, there have been many instances of this type of treatment being reported in the media: </w:t>
      </w:r>
      <w:r w:rsidRPr="00ED46D5">
        <w:rPr>
          <w:rFonts w:ascii="Times New Roman" w:hAnsi="Times New Roman" w:cs="Times New Roman"/>
          <w:sz w:val="20"/>
          <w:szCs w:val="20"/>
          <w:lang w:val="en-US"/>
        </w:rPr>
        <w:t xml:space="preserve">‘Stafford Hospital Worker ‘called patient an animal’, </w:t>
      </w:r>
      <w:r w:rsidRPr="00ED46D5">
        <w:rPr>
          <w:rFonts w:ascii="Times New Roman" w:hAnsi="Times New Roman" w:cs="Times New Roman"/>
          <w:i/>
          <w:sz w:val="20"/>
          <w:szCs w:val="20"/>
          <w:lang w:val="en-US"/>
        </w:rPr>
        <w:t xml:space="preserve">BBC News </w:t>
      </w:r>
      <w:r w:rsidRPr="00ED46D5">
        <w:rPr>
          <w:rFonts w:ascii="Times New Roman" w:hAnsi="Times New Roman" w:cs="Times New Roman"/>
          <w:sz w:val="20"/>
          <w:szCs w:val="20"/>
          <w:lang w:val="en-US"/>
        </w:rPr>
        <w:t xml:space="preserve">(London, 12 February 2013) </w:t>
      </w:r>
      <w:hyperlink r:id="rId4" w:history="1">
        <w:r w:rsidRPr="00325987">
          <w:rPr>
            <w:rStyle w:val="Hyperlink"/>
            <w:rFonts w:ascii="Times New Roman" w:hAnsi="Times New Roman" w:cs="Times New Roman"/>
            <w:sz w:val="20"/>
            <w:szCs w:val="20"/>
            <w:lang w:val="en-US"/>
          </w:rPr>
          <w:t>http://www.bbc.co.uk/news/uk-england-stoke-staffordshire-21430513</w:t>
        </w:r>
      </w:hyperlink>
      <w:r w:rsidRPr="002F5117">
        <w:rPr>
          <w:rFonts w:ascii="Times New Roman" w:hAnsi="Times New Roman" w:cs="Times New Roman"/>
          <w:sz w:val="20"/>
          <w:szCs w:val="20"/>
          <w:lang w:val="en-US"/>
        </w:rPr>
        <w:t xml:space="preserve"> accessed 25 August 2015; ‘Care home nurse struck off after abusing patients’, </w:t>
      </w:r>
      <w:r w:rsidRPr="002F5117">
        <w:rPr>
          <w:rFonts w:ascii="Times New Roman" w:hAnsi="Times New Roman" w:cs="Times New Roman"/>
          <w:i/>
          <w:sz w:val="20"/>
          <w:szCs w:val="20"/>
          <w:lang w:val="en-US"/>
        </w:rPr>
        <w:t xml:space="preserve">The Northern Echo </w:t>
      </w:r>
      <w:r w:rsidRPr="002F5117">
        <w:rPr>
          <w:rFonts w:ascii="Times New Roman" w:hAnsi="Times New Roman" w:cs="Times New Roman"/>
          <w:sz w:val="20"/>
          <w:szCs w:val="20"/>
          <w:lang w:val="en-US"/>
        </w:rPr>
        <w:t xml:space="preserve">(14 March 2013), </w:t>
      </w:r>
      <w:hyperlink r:id="rId5" w:history="1">
        <w:r w:rsidRPr="00325987">
          <w:rPr>
            <w:rStyle w:val="Hyperlink"/>
            <w:rFonts w:ascii="Times New Roman" w:hAnsi="Times New Roman" w:cs="Times New Roman"/>
            <w:sz w:val="20"/>
            <w:szCs w:val="20"/>
            <w:lang w:val="en-US"/>
          </w:rPr>
          <w:t>http://www.thenorthernecho.co.uk/news/10291382.print/</w:t>
        </w:r>
      </w:hyperlink>
      <w:r w:rsidRPr="002F5117">
        <w:rPr>
          <w:rFonts w:ascii="Times New Roman" w:hAnsi="Times New Roman" w:cs="Times New Roman"/>
          <w:sz w:val="20"/>
          <w:szCs w:val="20"/>
          <w:lang w:val="en-US"/>
        </w:rPr>
        <w:t xml:space="preserve"> accessed 25 August 2015; Patrick Sawer, ‘Bullying care worker jailed after attacking dementia patients’, </w:t>
      </w:r>
      <w:r w:rsidRPr="002F5117">
        <w:rPr>
          <w:rFonts w:ascii="Times New Roman" w:hAnsi="Times New Roman" w:cs="Times New Roman"/>
          <w:i/>
          <w:sz w:val="20"/>
          <w:szCs w:val="20"/>
          <w:lang w:val="en-US"/>
        </w:rPr>
        <w:t xml:space="preserve">The Telegraph </w:t>
      </w:r>
      <w:r w:rsidRPr="002F5117">
        <w:rPr>
          <w:rFonts w:ascii="Times New Roman" w:hAnsi="Times New Roman" w:cs="Times New Roman"/>
          <w:sz w:val="20"/>
          <w:szCs w:val="20"/>
          <w:lang w:val="en-US"/>
        </w:rPr>
        <w:t>(19 December 2014). .</w:t>
      </w:r>
      <w:hyperlink r:id="rId6" w:history="1">
        <w:r w:rsidRPr="00325987">
          <w:rPr>
            <w:rStyle w:val="Hyperlink"/>
            <w:rFonts w:ascii="Times New Roman" w:hAnsi="Times New Roman" w:cs="Times New Roman"/>
            <w:sz w:val="20"/>
            <w:szCs w:val="20"/>
            <w:lang w:val="en-US"/>
          </w:rPr>
          <w:t>http://www.telegraph.co.uk/news/uknews/crime/11304361/Bullying-care-worker-jailed-after-attacking-dementia-patients.html</w:t>
        </w:r>
      </w:hyperlink>
      <w:r w:rsidRPr="002F5117">
        <w:rPr>
          <w:rFonts w:ascii="Times New Roman" w:hAnsi="Times New Roman" w:cs="Times New Roman"/>
          <w:sz w:val="20"/>
          <w:szCs w:val="20"/>
          <w:lang w:val="en-US"/>
        </w:rPr>
        <w:t xml:space="preserve"> accessed 25 August 2015.</w:t>
      </w:r>
    </w:p>
  </w:footnote>
  <w:footnote w:id="82">
    <w:p w14:paraId="13613570" w14:textId="77777777" w:rsidR="001A2FA6" w:rsidRPr="00ED46D5" w:rsidRDefault="001A2FA6">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2F5117">
        <w:rPr>
          <w:rFonts w:ascii="Times New Roman" w:hAnsi="Times New Roman" w:cs="Times New Roman"/>
          <w:sz w:val="20"/>
          <w:szCs w:val="20"/>
          <w:lang w:val="en-US"/>
        </w:rPr>
        <w:t>Donnelly (n 1</w:t>
      </w:r>
      <w:r w:rsidRPr="00ED46D5">
        <w:rPr>
          <w:rFonts w:ascii="Times New Roman" w:hAnsi="Times New Roman" w:cs="Times New Roman"/>
          <w:sz w:val="20"/>
          <w:szCs w:val="20"/>
          <w:lang w:val="en-US"/>
        </w:rPr>
        <w:t>7).</w:t>
      </w:r>
    </w:p>
  </w:footnote>
  <w:footnote w:id="83">
    <w:p w14:paraId="5C42DED1" w14:textId="77777777" w:rsidR="001A2FA6" w:rsidRPr="00ED46D5" w:rsidRDefault="001A2FA6">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2F5117">
        <w:rPr>
          <w:rFonts w:ascii="Times New Roman" w:hAnsi="Times New Roman" w:cs="Times New Roman"/>
          <w:sz w:val="20"/>
          <w:szCs w:val="20"/>
          <w:lang w:val="en-US"/>
        </w:rPr>
        <w:t>J Herr</w:t>
      </w:r>
      <w:r w:rsidRPr="00ED46D5">
        <w:rPr>
          <w:rFonts w:ascii="Times New Roman" w:hAnsi="Times New Roman" w:cs="Times New Roman"/>
          <w:sz w:val="20"/>
          <w:szCs w:val="20"/>
          <w:lang w:val="en-US"/>
        </w:rPr>
        <w:t>ing, ‘Legal Issues Surrounding Dementia’, (2011) 1(2) Elder Law Journal 182-189.</w:t>
      </w:r>
    </w:p>
  </w:footnote>
  <w:footnote w:id="84">
    <w:p w14:paraId="0C6AD4D7" w14:textId="77777777" w:rsidR="001A2FA6" w:rsidRPr="00ED46D5" w:rsidRDefault="001A2FA6">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lang w:val="en-US"/>
        </w:rPr>
        <w:t xml:space="preserve"> L Series, ‘Relationships, Autonomy and Legal Capacity: Mental Capacity and Support Paradigms’, (2015) 40 International Journal of Law and Psychiatry</w:t>
      </w:r>
      <w:r w:rsidRPr="002F5117">
        <w:rPr>
          <w:rFonts w:ascii="Times New Roman" w:hAnsi="Times New Roman" w:cs="Times New Roman"/>
          <w:i/>
          <w:sz w:val="20"/>
          <w:szCs w:val="20"/>
          <w:lang w:val="en-US"/>
        </w:rPr>
        <w:t xml:space="preserve"> </w:t>
      </w:r>
      <w:r w:rsidRPr="00ED46D5">
        <w:rPr>
          <w:rFonts w:ascii="Times New Roman" w:hAnsi="Times New Roman" w:cs="Times New Roman"/>
          <w:sz w:val="20"/>
          <w:szCs w:val="20"/>
          <w:lang w:val="en-US"/>
        </w:rPr>
        <w:t>80-91</w:t>
      </w:r>
      <w:r w:rsidRPr="00ED46D5">
        <w:rPr>
          <w:rFonts w:ascii="Times New Roman" w:hAnsi="Times New Roman" w:cs="Times New Roman"/>
          <w:i/>
          <w:sz w:val="20"/>
          <w:szCs w:val="20"/>
          <w:lang w:val="en-US"/>
        </w:rPr>
        <w:t xml:space="preserve">, </w:t>
      </w:r>
      <w:r w:rsidRPr="00ED46D5">
        <w:rPr>
          <w:rFonts w:ascii="Times New Roman" w:hAnsi="Times New Roman" w:cs="Times New Roman"/>
          <w:sz w:val="20"/>
          <w:szCs w:val="20"/>
          <w:lang w:val="en-US"/>
        </w:rPr>
        <w:t xml:space="preserve">87. </w:t>
      </w:r>
    </w:p>
  </w:footnote>
  <w:footnote w:id="85">
    <w:p w14:paraId="7973F892" w14:textId="40CDDDF8" w:rsidR="001A2FA6" w:rsidRPr="00286DC2" w:rsidRDefault="001A2FA6">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286DC2">
        <w:rPr>
          <w:rFonts w:ascii="Times New Roman" w:hAnsi="Times New Roman" w:cs="Times New Roman"/>
          <w:sz w:val="20"/>
          <w:szCs w:val="20"/>
        </w:rPr>
        <w:t xml:space="preserve"> </w:t>
      </w:r>
      <w:r w:rsidRPr="00627FFE">
        <w:rPr>
          <w:rFonts w:ascii="Times New Roman" w:hAnsi="Times New Roman" w:cs="Times New Roman"/>
          <w:sz w:val="20"/>
          <w:szCs w:val="20"/>
        </w:rPr>
        <w:t xml:space="preserve">Above (n </w:t>
      </w:r>
      <w:r w:rsidR="001D5EF3">
        <w:rPr>
          <w:rFonts w:ascii="Times New Roman" w:hAnsi="Times New Roman" w:cs="Times New Roman"/>
          <w:sz w:val="20"/>
          <w:szCs w:val="20"/>
        </w:rPr>
        <w:t>64)</w:t>
      </w:r>
      <w:r w:rsidRPr="002F5117">
        <w:rPr>
          <w:rFonts w:ascii="Times New Roman" w:hAnsi="Times New Roman" w:cs="Times New Roman"/>
          <w:sz w:val="20"/>
          <w:szCs w:val="20"/>
        </w:rPr>
        <w:t>.</w:t>
      </w:r>
    </w:p>
  </w:footnote>
  <w:footnote w:id="86">
    <w:p w14:paraId="7113E947" w14:textId="0D4600D0" w:rsidR="001A2FA6" w:rsidRPr="00ED46D5" w:rsidRDefault="001A2FA6">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See also: Department of Health, </w:t>
      </w:r>
      <w:r w:rsidRPr="002F5117">
        <w:rPr>
          <w:rFonts w:ascii="Times New Roman" w:hAnsi="Times New Roman" w:cs="Times New Roman"/>
          <w:i/>
          <w:sz w:val="20"/>
          <w:szCs w:val="20"/>
        </w:rPr>
        <w:t xml:space="preserve">Mental Capacity Act 2005 Code of Practice. </w:t>
      </w:r>
      <w:r w:rsidRPr="00ED46D5">
        <w:rPr>
          <w:rFonts w:ascii="Times New Roman" w:hAnsi="Times New Roman" w:cs="Times New Roman"/>
          <w:sz w:val="20"/>
          <w:szCs w:val="20"/>
        </w:rPr>
        <w:t>(The Stati</w:t>
      </w:r>
      <w:r w:rsidR="001D5EF3">
        <w:rPr>
          <w:rFonts w:ascii="Times New Roman" w:hAnsi="Times New Roman" w:cs="Times New Roman"/>
          <w:sz w:val="20"/>
          <w:szCs w:val="20"/>
        </w:rPr>
        <w:t>onery Office: London, 2007)</w:t>
      </w:r>
      <w:r w:rsidRPr="00ED46D5">
        <w:rPr>
          <w:rFonts w:ascii="Times New Roman" w:hAnsi="Times New Roman" w:cs="Times New Roman"/>
          <w:sz w:val="20"/>
          <w:szCs w:val="20"/>
        </w:rPr>
        <w:t xml:space="preserve"> 5.38.</w:t>
      </w:r>
    </w:p>
  </w:footnote>
  <w:footnote w:id="87">
    <w:p w14:paraId="23E94CE5" w14:textId="77777777" w:rsidR="001A2FA6" w:rsidRPr="00ED46D5" w:rsidRDefault="001A2FA6">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2F5117">
        <w:rPr>
          <w:rFonts w:ascii="Times New Roman" w:hAnsi="Times New Roman" w:cs="Times New Roman"/>
          <w:i/>
          <w:sz w:val="20"/>
          <w:szCs w:val="20"/>
          <w:lang w:val="en-US"/>
        </w:rPr>
        <w:t xml:space="preserve">Re S and S (Protected Persons) </w:t>
      </w:r>
      <w:r w:rsidRPr="00ED46D5">
        <w:rPr>
          <w:rFonts w:ascii="Times New Roman" w:hAnsi="Times New Roman" w:cs="Times New Roman"/>
          <w:sz w:val="20"/>
          <w:szCs w:val="20"/>
          <w:lang w:val="en-US"/>
        </w:rPr>
        <w:t xml:space="preserve">[2008] EWHC B16 (Fam) [55]. The court went on to say that there is a </w:t>
      </w:r>
      <w:r w:rsidRPr="00ED46D5">
        <w:rPr>
          <w:rFonts w:ascii="Times New Roman" w:hAnsi="Times New Roman" w:cs="Times New Roman"/>
          <w:sz w:val="20"/>
          <w:szCs w:val="20"/>
        </w:rPr>
        <w:t>presumption in their favour where the views are not irrational.</w:t>
      </w:r>
      <w:r w:rsidRPr="00ED46D5">
        <w:rPr>
          <w:rFonts w:ascii="Times New Roman" w:hAnsi="Times New Roman" w:cs="Times New Roman"/>
          <w:sz w:val="20"/>
          <w:szCs w:val="20"/>
          <w:lang w:val="en-US"/>
        </w:rPr>
        <w:t xml:space="preserve"> </w:t>
      </w:r>
    </w:p>
  </w:footnote>
  <w:footnote w:id="88">
    <w:p w14:paraId="4837A9A9" w14:textId="221A4AF4" w:rsidR="001A2FA6" w:rsidRPr="002F5117" w:rsidRDefault="001A2FA6">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00004977" w:rsidRPr="002F5117">
        <w:rPr>
          <w:rFonts w:ascii="Times New Roman" w:hAnsi="Times New Roman" w:cs="Times New Roman"/>
          <w:i/>
          <w:sz w:val="20"/>
          <w:szCs w:val="20"/>
          <w:lang w:val="en-US"/>
        </w:rPr>
        <w:t xml:space="preserve">ITW v Z </w:t>
      </w:r>
      <w:r w:rsidR="00004977">
        <w:rPr>
          <w:rFonts w:ascii="Times New Roman" w:hAnsi="Times New Roman" w:cs="Times New Roman"/>
          <w:sz w:val="20"/>
          <w:szCs w:val="20"/>
          <w:lang w:val="en-US"/>
        </w:rPr>
        <w:t>[2009] EWHC 2525 (Fam) [35</w:t>
      </w:r>
      <w:r w:rsidRPr="002F5117">
        <w:rPr>
          <w:rFonts w:ascii="Times New Roman" w:hAnsi="Times New Roman" w:cs="Times New Roman"/>
          <w:sz w:val="20"/>
          <w:szCs w:val="20"/>
          <w:lang w:val="en-US"/>
        </w:rPr>
        <w:t>].</w:t>
      </w:r>
    </w:p>
  </w:footnote>
  <w:footnote w:id="89">
    <w:p w14:paraId="1A748247" w14:textId="77777777" w:rsidR="001A2FA6" w:rsidRPr="00ED46D5" w:rsidRDefault="001A2FA6">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2F5117">
        <w:rPr>
          <w:rFonts w:ascii="Times New Roman" w:hAnsi="Times New Roman" w:cs="Times New Roman"/>
          <w:i/>
          <w:sz w:val="20"/>
          <w:szCs w:val="20"/>
          <w:lang w:val="en-US"/>
        </w:rPr>
        <w:t>Re P</w:t>
      </w:r>
      <w:r w:rsidRPr="00ED46D5">
        <w:rPr>
          <w:rFonts w:ascii="Times New Roman" w:hAnsi="Times New Roman" w:cs="Times New Roman"/>
          <w:sz w:val="20"/>
          <w:szCs w:val="20"/>
          <w:lang w:val="en-US"/>
        </w:rPr>
        <w:t xml:space="preserve"> </w:t>
      </w:r>
      <w:r w:rsidRPr="00ED46D5">
        <w:rPr>
          <w:rFonts w:ascii="Times New Roman" w:hAnsi="Times New Roman" w:cs="Times New Roman"/>
          <w:i/>
          <w:sz w:val="20"/>
          <w:szCs w:val="20"/>
          <w:lang w:val="en-US"/>
        </w:rPr>
        <w:t xml:space="preserve">(Statutory Will) </w:t>
      </w:r>
      <w:r w:rsidRPr="00ED46D5">
        <w:rPr>
          <w:rFonts w:ascii="Times New Roman" w:hAnsi="Times New Roman" w:cs="Times New Roman"/>
          <w:sz w:val="20"/>
          <w:szCs w:val="20"/>
          <w:lang w:val="en-US"/>
        </w:rPr>
        <w:t>[2009] EWHC 163 (Ch).</w:t>
      </w:r>
    </w:p>
  </w:footnote>
  <w:footnote w:id="90">
    <w:p w14:paraId="02B69505" w14:textId="32A28F92" w:rsidR="001A2FA6" w:rsidRPr="00ED46D5" w:rsidRDefault="001A2FA6">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00004977">
        <w:rPr>
          <w:rFonts w:ascii="Times New Roman" w:hAnsi="Times New Roman" w:cs="Times New Roman"/>
          <w:sz w:val="20"/>
          <w:szCs w:val="20"/>
          <w:lang w:val="en-US"/>
        </w:rPr>
        <w:t>Above (n 88).</w:t>
      </w:r>
    </w:p>
  </w:footnote>
  <w:footnote w:id="91">
    <w:p w14:paraId="317F8F46" w14:textId="77777777" w:rsidR="001A2FA6" w:rsidRPr="00ED46D5" w:rsidRDefault="001A2FA6">
      <w:pPr>
        <w:jc w:val="both"/>
        <w:rPr>
          <w:rFonts w:eastAsia="Times New Roman"/>
          <w:sz w:val="20"/>
          <w:szCs w:val="20"/>
          <w:lang w:eastAsia="en-US"/>
        </w:rPr>
      </w:pPr>
      <w:r w:rsidRPr="00627FFE">
        <w:rPr>
          <w:rStyle w:val="FootnoteReference"/>
          <w:sz w:val="20"/>
          <w:szCs w:val="20"/>
        </w:rPr>
        <w:footnoteRef/>
      </w:r>
      <w:r w:rsidRPr="00627FFE">
        <w:rPr>
          <w:sz w:val="20"/>
          <w:szCs w:val="20"/>
        </w:rPr>
        <w:t xml:space="preserve"> </w:t>
      </w:r>
      <w:r w:rsidRPr="002F5117">
        <w:rPr>
          <w:i/>
          <w:sz w:val="20"/>
          <w:szCs w:val="20"/>
        </w:rPr>
        <w:t>ibid.</w:t>
      </w:r>
      <w:r w:rsidRPr="00ED46D5">
        <w:rPr>
          <w:sz w:val="20"/>
          <w:szCs w:val="20"/>
        </w:rPr>
        <w:t xml:space="preserve"> [35].  </w:t>
      </w:r>
    </w:p>
  </w:footnote>
  <w:footnote w:id="92">
    <w:p w14:paraId="05A83B97" w14:textId="7A1EFAE1" w:rsidR="001A2FA6" w:rsidRPr="00F66CD8" w:rsidRDefault="001A2FA6">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A</w:t>
      </w:r>
      <w:r>
        <w:rPr>
          <w:rFonts w:ascii="Times New Roman" w:hAnsi="Times New Roman" w:cs="Times New Roman"/>
          <w:sz w:val="20"/>
          <w:szCs w:val="20"/>
        </w:rPr>
        <w:t xml:space="preserve"> </w:t>
      </w:r>
      <w:r w:rsidRPr="00627FFE">
        <w:rPr>
          <w:rFonts w:ascii="Times New Roman" w:hAnsi="Times New Roman" w:cs="Times New Roman"/>
          <w:sz w:val="20"/>
          <w:szCs w:val="20"/>
        </w:rPr>
        <w:t>R</w:t>
      </w:r>
      <w:r>
        <w:rPr>
          <w:rFonts w:ascii="Times New Roman" w:hAnsi="Times New Roman" w:cs="Times New Roman"/>
          <w:sz w:val="20"/>
          <w:szCs w:val="20"/>
        </w:rPr>
        <w:t>uck</w:t>
      </w:r>
      <w:r w:rsidRPr="002F5117">
        <w:rPr>
          <w:rFonts w:ascii="Times New Roman" w:hAnsi="Times New Roman" w:cs="Times New Roman"/>
          <w:sz w:val="20"/>
          <w:szCs w:val="20"/>
        </w:rPr>
        <w:t xml:space="preserve"> Keene, ‘Capacity is Not an Off-Switch’, (</w:t>
      </w:r>
      <w:r w:rsidRPr="00ED46D5">
        <w:rPr>
          <w:rFonts w:ascii="Times New Roman" w:hAnsi="Times New Roman" w:cs="Times New Roman"/>
          <w:i/>
          <w:sz w:val="20"/>
          <w:szCs w:val="20"/>
        </w:rPr>
        <w:t xml:space="preserve">Mental Capacity Law and Policy, </w:t>
      </w:r>
      <w:r w:rsidRPr="00ED46D5">
        <w:rPr>
          <w:rFonts w:ascii="Times New Roman" w:hAnsi="Times New Roman" w:cs="Times New Roman"/>
          <w:sz w:val="20"/>
          <w:szCs w:val="20"/>
        </w:rPr>
        <w:t xml:space="preserve">1 October 2015), available at: </w:t>
      </w:r>
      <w:hyperlink r:id="rId7" w:history="1">
        <w:r w:rsidRPr="00325987">
          <w:rPr>
            <w:rStyle w:val="Hyperlink"/>
            <w:rFonts w:ascii="Times New Roman" w:hAnsi="Times New Roman" w:cs="Times New Roman"/>
            <w:sz w:val="20"/>
            <w:szCs w:val="20"/>
          </w:rPr>
          <w:t>http://www.mentalcapacitylawandpolicy.org.uk/capacity-is-not-an-off-switch/</w:t>
        </w:r>
      </w:hyperlink>
      <w:r w:rsidRPr="00627FFE">
        <w:rPr>
          <w:rFonts w:ascii="Times New Roman" w:hAnsi="Times New Roman" w:cs="Times New Roman"/>
          <w:sz w:val="20"/>
          <w:szCs w:val="20"/>
        </w:rPr>
        <w:t xml:space="preserve"> </w:t>
      </w:r>
      <w:r w:rsidRPr="002F5117">
        <w:rPr>
          <w:rFonts w:ascii="Times New Roman" w:hAnsi="Times New Roman" w:cs="Times New Roman"/>
          <w:sz w:val="20"/>
          <w:szCs w:val="20"/>
        </w:rPr>
        <w:t>accessed 15 October 2015. See also: A</w:t>
      </w:r>
      <w:r>
        <w:rPr>
          <w:rFonts w:ascii="Times New Roman" w:hAnsi="Times New Roman" w:cs="Times New Roman"/>
          <w:sz w:val="20"/>
          <w:szCs w:val="20"/>
        </w:rPr>
        <w:t xml:space="preserve"> </w:t>
      </w:r>
      <w:r w:rsidRPr="002F5117">
        <w:rPr>
          <w:rFonts w:ascii="Times New Roman" w:hAnsi="Times New Roman" w:cs="Times New Roman"/>
          <w:sz w:val="20"/>
          <w:szCs w:val="20"/>
        </w:rPr>
        <w:t>R</w:t>
      </w:r>
      <w:r>
        <w:rPr>
          <w:rFonts w:ascii="Times New Roman" w:hAnsi="Times New Roman" w:cs="Times New Roman"/>
          <w:sz w:val="20"/>
          <w:szCs w:val="20"/>
        </w:rPr>
        <w:t>uck</w:t>
      </w:r>
      <w:r w:rsidRPr="002F5117">
        <w:rPr>
          <w:rFonts w:ascii="Times New Roman" w:hAnsi="Times New Roman" w:cs="Times New Roman"/>
          <w:sz w:val="20"/>
          <w:szCs w:val="20"/>
        </w:rPr>
        <w:t xml:space="preserve"> Keene and C Auckland, ‘More Presu</w:t>
      </w:r>
      <w:r w:rsidRPr="00ED46D5">
        <w:rPr>
          <w:rFonts w:ascii="Times New Roman" w:hAnsi="Times New Roman" w:cs="Times New Roman"/>
          <w:sz w:val="20"/>
          <w:szCs w:val="20"/>
        </w:rPr>
        <w:t>mptions Please? Wishes, Feelings and Best Interests Decision-Making’, (2015) 5(3) Elder Law Journal</w:t>
      </w:r>
      <w:r w:rsidRPr="00F66CD8">
        <w:rPr>
          <w:rFonts w:ascii="Times New Roman" w:hAnsi="Times New Roman" w:cs="Times New Roman"/>
          <w:i/>
          <w:sz w:val="20"/>
          <w:szCs w:val="20"/>
        </w:rPr>
        <w:t xml:space="preserve"> </w:t>
      </w:r>
      <w:r w:rsidRPr="00F66CD8">
        <w:rPr>
          <w:rFonts w:ascii="Times New Roman" w:hAnsi="Times New Roman" w:cs="Times New Roman"/>
          <w:sz w:val="20"/>
          <w:szCs w:val="20"/>
        </w:rPr>
        <w:t>293-301, 295.</w:t>
      </w:r>
    </w:p>
  </w:footnote>
  <w:footnote w:id="93">
    <w:p w14:paraId="2202BB17" w14:textId="1D58250C" w:rsidR="001A2FA6" w:rsidRPr="00224BCA" w:rsidRDefault="001A2FA6" w:rsidP="00D570A8">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Law Commission, </w:t>
      </w:r>
      <w:r w:rsidRPr="002F5117">
        <w:rPr>
          <w:rFonts w:ascii="Times New Roman" w:hAnsi="Times New Roman" w:cs="Times New Roman"/>
          <w:i/>
          <w:sz w:val="20"/>
          <w:szCs w:val="20"/>
        </w:rPr>
        <w:t xml:space="preserve">Mental Capacity and Deprivation of Liberty </w:t>
      </w:r>
      <w:r w:rsidRPr="00ED46D5">
        <w:rPr>
          <w:rFonts w:ascii="Times New Roman" w:hAnsi="Times New Roman" w:cs="Times New Roman"/>
          <w:sz w:val="20"/>
          <w:szCs w:val="20"/>
        </w:rPr>
        <w:t xml:space="preserve">(Law Com CP No 222, 2015) para 12.47. This position has, however, been criticised by Jackson J in </w:t>
      </w:r>
      <w:r w:rsidRPr="00ED46D5">
        <w:rPr>
          <w:rFonts w:ascii="Times New Roman" w:hAnsi="Times New Roman" w:cs="Times New Roman"/>
          <w:i/>
          <w:sz w:val="20"/>
          <w:szCs w:val="20"/>
        </w:rPr>
        <w:t xml:space="preserve">Wye Valley </w:t>
      </w:r>
      <w:r w:rsidRPr="00ED46D5">
        <w:rPr>
          <w:rFonts w:ascii="Times New Roman" w:hAnsi="Times New Roman" w:cs="Times New Roman"/>
          <w:sz w:val="20"/>
          <w:szCs w:val="20"/>
        </w:rPr>
        <w:t>based on the uncertainty as to what is mea</w:t>
      </w:r>
      <w:r w:rsidR="00D21BBA">
        <w:rPr>
          <w:rFonts w:ascii="Times New Roman" w:hAnsi="Times New Roman" w:cs="Times New Roman"/>
          <w:sz w:val="20"/>
          <w:szCs w:val="20"/>
        </w:rPr>
        <w:t>nt by ‘good reason’: Above (n 66</w:t>
      </w:r>
      <w:r w:rsidRPr="00ED46D5">
        <w:rPr>
          <w:rFonts w:ascii="Times New Roman" w:hAnsi="Times New Roman" w:cs="Times New Roman"/>
          <w:sz w:val="20"/>
          <w:szCs w:val="20"/>
        </w:rPr>
        <w:t>) [</w:t>
      </w:r>
      <w:r w:rsidRPr="00224BCA">
        <w:rPr>
          <w:rFonts w:ascii="Times New Roman" w:hAnsi="Times New Roman" w:cs="Times New Roman"/>
          <w:sz w:val="20"/>
          <w:szCs w:val="20"/>
        </w:rPr>
        <w:t>17].</w:t>
      </w:r>
    </w:p>
  </w:footnote>
  <w:footnote w:id="94">
    <w:p w14:paraId="5DD033C6" w14:textId="77777777" w:rsidR="001A2FA6" w:rsidRPr="002F5117" w:rsidRDefault="001A2FA6" w:rsidP="002F5117">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The Court of Protection (Amendment) Rules 2015, s 3A.</w:t>
      </w:r>
    </w:p>
  </w:footnote>
  <w:footnote w:id="95">
    <w:p w14:paraId="175F2BA4" w14:textId="0C2DDB07" w:rsidR="001A2FA6" w:rsidRPr="00F66CD8" w:rsidRDefault="001A2FA6" w:rsidP="00ED46D5">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A</w:t>
      </w:r>
      <w:r w:rsidR="0073783A">
        <w:rPr>
          <w:rFonts w:ascii="Times New Roman" w:hAnsi="Times New Roman" w:cs="Times New Roman"/>
          <w:sz w:val="20"/>
          <w:szCs w:val="20"/>
        </w:rPr>
        <w:t xml:space="preserve"> </w:t>
      </w:r>
      <w:r w:rsidRPr="002F5117">
        <w:rPr>
          <w:rFonts w:ascii="Times New Roman" w:hAnsi="Times New Roman" w:cs="Times New Roman"/>
          <w:sz w:val="20"/>
          <w:szCs w:val="20"/>
        </w:rPr>
        <w:t>R</w:t>
      </w:r>
      <w:r w:rsidR="0073783A">
        <w:rPr>
          <w:rFonts w:ascii="Times New Roman" w:hAnsi="Times New Roman" w:cs="Times New Roman"/>
          <w:sz w:val="20"/>
          <w:szCs w:val="20"/>
        </w:rPr>
        <w:t>uck</w:t>
      </w:r>
      <w:r w:rsidRPr="002F5117">
        <w:rPr>
          <w:rFonts w:ascii="Times New Roman" w:hAnsi="Times New Roman" w:cs="Times New Roman"/>
          <w:sz w:val="20"/>
          <w:szCs w:val="20"/>
        </w:rPr>
        <w:t xml:space="preserve"> Keene, ‘</w:t>
      </w:r>
      <w:r w:rsidRPr="00ED46D5">
        <w:rPr>
          <w:rFonts w:ascii="Times New Roman" w:hAnsi="Times New Roman" w:cs="Times New Roman"/>
          <w:sz w:val="20"/>
          <w:szCs w:val="20"/>
          <w:lang w:val="en-US"/>
        </w:rPr>
        <w:t>(Re)presenting P before the Court of Protection’, (The Mental Capacity Act 20</w:t>
      </w:r>
      <w:r w:rsidR="00B741B8">
        <w:rPr>
          <w:rFonts w:ascii="Times New Roman" w:hAnsi="Times New Roman" w:cs="Times New Roman"/>
          <w:sz w:val="20"/>
          <w:szCs w:val="20"/>
          <w:lang w:val="en-US"/>
        </w:rPr>
        <w:t>115 – Ten Years On C</w:t>
      </w:r>
      <w:r w:rsidRPr="00224BCA">
        <w:rPr>
          <w:rFonts w:ascii="Times New Roman" w:hAnsi="Times New Roman" w:cs="Times New Roman"/>
          <w:sz w:val="20"/>
          <w:szCs w:val="20"/>
          <w:lang w:val="en-US"/>
        </w:rPr>
        <w:t xml:space="preserve">onference, Liverpool, September 2015). </w:t>
      </w:r>
    </w:p>
  </w:footnote>
  <w:footnote w:id="96">
    <w:p w14:paraId="3919FDF5" w14:textId="49C8D35B" w:rsidR="001A2FA6" w:rsidRPr="00D570A8" w:rsidRDefault="001A2FA6" w:rsidP="00224BCA">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 xml:space="preserve">Munro argues that such a position may be in conflict with the decision of the European Court of Human Rights in </w:t>
      </w:r>
      <w:r w:rsidRPr="00224BCA">
        <w:rPr>
          <w:rFonts w:ascii="Times New Roman" w:hAnsi="Times New Roman" w:cs="Times New Roman"/>
          <w:i/>
          <w:sz w:val="20"/>
          <w:szCs w:val="20"/>
          <w:lang w:val="en-US"/>
        </w:rPr>
        <w:t xml:space="preserve">Shtukaturov v Russia </w:t>
      </w:r>
      <w:r w:rsidRPr="00F66CD8">
        <w:rPr>
          <w:rFonts w:ascii="Times New Roman" w:hAnsi="Times New Roman" w:cs="Times New Roman"/>
          <w:sz w:val="20"/>
          <w:szCs w:val="20"/>
          <w:lang w:val="en-US"/>
        </w:rPr>
        <w:t xml:space="preserve">(2012) 54 EHRR 27, which held that representative of a person’s wishes by an ‘interested party’ was inadequate: Munro (n </w:t>
      </w:r>
      <w:r w:rsidR="0073783A">
        <w:rPr>
          <w:rFonts w:ascii="Times New Roman" w:hAnsi="Times New Roman" w:cs="Times New Roman"/>
          <w:sz w:val="20"/>
          <w:szCs w:val="20"/>
          <w:lang w:val="en-US"/>
        </w:rPr>
        <w:t>52</w:t>
      </w:r>
      <w:r w:rsidRPr="009F32D9">
        <w:rPr>
          <w:rFonts w:ascii="Times New Roman" w:hAnsi="Times New Roman" w:cs="Times New Roman"/>
          <w:sz w:val="20"/>
          <w:szCs w:val="20"/>
          <w:lang w:val="en-US"/>
        </w:rPr>
        <w:t>) 69.</w:t>
      </w:r>
    </w:p>
  </w:footnote>
  <w:footnote w:id="97">
    <w:p w14:paraId="35306F81" w14:textId="77777777" w:rsidR="001A2FA6" w:rsidRPr="00224BCA" w:rsidRDefault="001A2FA6" w:rsidP="00224BCA">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rPr>
        <w:t xml:space="preserve">Re X </w:t>
      </w:r>
      <w:r w:rsidRPr="00224BCA">
        <w:rPr>
          <w:rFonts w:ascii="Times New Roman" w:hAnsi="Times New Roman" w:cs="Times New Roman"/>
          <w:sz w:val="20"/>
          <w:szCs w:val="20"/>
        </w:rPr>
        <w:t xml:space="preserve">[2014] EWCOP 25; </w:t>
      </w:r>
      <w:r w:rsidRPr="00224BCA">
        <w:rPr>
          <w:rFonts w:ascii="Times New Roman" w:hAnsi="Times New Roman" w:cs="Times New Roman"/>
          <w:i/>
          <w:sz w:val="20"/>
          <w:szCs w:val="20"/>
          <w:lang w:val="en-US"/>
        </w:rPr>
        <w:t xml:space="preserve">Re X </w:t>
      </w:r>
      <w:r w:rsidRPr="00224BCA">
        <w:rPr>
          <w:rFonts w:ascii="Times New Roman" w:hAnsi="Times New Roman" w:cs="Times New Roman"/>
          <w:sz w:val="20"/>
          <w:szCs w:val="20"/>
          <w:lang w:val="en-US"/>
        </w:rPr>
        <w:t>[2015] EWCA Civ 599.</w:t>
      </w:r>
    </w:p>
  </w:footnote>
  <w:footnote w:id="98">
    <w:p w14:paraId="1E3276FD" w14:textId="77777777" w:rsidR="001A2FA6" w:rsidRPr="00224BCA" w:rsidRDefault="001A2FA6" w:rsidP="00F66CD8">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rPr>
        <w:t xml:space="preserve">Re NRA </w:t>
      </w:r>
      <w:r w:rsidRPr="00224BCA">
        <w:rPr>
          <w:rFonts w:ascii="Times New Roman" w:hAnsi="Times New Roman" w:cs="Times New Roman"/>
          <w:sz w:val="20"/>
          <w:szCs w:val="20"/>
        </w:rPr>
        <w:t>[2015] EWCOP 59 [164].</w:t>
      </w:r>
    </w:p>
  </w:footnote>
  <w:footnote w:id="99">
    <w:p w14:paraId="110B9A8F" w14:textId="77777777" w:rsidR="001A2FA6" w:rsidRPr="00ED46D5" w:rsidRDefault="001A2FA6" w:rsidP="00F66CD8">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[2009] EWHC 784 (Fam).</w:t>
      </w:r>
    </w:p>
  </w:footnote>
  <w:footnote w:id="100">
    <w:p w14:paraId="053520D7"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rPr>
        <w:t>ibid.</w:t>
      </w:r>
      <w:r w:rsidRPr="00224BCA">
        <w:rPr>
          <w:rFonts w:ascii="Times New Roman" w:hAnsi="Times New Roman" w:cs="Times New Roman"/>
          <w:sz w:val="20"/>
          <w:szCs w:val="20"/>
        </w:rPr>
        <w:t xml:space="preserve"> [128].</w:t>
      </w:r>
    </w:p>
  </w:footnote>
  <w:footnote w:id="101">
    <w:p w14:paraId="6239971E" w14:textId="77777777" w:rsidR="001A2FA6" w:rsidRPr="00F66CD8"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Although not involving a person with dementia, </w:t>
      </w:r>
      <w:r w:rsidRPr="00ED46D5">
        <w:rPr>
          <w:rFonts w:ascii="Times New Roman" w:hAnsi="Times New Roman" w:cs="Times New Roman"/>
          <w:sz w:val="20"/>
          <w:szCs w:val="20"/>
          <w:lang w:val="en-US"/>
        </w:rPr>
        <w:t xml:space="preserve">this approach is </w:t>
      </w:r>
      <w:r w:rsidRPr="00224BCA">
        <w:rPr>
          <w:rFonts w:ascii="Times New Roman" w:hAnsi="Times New Roman" w:cs="Times New Roman"/>
          <w:sz w:val="20"/>
          <w:szCs w:val="20"/>
          <w:lang w:val="en-US"/>
        </w:rPr>
        <w:t xml:space="preserve">also present in </w:t>
      </w:r>
      <w:r w:rsidRPr="009F32D9">
        <w:rPr>
          <w:rFonts w:ascii="Times New Roman" w:hAnsi="Times New Roman" w:cs="Times New Roman"/>
          <w:i/>
          <w:sz w:val="20"/>
          <w:szCs w:val="20"/>
          <w:lang w:val="en-US"/>
        </w:rPr>
        <w:t xml:space="preserve">NCC v PB and TB </w:t>
      </w:r>
      <w:r w:rsidRPr="009F32D9">
        <w:rPr>
          <w:rFonts w:ascii="Times New Roman" w:hAnsi="Times New Roman" w:cs="Times New Roman"/>
          <w:sz w:val="20"/>
          <w:szCs w:val="20"/>
          <w:lang w:val="en-US"/>
        </w:rPr>
        <w:t xml:space="preserve">[2014] EWCOP 14 [113]: ‘…[t]he inherent jurisdiction </w:t>
      </w:r>
      <w:r w:rsidRPr="009F32D9">
        <w:rPr>
          <w:rFonts w:ascii="Times New Roman" w:hAnsi="Times New Roman" w:cs="Times New Roman"/>
          <w:sz w:val="20"/>
          <w:szCs w:val="20"/>
        </w:rPr>
        <w:t>exists to protect, liberate and enhance personal autonomy...[t]o be maintained in optimum health, safe, warm, free from physical indignity and cared for is in itself an en</w:t>
      </w:r>
      <w:r w:rsidRPr="00F66CD8">
        <w:rPr>
          <w:rFonts w:ascii="Times New Roman" w:hAnsi="Times New Roman" w:cs="Times New Roman"/>
          <w:sz w:val="20"/>
          <w:szCs w:val="20"/>
        </w:rPr>
        <w:t>hancement of autonomy’.</w:t>
      </w:r>
    </w:p>
  </w:footnote>
  <w:footnote w:id="102">
    <w:p w14:paraId="43197789" w14:textId="7F85F8ED" w:rsidR="001A2FA6" w:rsidRPr="00ED46D5"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0073783A">
        <w:rPr>
          <w:rFonts w:ascii="Times New Roman" w:hAnsi="Times New Roman" w:cs="Times New Roman"/>
          <w:sz w:val="20"/>
          <w:szCs w:val="20"/>
        </w:rPr>
        <w:t xml:space="preserve"> Above (n 99</w:t>
      </w:r>
      <w:r w:rsidRPr="002F5117">
        <w:rPr>
          <w:rFonts w:ascii="Times New Roman" w:hAnsi="Times New Roman" w:cs="Times New Roman"/>
          <w:sz w:val="20"/>
          <w:szCs w:val="20"/>
        </w:rPr>
        <w:t>) [46].</w:t>
      </w:r>
    </w:p>
  </w:footnote>
  <w:footnote w:id="103">
    <w:p w14:paraId="566750E2" w14:textId="77777777" w:rsidR="001A2FA6" w:rsidRPr="00F66CD8"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R Harding, ‘Legal Constructions of Dementia: Discourses of Autonomy at the Margins of Capacity’, (2012) 34(4) Journal of Social Welfare &amp; Family Law</w:t>
      </w:r>
      <w:r w:rsidRPr="00F66CD8">
        <w:rPr>
          <w:rFonts w:ascii="Times New Roman" w:hAnsi="Times New Roman" w:cs="Times New Roman"/>
          <w:i/>
          <w:sz w:val="20"/>
          <w:szCs w:val="20"/>
          <w:lang w:val="en-US"/>
        </w:rPr>
        <w:t xml:space="preserve"> </w:t>
      </w:r>
      <w:r w:rsidRPr="00F66CD8">
        <w:rPr>
          <w:rFonts w:ascii="Times New Roman" w:hAnsi="Times New Roman" w:cs="Times New Roman"/>
          <w:sz w:val="20"/>
          <w:szCs w:val="20"/>
          <w:lang w:val="en-US"/>
        </w:rPr>
        <w:t>425-442.</w:t>
      </w:r>
    </w:p>
  </w:footnote>
  <w:footnote w:id="104">
    <w:p w14:paraId="5496D906" w14:textId="77777777" w:rsidR="001A2FA6" w:rsidRPr="009F32D9" w:rsidRDefault="001A2FA6" w:rsidP="00286DC2">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ME Graham, ‘From Wandering to Wayfaring: Reconsid</w:t>
      </w:r>
      <w:r w:rsidRPr="009F32D9">
        <w:rPr>
          <w:rFonts w:ascii="Times New Roman" w:hAnsi="Times New Roman" w:cs="Times New Roman"/>
          <w:sz w:val="20"/>
          <w:szCs w:val="20"/>
          <w:lang w:val="en-US"/>
        </w:rPr>
        <w:t>ering Movement in People with Dementia in Long-Term Care’, (2015) Dementia DOI:</w:t>
      </w:r>
      <w:r w:rsidRPr="00D570A8">
        <w:rPr>
          <w:rFonts w:ascii="Times New Roman" w:hAnsi="Times New Roman" w:cs="Times New Roman"/>
          <w:sz w:val="20"/>
          <w:szCs w:val="20"/>
        </w:rPr>
        <w:t xml:space="preserve"> </w:t>
      </w:r>
      <w:r w:rsidRPr="002F5117">
        <w:rPr>
          <w:rFonts w:ascii="Times New Roman" w:hAnsi="Times New Roman" w:cs="Times New Roman"/>
          <w:sz w:val="20"/>
          <w:szCs w:val="20"/>
          <w:lang w:val="en-US"/>
        </w:rPr>
        <w:t>10.1177/1471301215614572</w:t>
      </w:r>
      <w:r w:rsidRPr="00ED46D5">
        <w:rPr>
          <w:rFonts w:ascii="Times New Roman" w:hAnsi="Times New Roman" w:cs="Times New Roman"/>
          <w:i/>
          <w:sz w:val="20"/>
          <w:szCs w:val="20"/>
          <w:lang w:val="en-US"/>
        </w:rPr>
        <w:t xml:space="preserve"> </w:t>
      </w:r>
      <w:r w:rsidRPr="009F32D9">
        <w:rPr>
          <w:rFonts w:ascii="Times New Roman" w:hAnsi="Times New Roman" w:cs="Times New Roman"/>
          <w:sz w:val="20"/>
          <w:szCs w:val="20"/>
          <w:lang w:val="en-US"/>
        </w:rPr>
        <w:t>(Online First).</w:t>
      </w:r>
    </w:p>
  </w:footnote>
  <w:footnote w:id="105">
    <w:p w14:paraId="2A59C52B" w14:textId="77777777" w:rsidR="001A2FA6" w:rsidRPr="00ED46D5"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[2010] EWHC 1527 (Fam).</w:t>
      </w:r>
    </w:p>
  </w:footnote>
  <w:footnote w:id="106">
    <w:p w14:paraId="50EDD98A"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[109] and [116].</w:t>
      </w:r>
    </w:p>
  </w:footnote>
  <w:footnote w:id="107">
    <w:p w14:paraId="4FBF5195"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[122].</w:t>
      </w:r>
    </w:p>
  </w:footnote>
  <w:footnote w:id="108">
    <w:p w14:paraId="79A9A1C9"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[155].</w:t>
      </w:r>
    </w:p>
  </w:footnote>
  <w:footnote w:id="109">
    <w:p w14:paraId="7BB081FE" w14:textId="77777777" w:rsidR="001A2FA6" w:rsidRPr="00286DC2"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A more radical interpretation o</w:t>
      </w:r>
      <w:r w:rsidRPr="00ED46D5">
        <w:rPr>
          <w:rFonts w:ascii="Times New Roman" w:hAnsi="Times New Roman" w:cs="Times New Roman"/>
          <w:sz w:val="20"/>
          <w:szCs w:val="20"/>
        </w:rPr>
        <w:t xml:space="preserve">f </w:t>
      </w:r>
      <w:r w:rsidRPr="009F32D9">
        <w:rPr>
          <w:rFonts w:ascii="Times New Roman" w:hAnsi="Times New Roman" w:cs="Times New Roman"/>
          <w:i/>
          <w:sz w:val="20"/>
          <w:szCs w:val="20"/>
        </w:rPr>
        <w:t>IIBCC v LG</w:t>
      </w:r>
      <w:r w:rsidRPr="009F32D9">
        <w:rPr>
          <w:rFonts w:ascii="Times New Roman" w:hAnsi="Times New Roman" w:cs="Times New Roman"/>
          <w:sz w:val="20"/>
          <w:szCs w:val="20"/>
        </w:rPr>
        <w:t xml:space="preserve"> suggests that the behaviour of the daughter, who is suffering with mental health issues, is also interpreted in the same manner. At paragraph 103 the Court states that ‘[t]he court is left with a lady presenting as profoundly disabled and behaving bizarrely’.</w:t>
      </w:r>
    </w:p>
  </w:footnote>
  <w:footnote w:id="110">
    <w:p w14:paraId="3D77F5B8" w14:textId="0A3C019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Shildrick (n 2</w:t>
      </w:r>
      <w:r w:rsidR="0073783A">
        <w:rPr>
          <w:rFonts w:ascii="Times New Roman" w:hAnsi="Times New Roman" w:cs="Times New Roman"/>
          <w:sz w:val="20"/>
          <w:szCs w:val="20"/>
          <w:lang w:val="en-US"/>
        </w:rPr>
        <w:t>1</w:t>
      </w:r>
      <w:r w:rsidRPr="00ED46D5">
        <w:rPr>
          <w:rFonts w:ascii="Times New Roman" w:hAnsi="Times New Roman" w:cs="Times New Roman"/>
          <w:sz w:val="20"/>
          <w:szCs w:val="20"/>
          <w:lang w:val="en-US"/>
        </w:rPr>
        <w:t xml:space="preserve">) 50. This approach is even present in </w:t>
      </w:r>
      <w:r w:rsidRPr="009F32D9">
        <w:rPr>
          <w:rFonts w:ascii="Times New Roman" w:hAnsi="Times New Roman" w:cs="Times New Roman"/>
          <w:i/>
          <w:sz w:val="20"/>
          <w:szCs w:val="20"/>
          <w:lang w:val="en-US"/>
        </w:rPr>
        <w:t xml:space="preserve">Re S and S </w:t>
      </w:r>
      <w:r w:rsidRPr="009F32D9">
        <w:rPr>
          <w:rFonts w:ascii="Times New Roman" w:hAnsi="Times New Roman" w:cs="Times New Roman"/>
          <w:sz w:val="20"/>
          <w:szCs w:val="20"/>
          <w:lang w:val="en-US"/>
        </w:rPr>
        <w:t xml:space="preserve">(n </w:t>
      </w:r>
      <w:r w:rsidR="0073783A">
        <w:rPr>
          <w:rFonts w:ascii="Times New Roman" w:hAnsi="Times New Roman" w:cs="Times New Roman"/>
          <w:sz w:val="20"/>
          <w:szCs w:val="20"/>
          <w:lang w:val="en-US"/>
        </w:rPr>
        <w:t>87</w:t>
      </w:r>
      <w:r w:rsidRPr="009F32D9">
        <w:rPr>
          <w:rFonts w:ascii="Times New Roman" w:hAnsi="Times New Roman" w:cs="Times New Roman"/>
          <w:sz w:val="20"/>
          <w:szCs w:val="20"/>
          <w:lang w:val="en-US"/>
        </w:rPr>
        <w:t>), one of the most favourable cases to wishes and feelings, where Judge Marshall QC states at paragraph 57 that there could be a presumption in favour of P’s wishes and feelings: ‘…</w:t>
      </w:r>
      <w:bookmarkStart w:id="1" w:name="para\d"/>
      <w:r w:rsidRPr="009F32D9">
        <w:rPr>
          <w:rFonts w:ascii="Times New Roman" w:hAnsi="Times New Roman" w:cs="Times New Roman"/>
          <w:sz w:val="20"/>
          <w:szCs w:val="20"/>
          <w:lang w:val="en-US"/>
        </w:rPr>
        <w:t>where P can and does express a wish or view which is not irrational (</w:t>
      </w:r>
      <w:r w:rsidRPr="009F32D9">
        <w:rPr>
          <w:rFonts w:ascii="Times New Roman" w:hAnsi="Times New Roman" w:cs="Times New Roman"/>
          <w:i/>
          <w:sz w:val="20"/>
          <w:szCs w:val="20"/>
          <w:lang w:val="en-US"/>
        </w:rPr>
        <w:t>in the sense of being a wish which a person with full capacity might reasonably have</w:t>
      </w:r>
      <w:r w:rsidRPr="009F32D9">
        <w:rPr>
          <w:rFonts w:ascii="Times New Roman" w:hAnsi="Times New Roman" w:cs="Times New Roman"/>
          <w:sz w:val="20"/>
          <w:szCs w:val="20"/>
          <w:lang w:val="en-US"/>
        </w:rPr>
        <w:t>)</w:t>
      </w:r>
      <w:bookmarkEnd w:id="1"/>
      <w:r w:rsidRPr="009F32D9">
        <w:rPr>
          <w:rFonts w:ascii="Times New Roman" w:hAnsi="Times New Roman" w:cs="Times New Roman"/>
          <w:sz w:val="20"/>
          <w:szCs w:val="20"/>
          <w:lang w:val="en-US"/>
        </w:rPr>
        <w:t>’ (emphasis added).</w:t>
      </w:r>
    </w:p>
  </w:footnote>
  <w:footnote w:id="111">
    <w:p w14:paraId="3E1A64D7"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B Jennings, ‘Agency and Moral Relationships in Dementia’ in EF Kit</w:t>
      </w:r>
      <w:r w:rsidRPr="009F32D9">
        <w:rPr>
          <w:rFonts w:ascii="Times New Roman" w:hAnsi="Times New Roman" w:cs="Times New Roman"/>
          <w:sz w:val="20"/>
          <w:szCs w:val="20"/>
          <w:lang w:val="en-US"/>
        </w:rPr>
        <w:t xml:space="preserve">tay and L Carlson (eds), </w:t>
      </w:r>
      <w:r w:rsidRPr="009F32D9">
        <w:rPr>
          <w:rFonts w:ascii="Times New Roman" w:hAnsi="Times New Roman" w:cs="Times New Roman"/>
          <w:i/>
          <w:sz w:val="20"/>
          <w:szCs w:val="20"/>
          <w:lang w:val="en-US"/>
        </w:rPr>
        <w:t>Cognitive Disability and its Challenge to Moral Philosophy</w:t>
      </w:r>
      <w:r w:rsidRPr="009F32D9">
        <w:rPr>
          <w:rFonts w:ascii="Times New Roman" w:hAnsi="Times New Roman" w:cs="Times New Roman"/>
          <w:sz w:val="20"/>
          <w:szCs w:val="20"/>
          <w:lang w:val="en-US"/>
        </w:rPr>
        <w:t>, (Wiley-Blackwell: Oxford, 2010) 171.</w:t>
      </w:r>
    </w:p>
  </w:footnote>
  <w:footnote w:id="112">
    <w:p w14:paraId="159B7382"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 xml:space="preserve">RE Goodin and D Gibson, ‘The Decasualisation of Eldercare’ in EF Kittay and EK Feder (eds), </w:t>
      </w:r>
      <w:r w:rsidRPr="009F32D9">
        <w:rPr>
          <w:rFonts w:ascii="Times New Roman" w:hAnsi="Times New Roman" w:cs="Times New Roman"/>
          <w:i/>
          <w:sz w:val="20"/>
          <w:szCs w:val="20"/>
          <w:lang w:val="en-US"/>
        </w:rPr>
        <w:t xml:space="preserve">The Subject of Care: Feminist Perspectives on Dependency, </w:t>
      </w:r>
      <w:r w:rsidRPr="009F32D9">
        <w:rPr>
          <w:rFonts w:ascii="Times New Roman" w:hAnsi="Times New Roman" w:cs="Times New Roman"/>
          <w:sz w:val="20"/>
          <w:szCs w:val="20"/>
          <w:lang w:val="en-US"/>
        </w:rPr>
        <w:t>(Rowman &amp; Littlefield: Oxford, 2002) 248.</w:t>
      </w:r>
    </w:p>
  </w:footnote>
  <w:footnote w:id="113">
    <w:p w14:paraId="07AB0F2F" w14:textId="77777777" w:rsidR="001A2FA6" w:rsidRPr="00ED46D5"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[2012] EWHC 1518 (COP).</w:t>
      </w:r>
    </w:p>
  </w:footnote>
  <w:footnote w:id="114">
    <w:p w14:paraId="48722017"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[25].</w:t>
      </w:r>
    </w:p>
  </w:footnote>
  <w:footnote w:id="115">
    <w:p w14:paraId="5D45FE07" w14:textId="77777777" w:rsidR="001A2FA6" w:rsidRPr="009F32D9"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[2012] EWHC 1137 (COP).</w:t>
      </w:r>
    </w:p>
  </w:footnote>
  <w:footnote w:id="116">
    <w:p w14:paraId="612F2D0E"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[80].</w:t>
      </w:r>
    </w:p>
  </w:footnote>
  <w:footnote w:id="117">
    <w:p w14:paraId="69E05C1B" w14:textId="2150113B" w:rsidR="001A2FA6" w:rsidRPr="00325987"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[113]. Other judgments indicate that this may also be a feature of other cases emanating from the Court of Protection</w:t>
      </w:r>
      <w:r>
        <w:rPr>
          <w:rFonts w:ascii="Times New Roman" w:hAnsi="Times New Roman" w:cs="Times New Roman"/>
          <w:sz w:val="20"/>
          <w:szCs w:val="20"/>
          <w:lang w:val="en-US"/>
        </w:rPr>
        <w:t xml:space="preserve">. </w:t>
      </w:r>
      <w:r w:rsidRPr="009F32D9">
        <w:rPr>
          <w:rFonts w:ascii="Times New Roman" w:hAnsi="Times New Roman" w:cs="Times New Roman"/>
          <w:sz w:val="20"/>
          <w:szCs w:val="20"/>
        </w:rPr>
        <w:t xml:space="preserve">Another example this is present in the assessment by the social worker of the capacity of Mrs Ross, an 82-year-old woman with dementia, in </w:t>
      </w:r>
      <w:r w:rsidRPr="009F32D9">
        <w:rPr>
          <w:rFonts w:ascii="Times New Roman" w:hAnsi="Times New Roman" w:cs="Times New Roman"/>
          <w:i/>
          <w:sz w:val="20"/>
          <w:szCs w:val="20"/>
        </w:rPr>
        <w:t xml:space="preserve">Cardiff County Council v Ross </w:t>
      </w:r>
      <w:r w:rsidRPr="0073783A">
        <w:rPr>
          <w:rFonts w:ascii="Times New Roman" w:hAnsi="Times New Roman" w:cs="Times New Roman"/>
          <w:sz w:val="20"/>
          <w:szCs w:val="20"/>
        </w:rPr>
        <w:t>[2011]</w:t>
      </w:r>
      <w:r w:rsidRPr="009F32D9">
        <w:rPr>
          <w:rFonts w:ascii="Times New Roman" w:hAnsi="Times New Roman" w:cs="Times New Roman"/>
          <w:sz w:val="20"/>
          <w:szCs w:val="20"/>
        </w:rPr>
        <w:t xml:space="preserve"> Case No. 12063905. Although the court ultimately declared that it would be in her best interests to go on the cruise that was the subject of the litigation, the social worker that initially assessed her capacity determined that ‘…her ideas/beliefs are not based in reality and s</w:t>
      </w:r>
      <w:r w:rsidR="0073783A">
        <w:rPr>
          <w:rFonts w:ascii="Times New Roman" w:hAnsi="Times New Roman" w:cs="Times New Roman"/>
          <w:sz w:val="20"/>
          <w:szCs w:val="20"/>
        </w:rPr>
        <w:t>he has no insight into her need</w:t>
      </w:r>
      <w:r w:rsidRPr="009F32D9">
        <w:rPr>
          <w:rFonts w:ascii="Times New Roman" w:hAnsi="Times New Roman" w:cs="Times New Roman"/>
          <w:sz w:val="20"/>
          <w:szCs w:val="20"/>
        </w:rPr>
        <w:t>’</w:t>
      </w:r>
      <w:r w:rsidR="0073783A">
        <w:rPr>
          <w:rFonts w:ascii="Times New Roman" w:hAnsi="Times New Roman" w:cs="Times New Roman"/>
          <w:sz w:val="20"/>
          <w:szCs w:val="20"/>
        </w:rPr>
        <w:t xml:space="preserve"> (at [7]).</w:t>
      </w:r>
    </w:p>
  </w:footnote>
  <w:footnote w:id="118">
    <w:p w14:paraId="7822BF34" w14:textId="77777777" w:rsidR="001A2FA6" w:rsidRPr="00ED46D5"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[2014] EWCOP B19.</w:t>
      </w:r>
    </w:p>
  </w:footnote>
  <w:footnote w:id="119">
    <w:p w14:paraId="680E23C0"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[4].</w:t>
      </w:r>
    </w:p>
  </w:footnote>
  <w:footnote w:id="120">
    <w:p w14:paraId="017E7251"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[5].</w:t>
      </w:r>
    </w:p>
  </w:footnote>
  <w:footnote w:id="121">
    <w:p w14:paraId="6AF440AD"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rPr>
        <w:t xml:space="preserve">ibid. </w:t>
      </w:r>
      <w:r w:rsidRPr="009F32D9">
        <w:rPr>
          <w:rFonts w:ascii="Times New Roman" w:hAnsi="Times New Roman" w:cs="Times New Roman"/>
          <w:sz w:val="20"/>
          <w:szCs w:val="20"/>
          <w:lang w:val="en-US"/>
        </w:rPr>
        <w:t xml:space="preserve">[30]. It is also perplexing as to why a return to her home to be cared for by her son, SS, and his partner, TT, not examined given that the safeguarding concerns were unsubstantiated. </w:t>
      </w:r>
    </w:p>
  </w:footnote>
  <w:footnote w:id="122">
    <w:p w14:paraId="37620FFB" w14:textId="77777777" w:rsidR="001A2FA6" w:rsidRPr="009F32D9"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eastAsia="ja-JP"/>
        </w:rPr>
        <w:t>[2</w:t>
      </w:r>
      <w:r w:rsidRPr="009F32D9">
        <w:rPr>
          <w:rFonts w:ascii="Times New Roman" w:hAnsi="Times New Roman" w:cs="Times New Roman"/>
          <w:sz w:val="20"/>
          <w:szCs w:val="20"/>
          <w:lang w:val="en-US" w:eastAsia="ja-JP"/>
        </w:rPr>
        <w:t>011] EWHC 2244 (COP).</w:t>
      </w:r>
    </w:p>
  </w:footnote>
  <w:footnote w:id="123">
    <w:p w14:paraId="480BDB30" w14:textId="77777777" w:rsidR="001A2FA6" w:rsidRPr="009F32D9"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eastAsia="ja-JP"/>
        </w:rPr>
        <w:t>ibid.</w:t>
      </w:r>
      <w:r w:rsidRPr="009F32D9">
        <w:rPr>
          <w:rFonts w:ascii="Times New Roman" w:hAnsi="Times New Roman" w:cs="Times New Roman"/>
          <w:sz w:val="20"/>
          <w:szCs w:val="20"/>
          <w:lang w:val="en-US" w:eastAsia="ja-JP"/>
        </w:rPr>
        <w:t xml:space="preserve"> [19].</w:t>
      </w:r>
    </w:p>
  </w:footnote>
  <w:footnote w:id="124">
    <w:p w14:paraId="09E49376" w14:textId="484ACF5A" w:rsidR="001A2FA6" w:rsidRPr="00D570A8"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i/>
          <w:sz w:val="20"/>
          <w:szCs w:val="20"/>
          <w:lang w:val="en-US" w:eastAsia="ja-JP"/>
        </w:rPr>
        <w:t>ibid.</w:t>
      </w:r>
      <w:r w:rsidRPr="009F32D9">
        <w:rPr>
          <w:rFonts w:ascii="Times New Roman" w:hAnsi="Times New Roman" w:cs="Times New Roman"/>
          <w:sz w:val="20"/>
          <w:szCs w:val="20"/>
          <w:lang w:val="en-US" w:eastAsia="ja-JP"/>
        </w:rPr>
        <w:t xml:space="preserve"> [48]. Although not involving a person with dementia, Jackson J took a similar approach in </w:t>
      </w:r>
      <w:r w:rsidRPr="009F32D9">
        <w:rPr>
          <w:rFonts w:ascii="Times New Roman" w:hAnsi="Times New Roman" w:cs="Times New Roman"/>
          <w:i/>
          <w:sz w:val="20"/>
          <w:szCs w:val="20"/>
          <w:lang w:val="en-US" w:eastAsia="ja-JP"/>
        </w:rPr>
        <w:t xml:space="preserve">Wye Valley NHS Trust v B </w:t>
      </w:r>
      <w:r w:rsidRPr="009F32D9">
        <w:rPr>
          <w:rFonts w:ascii="Times New Roman" w:hAnsi="Times New Roman" w:cs="Times New Roman"/>
          <w:sz w:val="20"/>
          <w:szCs w:val="20"/>
          <w:lang w:val="en-US" w:eastAsia="ja-JP"/>
        </w:rPr>
        <w:t xml:space="preserve">(n </w:t>
      </w:r>
      <w:r w:rsidR="00B741B8">
        <w:rPr>
          <w:rFonts w:ascii="Times New Roman" w:hAnsi="Times New Roman" w:cs="Times New Roman"/>
          <w:sz w:val="20"/>
          <w:szCs w:val="20"/>
          <w:lang w:val="en-US" w:eastAsia="ja-JP"/>
        </w:rPr>
        <w:t>66</w:t>
      </w:r>
      <w:r w:rsidRPr="009F32D9">
        <w:rPr>
          <w:rFonts w:ascii="Times New Roman" w:hAnsi="Times New Roman" w:cs="Times New Roman"/>
          <w:sz w:val="20"/>
          <w:szCs w:val="20"/>
          <w:lang w:val="en-US" w:eastAsia="ja-JP"/>
        </w:rPr>
        <w:t>), by visiting and speaking with B himself.</w:t>
      </w:r>
    </w:p>
  </w:footnote>
  <w:footnote w:id="125">
    <w:p w14:paraId="20F9D33C" w14:textId="7315913E"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005E4EF3" w:rsidRPr="002F5117">
        <w:rPr>
          <w:rFonts w:ascii="Times New Roman" w:hAnsi="Times New Roman" w:cs="Times New Roman"/>
          <w:sz w:val="20"/>
          <w:szCs w:val="20"/>
        </w:rPr>
        <w:t>T Nagel, ‘What is it Like to be a Bat?’, (1974) 83(4) The Philosophical Review 435-450, 436.</w:t>
      </w:r>
    </w:p>
  </w:footnote>
  <w:footnote w:id="126">
    <w:p w14:paraId="2B297592" w14:textId="4B175DAA" w:rsidR="001A2FA6" w:rsidRPr="009F32D9" w:rsidRDefault="001A2FA6">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 xml:space="preserve">Weicht (n </w:t>
      </w:r>
      <w:r w:rsidR="00B741B8">
        <w:rPr>
          <w:rFonts w:ascii="Times New Roman" w:hAnsi="Times New Roman" w:cs="Times New Roman"/>
          <w:sz w:val="20"/>
          <w:szCs w:val="20"/>
          <w:lang w:val="en-US"/>
        </w:rPr>
        <w:t>33</w:t>
      </w:r>
      <w:r w:rsidRPr="00ED46D5">
        <w:rPr>
          <w:rFonts w:ascii="Times New Roman" w:hAnsi="Times New Roman" w:cs="Times New Roman"/>
          <w:sz w:val="20"/>
          <w:szCs w:val="20"/>
          <w:lang w:val="en-US"/>
        </w:rPr>
        <w:t>) 213.</w:t>
      </w:r>
    </w:p>
  </w:footnote>
  <w:footnote w:id="127">
    <w:p w14:paraId="70903488" w14:textId="77777777" w:rsidR="001A2FA6" w:rsidRPr="009F32D9"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J Coggon, ‘Best Interests, Public Interest, and the Power of the Medical Profession’, (2008) 16(3) Health Care Analysis</w:t>
      </w:r>
      <w:r w:rsidRPr="009F32D9">
        <w:rPr>
          <w:rFonts w:ascii="Times New Roman" w:hAnsi="Times New Roman" w:cs="Times New Roman"/>
          <w:i/>
          <w:sz w:val="20"/>
          <w:szCs w:val="20"/>
          <w:lang w:val="en-US"/>
        </w:rPr>
        <w:t xml:space="preserve"> </w:t>
      </w:r>
      <w:r w:rsidRPr="009F32D9">
        <w:rPr>
          <w:rFonts w:ascii="Times New Roman" w:hAnsi="Times New Roman" w:cs="Times New Roman"/>
          <w:sz w:val="20"/>
          <w:szCs w:val="20"/>
          <w:lang w:val="en-US"/>
        </w:rPr>
        <w:t>219-232, 229.</w:t>
      </w:r>
    </w:p>
  </w:footnote>
  <w:footnote w:id="128">
    <w:p w14:paraId="673C4515" w14:textId="425CD47E" w:rsidR="001A2FA6" w:rsidRPr="00D570A8" w:rsidRDefault="001A2FA6">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 xml:space="preserve">Shildrick (n </w:t>
      </w:r>
      <w:r w:rsidR="00B741B8">
        <w:rPr>
          <w:rFonts w:ascii="Times New Roman" w:hAnsi="Times New Roman" w:cs="Times New Roman"/>
          <w:sz w:val="20"/>
          <w:szCs w:val="20"/>
          <w:lang w:val="en-US"/>
        </w:rPr>
        <w:t>21</w:t>
      </w:r>
      <w:r w:rsidRPr="00ED46D5">
        <w:rPr>
          <w:rFonts w:ascii="Times New Roman" w:hAnsi="Times New Roman" w:cs="Times New Roman"/>
          <w:sz w:val="20"/>
          <w:szCs w:val="20"/>
          <w:lang w:val="en-US"/>
        </w:rPr>
        <w:t>) 51.</w:t>
      </w:r>
    </w:p>
  </w:footnote>
  <w:footnote w:id="129">
    <w:p w14:paraId="0E332441" w14:textId="38325090" w:rsidR="001A2FA6" w:rsidRPr="00ED46D5" w:rsidRDefault="001A2FA6">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00E3395D" w:rsidRPr="002F5117">
        <w:rPr>
          <w:rFonts w:ascii="Times New Roman" w:hAnsi="Times New Roman" w:cs="Times New Roman"/>
          <w:sz w:val="20"/>
          <w:szCs w:val="20"/>
        </w:rPr>
        <w:t>K Atkins, ‘Autonomy and the Subjective Character of Experience’, (2000) 17(1) Journal of Applied Philosophy 71-79</w:t>
      </w:r>
      <w:r w:rsidR="00E3395D">
        <w:rPr>
          <w:rFonts w:ascii="Times New Roman" w:hAnsi="Times New Roman" w:cs="Times New Roman"/>
          <w:sz w:val="20"/>
          <w:szCs w:val="20"/>
          <w:lang w:val="en-US"/>
        </w:rPr>
        <w:t>, 78.</w:t>
      </w:r>
    </w:p>
  </w:footnote>
  <w:footnote w:id="130">
    <w:p w14:paraId="5B027B1F" w14:textId="77777777" w:rsidR="001A2FA6" w:rsidRPr="00ED46D5" w:rsidRDefault="001A2FA6">
      <w:pPr>
        <w:pStyle w:val="FootnoteText"/>
        <w:jc w:val="both"/>
        <w:rPr>
          <w:rFonts w:ascii="Times New Roman" w:hAnsi="Times New Roman" w:cs="Times New Roman"/>
          <w:sz w:val="20"/>
          <w:szCs w:val="20"/>
          <w:lang w:val="en-US"/>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2F5117">
        <w:rPr>
          <w:rFonts w:ascii="Times New Roman" w:hAnsi="Times New Roman" w:cs="Times New Roman"/>
          <w:i/>
          <w:sz w:val="20"/>
          <w:szCs w:val="20"/>
          <w:lang w:val="en-US"/>
        </w:rPr>
        <w:t xml:space="preserve">Westminster City Council v Sykes </w:t>
      </w:r>
      <w:r w:rsidRPr="00ED46D5">
        <w:rPr>
          <w:rFonts w:ascii="Times New Roman" w:hAnsi="Times New Roman" w:cs="Times New Roman"/>
          <w:sz w:val="20"/>
          <w:szCs w:val="20"/>
          <w:lang w:val="en-US"/>
        </w:rPr>
        <w:t>[2014] EWHC B9 (COP) [§13].</w:t>
      </w:r>
    </w:p>
  </w:footnote>
  <w:footnote w:id="131">
    <w:p w14:paraId="093A463B" w14:textId="7B4C7646" w:rsidR="001A2FA6" w:rsidRPr="00ED46D5" w:rsidRDefault="001A2FA6">
      <w:pPr>
        <w:pStyle w:val="FootnoteText"/>
        <w:jc w:val="both"/>
        <w:rPr>
          <w:rFonts w:ascii="Times New Roman" w:hAnsi="Times New Roman" w:cs="Times New Roman"/>
          <w:sz w:val="20"/>
          <w:szCs w:val="20"/>
          <w:highlight w:val="yellow"/>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2F5117">
        <w:rPr>
          <w:rFonts w:ascii="Times New Roman" w:hAnsi="Times New Roman" w:cs="Times New Roman"/>
          <w:sz w:val="20"/>
          <w:szCs w:val="20"/>
          <w:lang w:val="en-US"/>
        </w:rPr>
        <w:t xml:space="preserve">Stefan (n </w:t>
      </w:r>
      <w:r w:rsidR="00B741B8">
        <w:rPr>
          <w:rFonts w:ascii="Times New Roman" w:hAnsi="Times New Roman" w:cs="Times New Roman"/>
          <w:sz w:val="20"/>
          <w:szCs w:val="20"/>
          <w:lang w:val="en-US"/>
        </w:rPr>
        <w:t>20</w:t>
      </w:r>
      <w:r w:rsidRPr="002F5117">
        <w:rPr>
          <w:rFonts w:ascii="Times New Roman" w:hAnsi="Times New Roman" w:cs="Times New Roman"/>
          <w:sz w:val="20"/>
          <w:szCs w:val="20"/>
          <w:lang w:val="en-US"/>
        </w:rPr>
        <w:t>).</w:t>
      </w:r>
    </w:p>
  </w:footnote>
  <w:footnote w:id="132">
    <w:p w14:paraId="2F5BFDC0" w14:textId="3F62478D" w:rsidR="001A2FA6" w:rsidRPr="00ED46D5" w:rsidRDefault="001A2FA6" w:rsidP="00D570A8">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009D0FD1">
        <w:rPr>
          <w:rFonts w:ascii="Times New Roman" w:hAnsi="Times New Roman" w:cs="Times New Roman"/>
          <w:sz w:val="20"/>
          <w:szCs w:val="20"/>
        </w:rPr>
        <w:t>Above (n 125)</w:t>
      </w:r>
      <w:r w:rsidR="00B741B8">
        <w:rPr>
          <w:rFonts w:ascii="Times New Roman" w:hAnsi="Times New Roman" w:cs="Times New Roman"/>
          <w:sz w:val="20"/>
          <w:szCs w:val="20"/>
        </w:rPr>
        <w:t>.</w:t>
      </w:r>
    </w:p>
  </w:footnote>
  <w:footnote w:id="133">
    <w:p w14:paraId="46CE7E3D" w14:textId="385FCA42" w:rsidR="001A2FA6" w:rsidRPr="00ED46D5" w:rsidRDefault="001A2FA6" w:rsidP="00D570A8">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00E3395D">
        <w:rPr>
          <w:rFonts w:ascii="Times New Roman" w:hAnsi="Times New Roman" w:cs="Times New Roman"/>
          <w:sz w:val="20"/>
          <w:szCs w:val="20"/>
        </w:rPr>
        <w:t>Above (n 129)</w:t>
      </w:r>
      <w:r w:rsidR="00B741B8">
        <w:rPr>
          <w:rFonts w:ascii="Times New Roman" w:hAnsi="Times New Roman" w:cs="Times New Roman"/>
          <w:sz w:val="20"/>
          <w:szCs w:val="20"/>
        </w:rPr>
        <w:t>.</w:t>
      </w:r>
    </w:p>
  </w:footnote>
  <w:footnote w:id="134">
    <w:p w14:paraId="62702559" w14:textId="378CCC25" w:rsidR="001A2FA6" w:rsidRPr="009F32D9" w:rsidRDefault="001A2FA6" w:rsidP="00D570A8">
      <w:pPr>
        <w:pStyle w:val="FootnoteText"/>
        <w:jc w:val="both"/>
        <w:rPr>
          <w:rFonts w:ascii="Times New Roman" w:hAnsi="Times New Roman" w:cs="Times New Roman"/>
          <w:sz w:val="20"/>
          <w:szCs w:val="20"/>
        </w:rPr>
      </w:pPr>
      <w:r w:rsidRPr="00627FFE">
        <w:rPr>
          <w:rStyle w:val="FootnoteReference"/>
          <w:rFonts w:ascii="Times New Roman" w:hAnsi="Times New Roman" w:cs="Times New Roman"/>
          <w:sz w:val="20"/>
          <w:szCs w:val="20"/>
        </w:rPr>
        <w:footnoteRef/>
      </w:r>
      <w:r w:rsidRPr="00627FFE">
        <w:rPr>
          <w:rFonts w:ascii="Times New Roman" w:hAnsi="Times New Roman" w:cs="Times New Roman"/>
          <w:sz w:val="20"/>
          <w:szCs w:val="20"/>
        </w:rPr>
        <w:t xml:space="preserve"> </w:t>
      </w:r>
      <w:r w:rsidRPr="002F5117">
        <w:rPr>
          <w:rFonts w:ascii="Times New Roman" w:hAnsi="Times New Roman" w:cs="Times New Roman"/>
          <w:i/>
          <w:sz w:val="20"/>
          <w:szCs w:val="20"/>
        </w:rPr>
        <w:t xml:space="preserve">ibid. </w:t>
      </w:r>
      <w:r w:rsidRPr="00ED46D5">
        <w:rPr>
          <w:rFonts w:ascii="Times New Roman" w:hAnsi="Times New Roman" w:cs="Times New Roman"/>
          <w:sz w:val="20"/>
          <w:szCs w:val="20"/>
        </w:rPr>
        <w:t>73 (citation omitted).</w:t>
      </w:r>
    </w:p>
  </w:footnote>
  <w:footnote w:id="135">
    <w:p w14:paraId="3109808D" w14:textId="03980951" w:rsidR="001A2FA6" w:rsidRPr="002F5117" w:rsidRDefault="001A2FA6" w:rsidP="00D570A8">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00B741B8">
        <w:rPr>
          <w:rFonts w:ascii="Times New Roman" w:hAnsi="Times New Roman" w:cs="Times New Roman"/>
          <w:sz w:val="20"/>
          <w:szCs w:val="20"/>
        </w:rPr>
        <w:t>Above (n 125</w:t>
      </w:r>
      <w:r>
        <w:rPr>
          <w:rFonts w:ascii="Times New Roman" w:hAnsi="Times New Roman" w:cs="Times New Roman"/>
          <w:sz w:val="20"/>
          <w:szCs w:val="20"/>
        </w:rPr>
        <w:t>).</w:t>
      </w:r>
    </w:p>
  </w:footnote>
  <w:footnote w:id="136">
    <w:p w14:paraId="6450ADA6" w14:textId="77777777" w:rsidR="001A2FA6" w:rsidRPr="009F32D9" w:rsidRDefault="001A2FA6" w:rsidP="00D570A8">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A failure to do so where practicable, will result in the Court imposing liability: </w:t>
      </w:r>
      <w:r w:rsidRPr="00ED46D5">
        <w:rPr>
          <w:rFonts w:ascii="Times New Roman" w:hAnsi="Times New Roman" w:cs="Times New Roman"/>
          <w:i/>
          <w:sz w:val="20"/>
          <w:szCs w:val="20"/>
        </w:rPr>
        <w:t xml:space="preserve">Winspear v City Hospitals Sunderland NHS Foundation Trust </w:t>
      </w:r>
      <w:r w:rsidRPr="009F32D9">
        <w:rPr>
          <w:rFonts w:ascii="Times New Roman" w:hAnsi="Times New Roman" w:cs="Times New Roman"/>
          <w:sz w:val="20"/>
          <w:szCs w:val="20"/>
        </w:rPr>
        <w:t>[2015] EWHC 3250 (QB).</w:t>
      </w:r>
    </w:p>
  </w:footnote>
  <w:footnote w:id="137">
    <w:p w14:paraId="24832215" w14:textId="77777777" w:rsidR="001A2FA6" w:rsidRPr="009F32D9" w:rsidRDefault="001A2FA6" w:rsidP="002F5117">
      <w:pPr>
        <w:pStyle w:val="FootnoteText"/>
        <w:jc w:val="both"/>
        <w:rPr>
          <w:rFonts w:ascii="Times New Roman" w:hAnsi="Times New Roman" w:cs="Times New Roman"/>
          <w:sz w:val="20"/>
          <w:szCs w:val="20"/>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Donnelly (n 17) 18. In this context Donnelly is discussing the requirement to consult with a range of different people in making best interests decisions under s 4(7), however it could also be argued that the sam</w:t>
      </w:r>
      <w:r w:rsidRPr="00ED46D5">
        <w:rPr>
          <w:rFonts w:ascii="Times New Roman" w:hAnsi="Times New Roman" w:cs="Times New Roman"/>
          <w:sz w:val="20"/>
          <w:szCs w:val="20"/>
        </w:rPr>
        <w:t>e point applies in relation to abstract values such as religious beliefs: A Ho, ‘“They Just Don’t Get It!” When Family Disagrees with Expert Opinion’, (2009) 35(8) Journal of Medical Ethics</w:t>
      </w:r>
      <w:r w:rsidRPr="009F32D9">
        <w:rPr>
          <w:rFonts w:ascii="Times New Roman" w:hAnsi="Times New Roman" w:cs="Times New Roman"/>
          <w:i/>
          <w:sz w:val="20"/>
          <w:szCs w:val="20"/>
        </w:rPr>
        <w:t xml:space="preserve"> </w:t>
      </w:r>
      <w:r w:rsidRPr="009F32D9">
        <w:rPr>
          <w:rFonts w:ascii="Times New Roman" w:hAnsi="Times New Roman" w:cs="Times New Roman"/>
          <w:sz w:val="20"/>
          <w:szCs w:val="20"/>
        </w:rPr>
        <w:t>497-501.</w:t>
      </w:r>
    </w:p>
  </w:footnote>
  <w:footnote w:id="138">
    <w:p w14:paraId="55BF5366" w14:textId="6C648E6C" w:rsidR="001A2FA6" w:rsidRPr="00ED46D5" w:rsidRDefault="001A2FA6" w:rsidP="00286DC2">
      <w:pPr>
        <w:pStyle w:val="FootnoteText"/>
        <w:jc w:val="both"/>
        <w:rPr>
          <w:rFonts w:ascii="Times New Roman" w:hAnsi="Times New Roman" w:cs="Times New Roman"/>
          <w:sz w:val="20"/>
          <w:szCs w:val="20"/>
          <w:lang w:val="en-US"/>
        </w:rPr>
      </w:pPr>
      <w:r w:rsidRPr="002F5117">
        <w:rPr>
          <w:rStyle w:val="FootnoteReference"/>
          <w:rFonts w:ascii="Times New Roman" w:hAnsi="Times New Roman" w:cs="Times New Roman"/>
          <w:sz w:val="20"/>
          <w:szCs w:val="20"/>
        </w:rPr>
        <w:footnoteRef/>
      </w:r>
      <w:r w:rsidRPr="002F5117">
        <w:rPr>
          <w:rFonts w:ascii="Times New Roman" w:hAnsi="Times New Roman" w:cs="Times New Roman"/>
          <w:sz w:val="20"/>
          <w:szCs w:val="20"/>
        </w:rPr>
        <w:t xml:space="preserve"> </w:t>
      </w:r>
      <w:r w:rsidRPr="00ED46D5">
        <w:rPr>
          <w:rFonts w:ascii="Times New Roman" w:hAnsi="Times New Roman" w:cs="Times New Roman"/>
          <w:sz w:val="20"/>
          <w:szCs w:val="20"/>
          <w:lang w:val="en-US"/>
        </w:rPr>
        <w:t xml:space="preserve">Jennings (n </w:t>
      </w:r>
      <w:r w:rsidR="00B741B8">
        <w:rPr>
          <w:rFonts w:ascii="Times New Roman" w:hAnsi="Times New Roman" w:cs="Times New Roman"/>
          <w:sz w:val="20"/>
          <w:szCs w:val="20"/>
          <w:lang w:val="en-US"/>
        </w:rPr>
        <w:t>111</w:t>
      </w:r>
      <w:r w:rsidRPr="00ED46D5">
        <w:rPr>
          <w:rFonts w:ascii="Times New Roman" w:hAnsi="Times New Roman" w:cs="Times New Roman"/>
          <w:sz w:val="20"/>
          <w:szCs w:val="20"/>
          <w:lang w:val="en-US"/>
        </w:rPr>
        <w:t>) 173.</w:t>
      </w:r>
    </w:p>
  </w:footnote>
  <w:footnote w:id="139">
    <w:p w14:paraId="31964B16" w14:textId="42D8D342" w:rsidR="001A2FA6" w:rsidRPr="00286DC2" w:rsidRDefault="001A2FA6" w:rsidP="00286DC2">
      <w:pPr>
        <w:pStyle w:val="FootnoteText"/>
        <w:jc w:val="both"/>
        <w:rPr>
          <w:rFonts w:ascii="Times New Roman" w:hAnsi="Times New Roman" w:cs="Times New Roman"/>
          <w:sz w:val="20"/>
          <w:szCs w:val="20"/>
        </w:rPr>
      </w:pPr>
      <w:r w:rsidRPr="00286DC2">
        <w:rPr>
          <w:rStyle w:val="FootnoteReference"/>
          <w:rFonts w:ascii="Times New Roman" w:hAnsi="Times New Roman" w:cs="Times New Roman"/>
          <w:sz w:val="20"/>
          <w:szCs w:val="20"/>
        </w:rPr>
        <w:footnoteRef/>
      </w:r>
      <w:r w:rsidR="00B741B8">
        <w:rPr>
          <w:rFonts w:ascii="Times New Roman" w:hAnsi="Times New Roman" w:cs="Times New Roman"/>
          <w:sz w:val="20"/>
          <w:szCs w:val="20"/>
        </w:rPr>
        <w:t xml:space="preserve"> Above (n 129</w:t>
      </w:r>
      <w:r w:rsidRPr="00286DC2">
        <w:rPr>
          <w:rFonts w:ascii="Times New Roman" w:hAnsi="Times New Roman" w:cs="Times New Roman"/>
          <w:sz w:val="20"/>
          <w:szCs w:val="20"/>
        </w:rPr>
        <w:t>) 78.</w:t>
      </w:r>
    </w:p>
  </w:footnote>
  <w:footnote w:id="140">
    <w:p w14:paraId="17F47387" w14:textId="50B229E3" w:rsidR="001A2FA6" w:rsidRPr="00286DC2" w:rsidRDefault="001A2FA6" w:rsidP="00286DC2">
      <w:pPr>
        <w:pStyle w:val="FootnoteText"/>
        <w:jc w:val="both"/>
        <w:rPr>
          <w:rFonts w:ascii="Times New Roman" w:hAnsi="Times New Roman" w:cs="Times New Roman"/>
          <w:sz w:val="20"/>
          <w:szCs w:val="20"/>
        </w:rPr>
      </w:pPr>
      <w:r w:rsidRPr="00286DC2">
        <w:rPr>
          <w:rStyle w:val="FootnoteReference"/>
          <w:rFonts w:ascii="Times New Roman" w:hAnsi="Times New Roman" w:cs="Times New Roman"/>
          <w:sz w:val="20"/>
          <w:szCs w:val="20"/>
        </w:rPr>
        <w:footnoteRef/>
      </w:r>
      <w:r w:rsidRPr="00286DC2">
        <w:rPr>
          <w:rFonts w:ascii="Times New Roman" w:hAnsi="Times New Roman" w:cs="Times New Roman"/>
          <w:sz w:val="20"/>
          <w:szCs w:val="20"/>
        </w:rPr>
        <w:t xml:space="preserve"> Stirling (</w:t>
      </w:r>
      <w:r w:rsidR="00B741B8">
        <w:rPr>
          <w:rFonts w:ascii="Times New Roman" w:hAnsi="Times New Roman" w:cs="Times New Roman"/>
          <w:sz w:val="20"/>
          <w:szCs w:val="20"/>
        </w:rPr>
        <w:t>n 39</w:t>
      </w:r>
      <w:r w:rsidRPr="00286DC2">
        <w:rPr>
          <w:rFonts w:ascii="Times New Roman" w:hAnsi="Times New Roman" w:cs="Times New Roman"/>
          <w:sz w:val="20"/>
          <w:szCs w:val="20"/>
        </w:rPr>
        <w:t>) 155.</w:t>
      </w:r>
    </w:p>
  </w:footnote>
  <w:footnote w:id="141">
    <w:p w14:paraId="5EE2C224" w14:textId="6EAFB12C" w:rsidR="001A2FA6" w:rsidRDefault="001A2FA6">
      <w:pPr>
        <w:pStyle w:val="FootnoteText"/>
      </w:pPr>
      <w:r w:rsidRPr="00D570A8">
        <w:rPr>
          <w:rStyle w:val="FootnoteReference"/>
          <w:sz w:val="20"/>
          <w:szCs w:val="20"/>
        </w:rPr>
        <w:footnoteRef/>
      </w:r>
      <w:r w:rsidRPr="00D570A8">
        <w:rPr>
          <w:sz w:val="20"/>
          <w:szCs w:val="20"/>
        </w:rPr>
        <w:t xml:space="preserve"> </w:t>
      </w:r>
      <w:r w:rsidR="00B741B8">
        <w:rPr>
          <w:rFonts w:ascii="Times New Roman" w:hAnsi="Times New Roman" w:cs="Times New Roman"/>
          <w:sz w:val="20"/>
          <w:szCs w:val="20"/>
          <w:lang w:val="en-US"/>
        </w:rPr>
        <w:t>Nedelsky (n 39</w:t>
      </w:r>
      <w:r w:rsidRPr="0032165D">
        <w:rPr>
          <w:rFonts w:ascii="Times New Roman" w:hAnsi="Times New Roman" w:cs="Times New Roman"/>
          <w:sz w:val="20"/>
          <w:szCs w:val="20"/>
          <w:lang w:val="en-US"/>
        </w:rPr>
        <w:t>) 79</w:t>
      </w:r>
      <w:r>
        <w:rPr>
          <w:rFonts w:ascii="Times New Roman" w:hAnsi="Times New Roman" w:cs="Times New Roman"/>
          <w:sz w:val="20"/>
          <w:szCs w:val="20"/>
          <w:lang w:val="en-US"/>
        </w:rPr>
        <w:t>.</w:t>
      </w:r>
    </w:p>
  </w:footnote>
  <w:footnote w:id="142">
    <w:p w14:paraId="27EF4CBE" w14:textId="05D17AA8" w:rsidR="001A2FA6" w:rsidRPr="00050CB0" w:rsidRDefault="001A2FA6" w:rsidP="00ED46D5">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It may be that the greater practical potential for this argument lies in section 4(6)(b) of the Mental Capacity Act – values and beliefs.  If wishes and feelings are interpreted as pertaining to a particular decision, then values and beliefs m</w:t>
      </w:r>
      <w:r w:rsidRPr="00F66CD8">
        <w:rPr>
          <w:rFonts w:ascii="Times New Roman" w:hAnsi="Times New Roman" w:cs="Times New Roman"/>
          <w:sz w:val="20"/>
          <w:szCs w:val="20"/>
        </w:rPr>
        <w:t xml:space="preserve">ay be interpreted as wider ranging – they relate more to the identity of the person with dementia, and may pose less potential for conflict than wishes and feelings. </w:t>
      </w:r>
      <w:r w:rsidRPr="00F66CD8">
        <w:rPr>
          <w:rFonts w:ascii="Times New Roman" w:hAnsi="Times New Roman" w:cs="Times New Roman"/>
          <w:sz w:val="20"/>
          <w:szCs w:val="20"/>
          <w:lang w:val="en-US"/>
        </w:rPr>
        <w:t xml:space="preserve">For a fuller analysis of the difference between ‘wishes and feelings’ and ‘values and beliefs’ see: Munro (n </w:t>
      </w:r>
      <w:r w:rsidR="00B741B8">
        <w:rPr>
          <w:rFonts w:ascii="Times New Roman" w:hAnsi="Times New Roman" w:cs="Times New Roman"/>
          <w:sz w:val="20"/>
          <w:szCs w:val="20"/>
          <w:lang w:val="en-US"/>
        </w:rPr>
        <w:t>52</w:t>
      </w:r>
      <w:r w:rsidRPr="00050CB0">
        <w:rPr>
          <w:rFonts w:ascii="Times New Roman" w:hAnsi="Times New Roman" w:cs="Times New Roman"/>
          <w:sz w:val="20"/>
          <w:szCs w:val="20"/>
          <w:lang w:val="en-US"/>
        </w:rPr>
        <w:t>) 61, and for a philosophical argument regarding the capacity to ‘value’ during dementia, see: Jaworska (n 12).</w:t>
      </w:r>
    </w:p>
  </w:footnote>
  <w:footnote w:id="143">
    <w:p w14:paraId="225FE2F3" w14:textId="77777777" w:rsidR="001A2FA6" w:rsidRPr="009F32D9" w:rsidRDefault="001A2FA6" w:rsidP="00ED46D5">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[2011] EWHC 3806 (COP).</w:t>
      </w:r>
    </w:p>
  </w:footnote>
  <w:footnote w:id="144">
    <w:p w14:paraId="53925A85" w14:textId="77777777" w:rsidR="001A2FA6" w:rsidRPr="009F32D9" w:rsidRDefault="001A2FA6" w:rsidP="009F32D9">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[2011] EWCOP 2420.</w:t>
      </w:r>
    </w:p>
  </w:footnote>
  <w:footnote w:id="145">
    <w:p w14:paraId="30A77CC7" w14:textId="419DB324" w:rsidR="001A2FA6" w:rsidRPr="009F32D9" w:rsidRDefault="001A2FA6" w:rsidP="009F32D9">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00B741B8">
        <w:rPr>
          <w:rFonts w:ascii="Times New Roman" w:hAnsi="Times New Roman" w:cs="Times New Roman"/>
          <w:sz w:val="20"/>
          <w:szCs w:val="20"/>
        </w:rPr>
        <w:t>[</w:t>
      </w:r>
      <w:r w:rsidR="00B741B8" w:rsidRPr="00ED46D5">
        <w:rPr>
          <w:rFonts w:ascii="Times New Roman" w:hAnsi="Times New Roman" w:cs="Times New Roman"/>
          <w:sz w:val="20"/>
          <w:szCs w:val="20"/>
          <w:lang w:val="en-US"/>
        </w:rPr>
        <w:t>2014] EWHC B9 (COP)</w:t>
      </w:r>
      <w:r w:rsidR="00B741B8">
        <w:rPr>
          <w:rFonts w:ascii="Times New Roman" w:hAnsi="Times New Roman" w:cs="Times New Roman"/>
          <w:sz w:val="20"/>
          <w:szCs w:val="20"/>
          <w:lang w:val="en-US"/>
        </w:rPr>
        <w:t>.</w:t>
      </w:r>
    </w:p>
  </w:footnote>
  <w:footnote w:id="146">
    <w:p w14:paraId="246ABDAE" w14:textId="774232A4" w:rsidR="001A2FA6" w:rsidRPr="009F32D9" w:rsidRDefault="001A2FA6" w:rsidP="00050CB0">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Above (n 1</w:t>
      </w:r>
      <w:r w:rsidR="00B741B8">
        <w:rPr>
          <w:rFonts w:ascii="Times New Roman" w:hAnsi="Times New Roman" w:cs="Times New Roman"/>
          <w:sz w:val="20"/>
          <w:szCs w:val="20"/>
          <w:lang w:val="en-US"/>
        </w:rPr>
        <w:t>43</w:t>
      </w:r>
      <w:r w:rsidRPr="009F32D9">
        <w:rPr>
          <w:rFonts w:ascii="Times New Roman" w:hAnsi="Times New Roman" w:cs="Times New Roman"/>
          <w:sz w:val="20"/>
          <w:szCs w:val="20"/>
          <w:lang w:val="en-US"/>
        </w:rPr>
        <w:t xml:space="preserve">) [24]. </w:t>
      </w:r>
    </w:p>
  </w:footnote>
  <w:footnote w:id="147">
    <w:p w14:paraId="2DFB7874" w14:textId="060A3151" w:rsidR="001A2FA6" w:rsidRPr="00325987" w:rsidRDefault="001A2FA6" w:rsidP="00F66CD8">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This language is akin to narrative</w:t>
      </w:r>
      <w:r w:rsidRPr="009F32D9">
        <w:rPr>
          <w:rFonts w:ascii="Times New Roman" w:hAnsi="Times New Roman" w:cs="Times New Roman"/>
          <w:sz w:val="20"/>
          <w:szCs w:val="20"/>
        </w:rPr>
        <w:t xml:space="preserve"> identity theory – a full discussion of which is outside the scope of this paper. The approach advocated here does highlight how relationships can illustrate a person’s narrative continuity.  See: </w:t>
      </w:r>
      <w:r w:rsidRPr="00325987">
        <w:rPr>
          <w:rFonts w:ascii="Times New Roman" w:hAnsi="Times New Roman" w:cs="Times New Roman"/>
          <w:sz w:val="20"/>
          <w:szCs w:val="20"/>
        </w:rPr>
        <w:t xml:space="preserve">J Blustein, ‘Choosing for Others as Continuing a Life Story: The Problem of Personal Identity Revisited’, (1999) 27 Journal of Law, Medicine &amp; Ethics 20-31. For an interesting personal reflection on this in the context of old age and death generally see: </w:t>
      </w:r>
      <w:r w:rsidRPr="00325987">
        <w:rPr>
          <w:rFonts w:ascii="Times New Roman" w:hAnsi="Times New Roman" w:cs="Times New Roman"/>
          <w:sz w:val="20"/>
          <w:szCs w:val="20"/>
          <w:lang w:val="en-US"/>
        </w:rPr>
        <w:t xml:space="preserve">A Gawande, </w:t>
      </w:r>
      <w:r w:rsidRPr="00325987">
        <w:rPr>
          <w:rFonts w:ascii="Times New Roman" w:hAnsi="Times New Roman" w:cs="Times New Roman"/>
          <w:i/>
          <w:sz w:val="20"/>
          <w:szCs w:val="20"/>
          <w:lang w:val="en-US"/>
        </w:rPr>
        <w:t xml:space="preserve">Being Mortal: Illness, Medicine and What Matters in the End, </w:t>
      </w:r>
      <w:r w:rsidRPr="00325987">
        <w:rPr>
          <w:rFonts w:ascii="Times New Roman" w:hAnsi="Times New Roman" w:cs="Times New Roman"/>
          <w:sz w:val="20"/>
          <w:szCs w:val="20"/>
          <w:lang w:val="en-US"/>
        </w:rPr>
        <w:t xml:space="preserve">(Profile Books: London, 2014). </w:t>
      </w:r>
    </w:p>
  </w:footnote>
  <w:footnote w:id="148">
    <w:p w14:paraId="2348D57B" w14:textId="24F75A4E" w:rsidR="001A2FA6" w:rsidRPr="009F32D9" w:rsidRDefault="001A2FA6" w:rsidP="00F66CD8">
      <w:pPr>
        <w:pStyle w:val="FootnoteText"/>
        <w:jc w:val="both"/>
        <w:rPr>
          <w:rFonts w:ascii="Times New Roman" w:hAnsi="Times New Roman" w:cs="Times New Roman"/>
          <w:sz w:val="20"/>
          <w:szCs w:val="20"/>
          <w:highlight w:val="yellow"/>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 xml:space="preserve">Sabat and </w:t>
      </w:r>
      <w:r w:rsidRPr="009F32D9">
        <w:rPr>
          <w:rFonts w:ascii="Times New Roman" w:hAnsi="Times New Roman" w:cs="Times New Roman"/>
          <w:sz w:val="20"/>
          <w:szCs w:val="20"/>
        </w:rPr>
        <w:t xml:space="preserve">Harré (n </w:t>
      </w:r>
      <w:r w:rsidR="00B741B8">
        <w:rPr>
          <w:rFonts w:ascii="Times New Roman" w:hAnsi="Times New Roman" w:cs="Times New Roman"/>
          <w:sz w:val="20"/>
          <w:szCs w:val="20"/>
        </w:rPr>
        <w:t>34</w:t>
      </w:r>
      <w:r w:rsidRPr="009F32D9">
        <w:rPr>
          <w:rFonts w:ascii="Times New Roman" w:hAnsi="Times New Roman" w:cs="Times New Roman"/>
          <w:sz w:val="20"/>
          <w:szCs w:val="20"/>
        </w:rPr>
        <w:t xml:space="preserve">) 453. </w:t>
      </w:r>
    </w:p>
  </w:footnote>
  <w:footnote w:id="149">
    <w:p w14:paraId="3C329345" w14:textId="179B41D1" w:rsidR="001A2FA6" w:rsidRPr="009F32D9" w:rsidRDefault="001A2FA6" w:rsidP="00F66CD8">
      <w:pPr>
        <w:pStyle w:val="FootnoteText"/>
        <w:jc w:val="both"/>
        <w:rPr>
          <w:rFonts w:ascii="Times New Roman" w:hAnsi="Times New Roman" w:cs="Times New Roman"/>
          <w:sz w:val="20"/>
          <w:szCs w:val="20"/>
          <w:highlight w:val="yellow"/>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 xml:space="preserve">Above </w:t>
      </w:r>
      <w:r w:rsidR="00B741B8">
        <w:rPr>
          <w:rFonts w:ascii="Times New Roman" w:hAnsi="Times New Roman" w:cs="Times New Roman"/>
          <w:sz w:val="20"/>
          <w:szCs w:val="20"/>
          <w:lang w:val="en-US"/>
        </w:rPr>
        <w:t>(n 143</w:t>
      </w:r>
      <w:r w:rsidRPr="009F32D9">
        <w:rPr>
          <w:rFonts w:ascii="Times New Roman" w:hAnsi="Times New Roman" w:cs="Times New Roman"/>
          <w:sz w:val="20"/>
          <w:szCs w:val="20"/>
          <w:lang w:val="en-US"/>
        </w:rPr>
        <w:t>) [35]-[37].</w:t>
      </w:r>
    </w:p>
  </w:footnote>
  <w:footnote w:id="150">
    <w:p w14:paraId="2A0CBB8F" w14:textId="16E59987" w:rsidR="001A2FA6" w:rsidRPr="00F66CD8" w:rsidRDefault="001A2FA6">
      <w:pPr>
        <w:pStyle w:val="NoSpacing"/>
        <w:jc w:val="both"/>
        <w:rPr>
          <w:rFonts w:ascii="Times New Roman" w:hAnsi="Times New Roman" w:cs="Times New Roman"/>
          <w:sz w:val="20"/>
          <w:szCs w:val="20"/>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Similar declarations are made in </w:t>
      </w:r>
      <w:r w:rsidRPr="009F32D9">
        <w:rPr>
          <w:rFonts w:ascii="Times New Roman" w:hAnsi="Times New Roman" w:cs="Times New Roman"/>
          <w:i/>
          <w:sz w:val="20"/>
          <w:szCs w:val="20"/>
        </w:rPr>
        <w:t>London Borough of Redbridge v G</w:t>
      </w:r>
      <w:r>
        <w:rPr>
          <w:rFonts w:ascii="Times New Roman" w:hAnsi="Times New Roman" w:cs="Times New Roman"/>
          <w:i/>
          <w:sz w:val="20"/>
          <w:szCs w:val="20"/>
        </w:rPr>
        <w:t xml:space="preserve"> </w:t>
      </w:r>
      <w:r>
        <w:rPr>
          <w:rFonts w:ascii="Times New Roman" w:hAnsi="Times New Roman" w:cs="Times New Roman"/>
          <w:sz w:val="20"/>
          <w:szCs w:val="20"/>
        </w:rPr>
        <w:t>[2014] EWCOP 17</w:t>
      </w:r>
      <w:r w:rsidRPr="009F32D9">
        <w:rPr>
          <w:rFonts w:ascii="Times New Roman" w:hAnsi="Times New Roman" w:cs="Times New Roman"/>
          <w:i/>
          <w:sz w:val="20"/>
          <w:szCs w:val="20"/>
        </w:rPr>
        <w:t xml:space="preserve">, </w:t>
      </w:r>
      <w:r w:rsidRPr="009F32D9">
        <w:rPr>
          <w:rFonts w:ascii="Times New Roman" w:hAnsi="Times New Roman" w:cs="Times New Roman"/>
          <w:sz w:val="20"/>
          <w:szCs w:val="20"/>
        </w:rPr>
        <w:t>wh</w:t>
      </w:r>
      <w:r>
        <w:rPr>
          <w:rFonts w:ascii="Times New Roman" w:hAnsi="Times New Roman" w:cs="Times New Roman"/>
          <w:sz w:val="20"/>
          <w:szCs w:val="20"/>
        </w:rPr>
        <w:t xml:space="preserve">ere the Court </w:t>
      </w:r>
      <w:r w:rsidRPr="009F32D9">
        <w:rPr>
          <w:rFonts w:ascii="Times New Roman" w:hAnsi="Times New Roman" w:cs="Times New Roman"/>
          <w:sz w:val="20"/>
          <w:szCs w:val="20"/>
        </w:rPr>
        <w:t>emphasises the importance of G’s ‘church family,’ and declaring that it would be in G’s best interests to be reintegrated in to her social networks (</w:t>
      </w:r>
      <w:r w:rsidRPr="00D570A8">
        <w:rPr>
          <w:rFonts w:ascii="Times New Roman" w:hAnsi="Times New Roman" w:cs="Times New Roman"/>
          <w:sz w:val="20"/>
          <w:szCs w:val="20"/>
        </w:rPr>
        <w:t>at</w:t>
      </w:r>
      <w:r w:rsidRPr="00F66CD8">
        <w:rPr>
          <w:rFonts w:ascii="Times New Roman" w:hAnsi="Times New Roman" w:cs="Times New Roman"/>
          <w:sz w:val="20"/>
          <w:szCs w:val="20"/>
        </w:rPr>
        <w:t xml:space="preserve"> [84]), and in </w:t>
      </w:r>
      <w:r w:rsidRPr="00F66CD8">
        <w:rPr>
          <w:rFonts w:ascii="Times New Roman" w:hAnsi="Times New Roman" w:cs="Times New Roman"/>
          <w:i/>
          <w:sz w:val="20"/>
          <w:szCs w:val="20"/>
        </w:rPr>
        <w:t>Sykes</w:t>
      </w:r>
      <w:r w:rsidRPr="00F66CD8">
        <w:rPr>
          <w:rFonts w:ascii="Times New Roman" w:hAnsi="Times New Roman" w:cs="Times New Roman"/>
          <w:sz w:val="20"/>
          <w:szCs w:val="20"/>
        </w:rPr>
        <w:t xml:space="preserve">, </w:t>
      </w:r>
      <w:r w:rsidRPr="00F66CD8">
        <w:rPr>
          <w:rFonts w:ascii="Times New Roman" w:hAnsi="Times New Roman" w:cs="Times New Roman"/>
          <w:sz w:val="20"/>
          <w:szCs w:val="20"/>
          <w:lang w:val="en-US"/>
        </w:rPr>
        <w:t>where the judge highlights the importance of her engagement with her friends, family and members of her church, ‘to help establish relationships and habits’ [§10].</w:t>
      </w:r>
      <w:r w:rsidRPr="00F66CD8">
        <w:rPr>
          <w:rFonts w:ascii="Times New Roman" w:hAnsi="Times New Roman" w:cs="Times New Roman"/>
          <w:sz w:val="20"/>
          <w:szCs w:val="20"/>
        </w:rPr>
        <w:t xml:space="preserve"> </w:t>
      </w:r>
    </w:p>
  </w:footnote>
  <w:footnote w:id="151">
    <w:p w14:paraId="45842EFF" w14:textId="2DD44BE3" w:rsidR="001A2FA6" w:rsidRPr="009F32D9" w:rsidRDefault="001A2FA6">
      <w:pPr>
        <w:pStyle w:val="FootnoteText"/>
        <w:jc w:val="both"/>
        <w:rPr>
          <w:rFonts w:ascii="Times New Roman" w:hAnsi="Times New Roman" w:cs="Times New Roman"/>
          <w:sz w:val="20"/>
          <w:szCs w:val="20"/>
          <w:highlight w:val="yellow"/>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Above (n 1</w:t>
      </w:r>
      <w:r w:rsidR="00B741B8">
        <w:rPr>
          <w:rFonts w:ascii="Times New Roman" w:hAnsi="Times New Roman" w:cs="Times New Roman"/>
          <w:sz w:val="20"/>
          <w:szCs w:val="20"/>
        </w:rPr>
        <w:t>44</w:t>
      </w:r>
      <w:r w:rsidRPr="00ED46D5">
        <w:rPr>
          <w:rFonts w:ascii="Times New Roman" w:hAnsi="Times New Roman" w:cs="Times New Roman"/>
          <w:sz w:val="20"/>
          <w:szCs w:val="20"/>
        </w:rPr>
        <w:t>)</w:t>
      </w:r>
      <w:r w:rsidRPr="009F32D9">
        <w:rPr>
          <w:rFonts w:ascii="Times New Roman" w:hAnsi="Times New Roman" w:cs="Times New Roman"/>
          <w:sz w:val="20"/>
          <w:szCs w:val="20"/>
          <w:lang w:val="en-US"/>
        </w:rPr>
        <w:t xml:space="preserve"> [§14]. </w:t>
      </w:r>
    </w:p>
  </w:footnote>
  <w:footnote w:id="152">
    <w:p w14:paraId="7B0BC280" w14:textId="1ADC39A0" w:rsidR="001A2FA6" w:rsidRPr="00F66CD8" w:rsidRDefault="001A2FA6">
      <w:pPr>
        <w:pStyle w:val="FootnoteText"/>
        <w:jc w:val="both"/>
        <w:rPr>
          <w:rFonts w:ascii="Times New Roman" w:hAnsi="Times New Roman" w:cs="Times New Roman"/>
          <w:sz w:val="20"/>
          <w:szCs w:val="20"/>
          <w:highlight w:val="yellow"/>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Above (n 1</w:t>
      </w:r>
      <w:r w:rsidR="00B741B8">
        <w:rPr>
          <w:rFonts w:ascii="Times New Roman" w:hAnsi="Times New Roman" w:cs="Times New Roman"/>
          <w:sz w:val="20"/>
          <w:szCs w:val="20"/>
          <w:lang w:val="en-US"/>
        </w:rPr>
        <w:t>45</w:t>
      </w:r>
      <w:r w:rsidRPr="009F32D9">
        <w:rPr>
          <w:rFonts w:ascii="Times New Roman" w:hAnsi="Times New Roman" w:cs="Times New Roman"/>
          <w:sz w:val="20"/>
          <w:szCs w:val="20"/>
          <w:lang w:val="en-US"/>
        </w:rPr>
        <w:t xml:space="preserve">) [§10]. Feminist criticisms of this approach may nonetheless </w:t>
      </w:r>
      <w:r>
        <w:rPr>
          <w:rFonts w:ascii="Times New Roman" w:hAnsi="Times New Roman" w:cs="Times New Roman"/>
          <w:sz w:val="20"/>
          <w:szCs w:val="20"/>
          <w:lang w:val="en-US"/>
        </w:rPr>
        <w:t>argue that the Court</w:t>
      </w:r>
      <w:r w:rsidRPr="009F32D9">
        <w:rPr>
          <w:rFonts w:ascii="Times New Roman" w:hAnsi="Times New Roman" w:cs="Times New Roman"/>
          <w:sz w:val="20"/>
          <w:szCs w:val="20"/>
          <w:lang w:val="en-US"/>
        </w:rPr>
        <w:t xml:space="preserve"> still </w:t>
      </w:r>
      <w:r w:rsidRPr="00F66CD8">
        <w:rPr>
          <w:rFonts w:ascii="Times New Roman" w:hAnsi="Times New Roman" w:cs="Times New Roman"/>
          <w:sz w:val="20"/>
          <w:szCs w:val="20"/>
          <w:lang w:val="en-US"/>
        </w:rPr>
        <w:t>presents a picture of the masculine ideal in articulating this particular image of Ms Sykes – the image of the strong willed public persona.</w:t>
      </w:r>
    </w:p>
  </w:footnote>
  <w:footnote w:id="153">
    <w:p w14:paraId="0D31AEDA" w14:textId="1DDD5737" w:rsidR="001A2FA6" w:rsidRPr="009F32D9"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Above (n 1</w:t>
      </w:r>
      <w:r w:rsidR="00B741B8">
        <w:rPr>
          <w:rFonts w:ascii="Times New Roman" w:hAnsi="Times New Roman" w:cs="Times New Roman"/>
          <w:sz w:val="20"/>
          <w:szCs w:val="20"/>
          <w:lang w:val="en-US"/>
        </w:rPr>
        <w:t>45</w:t>
      </w:r>
      <w:r w:rsidRPr="009F32D9">
        <w:rPr>
          <w:rFonts w:ascii="Times New Roman" w:hAnsi="Times New Roman" w:cs="Times New Roman"/>
          <w:sz w:val="20"/>
          <w:szCs w:val="20"/>
          <w:lang w:val="en-US"/>
        </w:rPr>
        <w:t>) [§13].</w:t>
      </w:r>
    </w:p>
  </w:footnote>
  <w:footnote w:id="154">
    <w:p w14:paraId="460D8888" w14:textId="528CD5C9" w:rsidR="001A2FA6" w:rsidRPr="009F32D9"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Above (n</w:t>
      </w:r>
      <w:r w:rsidRPr="009F32D9">
        <w:rPr>
          <w:rFonts w:ascii="Times New Roman" w:hAnsi="Times New Roman" w:cs="Times New Roman"/>
          <w:sz w:val="20"/>
          <w:szCs w:val="20"/>
        </w:rPr>
        <w:t xml:space="preserve"> 1</w:t>
      </w:r>
      <w:r w:rsidR="00B741B8">
        <w:rPr>
          <w:rFonts w:ascii="Times New Roman" w:hAnsi="Times New Roman" w:cs="Times New Roman"/>
          <w:sz w:val="20"/>
          <w:szCs w:val="20"/>
        </w:rPr>
        <w:t>44</w:t>
      </w:r>
      <w:r w:rsidRPr="009F32D9">
        <w:rPr>
          <w:rFonts w:ascii="Times New Roman" w:hAnsi="Times New Roman" w:cs="Times New Roman"/>
          <w:sz w:val="20"/>
          <w:szCs w:val="20"/>
        </w:rPr>
        <w:t xml:space="preserve">) </w:t>
      </w:r>
      <w:r w:rsidRPr="009F32D9">
        <w:rPr>
          <w:rFonts w:ascii="Times New Roman" w:hAnsi="Times New Roman" w:cs="Times New Roman"/>
          <w:sz w:val="20"/>
          <w:szCs w:val="20"/>
          <w:lang w:val="en-US"/>
        </w:rPr>
        <w:t>[§14].</w:t>
      </w:r>
    </w:p>
  </w:footnote>
  <w:footnote w:id="155">
    <w:p w14:paraId="103BB11C" w14:textId="77777777" w:rsidR="001A2FA6" w:rsidRPr="00F66CD8" w:rsidRDefault="001A2FA6">
      <w:pPr>
        <w:jc w:val="both"/>
        <w:rPr>
          <w:sz w:val="20"/>
          <w:szCs w:val="20"/>
        </w:rPr>
      </w:pPr>
      <w:r w:rsidRPr="00ED46D5">
        <w:rPr>
          <w:rStyle w:val="FootnoteReference"/>
          <w:sz w:val="20"/>
          <w:szCs w:val="20"/>
        </w:rPr>
        <w:footnoteRef/>
      </w:r>
      <w:r w:rsidRPr="00ED46D5">
        <w:rPr>
          <w:sz w:val="20"/>
          <w:szCs w:val="20"/>
        </w:rPr>
        <w:t xml:space="preserve"> </w:t>
      </w:r>
      <w:r w:rsidRPr="009F32D9">
        <w:rPr>
          <w:i/>
          <w:sz w:val="20"/>
          <w:szCs w:val="20"/>
        </w:rPr>
        <w:t>ibid.</w:t>
      </w:r>
      <w:r w:rsidRPr="009F32D9">
        <w:rPr>
          <w:sz w:val="20"/>
          <w:szCs w:val="20"/>
        </w:rPr>
        <w:t xml:space="preserve"> [</w:t>
      </w:r>
      <w:r w:rsidRPr="009F32D9">
        <w:rPr>
          <w:sz w:val="20"/>
          <w:szCs w:val="20"/>
          <w:lang w:val="en-US"/>
        </w:rPr>
        <w:t>§14</w:t>
      </w:r>
      <w:r w:rsidRPr="009F32D9">
        <w:rPr>
          <w:sz w:val="20"/>
          <w:szCs w:val="20"/>
        </w:rPr>
        <w:t xml:space="preserve">]. He also adopts a similar stance in the recent similar case of </w:t>
      </w:r>
      <w:r w:rsidRPr="009F32D9">
        <w:rPr>
          <w:i/>
          <w:sz w:val="20"/>
          <w:szCs w:val="20"/>
        </w:rPr>
        <w:t xml:space="preserve">Bedford Borough Council v C </w:t>
      </w:r>
      <w:r w:rsidRPr="00F66CD8">
        <w:rPr>
          <w:sz w:val="20"/>
          <w:szCs w:val="20"/>
        </w:rPr>
        <w:t>[2015] EWCOP 25.  Although finding that there have been strained relations with Mr C in the past, he highlights how Mrs C’s distress over certain emotional topics does not necessarily mean she is scared of her husband and could be attributable to other features, such as being separated from him (at [89]). The Court backs this up by examining the fact that Mrs C appears ‘happy and content at the matrimonial home during…visits…she is more animated and verbally responsive when at home; she often expresses a wish to have…contact with her husband; she is generally responsive to Mr C and initiates affectionate contact…’ (at [90]), and is even ‘downcast’ after her visits home are over (at [88]).</w:t>
      </w:r>
    </w:p>
  </w:footnote>
  <w:footnote w:id="156">
    <w:p w14:paraId="5D0641A2" w14:textId="1342527F" w:rsidR="001A2FA6" w:rsidRPr="009F32D9"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Above (n 1</w:t>
      </w:r>
      <w:r w:rsidR="00B741B8">
        <w:rPr>
          <w:rFonts w:ascii="Times New Roman" w:hAnsi="Times New Roman" w:cs="Times New Roman"/>
          <w:sz w:val="20"/>
          <w:szCs w:val="20"/>
          <w:lang w:val="en-US"/>
        </w:rPr>
        <w:t>45</w:t>
      </w:r>
      <w:r w:rsidRPr="009F32D9">
        <w:rPr>
          <w:rFonts w:ascii="Times New Roman" w:hAnsi="Times New Roman" w:cs="Times New Roman"/>
          <w:sz w:val="20"/>
          <w:szCs w:val="20"/>
          <w:lang w:val="en-US"/>
        </w:rPr>
        <w:t>) [§10].</w:t>
      </w:r>
    </w:p>
  </w:footnote>
  <w:footnote w:id="157">
    <w:p w14:paraId="5410C21C" w14:textId="711A91E9" w:rsidR="001A2FA6" w:rsidRPr="009F32D9" w:rsidRDefault="001A2FA6">
      <w:pPr>
        <w:pStyle w:val="FootnoteText"/>
        <w:jc w:val="both"/>
        <w:rPr>
          <w:rFonts w:ascii="Times New Roman" w:hAnsi="Times New Roman" w:cs="Times New Roman"/>
          <w:sz w:val="20"/>
          <w:szCs w:val="20"/>
          <w:highlight w:val="yellow"/>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Above (n 3</w:t>
      </w:r>
      <w:r w:rsidR="00B741B8">
        <w:rPr>
          <w:rFonts w:ascii="Times New Roman" w:hAnsi="Times New Roman" w:cs="Times New Roman"/>
          <w:sz w:val="20"/>
          <w:szCs w:val="20"/>
        </w:rPr>
        <w:t>6</w:t>
      </w:r>
      <w:r w:rsidRPr="00ED46D5">
        <w:rPr>
          <w:rFonts w:ascii="Times New Roman" w:hAnsi="Times New Roman" w:cs="Times New Roman"/>
          <w:sz w:val="20"/>
          <w:szCs w:val="20"/>
        </w:rPr>
        <w:t>).</w:t>
      </w:r>
    </w:p>
  </w:footnote>
  <w:footnote w:id="158">
    <w:p w14:paraId="2573B5CF" w14:textId="7838509E" w:rsidR="001A2FA6" w:rsidRPr="00ED46D5"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00B741B8">
        <w:rPr>
          <w:rFonts w:ascii="Times New Roman" w:hAnsi="Times New Roman" w:cs="Times New Roman"/>
          <w:sz w:val="20"/>
          <w:szCs w:val="20"/>
          <w:lang w:val="en-US"/>
        </w:rPr>
        <w:t>Above (n 143)</w:t>
      </w:r>
      <w:r w:rsidRPr="009F32D9">
        <w:rPr>
          <w:rFonts w:ascii="Times New Roman" w:hAnsi="Times New Roman" w:cs="Times New Roman"/>
          <w:sz w:val="20"/>
          <w:szCs w:val="20"/>
          <w:lang w:val="en-US"/>
        </w:rPr>
        <w:t xml:space="preserve"> [39].  In </w:t>
      </w:r>
      <w:r w:rsidRPr="009F32D9">
        <w:rPr>
          <w:rFonts w:ascii="Times New Roman" w:hAnsi="Times New Roman" w:cs="Times New Roman"/>
          <w:i/>
          <w:sz w:val="20"/>
          <w:szCs w:val="20"/>
          <w:lang w:val="en-US"/>
        </w:rPr>
        <w:t>Sykes</w:t>
      </w:r>
      <w:r w:rsidRPr="009F32D9">
        <w:rPr>
          <w:rFonts w:ascii="Times New Roman" w:hAnsi="Times New Roman" w:cs="Times New Roman"/>
          <w:sz w:val="20"/>
          <w:szCs w:val="20"/>
          <w:lang w:val="en-US"/>
        </w:rPr>
        <w:t xml:space="preserve"> the judge also acknowledges her view that paid carers who visited her at home had been ‘patronising and insensitive’ and ‘offensive or inconsider</w:t>
      </w:r>
      <w:r w:rsidR="00B741B8">
        <w:rPr>
          <w:rFonts w:ascii="Times New Roman" w:hAnsi="Times New Roman" w:cs="Times New Roman"/>
          <w:sz w:val="20"/>
          <w:szCs w:val="20"/>
          <w:lang w:val="en-US"/>
        </w:rPr>
        <w:t>ate’: Above (n 145</w:t>
      </w:r>
      <w:r w:rsidRPr="009F32D9">
        <w:rPr>
          <w:rFonts w:ascii="Times New Roman" w:hAnsi="Times New Roman" w:cs="Times New Roman"/>
          <w:sz w:val="20"/>
          <w:szCs w:val="20"/>
          <w:lang w:val="en-US"/>
        </w:rPr>
        <w:t>) [§10].</w:t>
      </w:r>
      <w:r w:rsidRPr="00D570A8">
        <w:rPr>
          <w:rFonts w:ascii="Times New Roman" w:hAnsi="Times New Roman" w:cs="Times New Roman"/>
          <w:sz w:val="20"/>
          <w:szCs w:val="20"/>
        </w:rPr>
        <w:t xml:space="preserve"> </w:t>
      </w:r>
    </w:p>
  </w:footnote>
  <w:footnote w:id="159">
    <w:p w14:paraId="21F39958" w14:textId="109F4C5E" w:rsidR="001A2FA6" w:rsidRPr="009F32D9"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Above (n 1</w:t>
      </w:r>
      <w:r w:rsidR="00B741B8">
        <w:rPr>
          <w:rFonts w:ascii="Times New Roman" w:hAnsi="Times New Roman" w:cs="Times New Roman"/>
          <w:sz w:val="20"/>
          <w:szCs w:val="20"/>
          <w:lang w:val="en-US"/>
        </w:rPr>
        <w:t>43</w:t>
      </w:r>
      <w:r w:rsidRPr="009F32D9">
        <w:rPr>
          <w:rFonts w:ascii="Times New Roman" w:hAnsi="Times New Roman" w:cs="Times New Roman"/>
          <w:sz w:val="20"/>
          <w:szCs w:val="20"/>
          <w:lang w:val="en-US"/>
        </w:rPr>
        <w:t>) [39].</w:t>
      </w:r>
    </w:p>
  </w:footnote>
  <w:footnote w:id="160">
    <w:p w14:paraId="762CB404" w14:textId="4B404D26" w:rsidR="001A2FA6" w:rsidRPr="00325987"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Above (n 1</w:t>
      </w:r>
      <w:r w:rsidR="00B741B8">
        <w:rPr>
          <w:rFonts w:ascii="Times New Roman" w:hAnsi="Times New Roman" w:cs="Times New Roman"/>
          <w:sz w:val="20"/>
          <w:szCs w:val="20"/>
          <w:lang w:val="en-US"/>
        </w:rPr>
        <w:t>45</w:t>
      </w:r>
      <w:r w:rsidRPr="009F32D9">
        <w:rPr>
          <w:rFonts w:ascii="Times New Roman" w:hAnsi="Times New Roman" w:cs="Times New Roman"/>
          <w:sz w:val="20"/>
          <w:szCs w:val="20"/>
          <w:lang w:val="en-US"/>
        </w:rPr>
        <w:t xml:space="preserve">) [§7]. In some respects, however, one of these judgments in fact goes much further than simply trying to understand the person with dementia. In </w:t>
      </w:r>
      <w:r w:rsidRPr="00F66CD8">
        <w:rPr>
          <w:rFonts w:ascii="Times New Roman" w:hAnsi="Times New Roman" w:cs="Times New Roman"/>
          <w:i/>
          <w:sz w:val="20"/>
          <w:szCs w:val="20"/>
          <w:lang w:val="en-US"/>
        </w:rPr>
        <w:t xml:space="preserve">JH, </w:t>
      </w:r>
      <w:r w:rsidRPr="00F66CD8">
        <w:rPr>
          <w:rFonts w:ascii="Times New Roman" w:hAnsi="Times New Roman" w:cs="Times New Roman"/>
          <w:sz w:val="20"/>
          <w:szCs w:val="20"/>
          <w:lang w:val="en-US"/>
        </w:rPr>
        <w:t xml:space="preserve">Eldergill J also goes some way to trying to understand </w:t>
      </w:r>
      <w:r w:rsidRPr="00F66CD8">
        <w:rPr>
          <w:rFonts w:ascii="Times New Roman" w:hAnsi="Times New Roman" w:cs="Times New Roman"/>
          <w:i/>
          <w:sz w:val="20"/>
          <w:szCs w:val="20"/>
          <w:lang w:val="en-US"/>
        </w:rPr>
        <w:t>Mr H’s</w:t>
      </w:r>
      <w:r w:rsidRPr="00F66CD8">
        <w:rPr>
          <w:rFonts w:ascii="Times New Roman" w:hAnsi="Times New Roman" w:cs="Times New Roman"/>
          <w:sz w:val="20"/>
          <w:szCs w:val="20"/>
          <w:lang w:val="en-US"/>
        </w:rPr>
        <w:t xml:space="preserve"> ‘difficult’ and ‘uncooperative’ behaviour.  This behaviour is explained not only because of the ‘trauma’ Mr H has had to endure due to his wife’s declining health, but also because of the hostility, and entrenchment of his dealings with the local authority and its representatives.</w:t>
      </w:r>
      <w:r w:rsidRPr="00325987">
        <w:rPr>
          <w:rFonts w:ascii="Times New Roman" w:hAnsi="Times New Roman" w:cs="Times New Roman"/>
          <w:sz w:val="20"/>
          <w:szCs w:val="20"/>
          <w:vertAlign w:val="superscript"/>
          <w:lang w:val="en-US"/>
        </w:rPr>
        <w:t xml:space="preserve"> </w:t>
      </w:r>
      <w:r w:rsidRPr="00325987">
        <w:rPr>
          <w:rFonts w:ascii="Times New Roman" w:hAnsi="Times New Roman" w:cs="Times New Roman"/>
          <w:sz w:val="20"/>
          <w:szCs w:val="20"/>
          <w:lang w:val="en-US"/>
        </w:rPr>
        <w:t>Eldergill J is critical of the local authority’s assertions that Mr H has never been willing to compromise his position, stating that ‘[w]hat [the local authority] mean is that he is not willing to concede the relevant point and neither are they’: (at [§14]). He goes on to describe the local authority’s approach as ‘entrenched’ (at [§14]).</w:t>
      </w:r>
    </w:p>
  </w:footnote>
  <w:footnote w:id="161">
    <w:p w14:paraId="2C0305F9" w14:textId="05048366" w:rsidR="001A2FA6" w:rsidRPr="009F32D9"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w:t>
      </w:r>
      <w:r w:rsidR="0065555F">
        <w:rPr>
          <w:rFonts w:ascii="Times New Roman" w:hAnsi="Times New Roman" w:cs="Times New Roman"/>
          <w:sz w:val="20"/>
          <w:szCs w:val="20"/>
          <w:lang w:val="en-US"/>
        </w:rPr>
        <w:t>bove</w:t>
      </w:r>
      <w:r w:rsidRPr="009F32D9">
        <w:rPr>
          <w:rFonts w:ascii="Times New Roman" w:hAnsi="Times New Roman" w:cs="Times New Roman"/>
          <w:sz w:val="20"/>
          <w:szCs w:val="20"/>
          <w:lang w:val="en-US"/>
        </w:rPr>
        <w:t xml:space="preserve"> (n </w:t>
      </w:r>
      <w:r w:rsidR="0065555F">
        <w:rPr>
          <w:rFonts w:ascii="Times New Roman" w:hAnsi="Times New Roman" w:cs="Times New Roman"/>
          <w:sz w:val="20"/>
          <w:szCs w:val="20"/>
          <w:lang w:val="en-US"/>
        </w:rPr>
        <w:t>129</w:t>
      </w:r>
      <w:r w:rsidRPr="009F32D9">
        <w:rPr>
          <w:rFonts w:ascii="Times New Roman" w:hAnsi="Times New Roman" w:cs="Times New Roman"/>
          <w:sz w:val="20"/>
          <w:szCs w:val="20"/>
          <w:lang w:val="en-US"/>
        </w:rPr>
        <w:t>) 73.</w:t>
      </w:r>
    </w:p>
  </w:footnote>
  <w:footnote w:id="162">
    <w:p w14:paraId="0B08F980" w14:textId="1E181887" w:rsidR="001A2FA6" w:rsidRPr="009F32D9" w:rsidRDefault="001A2FA6">
      <w:pPr>
        <w:pStyle w:val="FootnoteText"/>
        <w:jc w:val="both"/>
        <w:rPr>
          <w:rFonts w:ascii="Times New Roman" w:hAnsi="Times New Roman" w:cs="Times New Roman"/>
          <w:sz w:val="20"/>
          <w:szCs w:val="20"/>
          <w:highlight w:val="yellow"/>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Above (n 1</w:t>
      </w:r>
      <w:r w:rsidR="0065555F">
        <w:rPr>
          <w:rFonts w:ascii="Times New Roman" w:hAnsi="Times New Roman" w:cs="Times New Roman"/>
          <w:sz w:val="20"/>
          <w:szCs w:val="20"/>
          <w:lang w:val="en-US"/>
        </w:rPr>
        <w:t>45</w:t>
      </w:r>
      <w:r w:rsidRPr="009F32D9">
        <w:rPr>
          <w:rFonts w:ascii="Times New Roman" w:hAnsi="Times New Roman" w:cs="Times New Roman"/>
          <w:sz w:val="20"/>
          <w:szCs w:val="20"/>
          <w:lang w:val="en-US"/>
        </w:rPr>
        <w:t>) [§10].</w:t>
      </w:r>
    </w:p>
  </w:footnote>
  <w:footnote w:id="163">
    <w:p w14:paraId="72586762" w14:textId="4BD48CCA" w:rsidR="001A2FA6" w:rsidRPr="009F32D9" w:rsidRDefault="001A2FA6">
      <w:pPr>
        <w:pStyle w:val="FootnoteText"/>
        <w:jc w:val="both"/>
        <w:rPr>
          <w:rFonts w:ascii="Times New Roman" w:hAnsi="Times New Roman" w:cs="Times New Roman"/>
          <w:sz w:val="20"/>
          <w:szCs w:val="20"/>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A</w:t>
      </w:r>
      <w:r w:rsidR="0065555F">
        <w:rPr>
          <w:rFonts w:ascii="Times New Roman" w:hAnsi="Times New Roman" w:cs="Times New Roman"/>
          <w:sz w:val="20"/>
          <w:szCs w:val="20"/>
          <w:lang w:val="en-US"/>
        </w:rPr>
        <w:t>bove</w:t>
      </w:r>
      <w:r w:rsidRPr="009F32D9">
        <w:rPr>
          <w:rFonts w:ascii="Times New Roman" w:hAnsi="Times New Roman" w:cs="Times New Roman"/>
          <w:sz w:val="20"/>
          <w:szCs w:val="20"/>
          <w:lang w:val="en-US"/>
        </w:rPr>
        <w:t xml:space="preserve"> (n </w:t>
      </w:r>
      <w:r w:rsidR="0065555F">
        <w:rPr>
          <w:rFonts w:ascii="Times New Roman" w:hAnsi="Times New Roman" w:cs="Times New Roman"/>
          <w:sz w:val="20"/>
          <w:szCs w:val="20"/>
          <w:lang w:val="en-US"/>
        </w:rPr>
        <w:t>129</w:t>
      </w:r>
      <w:r w:rsidRPr="009F32D9">
        <w:rPr>
          <w:rFonts w:ascii="Times New Roman" w:hAnsi="Times New Roman" w:cs="Times New Roman"/>
          <w:sz w:val="20"/>
          <w:szCs w:val="20"/>
          <w:lang w:val="en-US"/>
        </w:rPr>
        <w:t>) 75.</w:t>
      </w:r>
    </w:p>
  </w:footnote>
  <w:footnote w:id="164">
    <w:p w14:paraId="44830A2B" w14:textId="48445AA4" w:rsidR="001A2FA6" w:rsidRPr="009F32D9"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0065555F">
        <w:rPr>
          <w:rFonts w:ascii="Times New Roman" w:hAnsi="Times New Roman" w:cs="Times New Roman"/>
          <w:sz w:val="20"/>
          <w:szCs w:val="20"/>
          <w:lang w:val="en-US"/>
        </w:rPr>
        <w:t>Above (n 141</w:t>
      </w:r>
      <w:r>
        <w:rPr>
          <w:rFonts w:ascii="Times New Roman" w:hAnsi="Times New Roman" w:cs="Times New Roman"/>
          <w:sz w:val="20"/>
          <w:szCs w:val="20"/>
          <w:lang w:val="en-US"/>
        </w:rPr>
        <w:t>)</w:t>
      </w:r>
      <w:r w:rsidRPr="009F32D9">
        <w:rPr>
          <w:rFonts w:ascii="Times New Roman" w:hAnsi="Times New Roman" w:cs="Times New Roman"/>
          <w:sz w:val="20"/>
          <w:szCs w:val="20"/>
          <w:lang w:val="en-US"/>
        </w:rPr>
        <w:t>. For an argument on the importance of such contextual information in capacity assessments, see: NF Banner and G Szmukler, ‘”Radical Interpretation” and the Assessment of Decision-Making Capacity’, (2013) 30(4) Journal of Applied Philosophy</w:t>
      </w:r>
      <w:r w:rsidRPr="009F32D9">
        <w:rPr>
          <w:rFonts w:ascii="Times New Roman" w:hAnsi="Times New Roman" w:cs="Times New Roman"/>
          <w:i/>
          <w:sz w:val="20"/>
          <w:szCs w:val="20"/>
          <w:lang w:val="en-US"/>
        </w:rPr>
        <w:t xml:space="preserve"> </w:t>
      </w:r>
      <w:r w:rsidRPr="009F32D9">
        <w:rPr>
          <w:rFonts w:ascii="Times New Roman" w:hAnsi="Times New Roman" w:cs="Times New Roman"/>
          <w:sz w:val="20"/>
          <w:szCs w:val="20"/>
          <w:lang w:val="en-US"/>
        </w:rPr>
        <w:t>379-394.</w:t>
      </w:r>
    </w:p>
  </w:footnote>
  <w:footnote w:id="165">
    <w:p w14:paraId="7229FF4A" w14:textId="5E11B3C9" w:rsidR="001A2FA6" w:rsidRPr="00ED46D5" w:rsidRDefault="001A2FA6">
      <w:pPr>
        <w:pStyle w:val="FootnoteText"/>
        <w:jc w:val="both"/>
        <w:rPr>
          <w:rFonts w:ascii="Times New Roman" w:hAnsi="Times New Roman" w:cs="Times New Roman"/>
          <w:sz w:val="20"/>
          <w:szCs w:val="20"/>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Quigley (n </w:t>
      </w:r>
      <w:r w:rsidR="0065555F">
        <w:rPr>
          <w:rFonts w:ascii="Times New Roman" w:hAnsi="Times New Roman" w:cs="Times New Roman"/>
          <w:sz w:val="20"/>
          <w:szCs w:val="20"/>
        </w:rPr>
        <w:t>59</w:t>
      </w:r>
      <w:r w:rsidRPr="00ED46D5">
        <w:rPr>
          <w:rFonts w:ascii="Times New Roman" w:hAnsi="Times New Roman" w:cs="Times New Roman"/>
          <w:sz w:val="20"/>
          <w:szCs w:val="20"/>
        </w:rPr>
        <w:t>) 237.</w:t>
      </w:r>
    </w:p>
  </w:footnote>
  <w:footnote w:id="166">
    <w:p w14:paraId="5033BAC2" w14:textId="2243F46E" w:rsidR="001A2FA6" w:rsidRPr="009F32D9" w:rsidRDefault="001A2FA6">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 xml:space="preserve">See, for example, </w:t>
      </w:r>
      <w:r w:rsidRPr="009F32D9">
        <w:rPr>
          <w:rFonts w:ascii="Times New Roman" w:hAnsi="Times New Roman" w:cs="Times New Roman"/>
          <w:i/>
          <w:sz w:val="20"/>
          <w:szCs w:val="20"/>
          <w:lang w:val="en-US"/>
        </w:rPr>
        <w:t xml:space="preserve">IIBCC v LG </w:t>
      </w:r>
      <w:r w:rsidR="0065555F">
        <w:rPr>
          <w:rFonts w:ascii="Times New Roman" w:hAnsi="Times New Roman" w:cs="Times New Roman"/>
          <w:sz w:val="20"/>
          <w:szCs w:val="20"/>
          <w:lang w:val="en-US"/>
        </w:rPr>
        <w:t>(n 105</w:t>
      </w:r>
      <w:r w:rsidRPr="009F32D9">
        <w:rPr>
          <w:rFonts w:ascii="Times New Roman" w:hAnsi="Times New Roman" w:cs="Times New Roman"/>
          <w:sz w:val="20"/>
          <w:szCs w:val="20"/>
          <w:lang w:val="en-US"/>
        </w:rPr>
        <w:t xml:space="preserve">), </w:t>
      </w:r>
      <w:r w:rsidRPr="009F32D9">
        <w:rPr>
          <w:rFonts w:ascii="Times New Roman" w:hAnsi="Times New Roman" w:cs="Times New Roman"/>
          <w:i/>
          <w:sz w:val="20"/>
          <w:szCs w:val="20"/>
          <w:lang w:val="en-US"/>
        </w:rPr>
        <w:t xml:space="preserve">EM v SC and CM </w:t>
      </w:r>
      <w:r w:rsidR="0065555F">
        <w:rPr>
          <w:rFonts w:ascii="Times New Roman" w:hAnsi="Times New Roman" w:cs="Times New Roman"/>
          <w:sz w:val="20"/>
          <w:szCs w:val="20"/>
          <w:lang w:val="en-US"/>
        </w:rPr>
        <w:t>(n 113</w:t>
      </w:r>
      <w:r w:rsidRPr="009F32D9">
        <w:rPr>
          <w:rFonts w:ascii="Times New Roman" w:hAnsi="Times New Roman" w:cs="Times New Roman"/>
          <w:sz w:val="20"/>
          <w:szCs w:val="20"/>
          <w:lang w:val="en-US"/>
        </w:rPr>
        <w:t xml:space="preserve">) and </w:t>
      </w:r>
      <w:r w:rsidRPr="009F32D9">
        <w:rPr>
          <w:rFonts w:ascii="Times New Roman" w:hAnsi="Times New Roman" w:cs="Times New Roman"/>
          <w:i/>
          <w:sz w:val="20"/>
          <w:szCs w:val="20"/>
          <w:lang w:val="en-US"/>
        </w:rPr>
        <w:t xml:space="preserve">Stoke City Council v Maddocks </w:t>
      </w:r>
      <w:r w:rsidRPr="009F32D9">
        <w:rPr>
          <w:rFonts w:ascii="Times New Roman" w:hAnsi="Times New Roman" w:cs="Times New Roman"/>
          <w:sz w:val="20"/>
          <w:szCs w:val="20"/>
          <w:lang w:val="en-US"/>
        </w:rPr>
        <w:t>[2012] EWCOP B31.</w:t>
      </w:r>
    </w:p>
  </w:footnote>
  <w:footnote w:id="167">
    <w:p w14:paraId="168C6EC3" w14:textId="69CB4EDD" w:rsidR="001A2FA6" w:rsidRPr="00286DC2" w:rsidRDefault="001A2FA6" w:rsidP="00D570A8">
      <w:pPr>
        <w:pStyle w:val="FootnoteText"/>
        <w:jc w:val="both"/>
        <w:rPr>
          <w:rFonts w:ascii="Times New Roman" w:hAnsi="Times New Roman" w:cs="Times New Roman"/>
          <w:sz w:val="20"/>
          <w:szCs w:val="20"/>
        </w:rPr>
      </w:pPr>
      <w:r w:rsidRPr="00286DC2">
        <w:rPr>
          <w:rStyle w:val="FootnoteReference"/>
          <w:rFonts w:ascii="Times New Roman" w:hAnsi="Times New Roman" w:cs="Times New Roman"/>
          <w:sz w:val="20"/>
          <w:szCs w:val="20"/>
        </w:rPr>
        <w:footnoteRef/>
      </w:r>
      <w:r w:rsidRPr="00286DC2">
        <w:rPr>
          <w:rFonts w:ascii="Times New Roman" w:hAnsi="Times New Roman" w:cs="Times New Roman"/>
          <w:sz w:val="20"/>
          <w:szCs w:val="20"/>
        </w:rPr>
        <w:t xml:space="preserve"> </w:t>
      </w:r>
      <w:r w:rsidR="0065555F">
        <w:rPr>
          <w:rFonts w:ascii="Times New Roman" w:hAnsi="Times New Roman" w:cs="Times New Roman"/>
          <w:sz w:val="20"/>
          <w:szCs w:val="20"/>
        </w:rPr>
        <w:t>Above (n 79</w:t>
      </w:r>
      <w:r>
        <w:rPr>
          <w:rFonts w:ascii="Times New Roman" w:hAnsi="Times New Roman" w:cs="Times New Roman"/>
          <w:sz w:val="20"/>
          <w:szCs w:val="20"/>
        </w:rPr>
        <w:t>).</w:t>
      </w:r>
    </w:p>
  </w:footnote>
  <w:footnote w:id="168">
    <w:p w14:paraId="7DA3246D" w14:textId="6156AD98" w:rsidR="001A2FA6" w:rsidRPr="00286DC2" w:rsidRDefault="001A2FA6" w:rsidP="00D570A8">
      <w:pPr>
        <w:pStyle w:val="FootnoteText"/>
        <w:jc w:val="both"/>
        <w:rPr>
          <w:rFonts w:ascii="Times New Roman" w:hAnsi="Times New Roman" w:cs="Times New Roman"/>
          <w:sz w:val="20"/>
          <w:szCs w:val="20"/>
        </w:rPr>
      </w:pPr>
      <w:r w:rsidRPr="00ED46D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0065555F">
        <w:rPr>
          <w:rFonts w:ascii="Times New Roman" w:hAnsi="Times New Roman" w:cs="Times New Roman"/>
          <w:i/>
          <w:sz w:val="20"/>
          <w:szCs w:val="20"/>
        </w:rPr>
        <w:t>ibid.</w:t>
      </w:r>
      <w:r w:rsidRPr="00ED46D5">
        <w:rPr>
          <w:rFonts w:ascii="Times New Roman" w:hAnsi="Times New Roman" w:cs="Times New Roman"/>
          <w:sz w:val="20"/>
          <w:szCs w:val="20"/>
        </w:rPr>
        <w:t xml:space="preserve"> [28].</w:t>
      </w:r>
    </w:p>
  </w:footnote>
  <w:footnote w:id="169">
    <w:p w14:paraId="5661E001" w14:textId="77777777" w:rsidR="001A2FA6" w:rsidRPr="00286DC2" w:rsidRDefault="001A2FA6" w:rsidP="00ED46D5">
      <w:pPr>
        <w:pStyle w:val="FootnoteText"/>
        <w:jc w:val="both"/>
        <w:rPr>
          <w:rFonts w:ascii="Times New Roman" w:hAnsi="Times New Roman" w:cs="Times New Roman"/>
          <w:i/>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i/>
          <w:sz w:val="20"/>
          <w:szCs w:val="20"/>
          <w:lang w:val="en-US"/>
        </w:rPr>
        <w:t xml:space="preserve">Re MN </w:t>
      </w:r>
      <w:r w:rsidRPr="009F32D9">
        <w:rPr>
          <w:rFonts w:ascii="Times New Roman" w:hAnsi="Times New Roman" w:cs="Times New Roman"/>
          <w:sz w:val="20"/>
          <w:szCs w:val="20"/>
          <w:lang w:val="en-US"/>
        </w:rPr>
        <w:t>[2015] EWCA Civ 411.</w:t>
      </w:r>
    </w:p>
  </w:footnote>
  <w:footnote w:id="170">
    <w:p w14:paraId="03DB66BA" w14:textId="77777777" w:rsidR="001A2FA6" w:rsidRPr="009F32D9" w:rsidRDefault="001A2FA6" w:rsidP="009F32D9">
      <w:pPr>
        <w:pStyle w:val="FootnoteText"/>
        <w:jc w:val="both"/>
        <w:rPr>
          <w:rFonts w:ascii="Times New Roman" w:hAnsi="Times New Roman" w:cs="Times New Roman"/>
          <w:sz w:val="20"/>
          <w:szCs w:val="20"/>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i/>
          <w:sz w:val="20"/>
          <w:szCs w:val="20"/>
          <w:lang w:val="en-US"/>
        </w:rPr>
        <w:t>ibid.</w:t>
      </w:r>
      <w:r w:rsidRPr="009F32D9">
        <w:rPr>
          <w:rFonts w:ascii="Times New Roman" w:hAnsi="Times New Roman" w:cs="Times New Roman"/>
          <w:sz w:val="20"/>
          <w:szCs w:val="20"/>
          <w:lang w:val="en-US"/>
        </w:rPr>
        <w:t xml:space="preserve"> [80].</w:t>
      </w:r>
    </w:p>
  </w:footnote>
  <w:footnote w:id="171">
    <w:p w14:paraId="13FB5617" w14:textId="6B374758" w:rsidR="001A2FA6" w:rsidRPr="00286DC2" w:rsidRDefault="001A2FA6" w:rsidP="00D570A8">
      <w:pPr>
        <w:pStyle w:val="FootnoteText"/>
        <w:jc w:val="both"/>
        <w:rPr>
          <w:rFonts w:ascii="Times New Roman" w:hAnsi="Times New Roman" w:cs="Times New Roman"/>
          <w:sz w:val="20"/>
          <w:szCs w:val="20"/>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[2016] EWCOP </w:t>
      </w:r>
      <w:r w:rsidRPr="009F32D9">
        <w:rPr>
          <w:rFonts w:ascii="Times New Roman" w:hAnsi="Times New Roman" w:cs="Times New Roman"/>
          <w:sz w:val="20"/>
          <w:szCs w:val="20"/>
        </w:rPr>
        <w:t>5</w:t>
      </w:r>
      <w:r>
        <w:rPr>
          <w:rFonts w:ascii="Times New Roman" w:hAnsi="Times New Roman" w:cs="Times New Roman"/>
          <w:sz w:val="20"/>
          <w:szCs w:val="20"/>
        </w:rPr>
        <w:t>.</w:t>
      </w:r>
    </w:p>
  </w:footnote>
  <w:footnote w:id="172">
    <w:p w14:paraId="2669FE42" w14:textId="439E2A38" w:rsidR="001A2FA6" w:rsidRPr="00ED46D5" w:rsidRDefault="001A2FA6">
      <w:pPr>
        <w:pStyle w:val="FootnoteText"/>
        <w:jc w:val="both"/>
        <w:rPr>
          <w:rFonts w:ascii="Times New Roman" w:hAnsi="Times New Roman" w:cs="Times New Roman"/>
          <w:sz w:val="20"/>
          <w:szCs w:val="20"/>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Above (n </w:t>
      </w:r>
      <w:r w:rsidR="0065555F">
        <w:rPr>
          <w:rFonts w:ascii="Times New Roman" w:hAnsi="Times New Roman" w:cs="Times New Roman"/>
          <w:sz w:val="20"/>
          <w:szCs w:val="20"/>
        </w:rPr>
        <w:t>64</w:t>
      </w:r>
      <w:bookmarkStart w:id="2" w:name="_GoBack"/>
      <w:bookmarkEnd w:id="2"/>
      <w:r w:rsidRPr="00ED46D5">
        <w:rPr>
          <w:rFonts w:ascii="Times New Roman" w:hAnsi="Times New Roman" w:cs="Times New Roman"/>
          <w:sz w:val="20"/>
          <w:szCs w:val="20"/>
        </w:rPr>
        <w:t>) [45].</w:t>
      </w:r>
    </w:p>
  </w:footnote>
  <w:footnote w:id="173">
    <w:p w14:paraId="4B4BF641" w14:textId="77777777" w:rsidR="001A2FA6" w:rsidRPr="00F3120F" w:rsidRDefault="001A2FA6">
      <w:pPr>
        <w:pStyle w:val="FootnoteText"/>
        <w:jc w:val="both"/>
        <w:rPr>
          <w:rFonts w:ascii="Times New Roman" w:hAnsi="Times New Roman" w:cs="Times New Roman"/>
          <w:lang w:val="en-US"/>
        </w:rPr>
      </w:pPr>
      <w:r w:rsidRPr="00ED46D5">
        <w:rPr>
          <w:rStyle w:val="FootnoteReference"/>
          <w:rFonts w:ascii="Times New Roman" w:hAnsi="Times New Roman" w:cs="Times New Roman"/>
          <w:sz w:val="20"/>
          <w:szCs w:val="20"/>
        </w:rPr>
        <w:footnoteRef/>
      </w:r>
      <w:r w:rsidRPr="00ED46D5">
        <w:rPr>
          <w:rFonts w:ascii="Times New Roman" w:hAnsi="Times New Roman" w:cs="Times New Roman"/>
          <w:sz w:val="20"/>
          <w:szCs w:val="20"/>
        </w:rPr>
        <w:t xml:space="preserve"> </w:t>
      </w:r>
      <w:r w:rsidRPr="009F32D9">
        <w:rPr>
          <w:rFonts w:ascii="Times New Roman" w:hAnsi="Times New Roman" w:cs="Times New Roman"/>
          <w:sz w:val="20"/>
          <w:szCs w:val="20"/>
          <w:lang w:val="en-US"/>
        </w:rPr>
        <w:t xml:space="preserve">C Eccleston, ‘Dementia Dismantled my Father’s Personality’, </w:t>
      </w:r>
      <w:r w:rsidRPr="009F32D9">
        <w:rPr>
          <w:rFonts w:ascii="Times New Roman" w:hAnsi="Times New Roman" w:cs="Times New Roman"/>
          <w:i/>
          <w:sz w:val="20"/>
          <w:szCs w:val="20"/>
          <w:lang w:val="en-US"/>
        </w:rPr>
        <w:t xml:space="preserve">The Guardian, </w:t>
      </w:r>
      <w:r w:rsidRPr="009F32D9">
        <w:rPr>
          <w:rFonts w:ascii="Times New Roman" w:hAnsi="Times New Roman" w:cs="Times New Roman"/>
          <w:sz w:val="20"/>
          <w:szCs w:val="20"/>
          <w:lang w:val="en-US"/>
        </w:rPr>
        <w:t xml:space="preserve">(31 May 2015), available at </w:t>
      </w:r>
      <w:hyperlink r:id="rId8" w:history="1">
        <w:r w:rsidRPr="00325987">
          <w:rPr>
            <w:rStyle w:val="Hyperlink"/>
            <w:rFonts w:ascii="Times New Roman" w:hAnsi="Times New Roman" w:cs="Times New Roman"/>
            <w:sz w:val="20"/>
            <w:szCs w:val="20"/>
            <w:lang w:val="en-US"/>
          </w:rPr>
          <w:t>http://www.theguardian.com/lifeandstyle/2015/may/31/christopher-eccleston-father-dementia-disease-dismantled-his-personality</w:t>
        </w:r>
      </w:hyperlink>
      <w:r w:rsidRPr="00ED46D5">
        <w:rPr>
          <w:rFonts w:ascii="Times New Roman" w:hAnsi="Times New Roman" w:cs="Times New Roman"/>
          <w:sz w:val="20"/>
          <w:szCs w:val="20"/>
          <w:lang w:val="en-US"/>
        </w:rPr>
        <w:t xml:space="preserve"> accessed 17 July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1D6C85"/>
    <w:multiLevelType w:val="multilevel"/>
    <w:tmpl w:val="160AE34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38"/>
    <w:rsid w:val="000028FE"/>
    <w:rsid w:val="000035B9"/>
    <w:rsid w:val="00004977"/>
    <w:rsid w:val="000069D3"/>
    <w:rsid w:val="00012663"/>
    <w:rsid w:val="00014576"/>
    <w:rsid w:val="00015377"/>
    <w:rsid w:val="00022E5B"/>
    <w:rsid w:val="00024378"/>
    <w:rsid w:val="00025671"/>
    <w:rsid w:val="000256ED"/>
    <w:rsid w:val="0002628A"/>
    <w:rsid w:val="00030580"/>
    <w:rsid w:val="00030B19"/>
    <w:rsid w:val="00031D58"/>
    <w:rsid w:val="00032753"/>
    <w:rsid w:val="00042FA2"/>
    <w:rsid w:val="00043086"/>
    <w:rsid w:val="000432C3"/>
    <w:rsid w:val="00043C72"/>
    <w:rsid w:val="00050CB0"/>
    <w:rsid w:val="00054282"/>
    <w:rsid w:val="00054A98"/>
    <w:rsid w:val="00056931"/>
    <w:rsid w:val="0006531D"/>
    <w:rsid w:val="000657C4"/>
    <w:rsid w:val="00067B30"/>
    <w:rsid w:val="00071EDB"/>
    <w:rsid w:val="0007542F"/>
    <w:rsid w:val="00076E30"/>
    <w:rsid w:val="0007750E"/>
    <w:rsid w:val="000806AE"/>
    <w:rsid w:val="00082829"/>
    <w:rsid w:val="00086250"/>
    <w:rsid w:val="0009355D"/>
    <w:rsid w:val="000956CA"/>
    <w:rsid w:val="00096444"/>
    <w:rsid w:val="000A0065"/>
    <w:rsid w:val="000A0FF3"/>
    <w:rsid w:val="000A1681"/>
    <w:rsid w:val="000A1EFE"/>
    <w:rsid w:val="000A2DD8"/>
    <w:rsid w:val="000A31DB"/>
    <w:rsid w:val="000A3E67"/>
    <w:rsid w:val="000A6D9F"/>
    <w:rsid w:val="000B69C2"/>
    <w:rsid w:val="000B7B10"/>
    <w:rsid w:val="000C0479"/>
    <w:rsid w:val="000C4190"/>
    <w:rsid w:val="000C739A"/>
    <w:rsid w:val="000C7489"/>
    <w:rsid w:val="000D041B"/>
    <w:rsid w:val="000D1CDF"/>
    <w:rsid w:val="000D3040"/>
    <w:rsid w:val="000D4173"/>
    <w:rsid w:val="000D5C03"/>
    <w:rsid w:val="000E39ED"/>
    <w:rsid w:val="000E4C2E"/>
    <w:rsid w:val="000E6715"/>
    <w:rsid w:val="000E68C9"/>
    <w:rsid w:val="000E6DF0"/>
    <w:rsid w:val="000E6F4D"/>
    <w:rsid w:val="000F0412"/>
    <w:rsid w:val="000F0E49"/>
    <w:rsid w:val="000F1019"/>
    <w:rsid w:val="000F1697"/>
    <w:rsid w:val="001000AD"/>
    <w:rsid w:val="0010246F"/>
    <w:rsid w:val="00102CA4"/>
    <w:rsid w:val="00103A21"/>
    <w:rsid w:val="001045BB"/>
    <w:rsid w:val="0010566E"/>
    <w:rsid w:val="00106E63"/>
    <w:rsid w:val="001110C5"/>
    <w:rsid w:val="0011136D"/>
    <w:rsid w:val="00112690"/>
    <w:rsid w:val="00114BBE"/>
    <w:rsid w:val="00114F94"/>
    <w:rsid w:val="0011517B"/>
    <w:rsid w:val="00117E12"/>
    <w:rsid w:val="001210F3"/>
    <w:rsid w:val="00123CAE"/>
    <w:rsid w:val="0012449A"/>
    <w:rsid w:val="001363F4"/>
    <w:rsid w:val="00140A42"/>
    <w:rsid w:val="001416C2"/>
    <w:rsid w:val="00142188"/>
    <w:rsid w:val="00142625"/>
    <w:rsid w:val="00144B87"/>
    <w:rsid w:val="00150C10"/>
    <w:rsid w:val="00150F0E"/>
    <w:rsid w:val="00154C45"/>
    <w:rsid w:val="0016162B"/>
    <w:rsid w:val="0016400D"/>
    <w:rsid w:val="00164462"/>
    <w:rsid w:val="001702C6"/>
    <w:rsid w:val="00181434"/>
    <w:rsid w:val="001907EA"/>
    <w:rsid w:val="00191903"/>
    <w:rsid w:val="00193417"/>
    <w:rsid w:val="00196F74"/>
    <w:rsid w:val="001A03CE"/>
    <w:rsid w:val="001A2C5A"/>
    <w:rsid w:val="001A2EA0"/>
    <w:rsid w:val="001A2FA6"/>
    <w:rsid w:val="001A3C90"/>
    <w:rsid w:val="001A5741"/>
    <w:rsid w:val="001A58B5"/>
    <w:rsid w:val="001A6159"/>
    <w:rsid w:val="001A6E70"/>
    <w:rsid w:val="001A759C"/>
    <w:rsid w:val="001B2B20"/>
    <w:rsid w:val="001B301F"/>
    <w:rsid w:val="001C1AE5"/>
    <w:rsid w:val="001C2018"/>
    <w:rsid w:val="001C52FE"/>
    <w:rsid w:val="001D087C"/>
    <w:rsid w:val="001D4225"/>
    <w:rsid w:val="001D5B96"/>
    <w:rsid w:val="001D5EF3"/>
    <w:rsid w:val="001D6406"/>
    <w:rsid w:val="001D729D"/>
    <w:rsid w:val="001E0281"/>
    <w:rsid w:val="001E171D"/>
    <w:rsid w:val="001E2B42"/>
    <w:rsid w:val="001E5AFC"/>
    <w:rsid w:val="001F1544"/>
    <w:rsid w:val="001F2B46"/>
    <w:rsid w:val="001F3644"/>
    <w:rsid w:val="001F3D68"/>
    <w:rsid w:val="001F7172"/>
    <w:rsid w:val="001F7927"/>
    <w:rsid w:val="0020296D"/>
    <w:rsid w:val="00203F2F"/>
    <w:rsid w:val="00203F98"/>
    <w:rsid w:val="00210FCD"/>
    <w:rsid w:val="002122A3"/>
    <w:rsid w:val="00212664"/>
    <w:rsid w:val="00213622"/>
    <w:rsid w:val="00213A18"/>
    <w:rsid w:val="00217B83"/>
    <w:rsid w:val="00220846"/>
    <w:rsid w:val="00222186"/>
    <w:rsid w:val="002234BC"/>
    <w:rsid w:val="00224BCA"/>
    <w:rsid w:val="00227E64"/>
    <w:rsid w:val="00227FD5"/>
    <w:rsid w:val="002309CE"/>
    <w:rsid w:val="00232D3A"/>
    <w:rsid w:val="00233471"/>
    <w:rsid w:val="00234DD4"/>
    <w:rsid w:val="00235476"/>
    <w:rsid w:val="00236659"/>
    <w:rsid w:val="00237381"/>
    <w:rsid w:val="00240183"/>
    <w:rsid w:val="00250048"/>
    <w:rsid w:val="00256C76"/>
    <w:rsid w:val="002570F7"/>
    <w:rsid w:val="00260525"/>
    <w:rsid w:val="0026448F"/>
    <w:rsid w:val="0026719F"/>
    <w:rsid w:val="00267CFA"/>
    <w:rsid w:val="00270301"/>
    <w:rsid w:val="00271464"/>
    <w:rsid w:val="00272D91"/>
    <w:rsid w:val="00273297"/>
    <w:rsid w:val="002748E1"/>
    <w:rsid w:val="00276380"/>
    <w:rsid w:val="00280729"/>
    <w:rsid w:val="00280F3E"/>
    <w:rsid w:val="0028241A"/>
    <w:rsid w:val="00286BB9"/>
    <w:rsid w:val="00286DC2"/>
    <w:rsid w:val="00291E1F"/>
    <w:rsid w:val="00296E28"/>
    <w:rsid w:val="00297B68"/>
    <w:rsid w:val="002A2EF7"/>
    <w:rsid w:val="002A394D"/>
    <w:rsid w:val="002A6B12"/>
    <w:rsid w:val="002B1769"/>
    <w:rsid w:val="002B2302"/>
    <w:rsid w:val="002B7D47"/>
    <w:rsid w:val="002C074E"/>
    <w:rsid w:val="002C1375"/>
    <w:rsid w:val="002C4680"/>
    <w:rsid w:val="002C493E"/>
    <w:rsid w:val="002C5FFF"/>
    <w:rsid w:val="002C65E2"/>
    <w:rsid w:val="002D0701"/>
    <w:rsid w:val="002D258B"/>
    <w:rsid w:val="002D2D6E"/>
    <w:rsid w:val="002D7486"/>
    <w:rsid w:val="002E19DC"/>
    <w:rsid w:val="002E2F29"/>
    <w:rsid w:val="002E3F2C"/>
    <w:rsid w:val="002E5CFB"/>
    <w:rsid w:val="002F06AC"/>
    <w:rsid w:val="002F09EE"/>
    <w:rsid w:val="002F0EF0"/>
    <w:rsid w:val="002F1D9B"/>
    <w:rsid w:val="002F256C"/>
    <w:rsid w:val="002F313E"/>
    <w:rsid w:val="002F5117"/>
    <w:rsid w:val="002F5803"/>
    <w:rsid w:val="002F7306"/>
    <w:rsid w:val="00300175"/>
    <w:rsid w:val="00300E1B"/>
    <w:rsid w:val="00302510"/>
    <w:rsid w:val="00310464"/>
    <w:rsid w:val="00312E54"/>
    <w:rsid w:val="003138CA"/>
    <w:rsid w:val="00313D25"/>
    <w:rsid w:val="00313E0B"/>
    <w:rsid w:val="00314078"/>
    <w:rsid w:val="003200D0"/>
    <w:rsid w:val="00321131"/>
    <w:rsid w:val="0032165D"/>
    <w:rsid w:val="00324610"/>
    <w:rsid w:val="00325987"/>
    <w:rsid w:val="003323E3"/>
    <w:rsid w:val="00335D27"/>
    <w:rsid w:val="00337D44"/>
    <w:rsid w:val="0034045C"/>
    <w:rsid w:val="003442C7"/>
    <w:rsid w:val="00345B5B"/>
    <w:rsid w:val="00347CD8"/>
    <w:rsid w:val="00350350"/>
    <w:rsid w:val="00353312"/>
    <w:rsid w:val="0036021A"/>
    <w:rsid w:val="0036067C"/>
    <w:rsid w:val="00361E8E"/>
    <w:rsid w:val="00364E38"/>
    <w:rsid w:val="00365FFD"/>
    <w:rsid w:val="00380B38"/>
    <w:rsid w:val="00381973"/>
    <w:rsid w:val="0038310A"/>
    <w:rsid w:val="00383899"/>
    <w:rsid w:val="0038462F"/>
    <w:rsid w:val="00386503"/>
    <w:rsid w:val="003911CB"/>
    <w:rsid w:val="00393384"/>
    <w:rsid w:val="0039351C"/>
    <w:rsid w:val="003957F6"/>
    <w:rsid w:val="003A24CC"/>
    <w:rsid w:val="003A2E52"/>
    <w:rsid w:val="003A4C5B"/>
    <w:rsid w:val="003A4EC2"/>
    <w:rsid w:val="003A66FC"/>
    <w:rsid w:val="003B30AE"/>
    <w:rsid w:val="003B4099"/>
    <w:rsid w:val="003B5D65"/>
    <w:rsid w:val="003C0B95"/>
    <w:rsid w:val="003C2FE5"/>
    <w:rsid w:val="003D0BC7"/>
    <w:rsid w:val="003D0D43"/>
    <w:rsid w:val="003D23ED"/>
    <w:rsid w:val="003E0218"/>
    <w:rsid w:val="003E60D6"/>
    <w:rsid w:val="003E73DA"/>
    <w:rsid w:val="003F0A78"/>
    <w:rsid w:val="003F2647"/>
    <w:rsid w:val="003F679D"/>
    <w:rsid w:val="003F6856"/>
    <w:rsid w:val="003F6A22"/>
    <w:rsid w:val="003F6F2D"/>
    <w:rsid w:val="0040079A"/>
    <w:rsid w:val="0040219B"/>
    <w:rsid w:val="004041E9"/>
    <w:rsid w:val="00405255"/>
    <w:rsid w:val="00412808"/>
    <w:rsid w:val="00415C76"/>
    <w:rsid w:val="00415EFB"/>
    <w:rsid w:val="00426E93"/>
    <w:rsid w:val="00427723"/>
    <w:rsid w:val="00427A38"/>
    <w:rsid w:val="00427AFA"/>
    <w:rsid w:val="00430FD9"/>
    <w:rsid w:val="004320E9"/>
    <w:rsid w:val="00433013"/>
    <w:rsid w:val="00441966"/>
    <w:rsid w:val="004432C3"/>
    <w:rsid w:val="00445445"/>
    <w:rsid w:val="00451AE3"/>
    <w:rsid w:val="0045398C"/>
    <w:rsid w:val="00453E5F"/>
    <w:rsid w:val="00460C75"/>
    <w:rsid w:val="00461BC2"/>
    <w:rsid w:val="0046605A"/>
    <w:rsid w:val="004660B6"/>
    <w:rsid w:val="00471D1B"/>
    <w:rsid w:val="0047745F"/>
    <w:rsid w:val="00483D95"/>
    <w:rsid w:val="00492D8C"/>
    <w:rsid w:val="004A0388"/>
    <w:rsid w:val="004A069E"/>
    <w:rsid w:val="004A41DC"/>
    <w:rsid w:val="004A5F70"/>
    <w:rsid w:val="004B4F64"/>
    <w:rsid w:val="004B725D"/>
    <w:rsid w:val="004B7D1E"/>
    <w:rsid w:val="004C0E8B"/>
    <w:rsid w:val="004C4169"/>
    <w:rsid w:val="004C5082"/>
    <w:rsid w:val="004C534E"/>
    <w:rsid w:val="004D1C7F"/>
    <w:rsid w:val="004D274D"/>
    <w:rsid w:val="004D497B"/>
    <w:rsid w:val="004D797A"/>
    <w:rsid w:val="004D7A69"/>
    <w:rsid w:val="004E33E7"/>
    <w:rsid w:val="004F0A6E"/>
    <w:rsid w:val="004F11A2"/>
    <w:rsid w:val="00501F69"/>
    <w:rsid w:val="0050561D"/>
    <w:rsid w:val="00511578"/>
    <w:rsid w:val="00512A15"/>
    <w:rsid w:val="0051326D"/>
    <w:rsid w:val="00515A0B"/>
    <w:rsid w:val="005161F2"/>
    <w:rsid w:val="00523E75"/>
    <w:rsid w:val="00524E49"/>
    <w:rsid w:val="00527724"/>
    <w:rsid w:val="00530D16"/>
    <w:rsid w:val="005315A7"/>
    <w:rsid w:val="00531B89"/>
    <w:rsid w:val="00534A1E"/>
    <w:rsid w:val="00535884"/>
    <w:rsid w:val="00541348"/>
    <w:rsid w:val="00542D09"/>
    <w:rsid w:val="00544499"/>
    <w:rsid w:val="005458A9"/>
    <w:rsid w:val="00551243"/>
    <w:rsid w:val="005554BE"/>
    <w:rsid w:val="00555C01"/>
    <w:rsid w:val="00560FEF"/>
    <w:rsid w:val="00563331"/>
    <w:rsid w:val="005639CA"/>
    <w:rsid w:val="00563B20"/>
    <w:rsid w:val="00575C7F"/>
    <w:rsid w:val="0058002E"/>
    <w:rsid w:val="00582B28"/>
    <w:rsid w:val="005855CD"/>
    <w:rsid w:val="00595BC3"/>
    <w:rsid w:val="005A0521"/>
    <w:rsid w:val="005A168B"/>
    <w:rsid w:val="005A1AD9"/>
    <w:rsid w:val="005A4136"/>
    <w:rsid w:val="005A647D"/>
    <w:rsid w:val="005A7869"/>
    <w:rsid w:val="005B0651"/>
    <w:rsid w:val="005B21A8"/>
    <w:rsid w:val="005B4DCC"/>
    <w:rsid w:val="005B6784"/>
    <w:rsid w:val="005B67FC"/>
    <w:rsid w:val="005B6CC4"/>
    <w:rsid w:val="005B72F2"/>
    <w:rsid w:val="005C0287"/>
    <w:rsid w:val="005C1616"/>
    <w:rsid w:val="005C3864"/>
    <w:rsid w:val="005C4BCC"/>
    <w:rsid w:val="005D118E"/>
    <w:rsid w:val="005D1461"/>
    <w:rsid w:val="005D32DE"/>
    <w:rsid w:val="005E2A24"/>
    <w:rsid w:val="005E4EF3"/>
    <w:rsid w:val="005E53B8"/>
    <w:rsid w:val="005F3216"/>
    <w:rsid w:val="005F369E"/>
    <w:rsid w:val="005F5D3C"/>
    <w:rsid w:val="0060038B"/>
    <w:rsid w:val="006011F7"/>
    <w:rsid w:val="00601224"/>
    <w:rsid w:val="00602A1F"/>
    <w:rsid w:val="006067F7"/>
    <w:rsid w:val="006071CE"/>
    <w:rsid w:val="00611704"/>
    <w:rsid w:val="00611BBB"/>
    <w:rsid w:val="006141CC"/>
    <w:rsid w:val="006144B1"/>
    <w:rsid w:val="00620049"/>
    <w:rsid w:val="0062040A"/>
    <w:rsid w:val="00627FFE"/>
    <w:rsid w:val="00631EF2"/>
    <w:rsid w:val="00631FD9"/>
    <w:rsid w:val="006366C9"/>
    <w:rsid w:val="006367E5"/>
    <w:rsid w:val="00636FEF"/>
    <w:rsid w:val="006409CF"/>
    <w:rsid w:val="00643281"/>
    <w:rsid w:val="00644BB8"/>
    <w:rsid w:val="0064653B"/>
    <w:rsid w:val="00647BB9"/>
    <w:rsid w:val="00652E71"/>
    <w:rsid w:val="0065555F"/>
    <w:rsid w:val="00661E7A"/>
    <w:rsid w:val="00662C83"/>
    <w:rsid w:val="006635F1"/>
    <w:rsid w:val="00663D99"/>
    <w:rsid w:val="00673CFD"/>
    <w:rsid w:val="00674CA2"/>
    <w:rsid w:val="00676016"/>
    <w:rsid w:val="00690B9E"/>
    <w:rsid w:val="00691B28"/>
    <w:rsid w:val="0069446F"/>
    <w:rsid w:val="00694C6B"/>
    <w:rsid w:val="00695662"/>
    <w:rsid w:val="00695922"/>
    <w:rsid w:val="006968BF"/>
    <w:rsid w:val="006A2438"/>
    <w:rsid w:val="006A4568"/>
    <w:rsid w:val="006A4760"/>
    <w:rsid w:val="006A4F3E"/>
    <w:rsid w:val="006A5423"/>
    <w:rsid w:val="006B0BAA"/>
    <w:rsid w:val="006B38E4"/>
    <w:rsid w:val="006B77BB"/>
    <w:rsid w:val="006C07C2"/>
    <w:rsid w:val="006C51FD"/>
    <w:rsid w:val="006D19DD"/>
    <w:rsid w:val="006D6CCF"/>
    <w:rsid w:val="006D7A39"/>
    <w:rsid w:val="006E709F"/>
    <w:rsid w:val="006F04EB"/>
    <w:rsid w:val="006F1AC2"/>
    <w:rsid w:val="006F2460"/>
    <w:rsid w:val="006F3424"/>
    <w:rsid w:val="006F3DC8"/>
    <w:rsid w:val="00700A56"/>
    <w:rsid w:val="007027F2"/>
    <w:rsid w:val="007033B2"/>
    <w:rsid w:val="007150C7"/>
    <w:rsid w:val="0071672E"/>
    <w:rsid w:val="00720BCD"/>
    <w:rsid w:val="00725EA2"/>
    <w:rsid w:val="00726B65"/>
    <w:rsid w:val="00730E5D"/>
    <w:rsid w:val="0073196A"/>
    <w:rsid w:val="00733113"/>
    <w:rsid w:val="00733FF7"/>
    <w:rsid w:val="0073783A"/>
    <w:rsid w:val="00737DF8"/>
    <w:rsid w:val="007407E3"/>
    <w:rsid w:val="007431D6"/>
    <w:rsid w:val="0074673B"/>
    <w:rsid w:val="00747A43"/>
    <w:rsid w:val="00747B0C"/>
    <w:rsid w:val="0075095F"/>
    <w:rsid w:val="007661F8"/>
    <w:rsid w:val="00772C4F"/>
    <w:rsid w:val="007743B5"/>
    <w:rsid w:val="00775062"/>
    <w:rsid w:val="0078005B"/>
    <w:rsid w:val="007815A4"/>
    <w:rsid w:val="00782625"/>
    <w:rsid w:val="00782A33"/>
    <w:rsid w:val="00786809"/>
    <w:rsid w:val="00791A53"/>
    <w:rsid w:val="0079429A"/>
    <w:rsid w:val="0079585D"/>
    <w:rsid w:val="00795E6D"/>
    <w:rsid w:val="0079680F"/>
    <w:rsid w:val="007A1409"/>
    <w:rsid w:val="007A316F"/>
    <w:rsid w:val="007A350D"/>
    <w:rsid w:val="007A4203"/>
    <w:rsid w:val="007B136F"/>
    <w:rsid w:val="007C0D0F"/>
    <w:rsid w:val="007C3458"/>
    <w:rsid w:val="007C5A2C"/>
    <w:rsid w:val="007C5A60"/>
    <w:rsid w:val="007C6769"/>
    <w:rsid w:val="007D0186"/>
    <w:rsid w:val="007D052F"/>
    <w:rsid w:val="007D3286"/>
    <w:rsid w:val="007E24D4"/>
    <w:rsid w:val="007F43AA"/>
    <w:rsid w:val="007F58EE"/>
    <w:rsid w:val="007F5C3B"/>
    <w:rsid w:val="007F76F7"/>
    <w:rsid w:val="0080462B"/>
    <w:rsid w:val="00810350"/>
    <w:rsid w:val="0082245C"/>
    <w:rsid w:val="00825143"/>
    <w:rsid w:val="00832B14"/>
    <w:rsid w:val="008366D3"/>
    <w:rsid w:val="00836B65"/>
    <w:rsid w:val="00837DB3"/>
    <w:rsid w:val="008423A7"/>
    <w:rsid w:val="008437B2"/>
    <w:rsid w:val="00850583"/>
    <w:rsid w:val="00850E20"/>
    <w:rsid w:val="00861D5A"/>
    <w:rsid w:val="00862806"/>
    <w:rsid w:val="00865569"/>
    <w:rsid w:val="008659AC"/>
    <w:rsid w:val="00865F3D"/>
    <w:rsid w:val="0086664C"/>
    <w:rsid w:val="00866F89"/>
    <w:rsid w:val="00867651"/>
    <w:rsid w:val="008709A3"/>
    <w:rsid w:val="0088017B"/>
    <w:rsid w:val="008818C0"/>
    <w:rsid w:val="008871CE"/>
    <w:rsid w:val="00896A88"/>
    <w:rsid w:val="008A15FD"/>
    <w:rsid w:val="008A21CD"/>
    <w:rsid w:val="008A372D"/>
    <w:rsid w:val="008A6B3F"/>
    <w:rsid w:val="008B33C8"/>
    <w:rsid w:val="008B6ECB"/>
    <w:rsid w:val="008B74AF"/>
    <w:rsid w:val="008C1FB9"/>
    <w:rsid w:val="008C3BB5"/>
    <w:rsid w:val="008D5E13"/>
    <w:rsid w:val="008D5EC2"/>
    <w:rsid w:val="008D6DA2"/>
    <w:rsid w:val="008E00DF"/>
    <w:rsid w:val="008E3844"/>
    <w:rsid w:val="008E484C"/>
    <w:rsid w:val="008E669E"/>
    <w:rsid w:val="008E7A4A"/>
    <w:rsid w:val="008F24F4"/>
    <w:rsid w:val="008F3E91"/>
    <w:rsid w:val="008F43AA"/>
    <w:rsid w:val="008F61C2"/>
    <w:rsid w:val="008F710A"/>
    <w:rsid w:val="00902338"/>
    <w:rsid w:val="00902831"/>
    <w:rsid w:val="00910F04"/>
    <w:rsid w:val="00912935"/>
    <w:rsid w:val="00914A3D"/>
    <w:rsid w:val="00916C3F"/>
    <w:rsid w:val="00920ADE"/>
    <w:rsid w:val="00921547"/>
    <w:rsid w:val="00922C7F"/>
    <w:rsid w:val="00924141"/>
    <w:rsid w:val="00926567"/>
    <w:rsid w:val="00933C04"/>
    <w:rsid w:val="0093444A"/>
    <w:rsid w:val="00936897"/>
    <w:rsid w:val="00937904"/>
    <w:rsid w:val="00940298"/>
    <w:rsid w:val="009441D0"/>
    <w:rsid w:val="00945521"/>
    <w:rsid w:val="00950D10"/>
    <w:rsid w:val="009516F8"/>
    <w:rsid w:val="00953DF4"/>
    <w:rsid w:val="00961B6B"/>
    <w:rsid w:val="0096210D"/>
    <w:rsid w:val="00967D35"/>
    <w:rsid w:val="0097330E"/>
    <w:rsid w:val="009737E3"/>
    <w:rsid w:val="00974576"/>
    <w:rsid w:val="00976C94"/>
    <w:rsid w:val="00982F63"/>
    <w:rsid w:val="00987143"/>
    <w:rsid w:val="0098723C"/>
    <w:rsid w:val="0099445E"/>
    <w:rsid w:val="009A2B97"/>
    <w:rsid w:val="009A327F"/>
    <w:rsid w:val="009A43AB"/>
    <w:rsid w:val="009A69C4"/>
    <w:rsid w:val="009A7863"/>
    <w:rsid w:val="009A7883"/>
    <w:rsid w:val="009B2BCB"/>
    <w:rsid w:val="009B5D67"/>
    <w:rsid w:val="009B7D46"/>
    <w:rsid w:val="009C1D4C"/>
    <w:rsid w:val="009C65A1"/>
    <w:rsid w:val="009C6FB9"/>
    <w:rsid w:val="009D0FD1"/>
    <w:rsid w:val="009D48EB"/>
    <w:rsid w:val="009D4EB7"/>
    <w:rsid w:val="009E0316"/>
    <w:rsid w:val="009E2209"/>
    <w:rsid w:val="009E33F8"/>
    <w:rsid w:val="009E3D50"/>
    <w:rsid w:val="009E4997"/>
    <w:rsid w:val="009F11AF"/>
    <w:rsid w:val="009F152D"/>
    <w:rsid w:val="009F1DED"/>
    <w:rsid w:val="009F32D9"/>
    <w:rsid w:val="009F4109"/>
    <w:rsid w:val="009F6194"/>
    <w:rsid w:val="009F7E51"/>
    <w:rsid w:val="00A00C08"/>
    <w:rsid w:val="00A06220"/>
    <w:rsid w:val="00A13F24"/>
    <w:rsid w:val="00A163DC"/>
    <w:rsid w:val="00A177E8"/>
    <w:rsid w:val="00A20401"/>
    <w:rsid w:val="00A219D6"/>
    <w:rsid w:val="00A242F3"/>
    <w:rsid w:val="00A247B2"/>
    <w:rsid w:val="00A26FDF"/>
    <w:rsid w:val="00A31AE5"/>
    <w:rsid w:val="00A328CA"/>
    <w:rsid w:val="00A32C29"/>
    <w:rsid w:val="00A3341F"/>
    <w:rsid w:val="00A3655A"/>
    <w:rsid w:val="00A46570"/>
    <w:rsid w:val="00A516DD"/>
    <w:rsid w:val="00A524B0"/>
    <w:rsid w:val="00A526F0"/>
    <w:rsid w:val="00A53E49"/>
    <w:rsid w:val="00A60DAA"/>
    <w:rsid w:val="00A61AAD"/>
    <w:rsid w:val="00A61E4A"/>
    <w:rsid w:val="00A630E3"/>
    <w:rsid w:val="00A64381"/>
    <w:rsid w:val="00A6483F"/>
    <w:rsid w:val="00A65294"/>
    <w:rsid w:val="00A65E80"/>
    <w:rsid w:val="00A66E97"/>
    <w:rsid w:val="00A72FD0"/>
    <w:rsid w:val="00A82F61"/>
    <w:rsid w:val="00A837FB"/>
    <w:rsid w:val="00A855C0"/>
    <w:rsid w:val="00A865A0"/>
    <w:rsid w:val="00A93EB6"/>
    <w:rsid w:val="00A946BC"/>
    <w:rsid w:val="00A96310"/>
    <w:rsid w:val="00A96517"/>
    <w:rsid w:val="00AB16F8"/>
    <w:rsid w:val="00AB2AE2"/>
    <w:rsid w:val="00AB58E0"/>
    <w:rsid w:val="00AC2B22"/>
    <w:rsid w:val="00AC62C9"/>
    <w:rsid w:val="00AD03F9"/>
    <w:rsid w:val="00AD26FF"/>
    <w:rsid w:val="00AD3CF1"/>
    <w:rsid w:val="00AD42A7"/>
    <w:rsid w:val="00AD477A"/>
    <w:rsid w:val="00AE055B"/>
    <w:rsid w:val="00AE2531"/>
    <w:rsid w:val="00AE6C85"/>
    <w:rsid w:val="00AE7748"/>
    <w:rsid w:val="00AF0FAF"/>
    <w:rsid w:val="00AF2963"/>
    <w:rsid w:val="00B0183D"/>
    <w:rsid w:val="00B025CE"/>
    <w:rsid w:val="00B04048"/>
    <w:rsid w:val="00B10D13"/>
    <w:rsid w:val="00B152C7"/>
    <w:rsid w:val="00B1580C"/>
    <w:rsid w:val="00B15AE0"/>
    <w:rsid w:val="00B1781B"/>
    <w:rsid w:val="00B24E61"/>
    <w:rsid w:val="00B25465"/>
    <w:rsid w:val="00B267BE"/>
    <w:rsid w:val="00B274FA"/>
    <w:rsid w:val="00B304DA"/>
    <w:rsid w:val="00B31FE2"/>
    <w:rsid w:val="00B32670"/>
    <w:rsid w:val="00B366B1"/>
    <w:rsid w:val="00B41758"/>
    <w:rsid w:val="00B41CE0"/>
    <w:rsid w:val="00B427A9"/>
    <w:rsid w:val="00B42FD8"/>
    <w:rsid w:val="00B450BC"/>
    <w:rsid w:val="00B45AD4"/>
    <w:rsid w:val="00B464E1"/>
    <w:rsid w:val="00B4682A"/>
    <w:rsid w:val="00B4754E"/>
    <w:rsid w:val="00B51D37"/>
    <w:rsid w:val="00B51E7A"/>
    <w:rsid w:val="00B51EE4"/>
    <w:rsid w:val="00B5607A"/>
    <w:rsid w:val="00B56B56"/>
    <w:rsid w:val="00B56C0D"/>
    <w:rsid w:val="00B60108"/>
    <w:rsid w:val="00B61FFB"/>
    <w:rsid w:val="00B62262"/>
    <w:rsid w:val="00B63FE5"/>
    <w:rsid w:val="00B64727"/>
    <w:rsid w:val="00B66B50"/>
    <w:rsid w:val="00B71152"/>
    <w:rsid w:val="00B72333"/>
    <w:rsid w:val="00B7237D"/>
    <w:rsid w:val="00B73DDF"/>
    <w:rsid w:val="00B741B8"/>
    <w:rsid w:val="00B8227F"/>
    <w:rsid w:val="00B9417A"/>
    <w:rsid w:val="00B95A5F"/>
    <w:rsid w:val="00B962FE"/>
    <w:rsid w:val="00B96449"/>
    <w:rsid w:val="00B9711B"/>
    <w:rsid w:val="00BA24A4"/>
    <w:rsid w:val="00BA2D1D"/>
    <w:rsid w:val="00BA4BDD"/>
    <w:rsid w:val="00BA50C6"/>
    <w:rsid w:val="00BA5F28"/>
    <w:rsid w:val="00BA6C59"/>
    <w:rsid w:val="00BB0243"/>
    <w:rsid w:val="00BB0E03"/>
    <w:rsid w:val="00BB1BEE"/>
    <w:rsid w:val="00BB2C18"/>
    <w:rsid w:val="00BB4590"/>
    <w:rsid w:val="00BB6A65"/>
    <w:rsid w:val="00BC0681"/>
    <w:rsid w:val="00BC1F0F"/>
    <w:rsid w:val="00BC480F"/>
    <w:rsid w:val="00BD4877"/>
    <w:rsid w:val="00BD7760"/>
    <w:rsid w:val="00BE0135"/>
    <w:rsid w:val="00BE0403"/>
    <w:rsid w:val="00BE0617"/>
    <w:rsid w:val="00BE5BFE"/>
    <w:rsid w:val="00BE770A"/>
    <w:rsid w:val="00BF3139"/>
    <w:rsid w:val="00BF4E8A"/>
    <w:rsid w:val="00C03D4E"/>
    <w:rsid w:val="00C05661"/>
    <w:rsid w:val="00C1128F"/>
    <w:rsid w:val="00C132CF"/>
    <w:rsid w:val="00C17DD7"/>
    <w:rsid w:val="00C21942"/>
    <w:rsid w:val="00C22C92"/>
    <w:rsid w:val="00C22EB9"/>
    <w:rsid w:val="00C24C95"/>
    <w:rsid w:val="00C27A0E"/>
    <w:rsid w:val="00C27D80"/>
    <w:rsid w:val="00C27F41"/>
    <w:rsid w:val="00C32AE3"/>
    <w:rsid w:val="00C36504"/>
    <w:rsid w:val="00C36DE1"/>
    <w:rsid w:val="00C36F1C"/>
    <w:rsid w:val="00C40559"/>
    <w:rsid w:val="00C50E10"/>
    <w:rsid w:val="00C5221B"/>
    <w:rsid w:val="00C5266A"/>
    <w:rsid w:val="00C52A23"/>
    <w:rsid w:val="00C52CEB"/>
    <w:rsid w:val="00C54769"/>
    <w:rsid w:val="00C558AB"/>
    <w:rsid w:val="00C5752A"/>
    <w:rsid w:val="00C6057B"/>
    <w:rsid w:val="00C6116C"/>
    <w:rsid w:val="00C61E61"/>
    <w:rsid w:val="00C63D22"/>
    <w:rsid w:val="00C67B27"/>
    <w:rsid w:val="00C7165D"/>
    <w:rsid w:val="00C71A38"/>
    <w:rsid w:val="00C72941"/>
    <w:rsid w:val="00C73CA7"/>
    <w:rsid w:val="00C76116"/>
    <w:rsid w:val="00C76882"/>
    <w:rsid w:val="00C84FDF"/>
    <w:rsid w:val="00C8708D"/>
    <w:rsid w:val="00C908BE"/>
    <w:rsid w:val="00C9157E"/>
    <w:rsid w:val="00C92C6D"/>
    <w:rsid w:val="00C94873"/>
    <w:rsid w:val="00CA0906"/>
    <w:rsid w:val="00CA1F70"/>
    <w:rsid w:val="00CB5C52"/>
    <w:rsid w:val="00CC3C71"/>
    <w:rsid w:val="00CC4E9D"/>
    <w:rsid w:val="00CC7DAD"/>
    <w:rsid w:val="00CD49F9"/>
    <w:rsid w:val="00CD59C3"/>
    <w:rsid w:val="00CE0E71"/>
    <w:rsid w:val="00CE228D"/>
    <w:rsid w:val="00CE2B0C"/>
    <w:rsid w:val="00CE4B96"/>
    <w:rsid w:val="00CF400A"/>
    <w:rsid w:val="00CF73E7"/>
    <w:rsid w:val="00D00874"/>
    <w:rsid w:val="00D02186"/>
    <w:rsid w:val="00D03BC3"/>
    <w:rsid w:val="00D0579F"/>
    <w:rsid w:val="00D05B5A"/>
    <w:rsid w:val="00D14815"/>
    <w:rsid w:val="00D162C0"/>
    <w:rsid w:val="00D21BBA"/>
    <w:rsid w:val="00D25E54"/>
    <w:rsid w:val="00D31E05"/>
    <w:rsid w:val="00D33358"/>
    <w:rsid w:val="00D339A8"/>
    <w:rsid w:val="00D349B8"/>
    <w:rsid w:val="00D401E1"/>
    <w:rsid w:val="00D43C09"/>
    <w:rsid w:val="00D47A8F"/>
    <w:rsid w:val="00D51305"/>
    <w:rsid w:val="00D5249E"/>
    <w:rsid w:val="00D55C92"/>
    <w:rsid w:val="00D570A8"/>
    <w:rsid w:val="00D66FB8"/>
    <w:rsid w:val="00D75D09"/>
    <w:rsid w:val="00D7743F"/>
    <w:rsid w:val="00D80CB0"/>
    <w:rsid w:val="00D825C7"/>
    <w:rsid w:val="00D91829"/>
    <w:rsid w:val="00D926ED"/>
    <w:rsid w:val="00D9376E"/>
    <w:rsid w:val="00D94EB0"/>
    <w:rsid w:val="00D962D6"/>
    <w:rsid w:val="00D965C2"/>
    <w:rsid w:val="00DA3591"/>
    <w:rsid w:val="00DA4810"/>
    <w:rsid w:val="00DB5ED3"/>
    <w:rsid w:val="00DB6D09"/>
    <w:rsid w:val="00DC186B"/>
    <w:rsid w:val="00DC452A"/>
    <w:rsid w:val="00DC6514"/>
    <w:rsid w:val="00DD483C"/>
    <w:rsid w:val="00DD6838"/>
    <w:rsid w:val="00DE097F"/>
    <w:rsid w:val="00DF0F8F"/>
    <w:rsid w:val="00E0030A"/>
    <w:rsid w:val="00E04574"/>
    <w:rsid w:val="00E05551"/>
    <w:rsid w:val="00E05D0F"/>
    <w:rsid w:val="00E10AB2"/>
    <w:rsid w:val="00E1269B"/>
    <w:rsid w:val="00E126C4"/>
    <w:rsid w:val="00E13496"/>
    <w:rsid w:val="00E152E7"/>
    <w:rsid w:val="00E15D09"/>
    <w:rsid w:val="00E2074F"/>
    <w:rsid w:val="00E20E81"/>
    <w:rsid w:val="00E2196B"/>
    <w:rsid w:val="00E2301A"/>
    <w:rsid w:val="00E25202"/>
    <w:rsid w:val="00E2591E"/>
    <w:rsid w:val="00E30CBD"/>
    <w:rsid w:val="00E3145D"/>
    <w:rsid w:val="00E3395D"/>
    <w:rsid w:val="00E3456C"/>
    <w:rsid w:val="00E369DF"/>
    <w:rsid w:val="00E40994"/>
    <w:rsid w:val="00E418FA"/>
    <w:rsid w:val="00E43531"/>
    <w:rsid w:val="00E43BE2"/>
    <w:rsid w:val="00E468F6"/>
    <w:rsid w:val="00E46FA6"/>
    <w:rsid w:val="00E53AEC"/>
    <w:rsid w:val="00E54A3E"/>
    <w:rsid w:val="00E57F79"/>
    <w:rsid w:val="00E6357A"/>
    <w:rsid w:val="00E647B8"/>
    <w:rsid w:val="00E65145"/>
    <w:rsid w:val="00E65B26"/>
    <w:rsid w:val="00E71E4A"/>
    <w:rsid w:val="00E727B0"/>
    <w:rsid w:val="00E73A38"/>
    <w:rsid w:val="00E73E7E"/>
    <w:rsid w:val="00E7646E"/>
    <w:rsid w:val="00E772F5"/>
    <w:rsid w:val="00E77DBF"/>
    <w:rsid w:val="00E800F8"/>
    <w:rsid w:val="00E83978"/>
    <w:rsid w:val="00E84D8F"/>
    <w:rsid w:val="00E864B8"/>
    <w:rsid w:val="00E8694D"/>
    <w:rsid w:val="00E90AE7"/>
    <w:rsid w:val="00E92F01"/>
    <w:rsid w:val="00E962E4"/>
    <w:rsid w:val="00EA16E3"/>
    <w:rsid w:val="00EA21C1"/>
    <w:rsid w:val="00EA4E7B"/>
    <w:rsid w:val="00EA5E5D"/>
    <w:rsid w:val="00EB1C2D"/>
    <w:rsid w:val="00EB24E6"/>
    <w:rsid w:val="00EB528E"/>
    <w:rsid w:val="00EB5E90"/>
    <w:rsid w:val="00EC0DFA"/>
    <w:rsid w:val="00EC7753"/>
    <w:rsid w:val="00EC7983"/>
    <w:rsid w:val="00EC7FD3"/>
    <w:rsid w:val="00ED4305"/>
    <w:rsid w:val="00ED46D5"/>
    <w:rsid w:val="00ED5125"/>
    <w:rsid w:val="00ED5454"/>
    <w:rsid w:val="00EE0A63"/>
    <w:rsid w:val="00EE0D88"/>
    <w:rsid w:val="00EE1B35"/>
    <w:rsid w:val="00EE3333"/>
    <w:rsid w:val="00EE42E6"/>
    <w:rsid w:val="00EE5D8B"/>
    <w:rsid w:val="00EE7318"/>
    <w:rsid w:val="00EF0671"/>
    <w:rsid w:val="00EF1050"/>
    <w:rsid w:val="00EF4926"/>
    <w:rsid w:val="00F00C72"/>
    <w:rsid w:val="00F01BA2"/>
    <w:rsid w:val="00F01E76"/>
    <w:rsid w:val="00F025A9"/>
    <w:rsid w:val="00F172C3"/>
    <w:rsid w:val="00F22996"/>
    <w:rsid w:val="00F23C97"/>
    <w:rsid w:val="00F2441D"/>
    <w:rsid w:val="00F3120F"/>
    <w:rsid w:val="00F31442"/>
    <w:rsid w:val="00F35CD9"/>
    <w:rsid w:val="00F35E62"/>
    <w:rsid w:val="00F37EE2"/>
    <w:rsid w:val="00F40841"/>
    <w:rsid w:val="00F41EB6"/>
    <w:rsid w:val="00F4439F"/>
    <w:rsid w:val="00F46259"/>
    <w:rsid w:val="00F47DEE"/>
    <w:rsid w:val="00F522F9"/>
    <w:rsid w:val="00F533CF"/>
    <w:rsid w:val="00F60380"/>
    <w:rsid w:val="00F647EE"/>
    <w:rsid w:val="00F65C4E"/>
    <w:rsid w:val="00F661AD"/>
    <w:rsid w:val="00F66CD8"/>
    <w:rsid w:val="00F6705F"/>
    <w:rsid w:val="00F673F4"/>
    <w:rsid w:val="00F67956"/>
    <w:rsid w:val="00F70EB3"/>
    <w:rsid w:val="00F821E0"/>
    <w:rsid w:val="00F91E11"/>
    <w:rsid w:val="00F97657"/>
    <w:rsid w:val="00FA5FB3"/>
    <w:rsid w:val="00FB544C"/>
    <w:rsid w:val="00FB67CB"/>
    <w:rsid w:val="00FC168A"/>
    <w:rsid w:val="00FC1B0C"/>
    <w:rsid w:val="00FC680C"/>
    <w:rsid w:val="00FC7F6D"/>
    <w:rsid w:val="00FD2521"/>
    <w:rsid w:val="00FD347B"/>
    <w:rsid w:val="00FD3519"/>
    <w:rsid w:val="00FD7BA7"/>
    <w:rsid w:val="00FE4487"/>
    <w:rsid w:val="00FF1099"/>
    <w:rsid w:val="00FF3C39"/>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2E1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A7"/>
    <w:rPr>
      <w:rFonts w:ascii="Times New Roman" w:hAnsi="Times New Roman" w:cs="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E93"/>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426E93"/>
    <w:rPr>
      <w:rFonts w:ascii="Lucida Grande" w:hAnsi="Lucida Grande" w:cs="Lucida Grande"/>
      <w:sz w:val="18"/>
      <w:szCs w:val="18"/>
      <w:lang w:val="en-GB"/>
    </w:rPr>
  </w:style>
  <w:style w:type="paragraph" w:styleId="NoSpacing">
    <w:name w:val="No Spacing"/>
    <w:uiPriority w:val="1"/>
    <w:qFormat/>
    <w:rsid w:val="006A2438"/>
    <w:rPr>
      <w:lang w:val="en-GB"/>
    </w:rPr>
  </w:style>
  <w:style w:type="paragraph" w:styleId="FootnoteText">
    <w:name w:val="footnote text"/>
    <w:basedOn w:val="Normal"/>
    <w:link w:val="FootnoteTextChar"/>
    <w:uiPriority w:val="99"/>
    <w:unhideWhenUsed/>
    <w:rsid w:val="006A2438"/>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6A2438"/>
    <w:rPr>
      <w:lang w:val="en-GB"/>
    </w:rPr>
  </w:style>
  <w:style w:type="character" w:styleId="FootnoteReference">
    <w:name w:val="footnote reference"/>
    <w:basedOn w:val="DefaultParagraphFont"/>
    <w:uiPriority w:val="99"/>
    <w:unhideWhenUsed/>
    <w:rsid w:val="006A2438"/>
    <w:rPr>
      <w:vertAlign w:val="superscript"/>
    </w:rPr>
  </w:style>
  <w:style w:type="character" w:styleId="Hyperlink">
    <w:name w:val="Hyperlink"/>
    <w:rsid w:val="00BB0243"/>
    <w:rPr>
      <w:u w:val="single"/>
    </w:rPr>
  </w:style>
  <w:style w:type="character" w:styleId="FollowedHyperlink">
    <w:name w:val="FollowedHyperlink"/>
    <w:basedOn w:val="DefaultParagraphFont"/>
    <w:uiPriority w:val="99"/>
    <w:semiHidden/>
    <w:unhideWhenUsed/>
    <w:rsid w:val="00924141"/>
    <w:rPr>
      <w:color w:val="800080" w:themeColor="followedHyperlink"/>
      <w:u w:val="single"/>
    </w:rPr>
  </w:style>
  <w:style w:type="paragraph" w:styleId="Footer">
    <w:name w:val="footer"/>
    <w:basedOn w:val="Normal"/>
    <w:link w:val="FooterChar"/>
    <w:uiPriority w:val="99"/>
    <w:unhideWhenUsed/>
    <w:rsid w:val="00A53E49"/>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A53E49"/>
    <w:rPr>
      <w:lang w:val="en-GB"/>
    </w:rPr>
  </w:style>
  <w:style w:type="character" w:styleId="PageNumber">
    <w:name w:val="page number"/>
    <w:basedOn w:val="DefaultParagraphFont"/>
    <w:uiPriority w:val="99"/>
    <w:semiHidden/>
    <w:unhideWhenUsed/>
    <w:rsid w:val="00A53E49"/>
  </w:style>
  <w:style w:type="character" w:styleId="CommentReference">
    <w:name w:val="annotation reference"/>
    <w:basedOn w:val="DefaultParagraphFont"/>
    <w:uiPriority w:val="99"/>
    <w:semiHidden/>
    <w:unhideWhenUsed/>
    <w:rsid w:val="00F91E11"/>
    <w:rPr>
      <w:sz w:val="18"/>
      <w:szCs w:val="18"/>
    </w:rPr>
  </w:style>
  <w:style w:type="paragraph" w:styleId="CommentText">
    <w:name w:val="annotation text"/>
    <w:basedOn w:val="Normal"/>
    <w:link w:val="CommentTextChar"/>
    <w:uiPriority w:val="99"/>
    <w:unhideWhenUsed/>
    <w:rsid w:val="00F91E11"/>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F91E11"/>
    <w:rPr>
      <w:lang w:val="en-GB"/>
    </w:rPr>
  </w:style>
  <w:style w:type="paragraph" w:styleId="CommentSubject">
    <w:name w:val="annotation subject"/>
    <w:basedOn w:val="CommentText"/>
    <w:next w:val="CommentText"/>
    <w:link w:val="CommentSubjectChar"/>
    <w:uiPriority w:val="99"/>
    <w:semiHidden/>
    <w:unhideWhenUsed/>
    <w:rsid w:val="00F91E11"/>
    <w:rPr>
      <w:b/>
      <w:bCs/>
      <w:sz w:val="20"/>
      <w:szCs w:val="20"/>
    </w:rPr>
  </w:style>
  <w:style w:type="character" w:customStyle="1" w:styleId="CommentSubjectChar">
    <w:name w:val="Comment Subject Char"/>
    <w:basedOn w:val="CommentTextChar"/>
    <w:link w:val="CommentSubject"/>
    <w:uiPriority w:val="99"/>
    <w:semiHidden/>
    <w:rsid w:val="00F91E11"/>
    <w:rPr>
      <w:b/>
      <w:bCs/>
      <w:sz w:val="20"/>
      <w:szCs w:val="20"/>
      <w:lang w:val="en-GB"/>
    </w:rPr>
  </w:style>
  <w:style w:type="paragraph" w:styleId="NormalWeb">
    <w:name w:val="Normal (Web)"/>
    <w:basedOn w:val="Normal"/>
    <w:uiPriority w:val="99"/>
    <w:semiHidden/>
    <w:unhideWhenUsed/>
    <w:rsid w:val="00286BB9"/>
  </w:style>
  <w:style w:type="paragraph" w:customStyle="1" w:styleId="Body">
    <w:name w:val="Body"/>
    <w:rsid w:val="00636FEF"/>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styleId="Revision">
    <w:name w:val="Revision"/>
    <w:hidden/>
    <w:uiPriority w:val="99"/>
    <w:semiHidden/>
    <w:rsid w:val="006B0BAA"/>
    <w:rPr>
      <w:rFonts w:ascii="Times New Roman" w:hAnsi="Times New Roman" w:cs="Times New Roman"/>
      <w:lang w:eastAsia="ja-JP"/>
    </w:rPr>
  </w:style>
  <w:style w:type="paragraph" w:styleId="PlainText">
    <w:name w:val="Plain Text"/>
    <w:basedOn w:val="Normal"/>
    <w:link w:val="PlainTextChar"/>
    <w:uiPriority w:val="99"/>
    <w:semiHidden/>
    <w:unhideWhenUsed/>
    <w:rsid w:val="00867651"/>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867651"/>
    <w:rPr>
      <w:rFonts w:ascii="Calibri" w:hAnsi="Calibri"/>
      <w:sz w:val="22"/>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8899">
      <w:bodyDiv w:val="1"/>
      <w:marLeft w:val="0"/>
      <w:marRight w:val="0"/>
      <w:marTop w:val="0"/>
      <w:marBottom w:val="0"/>
      <w:divBdr>
        <w:top w:val="none" w:sz="0" w:space="0" w:color="auto"/>
        <w:left w:val="none" w:sz="0" w:space="0" w:color="auto"/>
        <w:bottom w:val="none" w:sz="0" w:space="0" w:color="auto"/>
        <w:right w:val="none" w:sz="0" w:space="0" w:color="auto"/>
      </w:divBdr>
    </w:div>
    <w:div w:id="143083252">
      <w:bodyDiv w:val="1"/>
      <w:marLeft w:val="0"/>
      <w:marRight w:val="0"/>
      <w:marTop w:val="0"/>
      <w:marBottom w:val="0"/>
      <w:divBdr>
        <w:top w:val="none" w:sz="0" w:space="0" w:color="auto"/>
        <w:left w:val="none" w:sz="0" w:space="0" w:color="auto"/>
        <w:bottom w:val="none" w:sz="0" w:space="0" w:color="auto"/>
        <w:right w:val="none" w:sz="0" w:space="0" w:color="auto"/>
      </w:divBdr>
      <w:divsChild>
        <w:div w:id="1907647725">
          <w:marLeft w:val="0"/>
          <w:marRight w:val="0"/>
          <w:marTop w:val="0"/>
          <w:marBottom w:val="0"/>
          <w:divBdr>
            <w:top w:val="none" w:sz="0" w:space="0" w:color="auto"/>
            <w:left w:val="none" w:sz="0" w:space="0" w:color="auto"/>
            <w:bottom w:val="none" w:sz="0" w:space="0" w:color="auto"/>
            <w:right w:val="none" w:sz="0" w:space="0" w:color="auto"/>
          </w:divBdr>
          <w:divsChild>
            <w:div w:id="1919635548">
              <w:marLeft w:val="0"/>
              <w:marRight w:val="0"/>
              <w:marTop w:val="0"/>
              <w:marBottom w:val="0"/>
              <w:divBdr>
                <w:top w:val="none" w:sz="0" w:space="0" w:color="auto"/>
                <w:left w:val="none" w:sz="0" w:space="0" w:color="auto"/>
                <w:bottom w:val="none" w:sz="0" w:space="0" w:color="auto"/>
                <w:right w:val="none" w:sz="0" w:space="0" w:color="auto"/>
              </w:divBdr>
              <w:divsChild>
                <w:div w:id="12229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9422">
      <w:bodyDiv w:val="1"/>
      <w:marLeft w:val="0"/>
      <w:marRight w:val="0"/>
      <w:marTop w:val="0"/>
      <w:marBottom w:val="0"/>
      <w:divBdr>
        <w:top w:val="none" w:sz="0" w:space="0" w:color="auto"/>
        <w:left w:val="none" w:sz="0" w:space="0" w:color="auto"/>
        <w:bottom w:val="none" w:sz="0" w:space="0" w:color="auto"/>
        <w:right w:val="none" w:sz="0" w:space="0" w:color="auto"/>
      </w:divBdr>
    </w:div>
    <w:div w:id="211579591">
      <w:bodyDiv w:val="1"/>
      <w:marLeft w:val="0"/>
      <w:marRight w:val="0"/>
      <w:marTop w:val="0"/>
      <w:marBottom w:val="0"/>
      <w:divBdr>
        <w:top w:val="none" w:sz="0" w:space="0" w:color="auto"/>
        <w:left w:val="none" w:sz="0" w:space="0" w:color="auto"/>
        <w:bottom w:val="none" w:sz="0" w:space="0" w:color="auto"/>
        <w:right w:val="none" w:sz="0" w:space="0" w:color="auto"/>
      </w:divBdr>
      <w:divsChild>
        <w:div w:id="704135967">
          <w:marLeft w:val="0"/>
          <w:marRight w:val="0"/>
          <w:marTop w:val="0"/>
          <w:marBottom w:val="0"/>
          <w:divBdr>
            <w:top w:val="none" w:sz="0" w:space="0" w:color="auto"/>
            <w:left w:val="none" w:sz="0" w:space="0" w:color="auto"/>
            <w:bottom w:val="none" w:sz="0" w:space="0" w:color="auto"/>
            <w:right w:val="none" w:sz="0" w:space="0" w:color="auto"/>
          </w:divBdr>
          <w:divsChild>
            <w:div w:id="1856924183">
              <w:marLeft w:val="0"/>
              <w:marRight w:val="0"/>
              <w:marTop w:val="0"/>
              <w:marBottom w:val="0"/>
              <w:divBdr>
                <w:top w:val="none" w:sz="0" w:space="0" w:color="auto"/>
                <w:left w:val="none" w:sz="0" w:space="0" w:color="auto"/>
                <w:bottom w:val="none" w:sz="0" w:space="0" w:color="auto"/>
                <w:right w:val="none" w:sz="0" w:space="0" w:color="auto"/>
              </w:divBdr>
              <w:divsChild>
                <w:div w:id="16490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49189">
      <w:bodyDiv w:val="1"/>
      <w:marLeft w:val="0"/>
      <w:marRight w:val="0"/>
      <w:marTop w:val="0"/>
      <w:marBottom w:val="0"/>
      <w:divBdr>
        <w:top w:val="none" w:sz="0" w:space="0" w:color="auto"/>
        <w:left w:val="none" w:sz="0" w:space="0" w:color="auto"/>
        <w:bottom w:val="none" w:sz="0" w:space="0" w:color="auto"/>
        <w:right w:val="none" w:sz="0" w:space="0" w:color="auto"/>
      </w:divBdr>
      <w:divsChild>
        <w:div w:id="1644195359">
          <w:marLeft w:val="0"/>
          <w:marRight w:val="0"/>
          <w:marTop w:val="0"/>
          <w:marBottom w:val="0"/>
          <w:divBdr>
            <w:top w:val="none" w:sz="0" w:space="0" w:color="auto"/>
            <w:left w:val="none" w:sz="0" w:space="0" w:color="auto"/>
            <w:bottom w:val="none" w:sz="0" w:space="0" w:color="auto"/>
            <w:right w:val="none" w:sz="0" w:space="0" w:color="auto"/>
          </w:divBdr>
          <w:divsChild>
            <w:div w:id="1880893377">
              <w:marLeft w:val="0"/>
              <w:marRight w:val="0"/>
              <w:marTop w:val="0"/>
              <w:marBottom w:val="0"/>
              <w:divBdr>
                <w:top w:val="none" w:sz="0" w:space="0" w:color="auto"/>
                <w:left w:val="none" w:sz="0" w:space="0" w:color="auto"/>
                <w:bottom w:val="none" w:sz="0" w:space="0" w:color="auto"/>
                <w:right w:val="none" w:sz="0" w:space="0" w:color="auto"/>
              </w:divBdr>
              <w:divsChild>
                <w:div w:id="1501390731">
                  <w:marLeft w:val="0"/>
                  <w:marRight w:val="0"/>
                  <w:marTop w:val="0"/>
                  <w:marBottom w:val="0"/>
                  <w:divBdr>
                    <w:top w:val="none" w:sz="0" w:space="0" w:color="auto"/>
                    <w:left w:val="none" w:sz="0" w:space="0" w:color="auto"/>
                    <w:bottom w:val="none" w:sz="0" w:space="0" w:color="auto"/>
                    <w:right w:val="none" w:sz="0" w:space="0" w:color="auto"/>
                  </w:divBdr>
                  <w:divsChild>
                    <w:div w:id="1673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20238">
              <w:marLeft w:val="0"/>
              <w:marRight w:val="0"/>
              <w:marTop w:val="0"/>
              <w:marBottom w:val="0"/>
              <w:divBdr>
                <w:top w:val="none" w:sz="0" w:space="0" w:color="auto"/>
                <w:left w:val="none" w:sz="0" w:space="0" w:color="auto"/>
                <w:bottom w:val="none" w:sz="0" w:space="0" w:color="auto"/>
                <w:right w:val="none" w:sz="0" w:space="0" w:color="auto"/>
              </w:divBdr>
              <w:divsChild>
                <w:div w:id="480584485">
                  <w:marLeft w:val="0"/>
                  <w:marRight w:val="0"/>
                  <w:marTop w:val="0"/>
                  <w:marBottom w:val="0"/>
                  <w:divBdr>
                    <w:top w:val="none" w:sz="0" w:space="0" w:color="auto"/>
                    <w:left w:val="none" w:sz="0" w:space="0" w:color="auto"/>
                    <w:bottom w:val="none" w:sz="0" w:space="0" w:color="auto"/>
                    <w:right w:val="none" w:sz="0" w:space="0" w:color="auto"/>
                  </w:divBdr>
                  <w:divsChild>
                    <w:div w:id="7323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5541">
          <w:marLeft w:val="0"/>
          <w:marRight w:val="0"/>
          <w:marTop w:val="0"/>
          <w:marBottom w:val="0"/>
          <w:divBdr>
            <w:top w:val="none" w:sz="0" w:space="0" w:color="auto"/>
            <w:left w:val="none" w:sz="0" w:space="0" w:color="auto"/>
            <w:bottom w:val="none" w:sz="0" w:space="0" w:color="auto"/>
            <w:right w:val="none" w:sz="0" w:space="0" w:color="auto"/>
          </w:divBdr>
          <w:divsChild>
            <w:div w:id="1534423411">
              <w:marLeft w:val="0"/>
              <w:marRight w:val="0"/>
              <w:marTop w:val="0"/>
              <w:marBottom w:val="0"/>
              <w:divBdr>
                <w:top w:val="none" w:sz="0" w:space="0" w:color="auto"/>
                <w:left w:val="none" w:sz="0" w:space="0" w:color="auto"/>
                <w:bottom w:val="none" w:sz="0" w:space="0" w:color="auto"/>
                <w:right w:val="none" w:sz="0" w:space="0" w:color="auto"/>
              </w:divBdr>
              <w:divsChild>
                <w:div w:id="1885941777">
                  <w:marLeft w:val="0"/>
                  <w:marRight w:val="0"/>
                  <w:marTop w:val="0"/>
                  <w:marBottom w:val="0"/>
                  <w:divBdr>
                    <w:top w:val="none" w:sz="0" w:space="0" w:color="auto"/>
                    <w:left w:val="none" w:sz="0" w:space="0" w:color="auto"/>
                    <w:bottom w:val="none" w:sz="0" w:space="0" w:color="auto"/>
                    <w:right w:val="none" w:sz="0" w:space="0" w:color="auto"/>
                  </w:divBdr>
                  <w:divsChild>
                    <w:div w:id="1378116802">
                      <w:marLeft w:val="0"/>
                      <w:marRight w:val="0"/>
                      <w:marTop w:val="0"/>
                      <w:marBottom w:val="0"/>
                      <w:divBdr>
                        <w:top w:val="none" w:sz="0" w:space="0" w:color="auto"/>
                        <w:left w:val="none" w:sz="0" w:space="0" w:color="auto"/>
                        <w:bottom w:val="none" w:sz="0" w:space="0" w:color="auto"/>
                        <w:right w:val="none" w:sz="0" w:space="0" w:color="auto"/>
                      </w:divBdr>
                    </w:div>
                    <w:div w:id="459617924">
                      <w:marLeft w:val="0"/>
                      <w:marRight w:val="0"/>
                      <w:marTop w:val="0"/>
                      <w:marBottom w:val="0"/>
                      <w:divBdr>
                        <w:top w:val="none" w:sz="0" w:space="0" w:color="auto"/>
                        <w:left w:val="none" w:sz="0" w:space="0" w:color="auto"/>
                        <w:bottom w:val="none" w:sz="0" w:space="0" w:color="auto"/>
                        <w:right w:val="none" w:sz="0" w:space="0" w:color="auto"/>
                      </w:divBdr>
                    </w:div>
                  </w:divsChild>
                </w:div>
                <w:div w:id="2102676524">
                  <w:marLeft w:val="0"/>
                  <w:marRight w:val="0"/>
                  <w:marTop w:val="0"/>
                  <w:marBottom w:val="0"/>
                  <w:divBdr>
                    <w:top w:val="none" w:sz="0" w:space="0" w:color="auto"/>
                    <w:left w:val="none" w:sz="0" w:space="0" w:color="auto"/>
                    <w:bottom w:val="none" w:sz="0" w:space="0" w:color="auto"/>
                    <w:right w:val="none" w:sz="0" w:space="0" w:color="auto"/>
                  </w:divBdr>
                  <w:divsChild>
                    <w:div w:id="3427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716">
      <w:bodyDiv w:val="1"/>
      <w:marLeft w:val="0"/>
      <w:marRight w:val="0"/>
      <w:marTop w:val="0"/>
      <w:marBottom w:val="0"/>
      <w:divBdr>
        <w:top w:val="none" w:sz="0" w:space="0" w:color="auto"/>
        <w:left w:val="none" w:sz="0" w:space="0" w:color="auto"/>
        <w:bottom w:val="none" w:sz="0" w:space="0" w:color="auto"/>
        <w:right w:val="none" w:sz="0" w:space="0" w:color="auto"/>
      </w:divBdr>
      <w:divsChild>
        <w:div w:id="529220634">
          <w:marLeft w:val="0"/>
          <w:marRight w:val="0"/>
          <w:marTop w:val="0"/>
          <w:marBottom w:val="0"/>
          <w:divBdr>
            <w:top w:val="none" w:sz="0" w:space="0" w:color="auto"/>
            <w:left w:val="none" w:sz="0" w:space="0" w:color="auto"/>
            <w:bottom w:val="none" w:sz="0" w:space="0" w:color="auto"/>
            <w:right w:val="none" w:sz="0" w:space="0" w:color="auto"/>
          </w:divBdr>
          <w:divsChild>
            <w:div w:id="1947690602">
              <w:marLeft w:val="0"/>
              <w:marRight w:val="0"/>
              <w:marTop w:val="0"/>
              <w:marBottom w:val="0"/>
              <w:divBdr>
                <w:top w:val="none" w:sz="0" w:space="0" w:color="auto"/>
                <w:left w:val="none" w:sz="0" w:space="0" w:color="auto"/>
                <w:bottom w:val="none" w:sz="0" w:space="0" w:color="auto"/>
                <w:right w:val="none" w:sz="0" w:space="0" w:color="auto"/>
              </w:divBdr>
              <w:divsChild>
                <w:div w:id="11391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7145">
      <w:bodyDiv w:val="1"/>
      <w:marLeft w:val="0"/>
      <w:marRight w:val="0"/>
      <w:marTop w:val="0"/>
      <w:marBottom w:val="0"/>
      <w:divBdr>
        <w:top w:val="none" w:sz="0" w:space="0" w:color="auto"/>
        <w:left w:val="none" w:sz="0" w:space="0" w:color="auto"/>
        <w:bottom w:val="none" w:sz="0" w:space="0" w:color="auto"/>
        <w:right w:val="none" w:sz="0" w:space="0" w:color="auto"/>
      </w:divBdr>
    </w:div>
    <w:div w:id="1483738496">
      <w:bodyDiv w:val="1"/>
      <w:marLeft w:val="0"/>
      <w:marRight w:val="0"/>
      <w:marTop w:val="0"/>
      <w:marBottom w:val="0"/>
      <w:divBdr>
        <w:top w:val="none" w:sz="0" w:space="0" w:color="auto"/>
        <w:left w:val="none" w:sz="0" w:space="0" w:color="auto"/>
        <w:bottom w:val="none" w:sz="0" w:space="0" w:color="auto"/>
        <w:right w:val="none" w:sz="0" w:space="0" w:color="auto"/>
      </w:divBdr>
      <w:divsChild>
        <w:div w:id="1361861123">
          <w:marLeft w:val="0"/>
          <w:marRight w:val="0"/>
          <w:marTop w:val="0"/>
          <w:marBottom w:val="0"/>
          <w:divBdr>
            <w:top w:val="none" w:sz="0" w:space="0" w:color="auto"/>
            <w:left w:val="none" w:sz="0" w:space="0" w:color="auto"/>
            <w:bottom w:val="none" w:sz="0" w:space="0" w:color="auto"/>
            <w:right w:val="none" w:sz="0" w:space="0" w:color="auto"/>
          </w:divBdr>
          <w:divsChild>
            <w:div w:id="821308685">
              <w:marLeft w:val="0"/>
              <w:marRight w:val="0"/>
              <w:marTop w:val="0"/>
              <w:marBottom w:val="0"/>
              <w:divBdr>
                <w:top w:val="none" w:sz="0" w:space="0" w:color="auto"/>
                <w:left w:val="none" w:sz="0" w:space="0" w:color="auto"/>
                <w:bottom w:val="none" w:sz="0" w:space="0" w:color="auto"/>
                <w:right w:val="none" w:sz="0" w:space="0" w:color="auto"/>
              </w:divBdr>
              <w:divsChild>
                <w:div w:id="6065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3152">
      <w:bodyDiv w:val="1"/>
      <w:marLeft w:val="0"/>
      <w:marRight w:val="0"/>
      <w:marTop w:val="0"/>
      <w:marBottom w:val="0"/>
      <w:divBdr>
        <w:top w:val="none" w:sz="0" w:space="0" w:color="auto"/>
        <w:left w:val="none" w:sz="0" w:space="0" w:color="auto"/>
        <w:bottom w:val="none" w:sz="0" w:space="0" w:color="auto"/>
        <w:right w:val="none" w:sz="0" w:space="0" w:color="auto"/>
      </w:divBdr>
      <w:divsChild>
        <w:div w:id="2118215143">
          <w:marLeft w:val="0"/>
          <w:marRight w:val="0"/>
          <w:marTop w:val="0"/>
          <w:marBottom w:val="0"/>
          <w:divBdr>
            <w:top w:val="none" w:sz="0" w:space="0" w:color="auto"/>
            <w:left w:val="none" w:sz="0" w:space="0" w:color="auto"/>
            <w:bottom w:val="none" w:sz="0" w:space="0" w:color="auto"/>
            <w:right w:val="none" w:sz="0" w:space="0" w:color="auto"/>
          </w:divBdr>
          <w:divsChild>
            <w:div w:id="1045525866">
              <w:marLeft w:val="0"/>
              <w:marRight w:val="0"/>
              <w:marTop w:val="0"/>
              <w:marBottom w:val="0"/>
              <w:divBdr>
                <w:top w:val="none" w:sz="0" w:space="0" w:color="auto"/>
                <w:left w:val="none" w:sz="0" w:space="0" w:color="auto"/>
                <w:bottom w:val="none" w:sz="0" w:space="0" w:color="auto"/>
                <w:right w:val="none" w:sz="0" w:space="0" w:color="auto"/>
              </w:divBdr>
              <w:divsChild>
                <w:div w:id="12503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7934">
      <w:bodyDiv w:val="1"/>
      <w:marLeft w:val="0"/>
      <w:marRight w:val="0"/>
      <w:marTop w:val="0"/>
      <w:marBottom w:val="0"/>
      <w:divBdr>
        <w:top w:val="none" w:sz="0" w:space="0" w:color="auto"/>
        <w:left w:val="none" w:sz="0" w:space="0" w:color="auto"/>
        <w:bottom w:val="none" w:sz="0" w:space="0" w:color="auto"/>
        <w:right w:val="none" w:sz="0" w:space="0" w:color="auto"/>
      </w:divBdr>
    </w:div>
    <w:div w:id="1971394652">
      <w:bodyDiv w:val="1"/>
      <w:marLeft w:val="0"/>
      <w:marRight w:val="0"/>
      <w:marTop w:val="0"/>
      <w:marBottom w:val="0"/>
      <w:divBdr>
        <w:top w:val="none" w:sz="0" w:space="0" w:color="auto"/>
        <w:left w:val="none" w:sz="0" w:space="0" w:color="auto"/>
        <w:bottom w:val="none" w:sz="0" w:space="0" w:color="auto"/>
        <w:right w:val="none" w:sz="0" w:space="0" w:color="auto"/>
      </w:divBdr>
    </w:div>
    <w:div w:id="2088767422">
      <w:bodyDiv w:val="1"/>
      <w:marLeft w:val="0"/>
      <w:marRight w:val="0"/>
      <w:marTop w:val="0"/>
      <w:marBottom w:val="0"/>
      <w:divBdr>
        <w:top w:val="none" w:sz="0" w:space="0" w:color="auto"/>
        <w:left w:val="none" w:sz="0" w:space="0" w:color="auto"/>
        <w:bottom w:val="none" w:sz="0" w:space="0" w:color="auto"/>
        <w:right w:val="none" w:sz="0" w:space="0" w:color="auto"/>
      </w:divBdr>
      <w:divsChild>
        <w:div w:id="155734652">
          <w:marLeft w:val="0"/>
          <w:marRight w:val="0"/>
          <w:marTop w:val="0"/>
          <w:marBottom w:val="0"/>
          <w:divBdr>
            <w:top w:val="none" w:sz="0" w:space="0" w:color="auto"/>
            <w:left w:val="none" w:sz="0" w:space="0" w:color="auto"/>
            <w:bottom w:val="none" w:sz="0" w:space="0" w:color="auto"/>
            <w:right w:val="none" w:sz="0" w:space="0" w:color="auto"/>
          </w:divBdr>
          <w:divsChild>
            <w:div w:id="602805440">
              <w:marLeft w:val="0"/>
              <w:marRight w:val="0"/>
              <w:marTop w:val="0"/>
              <w:marBottom w:val="0"/>
              <w:divBdr>
                <w:top w:val="none" w:sz="0" w:space="0" w:color="auto"/>
                <w:left w:val="none" w:sz="0" w:space="0" w:color="auto"/>
                <w:bottom w:val="none" w:sz="0" w:space="0" w:color="auto"/>
                <w:right w:val="none" w:sz="0" w:space="0" w:color="auto"/>
              </w:divBdr>
              <w:divsChild>
                <w:div w:id="18746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scottishhumanrights.com/application/resources/documents/FINALCharterofRights.pdf" TargetMode="External"/><Relationship Id="rId4" Type="http://schemas.openxmlformats.org/officeDocument/2006/relationships/hyperlink" Target="http://www.bbc.co.uk/news/uk-england-stoke-staffordshire-21430513" TargetMode="External"/><Relationship Id="rId5" Type="http://schemas.openxmlformats.org/officeDocument/2006/relationships/hyperlink" Target="http://www.thenorthernecho.co.uk/news/10291382.print/" TargetMode="External"/><Relationship Id="rId6" Type="http://schemas.openxmlformats.org/officeDocument/2006/relationships/hyperlink" Target="http://www.telegraph.co.uk/news/uknews/crime/11304361/Bullying-care-worker-jailed-after-attacking-dementia-patients.html" TargetMode="External"/><Relationship Id="rId7" Type="http://schemas.openxmlformats.org/officeDocument/2006/relationships/hyperlink" Target="http://www.mentalcapacitylawandpolicy.org.uk/capacity-is-not-an-off-switch/" TargetMode="External"/><Relationship Id="rId8" Type="http://schemas.openxmlformats.org/officeDocument/2006/relationships/hyperlink" Target="http://www.theguardian.com/lifeandstyle/2015/may/31/christopher-eccleston-father-dementia-disease-dismantled-his-personality" TargetMode="External"/><Relationship Id="rId1" Type="http://schemas.openxmlformats.org/officeDocument/2006/relationships/hyperlink" Target="http://www.ohchr.org/EN/NewsEvents/Pages/DisplayNews.aspx?NewsID=15183&amp;LangID=E" TargetMode="External"/><Relationship Id="rId2" Type="http://schemas.openxmlformats.org/officeDocument/2006/relationships/hyperlink" Target="http://gov.wales/docs/dhss/publications/140716olde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077F-9430-174B-B1D1-45DE6FDA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41</Pages>
  <Words>9664</Words>
  <Characters>55090</Characters>
  <Application>Microsoft Macintosh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pritchard-jones</dc:creator>
  <cp:lastModifiedBy>Laura Pritchard-Jones</cp:lastModifiedBy>
  <cp:revision>14</cp:revision>
  <cp:lastPrinted>2016-03-16T15:21:00Z</cp:lastPrinted>
  <dcterms:created xsi:type="dcterms:W3CDTF">2016-05-01T22:34:00Z</dcterms:created>
  <dcterms:modified xsi:type="dcterms:W3CDTF">2016-05-02T16:33:00Z</dcterms:modified>
</cp:coreProperties>
</file>