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9CC24" w14:textId="77F22282" w:rsidR="002D0657" w:rsidRPr="00E350D1" w:rsidRDefault="00AD6677" w:rsidP="0097575D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  <w:r w:rsidRPr="00E350D1">
        <w:rPr>
          <w:b/>
          <w:sz w:val="32"/>
          <w:szCs w:val="32"/>
        </w:rPr>
        <w:t xml:space="preserve">Impact of HIV on </w:t>
      </w:r>
      <w:r w:rsidR="00B25722" w:rsidRPr="00E350D1">
        <w:rPr>
          <w:b/>
          <w:sz w:val="32"/>
          <w:szCs w:val="32"/>
        </w:rPr>
        <w:t xml:space="preserve">inpatient </w:t>
      </w:r>
      <w:r w:rsidR="00D9490B" w:rsidRPr="00E350D1">
        <w:rPr>
          <w:b/>
          <w:sz w:val="32"/>
          <w:szCs w:val="32"/>
        </w:rPr>
        <w:t xml:space="preserve">mortality and </w:t>
      </w:r>
      <w:r w:rsidRPr="00E350D1">
        <w:rPr>
          <w:b/>
          <w:sz w:val="32"/>
          <w:szCs w:val="32"/>
        </w:rPr>
        <w:t xml:space="preserve">complications in </w:t>
      </w:r>
      <w:r w:rsidR="00D9490B" w:rsidRPr="00E350D1">
        <w:rPr>
          <w:b/>
          <w:sz w:val="32"/>
          <w:szCs w:val="32"/>
        </w:rPr>
        <w:t>stroke</w:t>
      </w:r>
      <w:r w:rsidRPr="00E350D1">
        <w:rPr>
          <w:b/>
          <w:sz w:val="32"/>
          <w:szCs w:val="32"/>
        </w:rPr>
        <w:t xml:space="preserve"> in Thailand; A National Database Study</w:t>
      </w:r>
    </w:p>
    <w:p w14:paraId="52A4157C" w14:textId="6E62E792" w:rsidR="00F90ECD" w:rsidRDefault="00F90ECD" w:rsidP="00F90ECD">
      <w:pPr>
        <w:spacing w:line="360" w:lineRule="auto"/>
      </w:pPr>
      <w:r>
        <w:t>Kirsten Cumming</w:t>
      </w:r>
      <w:r>
        <w:rPr>
          <w:vertAlign w:val="superscript"/>
        </w:rPr>
        <w:t>1</w:t>
      </w:r>
      <w:r>
        <w:t xml:space="preserve"> MBChB (Hons), Somsak Tiamkao</w:t>
      </w:r>
      <w:r>
        <w:rPr>
          <w:vertAlign w:val="superscript"/>
        </w:rPr>
        <w:t>2</w:t>
      </w:r>
      <w:r w:rsidR="00117DDE">
        <w:rPr>
          <w:rFonts w:cs="Angsana New"/>
          <w:szCs w:val="30"/>
          <w:vertAlign w:val="superscript"/>
        </w:rPr>
        <w:t>,3</w:t>
      </w:r>
      <w:r>
        <w:t xml:space="preserve"> MD, Kannikar Kongbunkiat</w:t>
      </w:r>
      <w:r w:rsidR="00117DDE">
        <w:rPr>
          <w:vertAlign w:val="superscript"/>
        </w:rPr>
        <w:t xml:space="preserve">2,3 </w:t>
      </w:r>
      <w:r>
        <w:t>MD, Allan B Clark</w:t>
      </w:r>
      <w:r w:rsidR="00117DDE">
        <w:rPr>
          <w:vertAlign w:val="superscript"/>
        </w:rPr>
        <w:t>4</w:t>
      </w:r>
      <w:r>
        <w:t xml:space="preserve"> PhD, Joao H Bettencourt-Silva</w:t>
      </w:r>
      <w:r w:rsidR="00117DDE">
        <w:rPr>
          <w:vertAlign w:val="superscript"/>
        </w:rPr>
        <w:t>4</w:t>
      </w:r>
      <w:r>
        <w:t xml:space="preserve">PhD, </w:t>
      </w:r>
      <w:r>
        <w:rPr>
          <w:color w:val="000000"/>
        </w:rPr>
        <w:t>Kittisak Sawanyawisuth</w:t>
      </w:r>
      <w:r w:rsidR="00117DDE">
        <w:rPr>
          <w:color w:val="000000"/>
          <w:vertAlign w:val="superscript"/>
        </w:rPr>
        <w:t>5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PhD, Narongrit Kasemsap</w:t>
      </w:r>
      <w:r w:rsidR="00117DDE">
        <w:rPr>
          <w:color w:val="000000"/>
          <w:vertAlign w:val="superscript"/>
        </w:rPr>
        <w:t>2,3</w:t>
      </w:r>
      <w:r>
        <w:rPr>
          <w:color w:val="000000"/>
        </w:rPr>
        <w:t xml:space="preserve"> MD, Mamas A Mamas</w:t>
      </w:r>
      <w:r>
        <w:rPr>
          <w:color w:val="000000"/>
          <w:vertAlign w:val="superscript"/>
        </w:rPr>
        <w:t>6,7</w:t>
      </w:r>
      <w:r>
        <w:rPr>
          <w:color w:val="000000"/>
        </w:rPr>
        <w:t xml:space="preserve"> DPhil, </w:t>
      </w:r>
      <w:r>
        <w:t>Janet A Seeley</w:t>
      </w:r>
      <w:r>
        <w:rPr>
          <w:vertAlign w:val="superscript"/>
        </w:rPr>
        <w:t xml:space="preserve">8,9 </w:t>
      </w:r>
      <w:r>
        <w:t>PhD, Phyo K Myint</w:t>
      </w:r>
      <w:r>
        <w:rPr>
          <w:vertAlign w:val="superscript"/>
        </w:rPr>
        <w:t>1</w:t>
      </w:r>
      <w:r w:rsidRPr="00485489">
        <w:rPr>
          <w:rFonts w:ascii="Arial" w:hAnsi="Arial" w:cs="Arial"/>
          <w:color w:val="111111"/>
          <w:sz w:val="18"/>
          <w:szCs w:val="18"/>
          <w:vertAlign w:val="superscript"/>
        </w:rPr>
        <w:t xml:space="preserve"> </w:t>
      </w:r>
      <w:r w:rsidRPr="00485489">
        <w:rPr>
          <w:rFonts w:ascii="Arial" w:hAnsi="Arial" w:cs="Arial"/>
          <w:color w:val="111111"/>
          <w:sz w:val="20"/>
          <w:szCs w:val="18"/>
          <w:vertAlign w:val="superscript"/>
        </w:rPr>
        <w:t>§</w:t>
      </w:r>
      <w:r>
        <w:rPr>
          <w:vertAlign w:val="superscript"/>
        </w:rPr>
        <w:t xml:space="preserve"> </w:t>
      </w:r>
      <w:r>
        <w:t>MD</w:t>
      </w:r>
    </w:p>
    <w:p w14:paraId="46EEC5B5" w14:textId="42CC1545" w:rsidR="00FC6476" w:rsidRDefault="00F846BD" w:rsidP="0097575D">
      <w:pPr>
        <w:spacing w:line="360" w:lineRule="auto"/>
        <w:rPr>
          <w:szCs w:val="24"/>
          <w:lang w:val="en-US"/>
        </w:rPr>
      </w:pPr>
      <w:r>
        <w:rPr>
          <w:szCs w:val="24"/>
          <w:vertAlign w:val="superscript"/>
        </w:rPr>
        <w:t>1</w:t>
      </w:r>
      <w:r>
        <w:rPr>
          <w:szCs w:val="24"/>
          <w:lang w:val="en-US"/>
        </w:rPr>
        <w:t>Institute of Applied Health Sciences, School of Medicine</w:t>
      </w:r>
      <w:r w:rsidR="00D006C6">
        <w:rPr>
          <w:szCs w:val="24"/>
          <w:lang w:val="en-US"/>
        </w:rPr>
        <w:t>, Medical Sciences</w:t>
      </w:r>
      <w:r>
        <w:rPr>
          <w:szCs w:val="24"/>
          <w:lang w:val="en-US"/>
        </w:rPr>
        <w:t xml:space="preserve"> &amp; </w:t>
      </w:r>
      <w:r w:rsidR="00D006C6">
        <w:rPr>
          <w:szCs w:val="24"/>
          <w:lang w:val="en-US"/>
        </w:rPr>
        <w:t>Nutrition</w:t>
      </w:r>
      <w:r>
        <w:rPr>
          <w:szCs w:val="24"/>
          <w:lang w:val="en-US"/>
        </w:rPr>
        <w:t>, University of Aberdeen, Aberdeen, A</w:t>
      </w:r>
      <w:r w:rsidR="00DB72A4">
        <w:rPr>
          <w:szCs w:val="24"/>
          <w:lang w:val="en-US"/>
        </w:rPr>
        <w:t>B25 2ZD, UK</w:t>
      </w:r>
    </w:p>
    <w:p w14:paraId="512382A6" w14:textId="77777777" w:rsidR="00FC6476" w:rsidRDefault="00F846BD" w:rsidP="0097575D">
      <w:pPr>
        <w:spacing w:line="360" w:lineRule="auto"/>
        <w:rPr>
          <w:color w:val="000000"/>
          <w:szCs w:val="24"/>
        </w:rPr>
      </w:pPr>
      <w:r w:rsidRPr="005B7E23">
        <w:rPr>
          <w:color w:val="000000"/>
          <w:szCs w:val="24"/>
          <w:vertAlign w:val="superscript"/>
        </w:rPr>
        <w:t>2</w:t>
      </w:r>
      <w:r>
        <w:rPr>
          <w:color w:val="000000"/>
          <w:szCs w:val="24"/>
        </w:rPr>
        <w:t>Neurology Division, Department of Medicine, Faculty of Medicine, Khon Kaen University, Khon Kaen, Thailand 40002</w:t>
      </w:r>
    </w:p>
    <w:p w14:paraId="393821F4" w14:textId="5427F99E" w:rsidR="00117DDE" w:rsidRDefault="00117DDE" w:rsidP="00117DDE">
      <w:pPr>
        <w:spacing w:line="360" w:lineRule="auto"/>
        <w:outlineLvl w:val="0"/>
        <w:rPr>
          <w:color w:val="000000"/>
          <w:szCs w:val="24"/>
        </w:rPr>
      </w:pPr>
      <w:r>
        <w:rPr>
          <w:color w:val="000000"/>
          <w:szCs w:val="24"/>
          <w:vertAlign w:val="superscript"/>
        </w:rPr>
        <w:t>3</w:t>
      </w:r>
      <w:r>
        <w:rPr>
          <w:color w:val="000000"/>
          <w:szCs w:val="24"/>
        </w:rPr>
        <w:t>North-eastern Stroke Research Group, Khon Kaen University, Khon Kaen, Thailand 40002</w:t>
      </w:r>
    </w:p>
    <w:p w14:paraId="5A580899" w14:textId="3704B0D4" w:rsidR="00FC6476" w:rsidRDefault="00117DDE" w:rsidP="0097575D">
      <w:pPr>
        <w:spacing w:line="360" w:lineRule="auto"/>
        <w:outlineLvl w:val="0"/>
        <w:rPr>
          <w:szCs w:val="24"/>
        </w:rPr>
      </w:pPr>
      <w:r>
        <w:rPr>
          <w:szCs w:val="24"/>
          <w:vertAlign w:val="superscript"/>
        </w:rPr>
        <w:t>4</w:t>
      </w:r>
      <w:r w:rsidR="00F846BD">
        <w:rPr>
          <w:szCs w:val="24"/>
        </w:rPr>
        <w:t>Norwich Medical School, University of East Anglia, Norwich, NR4 7TJ, UK</w:t>
      </w:r>
    </w:p>
    <w:p w14:paraId="7E4EBDCE" w14:textId="52373C00" w:rsidR="00FC6476" w:rsidRDefault="00117DDE" w:rsidP="0097575D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  <w:vertAlign w:val="superscript"/>
        </w:rPr>
        <w:t>5</w:t>
      </w:r>
      <w:r w:rsidR="00F846BD">
        <w:rPr>
          <w:color w:val="000000"/>
          <w:szCs w:val="24"/>
        </w:rPr>
        <w:t>Ambulatory Medicine Division, Department of Medicine, Faculty of Medicine, Khon Kaen University, Khon Kaen, Thailand 40002</w:t>
      </w:r>
    </w:p>
    <w:p w14:paraId="4B826FD4" w14:textId="77777777" w:rsidR="00FC6476" w:rsidRDefault="00CA6DDC" w:rsidP="0097575D">
      <w:pPr>
        <w:spacing w:line="360" w:lineRule="auto"/>
      </w:pPr>
      <w:r>
        <w:rPr>
          <w:szCs w:val="24"/>
          <w:vertAlign w:val="superscript"/>
        </w:rPr>
        <w:t>6</w:t>
      </w:r>
      <w:r w:rsidR="00631411">
        <w:t>Cardiovascular Research Group</w:t>
      </w:r>
      <w:r w:rsidRPr="00CA6DDC">
        <w:t xml:space="preserve">, </w:t>
      </w:r>
      <w:r w:rsidR="00631411">
        <w:t>Keele University</w:t>
      </w:r>
      <w:r w:rsidRPr="00CA6DDC">
        <w:t xml:space="preserve">, </w:t>
      </w:r>
      <w:r w:rsidR="00631411">
        <w:t>Stoke-on-Trent</w:t>
      </w:r>
      <w:r w:rsidRPr="00CA6DDC">
        <w:t xml:space="preserve">, </w:t>
      </w:r>
      <w:r w:rsidR="00631411">
        <w:t xml:space="preserve">ST5 5BG, </w:t>
      </w:r>
      <w:r w:rsidRPr="00CA6DDC">
        <w:t>UK</w:t>
      </w:r>
    </w:p>
    <w:p w14:paraId="6608EF61" w14:textId="77777777" w:rsidR="00FC6476" w:rsidRDefault="004D4853" w:rsidP="0097575D">
      <w:pPr>
        <w:spacing w:line="360" w:lineRule="auto"/>
      </w:pPr>
      <w:r w:rsidRPr="00702DC3">
        <w:rPr>
          <w:szCs w:val="24"/>
          <w:vertAlign w:val="superscript"/>
        </w:rPr>
        <w:t>7</w:t>
      </w:r>
      <w:r>
        <w:t xml:space="preserve"> Farr Institute, University of Manchester, Manchester</w:t>
      </w:r>
    </w:p>
    <w:p w14:paraId="7FD4547F" w14:textId="77777777" w:rsidR="00FC6476" w:rsidRDefault="004D4853" w:rsidP="0097575D">
      <w:pPr>
        <w:spacing w:line="360" w:lineRule="auto"/>
      </w:pPr>
      <w:r>
        <w:rPr>
          <w:szCs w:val="24"/>
          <w:vertAlign w:val="superscript"/>
        </w:rPr>
        <w:t>8</w:t>
      </w:r>
      <w:r w:rsidRPr="00BB44CB">
        <w:rPr>
          <w:szCs w:val="24"/>
        </w:rPr>
        <w:t xml:space="preserve">Medical </w:t>
      </w:r>
      <w:r w:rsidR="00F846BD" w:rsidRPr="00BB44CB">
        <w:rPr>
          <w:szCs w:val="24"/>
        </w:rPr>
        <w:t>Research Council U</w:t>
      </w:r>
      <w:r w:rsidR="004715E9">
        <w:rPr>
          <w:szCs w:val="24"/>
        </w:rPr>
        <w:t>ga</w:t>
      </w:r>
      <w:r w:rsidR="00F846BD" w:rsidRPr="00BB44CB">
        <w:rPr>
          <w:szCs w:val="24"/>
        </w:rPr>
        <w:t xml:space="preserve">nda Virus Research Institute, Research Unit on AIDS </w:t>
      </w:r>
      <w:r w:rsidR="00F846BD" w:rsidRPr="00BB44CB">
        <w:t>P.O.</w:t>
      </w:r>
      <w:r w:rsidR="008E6F72">
        <w:t xml:space="preserve"> </w:t>
      </w:r>
      <w:r w:rsidR="00F846BD" w:rsidRPr="00BB44CB">
        <w:t xml:space="preserve">Box 49, Entebbe-Uganda. </w:t>
      </w:r>
    </w:p>
    <w:p w14:paraId="0FBA7A6F" w14:textId="77777777" w:rsidR="00FC6476" w:rsidRDefault="004D4853" w:rsidP="0097575D">
      <w:pPr>
        <w:spacing w:line="360" w:lineRule="auto"/>
        <w:rPr>
          <w:rFonts w:eastAsia="Times New Roman"/>
          <w:szCs w:val="24"/>
          <w:lang w:eastAsia="en-GB"/>
        </w:rPr>
      </w:pPr>
      <w:r>
        <w:rPr>
          <w:vertAlign w:val="superscript"/>
        </w:rPr>
        <w:t>9</w:t>
      </w:r>
      <w:r w:rsidRPr="00BB44CB">
        <w:t xml:space="preserve">London </w:t>
      </w:r>
      <w:r w:rsidR="00F846BD" w:rsidRPr="00BB44CB">
        <w:t xml:space="preserve">School of </w:t>
      </w:r>
      <w:r w:rsidR="00A76B74" w:rsidRPr="00BB44CB">
        <w:t>Hygiene</w:t>
      </w:r>
      <w:r w:rsidR="00F846BD" w:rsidRPr="00BB44CB">
        <w:t xml:space="preserve"> &amp; Tropical Medicine, </w:t>
      </w:r>
      <w:r w:rsidR="00F846BD" w:rsidRPr="00BB44CB">
        <w:rPr>
          <w:rFonts w:eastAsia="Times New Roman"/>
          <w:szCs w:val="24"/>
          <w:lang w:eastAsia="en-GB"/>
        </w:rPr>
        <w:t>Keppel Street, London, WC1E 7HT, England, UK</w:t>
      </w:r>
    </w:p>
    <w:p w14:paraId="7FF7B62F" w14:textId="727191B2" w:rsidR="00FC6476" w:rsidRDefault="00F846BD" w:rsidP="0097575D">
      <w:pPr>
        <w:spacing w:line="360" w:lineRule="auto"/>
        <w:rPr>
          <w:rStyle w:val="Hyperlink"/>
          <w:szCs w:val="24"/>
        </w:rPr>
      </w:pPr>
      <w:r w:rsidRPr="00F47E3C">
        <w:rPr>
          <w:b/>
          <w:szCs w:val="24"/>
        </w:rPr>
        <w:t>Correspondence to</w:t>
      </w:r>
      <w:r w:rsidR="00654998">
        <w:rPr>
          <w:b/>
          <w:color w:val="943634"/>
          <w:szCs w:val="24"/>
        </w:rPr>
        <w:t xml:space="preserve">: </w:t>
      </w:r>
      <w:r w:rsidR="00654998">
        <w:rPr>
          <w:szCs w:val="24"/>
        </w:rPr>
        <w:t>Professor</w:t>
      </w:r>
      <w:r>
        <w:rPr>
          <w:color w:val="943634"/>
          <w:szCs w:val="24"/>
        </w:rPr>
        <w:t xml:space="preserve"> </w:t>
      </w:r>
      <w:r>
        <w:rPr>
          <w:szCs w:val="24"/>
        </w:rPr>
        <w:t>Phyo Kyaw Myint; Tel: +44 (0) 1224 437841</w:t>
      </w:r>
      <w:r w:rsidR="00A039D2">
        <w:rPr>
          <w:szCs w:val="24"/>
        </w:rPr>
        <w:t>;</w:t>
      </w:r>
      <w:r>
        <w:rPr>
          <w:szCs w:val="24"/>
        </w:rPr>
        <w:t xml:space="preserve"> Fax: +44 (0) 1224 </w:t>
      </w:r>
      <w:r w:rsidR="00D006C6">
        <w:rPr>
          <w:szCs w:val="24"/>
        </w:rPr>
        <w:t>437911</w:t>
      </w:r>
      <w:r w:rsidR="00147DB7">
        <w:rPr>
          <w:szCs w:val="24"/>
        </w:rPr>
        <w:t>; E-m</w:t>
      </w:r>
      <w:r w:rsidR="00A039D2">
        <w:rPr>
          <w:szCs w:val="24"/>
        </w:rPr>
        <w:t>ail:</w:t>
      </w:r>
      <w:r>
        <w:rPr>
          <w:szCs w:val="24"/>
        </w:rPr>
        <w:t xml:space="preserve"> </w:t>
      </w:r>
      <w:hyperlink r:id="rId9" w:history="1">
        <w:r w:rsidR="0010042D" w:rsidRPr="001B7097">
          <w:rPr>
            <w:rStyle w:val="Hyperlink"/>
            <w:szCs w:val="24"/>
          </w:rPr>
          <w:t>phyo.myint@abdn.ac.uk</w:t>
        </w:r>
      </w:hyperlink>
    </w:p>
    <w:p w14:paraId="5D151C50" w14:textId="16AE3467" w:rsidR="0010042D" w:rsidRPr="00051EBF" w:rsidRDefault="0010042D" w:rsidP="0097575D">
      <w:pPr>
        <w:spacing w:line="360" w:lineRule="auto"/>
        <w:rPr>
          <w:rStyle w:val="Hyperlink"/>
          <w:color w:val="auto"/>
          <w:szCs w:val="24"/>
          <w:u w:val="none"/>
        </w:rPr>
      </w:pPr>
      <w:r w:rsidRPr="00F47E3C">
        <w:rPr>
          <w:rStyle w:val="Hyperlink"/>
          <w:b/>
          <w:color w:val="auto"/>
          <w:szCs w:val="24"/>
          <w:u w:val="none"/>
        </w:rPr>
        <w:t>Key words:</w:t>
      </w:r>
      <w:r w:rsidR="000F1FF3">
        <w:rPr>
          <w:rStyle w:val="Hyperlink"/>
          <w:color w:val="auto"/>
          <w:szCs w:val="24"/>
          <w:u w:val="none"/>
        </w:rPr>
        <w:t xml:space="preserve"> </w:t>
      </w:r>
      <w:r w:rsidR="00D006C6">
        <w:rPr>
          <w:rStyle w:val="Hyperlink"/>
          <w:color w:val="auto"/>
          <w:szCs w:val="24"/>
          <w:u w:val="none"/>
        </w:rPr>
        <w:t>s</w:t>
      </w:r>
      <w:r w:rsidR="000F1FF3">
        <w:rPr>
          <w:rStyle w:val="Hyperlink"/>
          <w:color w:val="auto"/>
          <w:szCs w:val="24"/>
          <w:u w:val="none"/>
        </w:rPr>
        <w:t>troke; HIV; mortality; complications; outcomes</w:t>
      </w:r>
    </w:p>
    <w:p w14:paraId="58FCF7CB" w14:textId="77777777" w:rsidR="00F84DD4" w:rsidRDefault="00F84DD4" w:rsidP="00F84DD4">
      <w:pPr>
        <w:spacing w:line="360" w:lineRule="auto"/>
      </w:pPr>
      <w:r>
        <w:rPr>
          <w:b/>
        </w:rPr>
        <w:t xml:space="preserve">Conflicts of interest: </w:t>
      </w:r>
      <w:r w:rsidRPr="006257DB">
        <w:t>The authors declare no conflicts of interest.</w:t>
      </w:r>
    </w:p>
    <w:p w14:paraId="34549147" w14:textId="77777777" w:rsidR="00A039D2" w:rsidRDefault="00A039D2" w:rsidP="0097575D">
      <w:pPr>
        <w:spacing w:after="0" w:line="360" w:lineRule="auto"/>
        <w:rPr>
          <w:rFonts w:ascii="Trebuchet MS" w:hAnsi="Trebuchet MS"/>
          <w:color w:val="000000"/>
          <w:sz w:val="22"/>
          <w:shd w:val="clear" w:color="auto" w:fill="FFFFFF"/>
        </w:rPr>
      </w:pPr>
      <w:r>
        <w:rPr>
          <w:rFonts w:ascii="Trebuchet MS" w:hAnsi="Trebuchet MS"/>
          <w:color w:val="000000"/>
          <w:sz w:val="22"/>
          <w:shd w:val="clear" w:color="auto" w:fill="FFFFFF"/>
        </w:rPr>
        <w:br w:type="page"/>
      </w:r>
    </w:p>
    <w:p w14:paraId="2B5622B1" w14:textId="77777777" w:rsidR="001D6146" w:rsidRDefault="00DE595D" w:rsidP="0097575D">
      <w:pPr>
        <w:spacing w:after="0" w:line="360" w:lineRule="auto"/>
        <w:outlineLvl w:val="0"/>
        <w:rPr>
          <w:b/>
        </w:rPr>
      </w:pPr>
      <w:r>
        <w:rPr>
          <w:b/>
        </w:rPr>
        <w:lastRenderedPageBreak/>
        <w:t>Abstract</w:t>
      </w:r>
      <w:r w:rsidR="00B57619">
        <w:rPr>
          <w:b/>
        </w:rPr>
        <w:t xml:space="preserve"> </w:t>
      </w:r>
    </w:p>
    <w:p w14:paraId="19C337F5" w14:textId="77777777" w:rsidR="00780849" w:rsidRDefault="00780849" w:rsidP="0097575D">
      <w:pPr>
        <w:spacing w:after="0" w:line="360" w:lineRule="auto"/>
        <w:rPr>
          <w:b/>
        </w:rPr>
      </w:pPr>
    </w:p>
    <w:p w14:paraId="437B1DD8" w14:textId="1AE1253A" w:rsidR="008E6D8E" w:rsidRPr="00780849" w:rsidRDefault="00AC20A3" w:rsidP="0097575D">
      <w:pPr>
        <w:spacing w:after="0" w:line="360" w:lineRule="auto"/>
        <w:rPr>
          <w:szCs w:val="24"/>
        </w:rPr>
      </w:pPr>
      <w:r>
        <w:rPr>
          <w:szCs w:val="24"/>
        </w:rPr>
        <w:t>The c</w:t>
      </w:r>
      <w:r w:rsidR="00483DED">
        <w:rPr>
          <w:szCs w:val="24"/>
        </w:rPr>
        <w:t>o-existence of stroke and HIV has increased in recent years</w:t>
      </w:r>
      <w:r w:rsidR="00D96E48">
        <w:rPr>
          <w:szCs w:val="24"/>
        </w:rPr>
        <w:t xml:space="preserve">, </w:t>
      </w:r>
      <w:r w:rsidR="00ED0AFB">
        <w:rPr>
          <w:szCs w:val="24"/>
        </w:rPr>
        <w:t xml:space="preserve">but </w:t>
      </w:r>
      <w:r w:rsidR="00483DED">
        <w:rPr>
          <w:szCs w:val="24"/>
        </w:rPr>
        <w:t xml:space="preserve">the impact of HIV on post stroke outcomes is poorly understood. </w:t>
      </w:r>
      <w:r w:rsidR="001511C8">
        <w:t xml:space="preserve">We examined the impact of HIV on </w:t>
      </w:r>
      <w:r>
        <w:t xml:space="preserve">inpatient mortality, length of acute hospital stay and </w:t>
      </w:r>
      <w:r w:rsidR="001511C8">
        <w:t xml:space="preserve">complications (pneumonia, respiratory failure, sepsis and convulsions), in hospitalised strokes </w:t>
      </w:r>
      <w:r w:rsidR="00D96E48">
        <w:t xml:space="preserve">in </w:t>
      </w:r>
      <w:r w:rsidR="00326F7A">
        <w:t>Thailand</w:t>
      </w:r>
      <w:r w:rsidR="001511C8">
        <w:t xml:space="preserve">. </w:t>
      </w:r>
      <w:r w:rsidR="00483DED" w:rsidRPr="00512829">
        <w:t xml:space="preserve">All </w:t>
      </w:r>
      <w:r w:rsidR="00D96E48">
        <w:t xml:space="preserve">hospitalised </w:t>
      </w:r>
      <w:r w:rsidR="00483DED" w:rsidRPr="00512829">
        <w:t>stroke</w:t>
      </w:r>
      <w:r w:rsidR="001D3489">
        <w:t>s</w:t>
      </w:r>
      <w:r w:rsidR="00D96E48">
        <w:t xml:space="preserve"> between</w:t>
      </w:r>
      <w:r w:rsidR="00483DED" w:rsidRPr="00512829">
        <w:t xml:space="preserve"> 1st October 2004 </w:t>
      </w:r>
      <w:r w:rsidR="00D96E48">
        <w:t xml:space="preserve">and </w:t>
      </w:r>
      <w:r w:rsidR="00483DED" w:rsidRPr="00512829">
        <w:t xml:space="preserve">31st January 2013 were </w:t>
      </w:r>
      <w:r w:rsidR="00326F7A">
        <w:t>included</w:t>
      </w:r>
      <w:r w:rsidR="00EB6953">
        <w:t>. Data were obtained from</w:t>
      </w:r>
      <w:r w:rsidR="00D96E48">
        <w:t xml:space="preserve"> </w:t>
      </w:r>
      <w:r w:rsidR="00CC7C78">
        <w:t>a</w:t>
      </w:r>
      <w:r w:rsidR="00D96E48">
        <w:t xml:space="preserve"> </w:t>
      </w:r>
      <w:r w:rsidR="00483DED" w:rsidRPr="00512829">
        <w:t xml:space="preserve">National </w:t>
      </w:r>
      <w:r w:rsidR="00EB6953">
        <w:t xml:space="preserve">Insurance </w:t>
      </w:r>
      <w:r w:rsidR="00483DED" w:rsidRPr="00512829">
        <w:t>Database.</w:t>
      </w:r>
      <w:r w:rsidR="00483DED">
        <w:t xml:space="preserve"> </w:t>
      </w:r>
      <w:r w:rsidR="00D96E48">
        <w:t>C</w:t>
      </w:r>
      <w:r w:rsidR="00483DED">
        <w:t xml:space="preserve">haracteristics and outcomes for </w:t>
      </w:r>
      <w:r w:rsidR="007F7836">
        <w:t xml:space="preserve">non-HIV and HIV </w:t>
      </w:r>
      <w:r w:rsidR="0072229E">
        <w:t xml:space="preserve">patients </w:t>
      </w:r>
      <w:r w:rsidR="00483DED">
        <w:t>were compared</w:t>
      </w:r>
      <w:r w:rsidR="00CA30C6">
        <w:t xml:space="preserve"> and</w:t>
      </w:r>
      <w:r w:rsidR="00D96E48">
        <w:t xml:space="preserve"> multivariate</w:t>
      </w:r>
      <w:r w:rsidR="00483DED">
        <w:t xml:space="preserve"> l</w:t>
      </w:r>
      <w:r w:rsidR="00483DED">
        <w:rPr>
          <w:shd w:val="clear" w:color="auto" w:fill="FFFFFF"/>
        </w:rPr>
        <w:t>ogistic and linear regression models</w:t>
      </w:r>
      <w:r w:rsidR="0072229E">
        <w:rPr>
          <w:shd w:val="clear" w:color="auto" w:fill="FFFFFF"/>
        </w:rPr>
        <w:t xml:space="preserve"> were constructed to assess the above outcomes</w:t>
      </w:r>
      <w:r w:rsidR="002C013F">
        <w:rPr>
          <w:shd w:val="clear" w:color="auto" w:fill="FFFFFF"/>
        </w:rPr>
        <w:t>.</w:t>
      </w:r>
      <w:r w:rsidR="00483DED">
        <w:t xml:space="preserve"> </w:t>
      </w:r>
      <w:r w:rsidR="001D6146" w:rsidRPr="001D6146">
        <w:t xml:space="preserve">Of </w:t>
      </w:r>
      <w:r w:rsidR="00BB6B74">
        <w:t>610,688</w:t>
      </w:r>
      <w:r w:rsidR="00483DED">
        <w:t xml:space="preserve"> patients</w:t>
      </w:r>
      <w:r w:rsidR="00483DED" w:rsidRPr="00512829">
        <w:t xml:space="preserve"> </w:t>
      </w:r>
      <w:r w:rsidR="00483DED">
        <w:t>(mean</w:t>
      </w:r>
      <w:r w:rsidR="00EB6953">
        <w:t xml:space="preserve"> </w:t>
      </w:r>
      <w:r w:rsidR="00483DED">
        <w:t>age 63</w:t>
      </w:r>
      <w:r w:rsidR="00483DED" w:rsidRPr="00EE6B85">
        <w:rPr>
          <w:szCs w:val="24"/>
        </w:rPr>
        <w:t>·</w:t>
      </w:r>
      <w:r w:rsidR="00483DED">
        <w:rPr>
          <w:szCs w:val="24"/>
        </w:rPr>
        <w:t>4 years</w:t>
      </w:r>
      <w:r w:rsidR="00483DED">
        <w:t>, 45</w:t>
      </w:r>
      <w:r w:rsidR="00483DED" w:rsidRPr="00EE6B85">
        <w:rPr>
          <w:szCs w:val="24"/>
        </w:rPr>
        <w:t>·</w:t>
      </w:r>
      <w:r w:rsidR="00483DED">
        <w:t>4% female)</w:t>
      </w:r>
      <w:r w:rsidR="00E565A8">
        <w:t xml:space="preserve">, </w:t>
      </w:r>
      <w:r w:rsidR="00483DED">
        <w:t>0</w:t>
      </w:r>
      <w:r w:rsidR="00483DED" w:rsidRPr="00EE6B85">
        <w:rPr>
          <w:szCs w:val="24"/>
        </w:rPr>
        <w:t>·</w:t>
      </w:r>
      <w:r w:rsidR="00483DED">
        <w:t>14% (8</w:t>
      </w:r>
      <w:r w:rsidR="00BB6B74">
        <w:t>66</w:t>
      </w:r>
      <w:r w:rsidR="00483DED">
        <w:t xml:space="preserve">) had HIV infection. </w:t>
      </w:r>
      <w:r w:rsidR="00236023">
        <w:t xml:space="preserve">HIV </w:t>
      </w:r>
      <w:r w:rsidR="009F1DF2">
        <w:t>patients</w:t>
      </w:r>
      <w:r w:rsidR="00E565A8">
        <w:t xml:space="preserve"> </w:t>
      </w:r>
      <w:r w:rsidR="00546E33">
        <w:t>were younger</w:t>
      </w:r>
      <w:r w:rsidR="00236023">
        <w:t>,</w:t>
      </w:r>
      <w:r w:rsidR="00ED4931">
        <w:t xml:space="preserve"> </w:t>
      </w:r>
      <w:r w:rsidR="00483DED">
        <w:rPr>
          <w:szCs w:val="24"/>
        </w:rPr>
        <w:t xml:space="preserve">a higher proportion were male </w:t>
      </w:r>
      <w:r w:rsidR="00236023">
        <w:rPr>
          <w:szCs w:val="24"/>
        </w:rPr>
        <w:t xml:space="preserve">and had higher prevalence of anaemia </w:t>
      </w:r>
      <w:r w:rsidR="00483DED">
        <w:rPr>
          <w:szCs w:val="24"/>
        </w:rPr>
        <w:t>(</w:t>
      </w:r>
      <w:r w:rsidR="00483DED">
        <w:t>p</w:t>
      </w:r>
      <w:r w:rsidR="00483DED" w:rsidRPr="00EE6B85">
        <w:rPr>
          <w:szCs w:val="24"/>
        </w:rPr>
        <w:t>&lt;0·001</w:t>
      </w:r>
      <w:r w:rsidR="00483DED">
        <w:rPr>
          <w:szCs w:val="24"/>
        </w:rPr>
        <w:t>)</w:t>
      </w:r>
      <w:r w:rsidR="00EB6953">
        <w:rPr>
          <w:szCs w:val="24"/>
        </w:rPr>
        <w:t xml:space="preserve"> compared to </w:t>
      </w:r>
      <w:r w:rsidR="00236023">
        <w:rPr>
          <w:szCs w:val="24"/>
        </w:rPr>
        <w:t xml:space="preserve">non-HIV </w:t>
      </w:r>
      <w:r w:rsidR="00EB6953">
        <w:rPr>
          <w:szCs w:val="24"/>
        </w:rPr>
        <w:t>patients</w:t>
      </w:r>
      <w:r w:rsidR="00483DED">
        <w:rPr>
          <w:szCs w:val="24"/>
        </w:rPr>
        <w:t xml:space="preserve">. </w:t>
      </w:r>
      <w:r w:rsidR="0072229E">
        <w:rPr>
          <w:szCs w:val="24"/>
        </w:rPr>
        <w:t xml:space="preserve">Traditional </w:t>
      </w:r>
      <w:r w:rsidR="00D006C6">
        <w:rPr>
          <w:szCs w:val="24"/>
        </w:rPr>
        <w:t xml:space="preserve">CV </w:t>
      </w:r>
      <w:r w:rsidR="0072229E">
        <w:rPr>
          <w:szCs w:val="24"/>
        </w:rPr>
        <w:t>risk factors, h</w:t>
      </w:r>
      <w:r w:rsidR="00483DED">
        <w:rPr>
          <w:szCs w:val="24"/>
        </w:rPr>
        <w:t>ypertension and diabetes</w:t>
      </w:r>
      <w:r w:rsidR="0072229E">
        <w:rPr>
          <w:szCs w:val="24"/>
        </w:rPr>
        <w:t>,</w:t>
      </w:r>
      <w:r w:rsidR="00483DED">
        <w:rPr>
          <w:szCs w:val="24"/>
        </w:rPr>
        <w:t xml:space="preserve"> were more common in the non-HIV group (</w:t>
      </w:r>
      <w:r w:rsidR="00483DED">
        <w:t>p</w:t>
      </w:r>
      <w:r w:rsidR="00483DED" w:rsidRPr="00EE6B85">
        <w:rPr>
          <w:szCs w:val="24"/>
        </w:rPr>
        <w:t>&lt;0·001</w:t>
      </w:r>
      <w:r w:rsidR="00483DED">
        <w:rPr>
          <w:szCs w:val="24"/>
        </w:rPr>
        <w:t xml:space="preserve">). </w:t>
      </w:r>
      <w:r w:rsidR="00EB6953">
        <w:t>A</w:t>
      </w:r>
      <w:r w:rsidR="00483DED">
        <w:t xml:space="preserve">fter </w:t>
      </w:r>
      <w:r w:rsidR="00F52E01">
        <w:t>a</w:t>
      </w:r>
      <w:r w:rsidR="00483DED">
        <w:t>djust</w:t>
      </w:r>
      <w:r w:rsidR="00F52E01">
        <w:t xml:space="preserve">ing for age, sex, </w:t>
      </w:r>
      <w:r w:rsidR="00EB6953">
        <w:t>stroke type and co-morbidities</w:t>
      </w:r>
      <w:r w:rsidR="00483DED">
        <w:t xml:space="preserve">, HIV </w:t>
      </w:r>
      <w:r w:rsidR="0045196C">
        <w:t xml:space="preserve">infection </w:t>
      </w:r>
      <w:r w:rsidR="00483DED">
        <w:t>was</w:t>
      </w:r>
      <w:r w:rsidR="0045196C">
        <w:t xml:space="preserve"> </w:t>
      </w:r>
      <w:r w:rsidR="001511C8">
        <w:t xml:space="preserve">significantly </w:t>
      </w:r>
      <w:r w:rsidR="00EB6953">
        <w:t xml:space="preserve">associated with </w:t>
      </w:r>
      <w:r w:rsidR="00483DED">
        <w:t xml:space="preserve">higher </w:t>
      </w:r>
      <w:r w:rsidR="0045196C">
        <w:t>odds</w:t>
      </w:r>
      <w:r w:rsidR="00483DED">
        <w:t xml:space="preserve"> of sepsis</w:t>
      </w:r>
      <w:r w:rsidR="0031090C">
        <w:t xml:space="preserve"> (OR 1</w:t>
      </w:r>
      <w:r w:rsidR="0031090C" w:rsidRPr="00EE6B85">
        <w:rPr>
          <w:szCs w:val="24"/>
        </w:rPr>
        <w:t>·</w:t>
      </w:r>
      <w:r w:rsidR="0031090C">
        <w:t>75;1</w:t>
      </w:r>
      <w:r w:rsidR="0031090C" w:rsidRPr="00EE6B85">
        <w:rPr>
          <w:szCs w:val="24"/>
        </w:rPr>
        <w:t>·</w:t>
      </w:r>
      <w:r w:rsidR="00381E6C">
        <w:t>29</w:t>
      </w:r>
      <w:r w:rsidR="0031090C">
        <w:t>-2</w:t>
      </w:r>
      <w:r w:rsidR="0031090C" w:rsidRPr="00EE6B85">
        <w:rPr>
          <w:szCs w:val="24"/>
        </w:rPr>
        <w:t>·</w:t>
      </w:r>
      <w:r w:rsidR="00381E6C">
        <w:t>4</w:t>
      </w:r>
      <w:r w:rsidR="001511C8">
        <w:t>)</w:t>
      </w:r>
      <w:r w:rsidR="00370BD8">
        <w:t>,</w:t>
      </w:r>
      <w:r w:rsidR="001511C8">
        <w:t xml:space="preserve"> </w:t>
      </w:r>
      <w:r w:rsidR="00483DED">
        <w:t xml:space="preserve">and </w:t>
      </w:r>
      <w:r w:rsidR="00E300FA">
        <w:t xml:space="preserve">inpatient </w:t>
      </w:r>
      <w:r w:rsidR="00483DED" w:rsidRPr="0002392B">
        <w:t>mortality (2·</w:t>
      </w:r>
      <w:r w:rsidR="00381E6C">
        <w:t>15</w:t>
      </w:r>
      <w:r w:rsidR="001511C8">
        <w:t>;</w:t>
      </w:r>
      <w:r w:rsidR="0031090C">
        <w:t>1</w:t>
      </w:r>
      <w:r w:rsidR="0031090C" w:rsidRPr="00EE6B85">
        <w:rPr>
          <w:szCs w:val="24"/>
        </w:rPr>
        <w:t>·</w:t>
      </w:r>
      <w:r w:rsidR="00381E6C">
        <w:t>8</w:t>
      </w:r>
      <w:r w:rsidR="0031090C">
        <w:t>-2</w:t>
      </w:r>
      <w:r w:rsidR="0031090C" w:rsidRPr="00EE6B85">
        <w:rPr>
          <w:szCs w:val="24"/>
        </w:rPr>
        <w:t>·</w:t>
      </w:r>
      <w:r w:rsidR="00381E6C">
        <w:t>56</w:t>
      </w:r>
      <w:r w:rsidR="00E565A8">
        <w:t>)</w:t>
      </w:r>
      <w:r w:rsidR="00EB6953">
        <w:t xml:space="preserve"> compared </w:t>
      </w:r>
      <w:r w:rsidR="00CB6100">
        <w:t xml:space="preserve">to </w:t>
      </w:r>
      <w:r w:rsidR="00F56E35">
        <w:t>patients</w:t>
      </w:r>
      <w:r w:rsidR="00EB6953">
        <w:t xml:space="preserve"> without HIV infection</w:t>
      </w:r>
      <w:r w:rsidR="0045196C">
        <w:t xml:space="preserve">. </w:t>
      </w:r>
      <w:r w:rsidR="00E565A8">
        <w:t xml:space="preserve">The </w:t>
      </w:r>
      <w:r w:rsidR="0045196C">
        <w:t xml:space="preserve">latter </w:t>
      </w:r>
      <w:r w:rsidR="00E565A8">
        <w:t>did not attenuate after controll</w:t>
      </w:r>
      <w:r w:rsidR="0031090C">
        <w:t>ing for complications (2</w:t>
      </w:r>
      <w:r w:rsidR="0031090C" w:rsidRPr="00EE6B85">
        <w:rPr>
          <w:szCs w:val="24"/>
        </w:rPr>
        <w:t>·</w:t>
      </w:r>
      <w:r w:rsidR="00381E6C">
        <w:t>2</w:t>
      </w:r>
      <w:r w:rsidR="00D006C6">
        <w:t>0</w:t>
      </w:r>
      <w:r w:rsidR="0031090C">
        <w:t>;1</w:t>
      </w:r>
      <w:r w:rsidR="0031090C" w:rsidRPr="00EE6B85">
        <w:rPr>
          <w:szCs w:val="24"/>
        </w:rPr>
        <w:t>·</w:t>
      </w:r>
      <w:r w:rsidR="00381E6C">
        <w:t>83</w:t>
      </w:r>
      <w:r w:rsidR="0031090C">
        <w:t>-2</w:t>
      </w:r>
      <w:r w:rsidR="0031090C" w:rsidRPr="00EE6B85">
        <w:rPr>
          <w:szCs w:val="24"/>
        </w:rPr>
        <w:t>·</w:t>
      </w:r>
      <w:r w:rsidR="00381E6C">
        <w:t>64</w:t>
      </w:r>
      <w:r w:rsidR="00E565A8">
        <w:t>).</w:t>
      </w:r>
      <w:r w:rsidR="00780849">
        <w:rPr>
          <w:szCs w:val="24"/>
        </w:rPr>
        <w:t xml:space="preserve"> </w:t>
      </w:r>
      <w:r w:rsidR="00F56E35" w:rsidRPr="00991FCB">
        <w:t xml:space="preserve">HIV </w:t>
      </w:r>
      <w:r w:rsidR="00780849">
        <w:t xml:space="preserve">infection </w:t>
      </w:r>
      <w:r w:rsidR="00F56E35" w:rsidRPr="00991FCB">
        <w:t>is associated with increased odds of sepsis and inpatient mortality after acute stroke.</w:t>
      </w:r>
    </w:p>
    <w:p w14:paraId="27185F8C" w14:textId="77777777" w:rsidR="00804626" w:rsidRDefault="00804626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534B0E6" w14:textId="70FBCBAE" w:rsidR="001D6146" w:rsidRPr="001D6146" w:rsidRDefault="001D6146" w:rsidP="0097575D">
      <w:pPr>
        <w:spacing w:after="0" w:line="360" w:lineRule="auto"/>
        <w:outlineLvl w:val="0"/>
        <w:rPr>
          <w:b/>
        </w:rPr>
      </w:pPr>
      <w:r w:rsidRPr="001D6146">
        <w:rPr>
          <w:b/>
        </w:rPr>
        <w:lastRenderedPageBreak/>
        <w:t>Introduction</w:t>
      </w:r>
    </w:p>
    <w:p w14:paraId="317341B2" w14:textId="5018561F" w:rsidR="00A76B74" w:rsidRPr="000D4848" w:rsidRDefault="00756162" w:rsidP="0097575D">
      <w:pPr>
        <w:spacing w:line="360" w:lineRule="auto"/>
        <w:ind w:firstLine="720"/>
        <w:rPr>
          <w:vertAlign w:val="superscript"/>
        </w:rPr>
      </w:pPr>
      <w:r>
        <w:t>The incidence of stroke in low to middle income countries</w:t>
      </w:r>
      <w:r w:rsidR="004715E9">
        <w:t xml:space="preserve"> </w:t>
      </w:r>
      <w:r>
        <w:t>where HIV is prevalent has increased by over 100% during</w:t>
      </w:r>
      <w:r w:rsidR="00C80AF2">
        <w:t xml:space="preserve"> the past four decades</w:t>
      </w:r>
      <w:r w:rsidR="002117A9">
        <w:t xml:space="preserve"> [1]</w:t>
      </w:r>
      <w:r>
        <w:t xml:space="preserve">. </w:t>
      </w:r>
      <w:r w:rsidR="002317ED">
        <w:t>C</w:t>
      </w:r>
      <w:r>
        <w:t>o-existence of HIV and stroke has increased and associations</w:t>
      </w:r>
      <w:r w:rsidR="009008ED">
        <w:t xml:space="preserve"> between HIV and stroke have</w:t>
      </w:r>
      <w:r>
        <w:t xml:space="preserve"> </w:t>
      </w:r>
      <w:r w:rsidR="00906274">
        <w:t>been increasingly recognise</w:t>
      </w:r>
      <w:r w:rsidR="00C80AF2">
        <w:t>d</w:t>
      </w:r>
      <w:r w:rsidR="002117A9">
        <w:t xml:space="preserve"> [2,3]</w:t>
      </w:r>
      <w:r w:rsidRPr="003D43A0">
        <w:t>.</w:t>
      </w:r>
      <w:r>
        <w:t xml:space="preserve"> </w:t>
      </w:r>
      <w:r w:rsidR="00906274">
        <w:t xml:space="preserve">Indeed, both these conditions </w:t>
      </w:r>
      <w:r w:rsidR="00A76B74">
        <w:t>are leading causes of dea</w:t>
      </w:r>
      <w:r w:rsidR="00C80AF2">
        <w:t>th and disability globally</w:t>
      </w:r>
      <w:r w:rsidR="00A76B74">
        <w:t xml:space="preserve">, and </w:t>
      </w:r>
      <w:r w:rsidR="00906274">
        <w:t xml:space="preserve">thus </w:t>
      </w:r>
      <w:r w:rsidR="00A76B74">
        <w:t>their increasing co-exist</w:t>
      </w:r>
      <w:r w:rsidR="004715E9">
        <w:t>e</w:t>
      </w:r>
      <w:r w:rsidR="00A76B74">
        <w:t>nce is of significant public health relevance</w:t>
      </w:r>
      <w:r w:rsidR="002117A9">
        <w:t xml:space="preserve"> [4]</w:t>
      </w:r>
      <w:r w:rsidR="00A76B74">
        <w:t xml:space="preserve">. </w:t>
      </w:r>
      <w:r w:rsidR="00433C19">
        <w:t>A</w:t>
      </w:r>
      <w:r w:rsidR="005D5D5F">
        <w:t>n independent association between HIV and</w:t>
      </w:r>
      <w:r w:rsidR="00A039D2">
        <w:t xml:space="preserve"> </w:t>
      </w:r>
      <w:r w:rsidR="00D26E82">
        <w:t>ischaemic</w:t>
      </w:r>
      <w:r w:rsidR="005D5D5F">
        <w:t xml:space="preserve"> stroke</w:t>
      </w:r>
      <w:r w:rsidR="00C80AF2">
        <w:t xml:space="preserve"> has been demonstrated</w:t>
      </w:r>
      <w:r w:rsidR="005D5D5F">
        <w:t xml:space="preserve"> and</w:t>
      </w:r>
      <w:r w:rsidR="00F91812">
        <w:t>,</w:t>
      </w:r>
      <w:r w:rsidR="005D5D5F">
        <w:t xml:space="preserve"> </w:t>
      </w:r>
      <w:r w:rsidR="00F56E35">
        <w:t xml:space="preserve">in </w:t>
      </w:r>
      <w:r w:rsidR="005E4E60">
        <w:t>some</w:t>
      </w:r>
      <w:r w:rsidR="00F56E35">
        <w:t xml:space="preserve"> cases</w:t>
      </w:r>
      <w:r w:rsidR="00F91812">
        <w:t>,</w:t>
      </w:r>
      <w:r w:rsidR="005D5D5F">
        <w:t xml:space="preserve"> stroke </w:t>
      </w:r>
      <w:r w:rsidR="00A039D2">
        <w:t>has been the</w:t>
      </w:r>
      <w:r w:rsidR="00AA37B4">
        <w:t xml:space="preserve"> </w:t>
      </w:r>
      <w:r w:rsidR="005D5D5F">
        <w:t xml:space="preserve">presenting </w:t>
      </w:r>
      <w:r w:rsidR="00C80AF2">
        <w:t>manifestation of HIV</w:t>
      </w:r>
      <w:r w:rsidR="002117A9">
        <w:t xml:space="preserve"> [5-7]</w:t>
      </w:r>
      <w:r w:rsidR="005D5D5F">
        <w:t>.</w:t>
      </w:r>
    </w:p>
    <w:p w14:paraId="2DAC10D9" w14:textId="25D81044" w:rsidR="00375E6C" w:rsidRDefault="009205CE" w:rsidP="0097575D">
      <w:pPr>
        <w:spacing w:line="360" w:lineRule="auto"/>
        <w:ind w:firstLine="720"/>
      </w:pPr>
      <w:r>
        <w:t xml:space="preserve">Despite </w:t>
      </w:r>
      <w:r w:rsidR="00D86FF6">
        <w:t xml:space="preserve">this, </w:t>
      </w:r>
      <w:r w:rsidR="00A039D2">
        <w:t xml:space="preserve">the impact of HIV on stroke </w:t>
      </w:r>
      <w:r w:rsidR="00A76B74">
        <w:t xml:space="preserve">outcome </w:t>
      </w:r>
      <w:r w:rsidR="00A039D2">
        <w:t>is poorly understood</w:t>
      </w:r>
      <w:r w:rsidR="0081709C">
        <w:t xml:space="preserve">. </w:t>
      </w:r>
      <w:r w:rsidR="004D7B8F">
        <w:t xml:space="preserve">In particular, the prognostic implications of HIV </w:t>
      </w:r>
      <w:r w:rsidR="00A039D2">
        <w:t>on</w:t>
      </w:r>
      <w:r w:rsidR="004D7B8F">
        <w:t xml:space="preserve"> stroke have </w:t>
      </w:r>
      <w:r w:rsidR="00F91812">
        <w:t>never</w:t>
      </w:r>
      <w:r w:rsidR="004D7B8F">
        <w:t xml:space="preserve"> been specifically </w:t>
      </w:r>
      <w:r w:rsidR="00F91812">
        <w:t>investigated</w:t>
      </w:r>
      <w:r w:rsidR="00011ACA">
        <w:t xml:space="preserve">. </w:t>
      </w:r>
      <w:r w:rsidR="00A236D8">
        <w:t>W</w:t>
      </w:r>
      <w:r w:rsidR="00756162">
        <w:t>ith advances in HIV treatment</w:t>
      </w:r>
      <w:r w:rsidR="00A236D8">
        <w:t xml:space="preserve"> associated with improved survival rates</w:t>
      </w:r>
      <w:r w:rsidR="00756162">
        <w:t xml:space="preserve">, the </w:t>
      </w:r>
      <w:r w:rsidR="004715E9">
        <w:t xml:space="preserve">population </w:t>
      </w:r>
      <w:r w:rsidR="00D26E82">
        <w:t>ageing</w:t>
      </w:r>
      <w:r w:rsidR="00756162">
        <w:t xml:space="preserve"> </w:t>
      </w:r>
      <w:r w:rsidR="004715E9">
        <w:t xml:space="preserve">with </w:t>
      </w:r>
      <w:r w:rsidR="005C3D40">
        <w:t xml:space="preserve">HIV </w:t>
      </w:r>
      <w:r w:rsidR="00F91812">
        <w:t>will</w:t>
      </w:r>
      <w:r w:rsidR="00756162">
        <w:t xml:space="preserve"> </w:t>
      </w:r>
      <w:r w:rsidR="00EE3FF6">
        <w:t>continue to</w:t>
      </w:r>
      <w:r w:rsidR="00F91812">
        <w:t xml:space="preserve"> grow </w:t>
      </w:r>
      <w:r w:rsidR="00F825A2">
        <w:t>with a</w:t>
      </w:r>
      <w:r w:rsidR="00A76B74">
        <w:t xml:space="preserve"> likely increasing incidence of </w:t>
      </w:r>
      <w:r w:rsidR="00AA37B4">
        <w:t xml:space="preserve">non-communicable </w:t>
      </w:r>
      <w:r w:rsidR="004715E9">
        <w:t>conditions including st</w:t>
      </w:r>
      <w:r w:rsidR="00FB1E1A">
        <w:t>r</w:t>
      </w:r>
      <w:r w:rsidR="004715E9">
        <w:t>oke.</w:t>
      </w:r>
    </w:p>
    <w:p w14:paraId="3D0F1DBD" w14:textId="4A692C16" w:rsidR="00433C19" w:rsidRDefault="003D43A0" w:rsidP="0097575D">
      <w:pPr>
        <w:spacing w:line="360" w:lineRule="auto"/>
        <w:ind w:firstLine="720"/>
      </w:pPr>
      <w:r>
        <w:t>We investigate</w:t>
      </w:r>
      <w:r w:rsidR="00FB1E1A">
        <w:t>d</w:t>
      </w:r>
      <w:r>
        <w:t xml:space="preserve"> the characteristics and prognostic implications of </w:t>
      </w:r>
      <w:r w:rsidR="00906274">
        <w:t>stroke patients with co</w:t>
      </w:r>
      <w:r w:rsidR="00EF089D">
        <w:t>-</w:t>
      </w:r>
      <w:r w:rsidR="00906274">
        <w:t xml:space="preserve">existing </w:t>
      </w:r>
      <w:r>
        <w:t>HIV</w:t>
      </w:r>
      <w:r w:rsidR="00A236D8">
        <w:t xml:space="preserve"> infection</w:t>
      </w:r>
      <w:r w:rsidR="004715E9">
        <w:t xml:space="preserve"> in Thailand</w:t>
      </w:r>
      <w:r>
        <w:t xml:space="preserve">. </w:t>
      </w:r>
      <w:r w:rsidR="00906274">
        <w:t>S</w:t>
      </w:r>
      <w:r w:rsidR="00A0091D">
        <w:t xml:space="preserve">erious </w:t>
      </w:r>
      <w:r w:rsidR="002D1759">
        <w:t xml:space="preserve">and common </w:t>
      </w:r>
      <w:r w:rsidR="00DB72A4">
        <w:t>complications, inpatient mortality and length of</w:t>
      </w:r>
      <w:r w:rsidR="00D80BB6">
        <w:t xml:space="preserve"> acute </w:t>
      </w:r>
      <w:r w:rsidR="00DB72A4">
        <w:t>inpatient hospital stay</w:t>
      </w:r>
      <w:r w:rsidR="002A1C6D">
        <w:t xml:space="preserve"> </w:t>
      </w:r>
      <w:r w:rsidR="002D1759">
        <w:t xml:space="preserve">(LOS) </w:t>
      </w:r>
      <w:r w:rsidR="009866E8">
        <w:t>after stroke</w:t>
      </w:r>
      <w:r w:rsidR="00906274">
        <w:t xml:space="preserve"> were the </w:t>
      </w:r>
      <w:r w:rsidR="00114C4C">
        <w:t xml:space="preserve">selected </w:t>
      </w:r>
      <w:r w:rsidR="00906274">
        <w:t>outcomes of interest</w:t>
      </w:r>
      <w:r w:rsidR="009866E8">
        <w:t xml:space="preserve">. </w:t>
      </w:r>
    </w:p>
    <w:p w14:paraId="420EA4A6" w14:textId="77777777" w:rsidR="00270923" w:rsidRDefault="00270923" w:rsidP="0097575D">
      <w:pPr>
        <w:spacing w:after="0" w:line="360" w:lineRule="auto"/>
        <w:outlineLvl w:val="0"/>
        <w:rPr>
          <w:b/>
        </w:rPr>
      </w:pPr>
    </w:p>
    <w:p w14:paraId="07F4AB63" w14:textId="7E8B537B" w:rsidR="00DE595D" w:rsidRPr="00512829" w:rsidRDefault="00DE595D" w:rsidP="0097575D">
      <w:pPr>
        <w:spacing w:after="0" w:line="360" w:lineRule="auto"/>
        <w:outlineLvl w:val="0"/>
        <w:rPr>
          <w:b/>
        </w:rPr>
      </w:pPr>
      <w:r w:rsidRPr="00512829">
        <w:rPr>
          <w:b/>
        </w:rPr>
        <w:t>Methods</w:t>
      </w:r>
    </w:p>
    <w:p w14:paraId="07027BBB" w14:textId="50573365" w:rsidR="002A615B" w:rsidRDefault="00DE595D" w:rsidP="0097575D">
      <w:pPr>
        <w:spacing w:line="360" w:lineRule="auto"/>
        <w:ind w:firstLine="720"/>
      </w:pPr>
      <w:r w:rsidRPr="00512829">
        <w:t xml:space="preserve">Data were obtained from the </w:t>
      </w:r>
      <w:r w:rsidR="00CC7C78">
        <w:t xml:space="preserve">Universal Coverage Health Security </w:t>
      </w:r>
      <w:r w:rsidR="0033052E">
        <w:t xml:space="preserve">Insurance </w:t>
      </w:r>
      <w:r w:rsidR="00CC7C78">
        <w:t xml:space="preserve">Scheme </w:t>
      </w:r>
      <w:r w:rsidRPr="00512829">
        <w:t>Database</w:t>
      </w:r>
      <w:r w:rsidR="00320903">
        <w:t xml:space="preserve"> in Thailand. </w:t>
      </w:r>
      <w:r w:rsidR="0082708A">
        <w:t>Briefly</w:t>
      </w:r>
      <w:r w:rsidR="00014BB9">
        <w:t>,</w:t>
      </w:r>
      <w:r w:rsidR="007B6116">
        <w:t xml:space="preserve"> </w:t>
      </w:r>
      <w:r w:rsidR="005B20EE">
        <w:t>in</w:t>
      </w:r>
      <w:r w:rsidR="00CC7C78">
        <w:t xml:space="preserve"> Thailand, </w:t>
      </w:r>
      <w:r w:rsidR="00706463">
        <w:t>the whole population is covere</w:t>
      </w:r>
      <w:r w:rsidR="00706463" w:rsidRPr="00512829">
        <w:t>d</w:t>
      </w:r>
      <w:r w:rsidR="00706463">
        <w:t xml:space="preserve"> by three insurance schemes: </w:t>
      </w:r>
      <w:r w:rsidR="00F825A2">
        <w:t>t</w:t>
      </w:r>
      <w:r w:rsidRPr="00512829">
        <w:t>he Civil Servant Benefit System covers government employees and their dependants (~7% of the po</w:t>
      </w:r>
      <w:r>
        <w:t>pulation)</w:t>
      </w:r>
      <w:r w:rsidR="00FF3352">
        <w:t xml:space="preserve">. The Social Security scheme </w:t>
      </w:r>
      <w:r w:rsidRPr="00512829">
        <w:t>covers private sector employees (</w:t>
      </w:r>
      <w:r w:rsidR="002E53C0">
        <w:t xml:space="preserve">~13% of the population). </w:t>
      </w:r>
      <w:r w:rsidRPr="00512829">
        <w:t>The U</w:t>
      </w:r>
      <w:r w:rsidR="00320903">
        <w:t xml:space="preserve">niversal </w:t>
      </w:r>
      <w:r w:rsidRPr="00512829">
        <w:t>C</w:t>
      </w:r>
      <w:r w:rsidR="00320903">
        <w:t>overage</w:t>
      </w:r>
      <w:r w:rsidRPr="00512829">
        <w:t xml:space="preserve"> </w:t>
      </w:r>
      <w:r w:rsidR="00320903">
        <w:t>H</w:t>
      </w:r>
      <w:r w:rsidRPr="00512829">
        <w:t>ealth</w:t>
      </w:r>
      <w:r w:rsidR="00320903">
        <w:t xml:space="preserve"> S</w:t>
      </w:r>
      <w:r w:rsidRPr="00512829">
        <w:t xml:space="preserve">ecurity </w:t>
      </w:r>
      <w:r w:rsidR="00320903">
        <w:t>S</w:t>
      </w:r>
      <w:r w:rsidRPr="00512829">
        <w:t>cheme</w:t>
      </w:r>
      <w:r w:rsidR="009761DB">
        <w:t xml:space="preserve"> </w:t>
      </w:r>
      <w:r w:rsidR="00C92426">
        <w:t xml:space="preserve">is a basic health insurance </w:t>
      </w:r>
      <w:r w:rsidR="00FF380A">
        <w:t xml:space="preserve">scheme </w:t>
      </w:r>
      <w:r w:rsidR="0082708A">
        <w:t>covering</w:t>
      </w:r>
      <w:r w:rsidRPr="00512829">
        <w:t xml:space="preserve"> the rest of the population</w:t>
      </w:r>
      <w:r w:rsidR="009A3BCB">
        <w:t xml:space="preserve"> [8]</w:t>
      </w:r>
      <w:r w:rsidRPr="00512829">
        <w:t>.</w:t>
      </w:r>
    </w:p>
    <w:p w14:paraId="05516964" w14:textId="4A5DDF70" w:rsidR="00C6452B" w:rsidRPr="00C6452B" w:rsidRDefault="00DE595D" w:rsidP="0097575D">
      <w:pPr>
        <w:spacing w:line="360" w:lineRule="auto"/>
        <w:ind w:firstLine="720"/>
        <w:outlineLvl w:val="0"/>
        <w:rPr>
          <w:b/>
          <w:shd w:val="clear" w:color="auto" w:fill="FFFFFF"/>
        </w:rPr>
      </w:pPr>
      <w:r w:rsidRPr="00512829">
        <w:t xml:space="preserve">All </w:t>
      </w:r>
      <w:r w:rsidR="00C570DC">
        <w:t xml:space="preserve">acute </w:t>
      </w:r>
      <w:r w:rsidR="00D86FF6">
        <w:t xml:space="preserve">hospitalised </w:t>
      </w:r>
      <w:r w:rsidRPr="00512829">
        <w:t>stroke</w:t>
      </w:r>
      <w:r w:rsidR="009761DB">
        <w:t>s</w:t>
      </w:r>
      <w:r w:rsidRPr="00512829">
        <w:t xml:space="preserve"> in Thailand </w:t>
      </w:r>
      <w:r w:rsidR="00D47FFA">
        <w:t>between 1</w:t>
      </w:r>
      <w:r w:rsidRPr="00512829">
        <w:t xml:space="preserve">st October 2004 </w:t>
      </w:r>
      <w:r w:rsidR="00D47FFA">
        <w:t xml:space="preserve">and </w:t>
      </w:r>
      <w:r w:rsidRPr="00512829">
        <w:t xml:space="preserve">31st January 2013 were </w:t>
      </w:r>
      <w:r w:rsidR="009761DB">
        <w:t>studied</w:t>
      </w:r>
      <w:r w:rsidRPr="00512829">
        <w:t xml:space="preserve">. </w:t>
      </w:r>
      <w:r w:rsidR="00D47FFA">
        <w:t xml:space="preserve">We selected this time period as stroke management </w:t>
      </w:r>
      <w:r w:rsidR="00530A83">
        <w:t xml:space="preserve">in Thailand </w:t>
      </w:r>
      <w:r w:rsidR="00D47FFA">
        <w:t xml:space="preserve">has become more in line with </w:t>
      </w:r>
      <w:r w:rsidR="0081709C">
        <w:t xml:space="preserve">current </w:t>
      </w:r>
      <w:r w:rsidR="00D47FFA">
        <w:t>international practice</w:t>
      </w:r>
      <w:r w:rsidR="00320903">
        <w:t xml:space="preserve"> since 2004</w:t>
      </w:r>
      <w:r w:rsidR="00D47FFA">
        <w:t xml:space="preserve">. </w:t>
      </w:r>
      <w:r w:rsidR="00320903" w:rsidRPr="00512829">
        <w:t>Diagnosis o</w:t>
      </w:r>
      <w:r w:rsidR="00320903">
        <w:t xml:space="preserve">f stroke </w:t>
      </w:r>
      <w:r w:rsidR="00320903" w:rsidRPr="00512829">
        <w:t>was</w:t>
      </w:r>
      <w:r w:rsidRPr="00512829">
        <w:t xml:space="preserve"> identified from ICD coding</w:t>
      </w:r>
      <w:r w:rsidR="00536934">
        <w:t xml:space="preserve"> (ICD10 I60-I64)</w:t>
      </w:r>
      <w:r w:rsidRPr="00512829">
        <w:t xml:space="preserve"> on reimbursement forms.</w:t>
      </w:r>
      <w:r w:rsidR="003D43A0">
        <w:t xml:space="preserve"> </w:t>
      </w:r>
      <w:r w:rsidR="002A615B">
        <w:t>In Thailand, d</w:t>
      </w:r>
      <w:r>
        <w:t xml:space="preserve">iagnosis of stroke </w:t>
      </w:r>
      <w:r w:rsidR="008365E9">
        <w:t xml:space="preserve">is </w:t>
      </w:r>
      <w:r>
        <w:t>made during</w:t>
      </w:r>
      <w:r w:rsidR="004715E9">
        <w:t xml:space="preserve"> </w:t>
      </w:r>
      <w:r>
        <w:t>individual's inpatient hospital stay by attending clinical teams</w:t>
      </w:r>
      <w:r w:rsidR="00621D58">
        <w:t xml:space="preserve"> based on clinical features and investigation </w:t>
      </w:r>
      <w:r w:rsidR="003D43A0">
        <w:t>findings</w:t>
      </w:r>
      <w:r w:rsidR="00CA30C6">
        <w:t xml:space="preserve"> including</w:t>
      </w:r>
      <w:r w:rsidR="00C8339B">
        <w:t xml:space="preserve"> </w:t>
      </w:r>
      <w:r w:rsidR="00D47FFA">
        <w:t xml:space="preserve">brain </w:t>
      </w:r>
      <w:r w:rsidR="00F825A2">
        <w:t>im</w:t>
      </w:r>
      <w:r w:rsidR="00D26E82">
        <w:t>aging</w:t>
      </w:r>
      <w:r w:rsidR="003D43A0">
        <w:t>.</w:t>
      </w:r>
      <w:r w:rsidR="00381E6C">
        <w:t xml:space="preserve"> </w:t>
      </w:r>
      <w:r w:rsidR="00D86FF6">
        <w:t>D</w:t>
      </w:r>
      <w:r w:rsidR="001A300A">
        <w:t xml:space="preserve">emographic </w:t>
      </w:r>
      <w:r w:rsidRPr="00512829">
        <w:t>and clinical data were obtained from reimbursement forms using ICD cod</w:t>
      </w:r>
      <w:r w:rsidR="00621D58">
        <w:t>es</w:t>
      </w:r>
      <w:r w:rsidR="00284625">
        <w:t>, on an annual basis</w:t>
      </w:r>
      <w:r w:rsidR="00FE6040">
        <w:t>,</w:t>
      </w:r>
      <w:r w:rsidR="00284625">
        <w:t xml:space="preserve"> </w:t>
      </w:r>
      <w:r w:rsidR="00284625">
        <w:lastRenderedPageBreak/>
        <w:t>from 2004 until 2013</w:t>
      </w:r>
      <w:r w:rsidR="00621D58">
        <w:t xml:space="preserve">. </w:t>
      </w:r>
      <w:r w:rsidR="005C3D40">
        <w:t xml:space="preserve">Data </w:t>
      </w:r>
      <w:r w:rsidRPr="00512829">
        <w:t xml:space="preserve">included age, </w:t>
      </w:r>
      <w:r w:rsidR="005C3D40">
        <w:t>sex</w:t>
      </w:r>
      <w:r w:rsidRPr="00512829">
        <w:t xml:space="preserve">, HIV status, </w:t>
      </w:r>
      <w:r>
        <w:t xml:space="preserve">co-morbidities, </w:t>
      </w:r>
      <w:r w:rsidR="00116E70">
        <w:t>stroke type</w:t>
      </w:r>
      <w:r w:rsidR="00CA30C6">
        <w:t xml:space="preserve">, </w:t>
      </w:r>
      <w:r w:rsidRPr="00512829">
        <w:t>complications of stroke</w:t>
      </w:r>
      <w:r w:rsidR="002A615B">
        <w:t xml:space="preserve"> occurring during </w:t>
      </w:r>
      <w:r w:rsidR="00497450">
        <w:t xml:space="preserve">hospital </w:t>
      </w:r>
      <w:r w:rsidR="002A615B">
        <w:t>admission</w:t>
      </w:r>
      <w:r w:rsidRPr="00512829">
        <w:t xml:space="preserve"> (pneumonia, sepsis, respiratory failure </w:t>
      </w:r>
      <w:r>
        <w:t xml:space="preserve">and </w:t>
      </w:r>
      <w:r w:rsidRPr="00512829">
        <w:t>convulsions</w:t>
      </w:r>
      <w:r w:rsidR="00FE6040">
        <w:t xml:space="preserve"> (</w:t>
      </w:r>
      <w:r w:rsidR="003A1AC0">
        <w:t>using ICD codes)</w:t>
      </w:r>
      <w:r w:rsidRPr="00512829">
        <w:t xml:space="preserve">), </w:t>
      </w:r>
      <w:r w:rsidR="00621D58">
        <w:t>admis</w:t>
      </w:r>
      <w:r w:rsidR="00245111">
        <w:t>sion and discharge</w:t>
      </w:r>
      <w:r w:rsidR="00621D58">
        <w:t xml:space="preserve"> </w:t>
      </w:r>
      <w:r w:rsidR="002317ED">
        <w:t xml:space="preserve">date </w:t>
      </w:r>
      <w:r>
        <w:t>and inpatient mortality.</w:t>
      </w:r>
      <w:r w:rsidR="00C66B7A">
        <w:t xml:space="preserve"> Stroke types were categorised as haemorrhagic</w:t>
      </w:r>
      <w:r w:rsidR="00706463">
        <w:t xml:space="preserve"> (I61,</w:t>
      </w:r>
      <w:r w:rsidR="00FE6040">
        <w:t>I</w:t>
      </w:r>
      <w:r w:rsidR="00706463">
        <w:t>62)</w:t>
      </w:r>
      <w:r w:rsidR="00C66B7A">
        <w:t xml:space="preserve">, ischaemic </w:t>
      </w:r>
      <w:r w:rsidR="00706463">
        <w:t xml:space="preserve">(I63) </w:t>
      </w:r>
      <w:r w:rsidR="00C66B7A">
        <w:t xml:space="preserve">or stroke of </w:t>
      </w:r>
      <w:r w:rsidR="00381E6C">
        <w:t>undetermined</w:t>
      </w:r>
      <w:r w:rsidR="00C66B7A">
        <w:t xml:space="preserve"> pathology</w:t>
      </w:r>
      <w:r w:rsidR="00706463">
        <w:t xml:space="preserve"> (I64)</w:t>
      </w:r>
      <w:r w:rsidR="00C66B7A">
        <w:t xml:space="preserve">. </w:t>
      </w:r>
    </w:p>
    <w:p w14:paraId="1F44CB22" w14:textId="77777777" w:rsidR="002A615B" w:rsidRDefault="00DE595D" w:rsidP="009969D5">
      <w:pPr>
        <w:spacing w:line="360" w:lineRule="auto"/>
        <w:ind w:firstLine="720"/>
        <w:rPr>
          <w:shd w:val="clear" w:color="auto" w:fill="FFFFFF"/>
        </w:rPr>
      </w:pPr>
      <w:r>
        <w:rPr>
          <w:shd w:val="clear" w:color="auto" w:fill="FFFFFF"/>
        </w:rPr>
        <w:t>Statistical analys</w:t>
      </w:r>
      <w:r w:rsidR="0031090C">
        <w:rPr>
          <w:shd w:val="clear" w:color="auto" w:fill="FFFFFF"/>
        </w:rPr>
        <w:t>is was performed using Stata 11</w:t>
      </w:r>
      <w:r w:rsidR="0031090C" w:rsidRPr="00EE6B85">
        <w:rPr>
          <w:szCs w:val="24"/>
        </w:rPr>
        <w:t>·</w:t>
      </w:r>
      <w:r>
        <w:rPr>
          <w:shd w:val="clear" w:color="auto" w:fill="FFFFFF"/>
        </w:rPr>
        <w:t xml:space="preserve">2/SE (Texas, USA). </w:t>
      </w:r>
      <w:r w:rsidRPr="00512829">
        <w:t>Statistical significance was assumed where p</w:t>
      </w:r>
      <w:r w:rsidRPr="00512829">
        <w:rPr>
          <w:rFonts w:ascii="AdvP7DA6" w:hAnsi="AdvP7DA6" w:cs="AdvP7DA6"/>
        </w:rPr>
        <w:t>&lt;</w:t>
      </w:r>
      <w:r w:rsidR="008365E9">
        <w:t>0</w:t>
      </w:r>
      <w:r w:rsidR="008365E9" w:rsidRPr="00EE6B85">
        <w:rPr>
          <w:szCs w:val="24"/>
        </w:rPr>
        <w:t>·</w:t>
      </w:r>
      <w:r w:rsidRPr="00512829">
        <w:t xml:space="preserve">05. </w:t>
      </w:r>
      <w:r>
        <w:rPr>
          <w:shd w:val="clear" w:color="auto" w:fill="FFFFFF"/>
        </w:rPr>
        <w:t xml:space="preserve">Descriptive statistics were calculated separately for individuals with </w:t>
      </w:r>
      <w:r w:rsidR="00C97519">
        <w:rPr>
          <w:shd w:val="clear" w:color="auto" w:fill="FFFFFF"/>
        </w:rPr>
        <w:t xml:space="preserve">and </w:t>
      </w:r>
      <w:r>
        <w:rPr>
          <w:shd w:val="clear" w:color="auto" w:fill="FFFFFF"/>
        </w:rPr>
        <w:t xml:space="preserve">without </w:t>
      </w:r>
      <w:r w:rsidR="00C97519">
        <w:rPr>
          <w:shd w:val="clear" w:color="auto" w:fill="FFFFFF"/>
        </w:rPr>
        <w:t xml:space="preserve">HIV </w:t>
      </w:r>
      <w:r w:rsidR="004715E9">
        <w:rPr>
          <w:shd w:val="clear" w:color="auto" w:fill="FFFFFF"/>
        </w:rPr>
        <w:t>infection</w:t>
      </w:r>
      <w:r w:rsidR="00C97519">
        <w:rPr>
          <w:shd w:val="clear" w:color="auto" w:fill="FFFFFF"/>
        </w:rPr>
        <w:t xml:space="preserve"> and compared</w:t>
      </w:r>
      <w:r>
        <w:rPr>
          <w:shd w:val="clear" w:color="auto" w:fill="FFFFFF"/>
        </w:rPr>
        <w:t xml:space="preserve">. </w:t>
      </w:r>
    </w:p>
    <w:p w14:paraId="2D318935" w14:textId="13CC4DA1" w:rsidR="007D6EB8" w:rsidRDefault="00DE595D" w:rsidP="0097575D">
      <w:pPr>
        <w:spacing w:line="360" w:lineRule="auto"/>
        <w:ind w:firstLine="720"/>
      </w:pPr>
      <w:r>
        <w:rPr>
          <w:shd w:val="clear" w:color="auto" w:fill="FFFFFF"/>
        </w:rPr>
        <w:t xml:space="preserve">Post stroke </w:t>
      </w:r>
      <w:r w:rsidR="002A615B">
        <w:rPr>
          <w:shd w:val="clear" w:color="auto" w:fill="FFFFFF"/>
        </w:rPr>
        <w:t xml:space="preserve">complications </w:t>
      </w:r>
      <w:r>
        <w:rPr>
          <w:shd w:val="clear" w:color="auto" w:fill="FFFFFF"/>
        </w:rPr>
        <w:t xml:space="preserve">for </w:t>
      </w:r>
      <w:r w:rsidR="00621D58">
        <w:rPr>
          <w:shd w:val="clear" w:color="auto" w:fill="FFFFFF"/>
        </w:rPr>
        <w:t xml:space="preserve">stroke </w:t>
      </w:r>
      <w:r>
        <w:rPr>
          <w:shd w:val="clear" w:color="auto" w:fill="FFFFFF"/>
        </w:rPr>
        <w:t xml:space="preserve">patients </w:t>
      </w:r>
      <w:r w:rsidR="00621D58">
        <w:rPr>
          <w:shd w:val="clear" w:color="auto" w:fill="FFFFFF"/>
        </w:rPr>
        <w:t xml:space="preserve">with HIV </w:t>
      </w:r>
      <w:r w:rsidR="001A7A56">
        <w:rPr>
          <w:shd w:val="clear" w:color="auto" w:fill="FFFFFF"/>
        </w:rPr>
        <w:t>were</w:t>
      </w:r>
      <w:r w:rsidR="00621D58">
        <w:rPr>
          <w:shd w:val="clear" w:color="auto" w:fill="FFFFFF"/>
        </w:rPr>
        <w:t xml:space="preserve"> assessed </w:t>
      </w:r>
      <w:r>
        <w:rPr>
          <w:shd w:val="clear" w:color="auto" w:fill="FFFFFF"/>
        </w:rPr>
        <w:t xml:space="preserve">using four logistic regression models </w:t>
      </w:r>
      <w:r w:rsidR="00621D58">
        <w:rPr>
          <w:shd w:val="clear" w:color="auto" w:fill="FFFFFF"/>
        </w:rPr>
        <w:t>using non-HIV patients as the reference category.</w:t>
      </w:r>
      <w:r w:rsidR="00082D8F">
        <w:rPr>
          <w:shd w:val="clear" w:color="auto" w:fill="FFFFFF"/>
        </w:rPr>
        <w:t xml:space="preserve"> </w:t>
      </w:r>
      <w:r w:rsidR="00D85047">
        <w:rPr>
          <w:shd w:val="clear" w:color="auto" w:fill="FFFFFF"/>
        </w:rPr>
        <w:t>M</w:t>
      </w:r>
      <w:r>
        <w:rPr>
          <w:shd w:val="clear" w:color="auto" w:fill="FFFFFF"/>
        </w:rPr>
        <w:t>odel A presents an unadjusted analysis, model B adjust</w:t>
      </w:r>
      <w:r w:rsidR="00731D0A">
        <w:rPr>
          <w:shd w:val="clear" w:color="auto" w:fill="FFFFFF"/>
        </w:rPr>
        <w:t>ed</w:t>
      </w:r>
      <w:r>
        <w:rPr>
          <w:shd w:val="clear" w:color="auto" w:fill="FFFFFF"/>
        </w:rPr>
        <w:t xml:space="preserve"> for age and sex</w:t>
      </w:r>
      <w:r w:rsidR="00245111">
        <w:rPr>
          <w:shd w:val="clear" w:color="auto" w:fill="FFFFFF"/>
        </w:rPr>
        <w:t>, model C adjusted for age, sex</w:t>
      </w:r>
      <w:r>
        <w:rPr>
          <w:shd w:val="clear" w:color="auto" w:fill="FFFFFF"/>
        </w:rPr>
        <w:t xml:space="preserve"> and stroke type, model D </w:t>
      </w:r>
      <w:r w:rsidR="00731D0A">
        <w:rPr>
          <w:shd w:val="clear" w:color="auto" w:fill="FFFFFF"/>
        </w:rPr>
        <w:t xml:space="preserve">was constructed as in model C with additional </w:t>
      </w:r>
      <w:r>
        <w:rPr>
          <w:shd w:val="clear" w:color="auto" w:fill="FFFFFF"/>
        </w:rPr>
        <w:t>adjust</w:t>
      </w:r>
      <w:r w:rsidR="00731D0A">
        <w:rPr>
          <w:shd w:val="clear" w:color="auto" w:fill="FFFFFF"/>
        </w:rPr>
        <w:t xml:space="preserve">ment for </w:t>
      </w:r>
      <w:r w:rsidR="00FF380A">
        <w:rPr>
          <w:shd w:val="clear" w:color="auto" w:fill="FFFFFF"/>
        </w:rPr>
        <w:t xml:space="preserve">the three </w:t>
      </w:r>
      <w:r w:rsidR="00D85047">
        <w:rPr>
          <w:shd w:val="clear" w:color="auto" w:fill="FFFFFF"/>
        </w:rPr>
        <w:t>commonest</w:t>
      </w:r>
      <w:r w:rsidR="00731D0A">
        <w:rPr>
          <w:shd w:val="clear" w:color="auto" w:fill="FFFFFF"/>
        </w:rPr>
        <w:t xml:space="preserve"> co-morbid conditions </w:t>
      </w:r>
      <w:r w:rsidR="00320903">
        <w:rPr>
          <w:shd w:val="clear" w:color="auto" w:fill="FFFFFF"/>
        </w:rPr>
        <w:t>(</w:t>
      </w:r>
      <w:r>
        <w:rPr>
          <w:shd w:val="clear" w:color="auto" w:fill="FFFFFF"/>
        </w:rPr>
        <w:t>hypertension</w:t>
      </w:r>
      <w:r w:rsidR="00731D0A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history of previous stroke and </w:t>
      </w:r>
      <w:r w:rsidR="00F10744">
        <w:rPr>
          <w:shd w:val="clear" w:color="auto" w:fill="FFFFFF"/>
        </w:rPr>
        <w:t>anaemia</w:t>
      </w:r>
      <w:r w:rsidR="00272F97">
        <w:rPr>
          <w:shd w:val="clear" w:color="auto" w:fill="FFFFFF"/>
        </w:rPr>
        <w:t xml:space="preserve">), and </w:t>
      </w:r>
      <w:r w:rsidR="00497450">
        <w:rPr>
          <w:shd w:val="clear" w:color="auto" w:fill="FFFFFF"/>
        </w:rPr>
        <w:t xml:space="preserve">model E </w:t>
      </w:r>
      <w:r w:rsidR="00706463">
        <w:rPr>
          <w:shd w:val="clear" w:color="auto" w:fill="FFFFFF"/>
        </w:rPr>
        <w:t>(mortality</w:t>
      </w:r>
      <w:r w:rsidR="00706463" w:rsidRPr="00706463">
        <w:rPr>
          <w:shd w:val="clear" w:color="auto" w:fill="FFFFFF"/>
        </w:rPr>
        <w:t xml:space="preserve"> </w:t>
      </w:r>
      <w:r w:rsidR="00706463">
        <w:rPr>
          <w:shd w:val="clear" w:color="auto" w:fill="FFFFFF"/>
        </w:rPr>
        <w:t xml:space="preserve">and LOS outcomes only) </w:t>
      </w:r>
      <w:r w:rsidR="00497450">
        <w:rPr>
          <w:shd w:val="clear" w:color="auto" w:fill="FFFFFF"/>
        </w:rPr>
        <w:t>was constructed as in model D with additional adjustment for complications of stroke (pneumon</w:t>
      </w:r>
      <w:r w:rsidR="00245111">
        <w:rPr>
          <w:shd w:val="clear" w:color="auto" w:fill="FFFFFF"/>
        </w:rPr>
        <w:t>ia, sepsis, respiratory failure</w:t>
      </w:r>
      <w:r w:rsidR="00272F97">
        <w:rPr>
          <w:shd w:val="clear" w:color="auto" w:fill="FFFFFF"/>
        </w:rPr>
        <w:t xml:space="preserve"> and</w:t>
      </w:r>
      <w:r w:rsidR="00497450">
        <w:rPr>
          <w:shd w:val="clear" w:color="auto" w:fill="FFFFFF"/>
        </w:rPr>
        <w:t xml:space="preserve"> convulsions)</w:t>
      </w:r>
      <w:r w:rsidR="00706463">
        <w:rPr>
          <w:shd w:val="clear" w:color="auto" w:fill="FFFFFF"/>
        </w:rPr>
        <w:t xml:space="preserve">. </w:t>
      </w:r>
      <w:r w:rsidR="00D86FF6">
        <w:rPr>
          <w:shd w:val="clear" w:color="auto" w:fill="FFFFFF"/>
        </w:rPr>
        <w:t>M</w:t>
      </w:r>
      <w:r>
        <w:rPr>
          <w:shd w:val="clear" w:color="auto" w:fill="FFFFFF"/>
        </w:rPr>
        <w:t>odels were repeated stratifying by stroke type</w:t>
      </w:r>
      <w:r w:rsidR="00C97519">
        <w:rPr>
          <w:shd w:val="clear" w:color="auto" w:fill="FFFFFF"/>
        </w:rPr>
        <w:t xml:space="preserve">. </w:t>
      </w:r>
      <w:r w:rsidRPr="00AE73A2">
        <w:t>For</w:t>
      </w:r>
      <w:r w:rsidR="002A1C6D">
        <w:t xml:space="preserve"> </w:t>
      </w:r>
      <w:r w:rsidRPr="00AE73A2">
        <w:t xml:space="preserve">LOS </w:t>
      </w:r>
      <w:r w:rsidR="00A56E7F">
        <w:t xml:space="preserve">outcome </w:t>
      </w:r>
      <w:r w:rsidRPr="00AE73A2">
        <w:t>a linear regression model was used, but in order to allow for</w:t>
      </w:r>
      <w:r>
        <w:t xml:space="preserve"> the non-normal distribution of</w:t>
      </w:r>
      <w:r w:rsidRPr="00AE73A2">
        <w:t xml:space="preserve"> LOS the boo</w:t>
      </w:r>
      <w:r>
        <w:t>t</w:t>
      </w:r>
      <w:r w:rsidRPr="00AE73A2">
        <w:t>strap using 1,000 replications was used to estimate the p-value and confidence interval</w:t>
      </w:r>
      <w:r w:rsidR="00B8331C">
        <w:t xml:space="preserve"> for the mean difference in LOS between HIV and non-HIV stroke patients</w:t>
      </w:r>
      <w:r w:rsidRPr="00AE73A2">
        <w:t>.</w:t>
      </w:r>
    </w:p>
    <w:p w14:paraId="4CB2BB6D" w14:textId="77777777" w:rsidR="00370BD8" w:rsidRDefault="00433C19" w:rsidP="0097575D">
      <w:pPr>
        <w:spacing w:line="360" w:lineRule="auto"/>
        <w:ind w:firstLine="720"/>
      </w:pPr>
      <w:r w:rsidRPr="00433C19">
        <w:t xml:space="preserve">The study was approved by the </w:t>
      </w:r>
      <w:r w:rsidR="00DC216A">
        <w:t>E</w:t>
      </w:r>
      <w:r w:rsidRPr="00433C19">
        <w:t xml:space="preserve">thics </w:t>
      </w:r>
      <w:r w:rsidR="00DC216A">
        <w:t>C</w:t>
      </w:r>
      <w:r w:rsidRPr="00433C19">
        <w:t xml:space="preserve">ommittee in </w:t>
      </w:r>
      <w:r w:rsidR="00DC216A">
        <w:t>H</w:t>
      </w:r>
      <w:r w:rsidRPr="00433C19">
        <w:t xml:space="preserve">uman </w:t>
      </w:r>
      <w:r w:rsidR="00DC216A">
        <w:t>R</w:t>
      </w:r>
      <w:r w:rsidRPr="00433C19">
        <w:t>esearch, Khon Kaen University, Khon Kaen</w:t>
      </w:r>
      <w:r w:rsidR="00DC216A">
        <w:t>,</w:t>
      </w:r>
      <w:r w:rsidRPr="00433C19">
        <w:t xml:space="preserve"> Thailand</w:t>
      </w:r>
      <w:r w:rsidR="007B6116">
        <w:t>.</w:t>
      </w:r>
    </w:p>
    <w:p w14:paraId="3D6238FB" w14:textId="77777777" w:rsidR="00270923" w:rsidRDefault="00270923" w:rsidP="0097575D">
      <w:pPr>
        <w:spacing w:line="360" w:lineRule="auto"/>
        <w:outlineLvl w:val="0"/>
        <w:rPr>
          <w:b/>
        </w:rPr>
      </w:pPr>
    </w:p>
    <w:p w14:paraId="7FCD1897" w14:textId="177D4F91" w:rsidR="00DE595D" w:rsidRDefault="00DE595D" w:rsidP="0097575D">
      <w:pPr>
        <w:spacing w:line="360" w:lineRule="auto"/>
        <w:outlineLvl w:val="0"/>
        <w:rPr>
          <w:b/>
        </w:rPr>
      </w:pPr>
      <w:r>
        <w:rPr>
          <w:b/>
        </w:rPr>
        <w:t>Results</w:t>
      </w:r>
    </w:p>
    <w:p w14:paraId="7A354A72" w14:textId="6BEC2D5C" w:rsidR="00DE595D" w:rsidRDefault="00061357" w:rsidP="0097575D">
      <w:pPr>
        <w:spacing w:line="360" w:lineRule="auto"/>
        <w:ind w:firstLine="720"/>
        <w:rPr>
          <w:szCs w:val="24"/>
        </w:rPr>
      </w:pPr>
      <w:r>
        <w:t>Between 1</w:t>
      </w:r>
      <w:r w:rsidRPr="00061357">
        <w:rPr>
          <w:vertAlign w:val="superscript"/>
        </w:rPr>
        <w:t>st</w:t>
      </w:r>
      <w:r>
        <w:t xml:space="preserve"> October 2004 and 31</w:t>
      </w:r>
      <w:r w:rsidRPr="00061357">
        <w:rPr>
          <w:vertAlign w:val="superscript"/>
        </w:rPr>
        <w:t>st</w:t>
      </w:r>
      <w:r>
        <w:t xml:space="preserve"> January 2013, </w:t>
      </w:r>
      <w:r w:rsidR="00260445">
        <w:t xml:space="preserve">610,688 </w:t>
      </w:r>
      <w:r w:rsidR="00DE595D">
        <w:t xml:space="preserve"> </w:t>
      </w:r>
      <w:r w:rsidR="007D2833">
        <w:t xml:space="preserve">hospitalised </w:t>
      </w:r>
      <w:r w:rsidR="00A56E7F">
        <w:t xml:space="preserve">stroke </w:t>
      </w:r>
      <w:r w:rsidR="00DE595D">
        <w:t>patients</w:t>
      </w:r>
      <w:r w:rsidR="00DE595D" w:rsidRPr="00512829">
        <w:t xml:space="preserve"> </w:t>
      </w:r>
      <w:r w:rsidR="00DE595D">
        <w:t>were ident</w:t>
      </w:r>
      <w:r w:rsidR="001F3FF4">
        <w:t>ified</w:t>
      </w:r>
      <w:r>
        <w:t xml:space="preserve"> and included in this</w:t>
      </w:r>
      <w:r w:rsidR="00FE6040">
        <w:t xml:space="preserve"> analysis</w:t>
      </w:r>
      <w:r w:rsidR="00820BF6">
        <w:t xml:space="preserve">. Sample </w:t>
      </w:r>
      <w:r w:rsidR="00747061">
        <w:t>m</w:t>
      </w:r>
      <w:r w:rsidR="00DE595D">
        <w:t xml:space="preserve">ean age </w:t>
      </w:r>
      <w:r w:rsidR="00AF42EB">
        <w:t xml:space="preserve">was </w:t>
      </w:r>
      <w:r w:rsidR="00DE595D">
        <w:t>63</w:t>
      </w:r>
      <w:r w:rsidR="00DE595D" w:rsidRPr="00EE6B85">
        <w:rPr>
          <w:szCs w:val="24"/>
        </w:rPr>
        <w:t>·</w:t>
      </w:r>
      <w:r w:rsidR="00DE595D">
        <w:rPr>
          <w:szCs w:val="24"/>
        </w:rPr>
        <w:t>4 years</w:t>
      </w:r>
      <w:r w:rsidR="00B8331C">
        <w:rPr>
          <w:szCs w:val="24"/>
        </w:rPr>
        <w:t xml:space="preserve"> </w:t>
      </w:r>
      <w:r w:rsidR="00A56E7F" w:rsidRPr="00B8331C">
        <w:rPr>
          <w:szCs w:val="24"/>
        </w:rPr>
        <w:t>(</w:t>
      </w:r>
      <w:r w:rsidR="00A56E7F" w:rsidRPr="00B8331C">
        <w:rPr>
          <w:rFonts w:cs="Arial"/>
          <w:szCs w:val="24"/>
        </w:rPr>
        <w:t>±</w:t>
      </w:r>
      <w:r w:rsidR="00B8331C" w:rsidRPr="00B8331C">
        <w:rPr>
          <w:szCs w:val="24"/>
        </w:rPr>
        <w:t>14·7</w:t>
      </w:r>
      <w:r w:rsidR="007D2833">
        <w:rPr>
          <w:szCs w:val="24"/>
        </w:rPr>
        <w:t xml:space="preserve"> years</w:t>
      </w:r>
      <w:r w:rsidR="00D73B0F" w:rsidRPr="00B8331C">
        <w:rPr>
          <w:szCs w:val="24"/>
        </w:rPr>
        <w:t>)</w:t>
      </w:r>
      <w:r w:rsidR="00D73B0F" w:rsidRPr="00B8331C">
        <w:t>,</w:t>
      </w:r>
      <w:r w:rsidR="00DE595D">
        <w:t xml:space="preserve"> 45</w:t>
      </w:r>
      <w:r w:rsidR="00DE595D" w:rsidRPr="00EE6B85">
        <w:rPr>
          <w:szCs w:val="24"/>
        </w:rPr>
        <w:t>·</w:t>
      </w:r>
      <w:r w:rsidR="00DE595D">
        <w:t xml:space="preserve">4% </w:t>
      </w:r>
      <w:r w:rsidR="00FE6040">
        <w:t xml:space="preserve">(N=276,178) </w:t>
      </w:r>
      <w:r w:rsidR="00DE595D">
        <w:t xml:space="preserve">were </w:t>
      </w:r>
      <w:r w:rsidR="000C25AE">
        <w:t>fe</w:t>
      </w:r>
      <w:r w:rsidR="00DE595D">
        <w:t>male</w:t>
      </w:r>
      <w:r w:rsidR="00C97519">
        <w:t xml:space="preserve"> and</w:t>
      </w:r>
      <w:r w:rsidR="00C8339B">
        <w:t xml:space="preserve"> t</w:t>
      </w:r>
      <w:r w:rsidR="00A56E7F">
        <w:t xml:space="preserve">he prevalence of HIV was </w:t>
      </w:r>
      <w:r w:rsidR="00DE595D">
        <w:t>0</w:t>
      </w:r>
      <w:r w:rsidR="00DE595D" w:rsidRPr="00EE6B85">
        <w:rPr>
          <w:szCs w:val="24"/>
        </w:rPr>
        <w:t>·</w:t>
      </w:r>
      <w:r w:rsidR="00DE595D">
        <w:t>14%</w:t>
      </w:r>
      <w:r w:rsidR="00820BF6">
        <w:t xml:space="preserve"> </w:t>
      </w:r>
      <w:r w:rsidR="00DE595D">
        <w:t>(N=8</w:t>
      </w:r>
      <w:r w:rsidR="00260445">
        <w:t>66</w:t>
      </w:r>
      <w:r w:rsidR="00DE595D">
        <w:t xml:space="preserve">). Characteristics of the study sample, according to HIV status, are presented in </w:t>
      </w:r>
      <w:r w:rsidR="00820BF6">
        <w:t>T</w:t>
      </w:r>
      <w:r w:rsidR="00DE595D">
        <w:t>able 1. On average, those with HIV were 22</w:t>
      </w:r>
      <w:r w:rsidR="00DE595D" w:rsidRPr="00EE6B85">
        <w:rPr>
          <w:szCs w:val="24"/>
        </w:rPr>
        <w:t>·</w:t>
      </w:r>
      <w:r w:rsidR="00381E6C">
        <w:rPr>
          <w:szCs w:val="24"/>
        </w:rPr>
        <w:t>2</w:t>
      </w:r>
      <w:r w:rsidR="00DE595D">
        <w:rPr>
          <w:szCs w:val="24"/>
        </w:rPr>
        <w:t xml:space="preserve"> </w:t>
      </w:r>
      <w:r w:rsidR="00DE595D">
        <w:t>years yo</w:t>
      </w:r>
      <w:r w:rsidR="003355D9">
        <w:t>unger</w:t>
      </w:r>
      <w:r w:rsidR="002A615B">
        <w:t xml:space="preserve"> </w:t>
      </w:r>
      <w:r w:rsidR="00AF42EB">
        <w:rPr>
          <w:szCs w:val="24"/>
        </w:rPr>
        <w:t xml:space="preserve">and </w:t>
      </w:r>
      <w:r w:rsidR="0080003D">
        <w:rPr>
          <w:szCs w:val="24"/>
        </w:rPr>
        <w:t xml:space="preserve">a higher proportion were male </w:t>
      </w:r>
      <w:r w:rsidR="00820BF6">
        <w:rPr>
          <w:szCs w:val="24"/>
        </w:rPr>
        <w:t>(</w:t>
      </w:r>
      <w:r w:rsidR="00820BF6">
        <w:t>p</w:t>
      </w:r>
      <w:r w:rsidR="00820BF6" w:rsidRPr="00EE6B85">
        <w:rPr>
          <w:szCs w:val="24"/>
        </w:rPr>
        <w:t>&lt;0·001</w:t>
      </w:r>
      <w:r w:rsidR="00820BF6">
        <w:rPr>
          <w:szCs w:val="24"/>
        </w:rPr>
        <w:t>).</w:t>
      </w:r>
      <w:r w:rsidR="00DE595D">
        <w:rPr>
          <w:szCs w:val="24"/>
        </w:rPr>
        <w:t xml:space="preserve"> </w:t>
      </w:r>
      <w:r w:rsidR="00F16B17">
        <w:rPr>
          <w:szCs w:val="24"/>
        </w:rPr>
        <w:t>H</w:t>
      </w:r>
      <w:r w:rsidR="00DE595D">
        <w:rPr>
          <w:szCs w:val="24"/>
        </w:rPr>
        <w:t>ypertension and diabetes were almost five times more prevalent in the non-HIV group</w:t>
      </w:r>
      <w:r w:rsidR="00820BF6">
        <w:rPr>
          <w:szCs w:val="24"/>
        </w:rPr>
        <w:t xml:space="preserve"> (</w:t>
      </w:r>
      <w:r w:rsidR="00820BF6">
        <w:t>p</w:t>
      </w:r>
      <w:r w:rsidR="00820BF6" w:rsidRPr="00EE6B85">
        <w:rPr>
          <w:szCs w:val="24"/>
        </w:rPr>
        <w:t>&lt;0·001</w:t>
      </w:r>
      <w:r w:rsidR="002A1C6D">
        <w:rPr>
          <w:szCs w:val="24"/>
        </w:rPr>
        <w:t>)</w:t>
      </w:r>
      <w:r w:rsidR="002B6A6A">
        <w:rPr>
          <w:szCs w:val="24"/>
        </w:rPr>
        <w:t xml:space="preserve"> but the overall </w:t>
      </w:r>
      <w:r w:rsidR="007D2833">
        <w:rPr>
          <w:szCs w:val="24"/>
        </w:rPr>
        <w:t xml:space="preserve">number of patients with </w:t>
      </w:r>
      <w:r w:rsidR="002B6A6A">
        <w:rPr>
          <w:szCs w:val="24"/>
        </w:rPr>
        <w:t xml:space="preserve">diabetes </w:t>
      </w:r>
      <w:r w:rsidR="007D2833">
        <w:rPr>
          <w:szCs w:val="24"/>
        </w:rPr>
        <w:t xml:space="preserve">in </w:t>
      </w:r>
      <w:r w:rsidR="00815792">
        <w:rPr>
          <w:szCs w:val="24"/>
        </w:rPr>
        <w:t xml:space="preserve">the </w:t>
      </w:r>
      <w:r w:rsidR="007D2833">
        <w:rPr>
          <w:szCs w:val="24"/>
        </w:rPr>
        <w:t xml:space="preserve">HIV group </w:t>
      </w:r>
      <w:r w:rsidR="002B6A6A">
        <w:rPr>
          <w:szCs w:val="24"/>
        </w:rPr>
        <w:t>was very low</w:t>
      </w:r>
      <w:r w:rsidR="007D6EB8">
        <w:rPr>
          <w:szCs w:val="24"/>
        </w:rPr>
        <w:t xml:space="preserve"> (N=29)</w:t>
      </w:r>
      <w:r w:rsidR="00DE595D">
        <w:rPr>
          <w:szCs w:val="24"/>
        </w:rPr>
        <w:t>.</w:t>
      </w:r>
      <w:r w:rsidR="00820BF6">
        <w:rPr>
          <w:szCs w:val="24"/>
        </w:rPr>
        <w:t xml:space="preserve"> T</w:t>
      </w:r>
      <w:r w:rsidR="003355D9">
        <w:rPr>
          <w:szCs w:val="24"/>
        </w:rPr>
        <w:t xml:space="preserve">he prevalence of </w:t>
      </w:r>
      <w:r w:rsidR="00F10744">
        <w:rPr>
          <w:szCs w:val="24"/>
        </w:rPr>
        <w:t>anaemia</w:t>
      </w:r>
      <w:r w:rsidR="003355D9">
        <w:rPr>
          <w:szCs w:val="24"/>
        </w:rPr>
        <w:t xml:space="preserve"> in the HIV group was </w:t>
      </w:r>
      <w:r w:rsidR="00381E6C">
        <w:rPr>
          <w:szCs w:val="24"/>
        </w:rPr>
        <w:t>more than double than</w:t>
      </w:r>
      <w:r w:rsidR="003355D9">
        <w:rPr>
          <w:szCs w:val="24"/>
        </w:rPr>
        <w:t xml:space="preserve"> in the </w:t>
      </w:r>
      <w:r w:rsidR="003355D9">
        <w:rPr>
          <w:szCs w:val="24"/>
        </w:rPr>
        <w:lastRenderedPageBreak/>
        <w:t>non-HIV group</w:t>
      </w:r>
      <w:r w:rsidR="00DE595D">
        <w:rPr>
          <w:szCs w:val="24"/>
        </w:rPr>
        <w:t xml:space="preserve"> (</w:t>
      </w:r>
      <w:r w:rsidR="00DE595D">
        <w:t>p</w:t>
      </w:r>
      <w:r w:rsidR="00DE595D" w:rsidRPr="00EE6B85">
        <w:rPr>
          <w:szCs w:val="24"/>
        </w:rPr>
        <w:t>&lt;0·001</w:t>
      </w:r>
      <w:r w:rsidR="00DE595D">
        <w:rPr>
          <w:szCs w:val="24"/>
        </w:rPr>
        <w:t>). The proportion of individuals with different types of stroke varied between the two groups (p</w:t>
      </w:r>
      <w:r w:rsidR="00DE595D" w:rsidRPr="00EE6B85">
        <w:rPr>
          <w:szCs w:val="24"/>
        </w:rPr>
        <w:t>&lt;0.001</w:t>
      </w:r>
      <w:r w:rsidR="00DE595D">
        <w:rPr>
          <w:szCs w:val="24"/>
        </w:rPr>
        <w:t xml:space="preserve">). </w:t>
      </w:r>
      <w:r w:rsidR="00D26E82">
        <w:rPr>
          <w:szCs w:val="24"/>
        </w:rPr>
        <w:t>Haemorrhagic</w:t>
      </w:r>
      <w:r w:rsidR="00DE595D">
        <w:rPr>
          <w:szCs w:val="24"/>
        </w:rPr>
        <w:t xml:space="preserve"> stroke was </w:t>
      </w:r>
      <w:r w:rsidR="00381E6C">
        <w:rPr>
          <w:szCs w:val="24"/>
        </w:rPr>
        <w:t xml:space="preserve">marginally </w:t>
      </w:r>
      <w:r w:rsidR="00DE595D">
        <w:rPr>
          <w:szCs w:val="24"/>
        </w:rPr>
        <w:t>mo</w:t>
      </w:r>
      <w:r w:rsidR="002332AA">
        <w:rPr>
          <w:szCs w:val="24"/>
        </w:rPr>
        <w:t xml:space="preserve">re common in the non-HIV group </w:t>
      </w:r>
      <w:r w:rsidR="00DE595D">
        <w:rPr>
          <w:szCs w:val="24"/>
        </w:rPr>
        <w:t xml:space="preserve">whilst </w:t>
      </w:r>
      <w:r w:rsidR="00D26E82">
        <w:rPr>
          <w:szCs w:val="24"/>
        </w:rPr>
        <w:t>ischaemic</w:t>
      </w:r>
      <w:r w:rsidR="00F10744">
        <w:rPr>
          <w:szCs w:val="24"/>
        </w:rPr>
        <w:t xml:space="preserve"> stroke </w:t>
      </w:r>
      <w:r w:rsidR="00DE595D">
        <w:rPr>
          <w:szCs w:val="24"/>
        </w:rPr>
        <w:t>was more common in the HIV group</w:t>
      </w:r>
      <w:r w:rsidR="002332AA">
        <w:rPr>
          <w:szCs w:val="24"/>
        </w:rPr>
        <w:t xml:space="preserve">. </w:t>
      </w:r>
      <w:r w:rsidR="00DE595D">
        <w:rPr>
          <w:szCs w:val="24"/>
        </w:rPr>
        <w:t xml:space="preserve">The prevalence of </w:t>
      </w:r>
      <w:r w:rsidR="00AF1465">
        <w:rPr>
          <w:szCs w:val="24"/>
        </w:rPr>
        <w:t xml:space="preserve">stroke of </w:t>
      </w:r>
      <w:r w:rsidR="00381E6C">
        <w:rPr>
          <w:szCs w:val="24"/>
        </w:rPr>
        <w:t>undetermined</w:t>
      </w:r>
      <w:r w:rsidR="00555D04">
        <w:rPr>
          <w:szCs w:val="24"/>
        </w:rPr>
        <w:t xml:space="preserve"> pathology</w:t>
      </w:r>
      <w:r w:rsidR="00F10744">
        <w:rPr>
          <w:szCs w:val="24"/>
        </w:rPr>
        <w:t xml:space="preserve"> </w:t>
      </w:r>
      <w:r w:rsidR="002B6A6A">
        <w:rPr>
          <w:szCs w:val="24"/>
        </w:rPr>
        <w:t>was</w:t>
      </w:r>
      <w:r w:rsidR="00DE595D">
        <w:rPr>
          <w:szCs w:val="24"/>
        </w:rPr>
        <w:t xml:space="preserve"> almost double </w:t>
      </w:r>
      <w:r w:rsidR="002B6A6A">
        <w:rPr>
          <w:szCs w:val="24"/>
        </w:rPr>
        <w:t xml:space="preserve">in </w:t>
      </w:r>
      <w:r w:rsidR="001A7A56">
        <w:rPr>
          <w:szCs w:val="24"/>
        </w:rPr>
        <w:t xml:space="preserve">the </w:t>
      </w:r>
      <w:r w:rsidR="002B6A6A">
        <w:rPr>
          <w:szCs w:val="24"/>
        </w:rPr>
        <w:t xml:space="preserve">non-HIV group compared to </w:t>
      </w:r>
      <w:r w:rsidR="003355D9">
        <w:rPr>
          <w:szCs w:val="24"/>
        </w:rPr>
        <w:t>that in the</w:t>
      </w:r>
      <w:r w:rsidR="00DE595D">
        <w:rPr>
          <w:szCs w:val="24"/>
        </w:rPr>
        <w:t xml:space="preserve"> HIV group</w:t>
      </w:r>
      <w:r w:rsidR="00F16B17">
        <w:rPr>
          <w:szCs w:val="24"/>
        </w:rPr>
        <w:t>.</w:t>
      </w:r>
    </w:p>
    <w:p w14:paraId="6975DF56" w14:textId="7507936F" w:rsidR="00CA30C6" w:rsidRDefault="00DE595D" w:rsidP="0097575D">
      <w:pPr>
        <w:spacing w:line="360" w:lineRule="auto"/>
        <w:ind w:firstLine="720"/>
        <w:rPr>
          <w:szCs w:val="24"/>
        </w:rPr>
      </w:pPr>
      <w:r>
        <w:t xml:space="preserve">The commonest complications of stroke </w:t>
      </w:r>
      <w:r w:rsidR="007D2833">
        <w:t xml:space="preserve">in this </w:t>
      </w:r>
      <w:r w:rsidR="003D1535">
        <w:t>cohort</w:t>
      </w:r>
      <w:r w:rsidR="007D2833">
        <w:t xml:space="preserve"> </w:t>
      </w:r>
      <w:r>
        <w:t>were pneumon</w:t>
      </w:r>
      <w:r w:rsidR="001F3FF4">
        <w:t>ia, sepsis, respiratory failure</w:t>
      </w:r>
      <w:r>
        <w:t xml:space="preserve"> and convulsions</w:t>
      </w:r>
      <w:r w:rsidR="00E63D3B">
        <w:t>,</w:t>
      </w:r>
      <w:r>
        <w:t xml:space="preserve"> </w:t>
      </w:r>
      <w:r w:rsidR="007D2833">
        <w:t xml:space="preserve">and were </w:t>
      </w:r>
      <w:r w:rsidR="00FE6040">
        <w:t xml:space="preserve">therefore </w:t>
      </w:r>
      <w:r w:rsidR="007D2833">
        <w:t xml:space="preserve">selected as outcomes of interest </w:t>
      </w:r>
      <w:r>
        <w:t>(</w:t>
      </w:r>
      <w:r w:rsidR="00396DBD">
        <w:t>T</w:t>
      </w:r>
      <w:r>
        <w:t xml:space="preserve">able 2). </w:t>
      </w:r>
      <w:r w:rsidR="007E2834">
        <w:t xml:space="preserve">Overall, </w:t>
      </w:r>
      <w:r w:rsidR="008344E6">
        <w:t xml:space="preserve">stroke </w:t>
      </w:r>
      <w:r w:rsidR="007E2834">
        <w:t>complications were more prevalent in the HIV group</w:t>
      </w:r>
      <w:r w:rsidR="001A7A56">
        <w:t>,</w:t>
      </w:r>
      <w:r w:rsidR="00F10744">
        <w:t xml:space="preserve"> </w:t>
      </w:r>
      <w:r w:rsidR="00C97519">
        <w:t>apart from</w:t>
      </w:r>
      <w:r w:rsidR="00A44D24">
        <w:t xml:space="preserve"> </w:t>
      </w:r>
      <w:r w:rsidR="00F10744">
        <w:t>p</w:t>
      </w:r>
      <w:r>
        <w:t xml:space="preserve">neumonia </w:t>
      </w:r>
      <w:r>
        <w:rPr>
          <w:szCs w:val="24"/>
        </w:rPr>
        <w:t>(p=0</w:t>
      </w:r>
      <w:r w:rsidRPr="00EE6B85">
        <w:rPr>
          <w:szCs w:val="24"/>
        </w:rPr>
        <w:t>·</w:t>
      </w:r>
      <w:r w:rsidR="002332AA">
        <w:rPr>
          <w:szCs w:val="24"/>
        </w:rPr>
        <w:t>009)</w:t>
      </w:r>
      <w:r w:rsidR="007D2833">
        <w:rPr>
          <w:szCs w:val="24"/>
        </w:rPr>
        <w:t xml:space="preserve"> and there was no significant difference </w:t>
      </w:r>
      <w:r w:rsidR="003D1535">
        <w:rPr>
          <w:szCs w:val="24"/>
        </w:rPr>
        <w:t>in</w:t>
      </w:r>
      <w:r w:rsidR="007D2833">
        <w:rPr>
          <w:szCs w:val="24"/>
        </w:rPr>
        <w:t xml:space="preserve"> ra</w:t>
      </w:r>
      <w:r w:rsidR="0031090C">
        <w:rPr>
          <w:szCs w:val="24"/>
        </w:rPr>
        <w:t>tes of respiratory failure (p=0</w:t>
      </w:r>
      <w:r w:rsidR="0031090C" w:rsidRPr="00EE6B85">
        <w:rPr>
          <w:szCs w:val="24"/>
        </w:rPr>
        <w:t>·</w:t>
      </w:r>
      <w:r w:rsidR="007D2833">
        <w:rPr>
          <w:szCs w:val="24"/>
        </w:rPr>
        <w:t>48)</w:t>
      </w:r>
      <w:r w:rsidR="00F10744">
        <w:rPr>
          <w:szCs w:val="24"/>
        </w:rPr>
        <w:t>. The remaining complications</w:t>
      </w:r>
      <w:r>
        <w:rPr>
          <w:szCs w:val="24"/>
        </w:rPr>
        <w:t xml:space="preserve"> </w:t>
      </w:r>
      <w:r w:rsidR="002332AA">
        <w:rPr>
          <w:szCs w:val="24"/>
        </w:rPr>
        <w:t>s</w:t>
      </w:r>
      <w:r>
        <w:rPr>
          <w:szCs w:val="24"/>
        </w:rPr>
        <w:t xml:space="preserve">epsis, convulsions and inpatient death were </w:t>
      </w:r>
      <w:r w:rsidR="008344E6">
        <w:rPr>
          <w:szCs w:val="24"/>
        </w:rPr>
        <w:t xml:space="preserve">significantly </w:t>
      </w:r>
      <w:r>
        <w:rPr>
          <w:szCs w:val="24"/>
        </w:rPr>
        <w:t>more prevalent in the HIV group</w:t>
      </w:r>
      <w:r w:rsidR="00797408">
        <w:rPr>
          <w:szCs w:val="24"/>
        </w:rPr>
        <w:t xml:space="preserve"> </w:t>
      </w:r>
      <w:r w:rsidR="002332AA">
        <w:rPr>
          <w:szCs w:val="24"/>
        </w:rPr>
        <w:t>(p=0</w:t>
      </w:r>
      <w:r w:rsidR="002332AA" w:rsidRPr="00EE6B85">
        <w:rPr>
          <w:szCs w:val="24"/>
        </w:rPr>
        <w:t>·</w:t>
      </w:r>
      <w:r w:rsidR="002332AA">
        <w:rPr>
          <w:szCs w:val="24"/>
        </w:rPr>
        <w:t>004, p&lt;0</w:t>
      </w:r>
      <w:r w:rsidR="002332AA" w:rsidRPr="00EE6B85">
        <w:rPr>
          <w:szCs w:val="24"/>
        </w:rPr>
        <w:t>·</w:t>
      </w:r>
      <w:r w:rsidR="002332AA">
        <w:rPr>
          <w:szCs w:val="24"/>
        </w:rPr>
        <w:t>001, p&lt;0</w:t>
      </w:r>
      <w:r w:rsidR="002332AA" w:rsidRPr="00EE6B85">
        <w:rPr>
          <w:szCs w:val="24"/>
        </w:rPr>
        <w:t>·</w:t>
      </w:r>
      <w:r w:rsidR="002332AA">
        <w:rPr>
          <w:szCs w:val="24"/>
        </w:rPr>
        <w:t>001</w:t>
      </w:r>
      <w:r w:rsidR="008344E6">
        <w:rPr>
          <w:szCs w:val="24"/>
        </w:rPr>
        <w:t>, respectively</w:t>
      </w:r>
      <w:r w:rsidR="002332AA">
        <w:rPr>
          <w:szCs w:val="24"/>
        </w:rPr>
        <w:t>)</w:t>
      </w:r>
      <w:r>
        <w:rPr>
          <w:szCs w:val="24"/>
        </w:rPr>
        <w:t>.</w:t>
      </w:r>
      <w:r w:rsidR="00E44588">
        <w:rPr>
          <w:szCs w:val="24"/>
        </w:rPr>
        <w:t xml:space="preserve"> </w:t>
      </w:r>
      <w:r w:rsidR="00C97C7F">
        <w:rPr>
          <w:szCs w:val="24"/>
        </w:rPr>
        <w:t>Mean LOS was 20% greater in the HIV group compared to the non-HIV group (p=0</w:t>
      </w:r>
      <w:r w:rsidR="00C97C7F" w:rsidRPr="00EE6B85">
        <w:rPr>
          <w:szCs w:val="24"/>
        </w:rPr>
        <w:t>·</w:t>
      </w:r>
      <w:r w:rsidR="00C97C7F">
        <w:rPr>
          <w:szCs w:val="24"/>
        </w:rPr>
        <w:t>002).</w:t>
      </w:r>
      <w:r w:rsidR="003D1535">
        <w:rPr>
          <w:szCs w:val="24"/>
        </w:rPr>
        <w:t xml:space="preserve"> </w:t>
      </w:r>
    </w:p>
    <w:p w14:paraId="6A05E40B" w14:textId="52C07B98" w:rsidR="00A15208" w:rsidRDefault="00A15208" w:rsidP="0097575D">
      <w:pPr>
        <w:spacing w:line="360" w:lineRule="auto"/>
        <w:ind w:firstLine="720"/>
      </w:pPr>
      <w:r>
        <w:t xml:space="preserve">Odds ratios (OR) and corresponding 95% CI for complications of stroke in patients with HIV are detailed in Table 3. Similarly, </w:t>
      </w:r>
      <w:r w:rsidR="0089059C">
        <w:t>the analysis</w:t>
      </w:r>
      <w:r>
        <w:t xml:space="preserve"> stratified by stroke type</w:t>
      </w:r>
      <w:r w:rsidR="00F20B3A">
        <w:t xml:space="preserve"> </w:t>
      </w:r>
      <w:r w:rsidR="0089059C">
        <w:t>is</w:t>
      </w:r>
      <w:r>
        <w:t xml:space="preserve"> presented in Table 4. After full adjustment, HIV was associated with higher odds of sepsis and </w:t>
      </w:r>
      <w:r w:rsidRPr="0002392B">
        <w:t>mortality (ORs 1·75</w:t>
      </w:r>
      <w:r>
        <w:t xml:space="preserve"> (1</w:t>
      </w:r>
      <w:r w:rsidRPr="00EE6B85">
        <w:rPr>
          <w:szCs w:val="24"/>
        </w:rPr>
        <w:t>·</w:t>
      </w:r>
      <w:r w:rsidR="00381E6C">
        <w:t>29</w:t>
      </w:r>
      <w:r>
        <w:t>-2</w:t>
      </w:r>
      <w:r w:rsidRPr="00EE6B85">
        <w:rPr>
          <w:szCs w:val="24"/>
        </w:rPr>
        <w:t>·</w:t>
      </w:r>
      <w:r w:rsidR="00381E6C">
        <w:t>4</w:t>
      </w:r>
      <w:r>
        <w:t>) and 2</w:t>
      </w:r>
      <w:r w:rsidRPr="00EE6B85">
        <w:rPr>
          <w:szCs w:val="24"/>
        </w:rPr>
        <w:t>·</w:t>
      </w:r>
      <w:r w:rsidR="00381E6C">
        <w:t>15</w:t>
      </w:r>
      <w:r>
        <w:t xml:space="preserve"> (1</w:t>
      </w:r>
      <w:r w:rsidRPr="00EE6B85">
        <w:rPr>
          <w:szCs w:val="24"/>
        </w:rPr>
        <w:t>·</w:t>
      </w:r>
      <w:r w:rsidR="00381E6C">
        <w:t>8</w:t>
      </w:r>
      <w:r>
        <w:t>-2</w:t>
      </w:r>
      <w:r w:rsidRPr="00EE6B85">
        <w:rPr>
          <w:szCs w:val="24"/>
        </w:rPr>
        <w:t>·</w:t>
      </w:r>
      <w:r w:rsidR="00A77722">
        <w:t>56</w:t>
      </w:r>
      <w:r>
        <w:t>)</w:t>
      </w:r>
      <w:r w:rsidRPr="0002392B">
        <w:t>)</w:t>
      </w:r>
      <w:r>
        <w:t xml:space="preserve">. </w:t>
      </w:r>
      <w:r w:rsidR="004E0FC3">
        <w:t>Additionally,</w:t>
      </w:r>
      <w:r>
        <w:t xml:space="preserve"> controlling for complications did not attenuate the poor mortality outcome (2</w:t>
      </w:r>
      <w:r w:rsidRPr="00EE6B85">
        <w:rPr>
          <w:szCs w:val="24"/>
        </w:rPr>
        <w:t>·</w:t>
      </w:r>
      <w:r w:rsidR="00381E6C">
        <w:t>2</w:t>
      </w:r>
      <w:r w:rsidR="00B1287B">
        <w:t>0</w:t>
      </w:r>
      <w:r>
        <w:t>; 1</w:t>
      </w:r>
      <w:r w:rsidRPr="00EE6B85">
        <w:rPr>
          <w:szCs w:val="24"/>
        </w:rPr>
        <w:t>·</w:t>
      </w:r>
      <w:r w:rsidR="00381E6C">
        <w:t>83</w:t>
      </w:r>
      <w:r>
        <w:t>-2</w:t>
      </w:r>
      <w:r w:rsidRPr="00EE6B85">
        <w:rPr>
          <w:szCs w:val="24"/>
        </w:rPr>
        <w:t>·</w:t>
      </w:r>
      <w:r w:rsidR="00381E6C">
        <w:t>64</w:t>
      </w:r>
      <w:r>
        <w:t xml:space="preserve">). HIV was associated with a higher risk of convulsions in earlier models, in </w:t>
      </w:r>
      <w:r w:rsidR="00D26E82">
        <w:rPr>
          <w:szCs w:val="24"/>
          <w:lang w:eastAsia="en-GB"/>
        </w:rPr>
        <w:t>haemorrhagic</w:t>
      </w:r>
      <w:r>
        <w:rPr>
          <w:szCs w:val="24"/>
          <w:lang w:eastAsia="en-GB"/>
        </w:rPr>
        <w:t xml:space="preserve"> </w:t>
      </w:r>
      <w:r>
        <w:t xml:space="preserve">and </w:t>
      </w:r>
      <w:r w:rsidR="00D26E82">
        <w:t>ischaemic</w:t>
      </w:r>
      <w:r>
        <w:t xml:space="preserve"> stroke, but </w:t>
      </w:r>
      <w:r w:rsidR="0063359D">
        <w:t xml:space="preserve">the associations observed did not </w:t>
      </w:r>
      <w:r>
        <w:t>reach statistical significance after adjustment</w:t>
      </w:r>
      <w:r w:rsidR="0063359D">
        <w:t>s</w:t>
      </w:r>
      <w:r>
        <w:t xml:space="preserve">. </w:t>
      </w:r>
      <w:r w:rsidR="00381E6C">
        <w:t xml:space="preserve">Overall, </w:t>
      </w:r>
      <w:r>
        <w:t xml:space="preserve">HIV was associated with longer LOS but only model C reached statistical significance. </w:t>
      </w:r>
      <w:r w:rsidR="00381E6C">
        <w:t xml:space="preserve">However, in the stratified analysis, HIV had a higher odds of longer inpatient stay in ischaemic stroke (OR 2.74 (1.8-3.68)). </w:t>
      </w:r>
    </w:p>
    <w:p w14:paraId="4FD969E1" w14:textId="61F2371E" w:rsidR="00DE595D" w:rsidRDefault="00A94C41" w:rsidP="0097575D">
      <w:pPr>
        <w:spacing w:line="360" w:lineRule="auto"/>
      </w:pPr>
      <w:r>
        <w:t xml:space="preserve"> </w:t>
      </w:r>
    </w:p>
    <w:p w14:paraId="62BFC569" w14:textId="77777777" w:rsidR="00DE595D" w:rsidRDefault="00DE595D" w:rsidP="0097575D">
      <w:pPr>
        <w:spacing w:line="360" w:lineRule="auto"/>
        <w:outlineLvl w:val="0"/>
        <w:rPr>
          <w:b/>
        </w:rPr>
      </w:pPr>
      <w:r>
        <w:rPr>
          <w:b/>
        </w:rPr>
        <w:t>Discussion</w:t>
      </w:r>
    </w:p>
    <w:p w14:paraId="720543D4" w14:textId="08F816BB" w:rsidR="003C076D" w:rsidRDefault="00B1287B" w:rsidP="0097575D">
      <w:pPr>
        <w:spacing w:line="360" w:lineRule="auto"/>
        <w:ind w:firstLine="720"/>
      </w:pPr>
      <w:r>
        <w:t xml:space="preserve">Our </w:t>
      </w:r>
      <w:r w:rsidR="001A6CD1">
        <w:t xml:space="preserve">study </w:t>
      </w:r>
      <w:r w:rsidR="00B4314B">
        <w:t xml:space="preserve">is </w:t>
      </w:r>
      <w:r w:rsidR="00DE481A">
        <w:t xml:space="preserve">the largest analysis </w:t>
      </w:r>
      <w:r w:rsidR="00F20B3A">
        <w:t>to date</w:t>
      </w:r>
      <w:r w:rsidR="006601F8">
        <w:t xml:space="preserve"> </w:t>
      </w:r>
      <w:r w:rsidR="00815792">
        <w:t>of</w:t>
      </w:r>
      <w:r w:rsidR="00DE481A">
        <w:t xml:space="preserve"> the clinical characteristics and outcomes of </w:t>
      </w:r>
      <w:r w:rsidR="00853593">
        <w:t xml:space="preserve">hospitalised </w:t>
      </w:r>
      <w:r w:rsidR="00DE481A">
        <w:t>stroke</w:t>
      </w:r>
      <w:r w:rsidR="00853593">
        <w:t>s</w:t>
      </w:r>
      <w:r w:rsidR="00DE481A">
        <w:t xml:space="preserve"> </w:t>
      </w:r>
      <w:r w:rsidR="00B8418E">
        <w:t>in patients with HIV</w:t>
      </w:r>
      <w:r w:rsidR="00DE481A">
        <w:t xml:space="preserve">. </w:t>
      </w:r>
      <w:r w:rsidR="00825F9E">
        <w:t xml:space="preserve">In line with previous reports, </w:t>
      </w:r>
      <w:r w:rsidR="00B126C9">
        <w:t>s</w:t>
      </w:r>
      <w:r w:rsidR="00C85BFB">
        <w:t>troke patients with</w:t>
      </w:r>
      <w:r w:rsidR="00DE595D">
        <w:t xml:space="preserve"> HIV </w:t>
      </w:r>
      <w:r w:rsidR="00825F9E">
        <w:t xml:space="preserve">were </w:t>
      </w:r>
      <w:r w:rsidR="00DE595D">
        <w:rPr>
          <w:szCs w:val="24"/>
        </w:rPr>
        <w:t>younger and</w:t>
      </w:r>
      <w:r w:rsidR="00B24E9C">
        <w:rPr>
          <w:szCs w:val="24"/>
        </w:rPr>
        <w:t xml:space="preserve"> </w:t>
      </w:r>
      <w:r w:rsidR="00DE595D">
        <w:rPr>
          <w:szCs w:val="24"/>
        </w:rPr>
        <w:t xml:space="preserve">a higher proportion </w:t>
      </w:r>
      <w:r w:rsidR="00061357">
        <w:rPr>
          <w:szCs w:val="24"/>
        </w:rPr>
        <w:t xml:space="preserve">were </w:t>
      </w:r>
      <w:r w:rsidR="00DE595D">
        <w:rPr>
          <w:szCs w:val="24"/>
        </w:rPr>
        <w:t>male</w:t>
      </w:r>
      <w:r w:rsidR="001A7A56">
        <w:rPr>
          <w:szCs w:val="24"/>
        </w:rPr>
        <w:t>,</w:t>
      </w:r>
      <w:r w:rsidR="00F20B3A">
        <w:rPr>
          <w:szCs w:val="24"/>
        </w:rPr>
        <w:t xml:space="preserve"> </w:t>
      </w:r>
      <w:r w:rsidR="00825F9E">
        <w:rPr>
          <w:szCs w:val="24"/>
        </w:rPr>
        <w:t>compared to those without HIV infection</w:t>
      </w:r>
      <w:r w:rsidR="009A3BCB">
        <w:rPr>
          <w:szCs w:val="24"/>
        </w:rPr>
        <w:t xml:space="preserve"> </w:t>
      </w:r>
      <w:r w:rsidR="009A3BCB">
        <w:t>[2,6,9,10]</w:t>
      </w:r>
      <w:r w:rsidR="00092FA6">
        <w:rPr>
          <w:szCs w:val="24"/>
        </w:rPr>
        <w:t>.</w:t>
      </w:r>
      <w:r w:rsidR="00DE595D">
        <w:t xml:space="preserve"> </w:t>
      </w:r>
      <w:r w:rsidR="00825F9E">
        <w:t>T</w:t>
      </w:r>
      <w:r w:rsidR="00E66823">
        <w:t>raditional stroke risk factors</w:t>
      </w:r>
      <w:r w:rsidR="00C85BFB">
        <w:t xml:space="preserve"> </w:t>
      </w:r>
      <w:r w:rsidR="00DE595D">
        <w:t>were more prevalent in the non</w:t>
      </w:r>
      <w:r w:rsidR="001A7A56">
        <w:t>-</w:t>
      </w:r>
      <w:r w:rsidR="00DE595D">
        <w:t>HIV group</w:t>
      </w:r>
      <w:r w:rsidR="00433C19">
        <w:t xml:space="preserve">, </w:t>
      </w:r>
      <w:r w:rsidR="00825F9E">
        <w:t xml:space="preserve">whilst </w:t>
      </w:r>
      <w:r w:rsidR="00F10744">
        <w:t>anaemia</w:t>
      </w:r>
      <w:r w:rsidR="00DE595D">
        <w:t xml:space="preserve"> was </w:t>
      </w:r>
      <w:r w:rsidR="00C531D8">
        <w:t xml:space="preserve">more prevalent in </w:t>
      </w:r>
      <w:r w:rsidR="001A7A56">
        <w:t xml:space="preserve">the </w:t>
      </w:r>
      <w:r w:rsidR="00DE595D">
        <w:t>HIV group</w:t>
      </w:r>
      <w:r w:rsidR="009A3BCB">
        <w:t xml:space="preserve"> [11]</w:t>
      </w:r>
      <w:r w:rsidR="00892D8E">
        <w:rPr>
          <w:szCs w:val="24"/>
        </w:rPr>
        <w:t>.</w:t>
      </w:r>
      <w:r w:rsidR="00DE595D">
        <w:t xml:space="preserve"> </w:t>
      </w:r>
      <w:r w:rsidR="00853593">
        <w:t>W</w:t>
      </w:r>
      <w:r w:rsidR="003C076D">
        <w:t>e demonstrate a higher rate of post-stroke complications in patients with HIV</w:t>
      </w:r>
      <w:r w:rsidR="00B8418E">
        <w:t xml:space="preserve"> and</w:t>
      </w:r>
      <w:r w:rsidR="0081709C">
        <w:t>,</w:t>
      </w:r>
      <w:r w:rsidR="003C076D">
        <w:t xml:space="preserve"> </w:t>
      </w:r>
      <w:r w:rsidR="00B8418E">
        <w:t>t</w:t>
      </w:r>
      <w:r w:rsidR="003C076D">
        <w:t xml:space="preserve">o our knowledge, are the first group to specifically </w:t>
      </w:r>
      <w:r w:rsidR="00DE481A">
        <w:t>report this</w:t>
      </w:r>
      <w:r w:rsidR="003C076D">
        <w:t xml:space="preserve">. HIV infection </w:t>
      </w:r>
      <w:r w:rsidR="00061357">
        <w:t xml:space="preserve">had </w:t>
      </w:r>
      <w:r w:rsidR="00815792">
        <w:t xml:space="preserve">an </w:t>
      </w:r>
      <w:r w:rsidR="003C076D">
        <w:t xml:space="preserve">impact on </w:t>
      </w:r>
      <w:r w:rsidR="00815792">
        <w:t xml:space="preserve">the </w:t>
      </w:r>
      <w:r w:rsidR="00FD0302">
        <w:t xml:space="preserve">likelihood of developing </w:t>
      </w:r>
      <w:r w:rsidR="00FD0302">
        <w:lastRenderedPageBreak/>
        <w:t xml:space="preserve">sepsis during acute hospital stay after stroke and </w:t>
      </w:r>
      <w:r w:rsidR="00061357">
        <w:t xml:space="preserve">was </w:t>
      </w:r>
      <w:r w:rsidR="00FD0302">
        <w:t xml:space="preserve">associated with </w:t>
      </w:r>
      <w:r w:rsidR="00763D49">
        <w:t xml:space="preserve">increased </w:t>
      </w:r>
      <w:r w:rsidR="00825F9E">
        <w:t xml:space="preserve">inpatient </w:t>
      </w:r>
      <w:r w:rsidR="003C076D">
        <w:t>mortality.</w:t>
      </w:r>
    </w:p>
    <w:p w14:paraId="4F08116D" w14:textId="0C3223C6" w:rsidR="009101D6" w:rsidRDefault="007C4E92" w:rsidP="0097575D">
      <w:pPr>
        <w:spacing w:line="360" w:lineRule="auto"/>
        <w:ind w:firstLine="720"/>
      </w:pPr>
      <w:r>
        <w:t xml:space="preserve">The lower prevalence of </w:t>
      </w:r>
      <w:r w:rsidR="00763D49">
        <w:t xml:space="preserve">traditional </w:t>
      </w:r>
      <w:r>
        <w:t xml:space="preserve">stroke risk factors in our HIV cohort </w:t>
      </w:r>
      <w:r w:rsidR="00AA6FF4">
        <w:t>support</w:t>
      </w:r>
      <w:r w:rsidR="00A533AF">
        <w:t>s</w:t>
      </w:r>
      <w:r w:rsidR="00AA6FF4">
        <w:t xml:space="preserve"> </w:t>
      </w:r>
      <w:r w:rsidR="00A533AF">
        <w:t>literature</w:t>
      </w:r>
      <w:r w:rsidR="00AA6FF4">
        <w:t xml:space="preserve"> </w:t>
      </w:r>
      <w:r w:rsidR="00A533AF">
        <w:t>suggesting that</w:t>
      </w:r>
      <w:r>
        <w:t xml:space="preserve"> the mechanisms and risks of stroke in HIV </w:t>
      </w:r>
      <w:r w:rsidR="009548CD">
        <w:t>are</w:t>
      </w:r>
      <w:r>
        <w:t xml:space="preserve"> different from </w:t>
      </w:r>
      <w:r w:rsidR="008575BF">
        <w:t>the</w:t>
      </w:r>
      <w:r>
        <w:t xml:space="preserve"> general population.</w:t>
      </w:r>
      <w:r w:rsidR="00AA6FF4">
        <w:t xml:space="preserve"> These include combination antiretroviral therapies (cARTs), chronic systemic and opportunistic infections,</w:t>
      </w:r>
      <w:r w:rsidR="001A6CD1">
        <w:t xml:space="preserve"> vasculopathies, coagulopathies</w:t>
      </w:r>
      <w:r w:rsidR="00AA6FF4">
        <w:t xml:space="preserve"> and meta</w:t>
      </w:r>
      <w:r w:rsidR="00C80AF2">
        <w:t>bolic and immune dysregulation</w:t>
      </w:r>
      <w:r w:rsidR="009A3BCB">
        <w:t xml:space="preserve"> [12,13]</w:t>
      </w:r>
      <w:r w:rsidR="00AA6FF4">
        <w:t xml:space="preserve">. </w:t>
      </w:r>
      <w:r w:rsidR="00B8418E">
        <w:t>As previously reported</w:t>
      </w:r>
      <w:r w:rsidR="00D73C15">
        <w:t xml:space="preserve">, </w:t>
      </w:r>
      <w:r w:rsidR="00D26E82">
        <w:t>ischaemic</w:t>
      </w:r>
      <w:r>
        <w:t xml:space="preserve"> stroke was the comm</w:t>
      </w:r>
      <w:r w:rsidR="0092400E">
        <w:t>onest</w:t>
      </w:r>
      <w:r w:rsidR="00B574E8">
        <w:t xml:space="preserve"> type of stroke in patients with HIV</w:t>
      </w:r>
      <w:r w:rsidR="005C6F3E">
        <w:t xml:space="preserve"> </w:t>
      </w:r>
      <w:r w:rsidR="009A3BCB">
        <w:t>[2,5,10]</w:t>
      </w:r>
      <w:r w:rsidR="001C466D">
        <w:t xml:space="preserve">. </w:t>
      </w:r>
      <w:r w:rsidR="00DE595D">
        <w:t>It is</w:t>
      </w:r>
      <w:r w:rsidR="00FD2225">
        <w:t xml:space="preserve"> </w:t>
      </w:r>
      <w:r w:rsidR="0092400E">
        <w:t xml:space="preserve">perhaps </w:t>
      </w:r>
      <w:r w:rsidR="00DE595D">
        <w:t xml:space="preserve">surprising that the prevalence of </w:t>
      </w:r>
      <w:r w:rsidR="0092400E">
        <w:t xml:space="preserve">stroke of </w:t>
      </w:r>
      <w:r w:rsidR="00381E6C">
        <w:t>undetermined</w:t>
      </w:r>
      <w:r w:rsidR="0006203D">
        <w:t xml:space="preserve"> pathology</w:t>
      </w:r>
      <w:r w:rsidR="00DE595D">
        <w:t xml:space="preserve"> was higher in the non-HIV group. In HIV, </w:t>
      </w:r>
      <w:r w:rsidR="003A20D4">
        <w:t xml:space="preserve">neurological complications </w:t>
      </w:r>
      <w:r w:rsidR="003A20D4">
        <w:rPr>
          <w:i/>
        </w:rPr>
        <w:t>e.g</w:t>
      </w:r>
      <w:r w:rsidR="00CA30C6">
        <w:rPr>
          <w:i/>
        </w:rPr>
        <w:t xml:space="preserve">. </w:t>
      </w:r>
      <w:r w:rsidR="003A20D4">
        <w:t>cerebral toxoplasmosis,</w:t>
      </w:r>
      <w:r w:rsidR="00DE595D">
        <w:t xml:space="preserve"> </w:t>
      </w:r>
      <w:r w:rsidR="003A20D4">
        <w:t xml:space="preserve">are common </w:t>
      </w:r>
      <w:r w:rsidR="00A808CE">
        <w:t xml:space="preserve">and </w:t>
      </w:r>
      <w:r w:rsidR="00DE595D">
        <w:t xml:space="preserve">may </w:t>
      </w:r>
      <w:r w:rsidR="003A20D4">
        <w:t>mimic</w:t>
      </w:r>
      <w:r w:rsidR="00DE595D">
        <w:t xml:space="preserve"> stroke</w:t>
      </w:r>
      <w:r w:rsidR="00FC3360">
        <w:t xml:space="preserve">. </w:t>
      </w:r>
      <w:r w:rsidR="00381E6C">
        <w:t>T</w:t>
      </w:r>
      <w:r w:rsidR="00FC3360">
        <w:t>hese alternative diagnos</w:t>
      </w:r>
      <w:r w:rsidR="00FD0302">
        <w:t>e</w:t>
      </w:r>
      <w:r w:rsidR="00FC3360">
        <w:t>s</w:t>
      </w:r>
      <w:r w:rsidR="008553A8">
        <w:t>,</w:t>
      </w:r>
      <w:r w:rsidR="00FC3360">
        <w:t xml:space="preserve"> </w:t>
      </w:r>
      <w:r w:rsidR="008553A8">
        <w:t>with</w:t>
      </w:r>
      <w:r w:rsidR="00FC3360">
        <w:t xml:space="preserve"> different treatment requirements</w:t>
      </w:r>
      <w:r w:rsidR="008553A8">
        <w:t xml:space="preserve">, </w:t>
      </w:r>
      <w:r w:rsidR="00381E6C">
        <w:t xml:space="preserve">should always be considered </w:t>
      </w:r>
      <w:r w:rsidR="008553A8">
        <w:t>in</w:t>
      </w:r>
      <w:r w:rsidR="00FD2225">
        <w:t xml:space="preserve"> HIV </w:t>
      </w:r>
      <w:r w:rsidR="008553A8">
        <w:t>patients with suspected stroke</w:t>
      </w:r>
      <w:r w:rsidR="00FC3360">
        <w:t xml:space="preserve">. </w:t>
      </w:r>
    </w:p>
    <w:p w14:paraId="039174B8" w14:textId="4E9E0FBD" w:rsidR="00DC5BDA" w:rsidRDefault="00A533AF" w:rsidP="0097575D">
      <w:pPr>
        <w:spacing w:line="360" w:lineRule="auto"/>
        <w:ind w:firstLine="720"/>
      </w:pPr>
      <w:r>
        <w:t xml:space="preserve">Our </w:t>
      </w:r>
      <w:r w:rsidR="0078189A">
        <w:t xml:space="preserve">HIV </w:t>
      </w:r>
      <w:r>
        <w:t xml:space="preserve">cohort </w:t>
      </w:r>
      <w:r w:rsidR="008553A8">
        <w:t>had a higher incidence, and in some cases</w:t>
      </w:r>
      <w:r w:rsidR="0081709C">
        <w:t xml:space="preserve"> </w:t>
      </w:r>
      <w:r w:rsidR="00922985">
        <w:t>risk</w:t>
      </w:r>
      <w:r w:rsidR="0078189A">
        <w:t>, of convulsio</w:t>
      </w:r>
      <w:r w:rsidR="001A6CD1">
        <w:t>ns, sepsis, inpatient mortality</w:t>
      </w:r>
      <w:r w:rsidR="0078189A">
        <w:t xml:space="preserve"> and longer LOS</w:t>
      </w:r>
      <w:r w:rsidR="001D15F0">
        <w:t xml:space="preserve"> than those patients without HIV</w:t>
      </w:r>
      <w:r w:rsidR="0078189A">
        <w:t xml:space="preserve">. </w:t>
      </w:r>
      <w:r w:rsidR="007E4AF4">
        <w:t>Convulsions were almost twice more</w:t>
      </w:r>
      <w:r w:rsidR="00A73CD2">
        <w:t xml:space="preserve"> frequent in the HIV group although the fully adjusted ORs were </w:t>
      </w:r>
      <w:r w:rsidR="00F27AEE">
        <w:t xml:space="preserve">not </w:t>
      </w:r>
      <w:r w:rsidR="00A73CD2">
        <w:t xml:space="preserve">statistically significant. </w:t>
      </w:r>
      <w:r w:rsidR="001A6CD1">
        <w:t xml:space="preserve">In a much smaller sample </w:t>
      </w:r>
      <w:r w:rsidR="00A73CD2">
        <w:t xml:space="preserve">Hoffman </w:t>
      </w:r>
      <w:r w:rsidR="00A73CD2">
        <w:rPr>
          <w:i/>
        </w:rPr>
        <w:t>et al.</w:t>
      </w:r>
      <w:r w:rsidR="00A73CD2">
        <w:t xml:space="preserve"> observed a higher prevalence of </w:t>
      </w:r>
      <w:r w:rsidR="00B51DA6">
        <w:t>seizures</w:t>
      </w:r>
      <w:r w:rsidR="00A73CD2">
        <w:t xml:space="preserve"> </w:t>
      </w:r>
      <w:r w:rsidR="00B51DA6">
        <w:t xml:space="preserve">on admission </w:t>
      </w:r>
      <w:r w:rsidR="00A73CD2">
        <w:t>in stroke in HIV</w:t>
      </w:r>
      <w:r w:rsidR="00740A46">
        <w:t>,</w:t>
      </w:r>
      <w:r w:rsidR="00A73CD2">
        <w:t xml:space="preserve"> </w:t>
      </w:r>
      <w:r w:rsidR="008575BF">
        <w:t xml:space="preserve">but </w:t>
      </w:r>
      <w:r w:rsidR="00376456">
        <w:t xml:space="preserve">this was not </w:t>
      </w:r>
      <w:r w:rsidR="009A3BCB">
        <w:t xml:space="preserve"> [14].</w:t>
      </w:r>
      <w:r w:rsidR="0030470B">
        <w:t xml:space="preserve"> </w:t>
      </w:r>
      <w:r w:rsidR="00D82AF5">
        <w:t>Our finding</w:t>
      </w:r>
      <w:r w:rsidR="008553A8">
        <w:t>s</w:t>
      </w:r>
      <w:r w:rsidR="0014152F">
        <w:t xml:space="preserve"> related to </w:t>
      </w:r>
      <w:r w:rsidR="00DC5BDA">
        <w:t xml:space="preserve">increased likelihood of </w:t>
      </w:r>
      <w:r w:rsidR="0014152F">
        <w:t xml:space="preserve">sepsis in HIV </w:t>
      </w:r>
      <w:r w:rsidR="00DC5BDA">
        <w:t xml:space="preserve">compared to non-HIV infected stroke patients </w:t>
      </w:r>
      <w:r w:rsidR="0014152F">
        <w:t>(fully adjusted OR 1</w:t>
      </w:r>
      <w:r w:rsidR="0014152F" w:rsidRPr="008A1F16">
        <w:t>·</w:t>
      </w:r>
      <w:r w:rsidR="0014152F">
        <w:t xml:space="preserve">75) </w:t>
      </w:r>
      <w:r w:rsidR="00A86EDF">
        <w:t>are</w:t>
      </w:r>
      <w:r w:rsidR="002722CD">
        <w:t xml:space="preserve"> not </w:t>
      </w:r>
      <w:r w:rsidR="0014152F">
        <w:t xml:space="preserve">surprising. </w:t>
      </w:r>
      <w:r w:rsidR="005E5687">
        <w:t>This is</w:t>
      </w:r>
      <w:r w:rsidR="0014152F">
        <w:t xml:space="preserve"> </w:t>
      </w:r>
      <w:r w:rsidR="00436CE1">
        <w:t xml:space="preserve">important </w:t>
      </w:r>
      <w:r w:rsidR="0014152F">
        <w:t xml:space="preserve">because </w:t>
      </w:r>
      <w:r w:rsidR="00D82AF5">
        <w:t>acute inflammatory response and sepsis,</w:t>
      </w:r>
      <w:r w:rsidR="0014152F">
        <w:t xml:space="preserve"> in the acute stroke setting</w:t>
      </w:r>
      <w:r w:rsidR="00D82AF5">
        <w:t>,</w:t>
      </w:r>
      <w:r w:rsidR="00381E6C">
        <w:t xml:space="preserve"> are associated with poorer</w:t>
      </w:r>
      <w:r w:rsidR="00C80AF2">
        <w:t xml:space="preserve"> outcome</w:t>
      </w:r>
      <w:r w:rsidR="00381E6C">
        <w:t>s</w:t>
      </w:r>
      <w:r w:rsidR="009A3BCB">
        <w:t xml:space="preserve"> [15,16].</w:t>
      </w:r>
      <w:r w:rsidR="002D0D19">
        <w:t xml:space="preserve"> </w:t>
      </w:r>
      <w:r w:rsidR="00102E62">
        <w:t>Our finding is</w:t>
      </w:r>
      <w:r w:rsidR="00D82AF5">
        <w:t xml:space="preserve"> </w:t>
      </w:r>
      <w:r w:rsidR="007771E0">
        <w:t xml:space="preserve">also </w:t>
      </w:r>
      <w:r w:rsidR="00D82AF5">
        <w:t xml:space="preserve">in keeping with </w:t>
      </w:r>
      <w:r w:rsidR="007771E0">
        <w:t>reports of co-</w:t>
      </w:r>
      <w:r w:rsidR="008E1713">
        <w:t>existent</w:t>
      </w:r>
      <w:r w:rsidR="007771E0">
        <w:t xml:space="preserve"> </w:t>
      </w:r>
      <w:r w:rsidR="00AA3AA9">
        <w:t>and</w:t>
      </w:r>
      <w:r w:rsidR="007771E0">
        <w:t xml:space="preserve"> causative infection</w:t>
      </w:r>
      <w:r w:rsidR="00D82AF5">
        <w:t xml:space="preserve"> </w:t>
      </w:r>
      <w:r w:rsidR="00AA3AA9">
        <w:t xml:space="preserve">in </w:t>
      </w:r>
      <w:r w:rsidR="00D26E82">
        <w:t>ischaemic</w:t>
      </w:r>
      <w:r w:rsidR="0094260C">
        <w:t xml:space="preserve"> stroke</w:t>
      </w:r>
      <w:r w:rsidR="00E230A1">
        <w:t xml:space="preserve"> in HIV</w:t>
      </w:r>
      <w:r w:rsidR="009A3BCB">
        <w:t xml:space="preserve"> [10,14,17]</w:t>
      </w:r>
      <w:r w:rsidR="007771E0">
        <w:t>.</w:t>
      </w:r>
      <w:r w:rsidR="00DD1A9C">
        <w:rPr>
          <w:vertAlign w:val="superscript"/>
        </w:rPr>
        <w:t xml:space="preserve"> </w:t>
      </w:r>
      <w:r w:rsidR="00AA3AA9">
        <w:t xml:space="preserve"> </w:t>
      </w:r>
      <w:r w:rsidR="00B768DA">
        <w:t xml:space="preserve">It </w:t>
      </w:r>
      <w:r w:rsidR="00381E6C">
        <w:t xml:space="preserve">is not clear </w:t>
      </w:r>
      <w:r w:rsidR="00B768DA">
        <w:t xml:space="preserve">why those with </w:t>
      </w:r>
      <w:r w:rsidR="00D26E82">
        <w:t>haemorrhagic</w:t>
      </w:r>
      <w:r w:rsidR="00B768DA">
        <w:t xml:space="preserve"> stroke were at highest risk of sepsis</w:t>
      </w:r>
      <w:r w:rsidR="002C01C1">
        <w:t xml:space="preserve"> </w:t>
      </w:r>
      <w:r w:rsidR="00B768DA">
        <w:rPr>
          <w:rFonts w:cs="Arial"/>
        </w:rPr>
        <w:t>(OR 2</w:t>
      </w:r>
      <w:r w:rsidR="00B768DA" w:rsidRPr="008A1F16">
        <w:t>·</w:t>
      </w:r>
      <w:r w:rsidR="00B768DA">
        <w:t xml:space="preserve">16). </w:t>
      </w:r>
      <w:r w:rsidR="00DC5BDA">
        <w:t xml:space="preserve">It may be because </w:t>
      </w:r>
      <w:r w:rsidR="00D26E82">
        <w:t>haemorrhagic</w:t>
      </w:r>
      <w:r w:rsidR="00B768DA">
        <w:t xml:space="preserve"> stroke</w:t>
      </w:r>
      <w:r w:rsidR="008365EB">
        <w:t>s</w:t>
      </w:r>
      <w:r w:rsidR="00B768DA">
        <w:t xml:space="preserve"> present with </w:t>
      </w:r>
      <w:r w:rsidR="00DC5BDA">
        <w:t xml:space="preserve">more </w:t>
      </w:r>
      <w:r w:rsidR="00B768DA">
        <w:t xml:space="preserve">severe neurological deficit, requiring invasive treatment </w:t>
      </w:r>
      <w:r w:rsidR="000918AF">
        <w:t>entail</w:t>
      </w:r>
      <w:r w:rsidR="00102E62">
        <w:t>ing</w:t>
      </w:r>
      <w:r w:rsidR="00B768DA">
        <w:t xml:space="preserve"> </w:t>
      </w:r>
      <w:r w:rsidR="000918AF">
        <w:t xml:space="preserve">a </w:t>
      </w:r>
      <w:r w:rsidR="00B768DA">
        <w:t xml:space="preserve">higher </w:t>
      </w:r>
      <w:r w:rsidR="00102E62">
        <w:t xml:space="preserve">infection </w:t>
      </w:r>
      <w:r w:rsidR="00B768DA">
        <w:t>risk.</w:t>
      </w:r>
    </w:p>
    <w:p w14:paraId="7E375C74" w14:textId="2B6C9D00" w:rsidR="003D3EFA" w:rsidRDefault="00E66823" w:rsidP="0097575D">
      <w:pPr>
        <w:spacing w:line="360" w:lineRule="auto"/>
        <w:ind w:firstLine="720"/>
      </w:pPr>
      <w:r>
        <w:t xml:space="preserve">The higher risk of mortality in </w:t>
      </w:r>
      <w:r w:rsidR="00CB36FE">
        <w:t xml:space="preserve">stroke in </w:t>
      </w:r>
      <w:r w:rsidR="0031090C">
        <w:t>HIV (fully adjusted OR</w:t>
      </w:r>
      <w:r>
        <w:t xml:space="preserve"> 2</w:t>
      </w:r>
      <w:r w:rsidRPr="008A1F16">
        <w:t>·</w:t>
      </w:r>
      <w:r w:rsidR="00381E6C">
        <w:t>2</w:t>
      </w:r>
      <w:r w:rsidR="00B1287B">
        <w:t>0</w:t>
      </w:r>
      <w:r>
        <w:t>)</w:t>
      </w:r>
      <w:r w:rsidR="0060581E">
        <w:t xml:space="preserve"> has previously been </w:t>
      </w:r>
      <w:r w:rsidR="0091682A">
        <w:t>found</w:t>
      </w:r>
      <w:r w:rsidR="0060581E">
        <w:t xml:space="preserve">, but </w:t>
      </w:r>
      <w:r w:rsidR="008553A8">
        <w:t>is</w:t>
      </w:r>
      <w:r w:rsidR="00860CC1">
        <w:t xml:space="preserve"> not consi</w:t>
      </w:r>
      <w:r w:rsidR="008553A8">
        <w:t xml:space="preserve">stent with </w:t>
      </w:r>
      <w:r w:rsidR="00864BC3">
        <w:t>all</w:t>
      </w:r>
      <w:r w:rsidR="00436CE1">
        <w:t xml:space="preserve"> </w:t>
      </w:r>
      <w:r w:rsidR="008575BF">
        <w:t>literature</w:t>
      </w:r>
      <w:r w:rsidR="009A3BCB">
        <w:t xml:space="preserve"> [10,11,18]</w:t>
      </w:r>
      <w:r w:rsidR="008553A8">
        <w:t xml:space="preserve">. </w:t>
      </w:r>
      <w:r w:rsidR="008575BF">
        <w:t>T</w:t>
      </w:r>
      <w:r w:rsidR="00AA45C9">
        <w:t xml:space="preserve">hese </w:t>
      </w:r>
      <w:r w:rsidR="00D36257">
        <w:t xml:space="preserve">smaller </w:t>
      </w:r>
      <w:r w:rsidR="00AA45C9">
        <w:t xml:space="preserve">single centre studies may have lacked power to detect </w:t>
      </w:r>
      <w:r w:rsidR="00D36257">
        <w:t>statistically significant</w:t>
      </w:r>
      <w:r w:rsidR="008365EB">
        <w:t xml:space="preserve"> </w:t>
      </w:r>
      <w:r w:rsidR="005D4D40">
        <w:t xml:space="preserve">findings. </w:t>
      </w:r>
      <w:r w:rsidR="00AA45C9">
        <w:t xml:space="preserve">Differences in </w:t>
      </w:r>
      <w:r w:rsidR="008365EB">
        <w:t xml:space="preserve">results </w:t>
      </w:r>
      <w:r w:rsidR="00AA45C9">
        <w:t>may also reflect</w:t>
      </w:r>
      <w:r w:rsidR="00C6308A">
        <w:t xml:space="preserve"> </w:t>
      </w:r>
      <w:r w:rsidR="00A86EDF">
        <w:t xml:space="preserve">the </w:t>
      </w:r>
      <w:r w:rsidR="00C6308A">
        <w:t xml:space="preserve">increasing availability of cARTs </w:t>
      </w:r>
      <w:r w:rsidR="00C80AF2">
        <w:t>over time</w:t>
      </w:r>
      <w:r w:rsidR="00AA45C9">
        <w:t xml:space="preserve">, or </w:t>
      </w:r>
      <w:r w:rsidR="00FB40FE">
        <w:t>changes</w:t>
      </w:r>
      <w:r w:rsidR="00AA45C9">
        <w:t xml:space="preserve"> in acute stroke treatment</w:t>
      </w:r>
      <w:r w:rsidR="009A3BCB">
        <w:t xml:space="preserve"> [10]</w:t>
      </w:r>
      <w:r w:rsidR="00AA45C9">
        <w:t>.</w:t>
      </w:r>
      <w:r w:rsidR="00D36257">
        <w:t xml:space="preserve"> </w:t>
      </w:r>
      <w:r w:rsidR="00FE4BB3">
        <w:t xml:space="preserve">Our finding is important because since the genesis of cART, non-HIV related conditions, including cardio and cerebrovascular disease, have become the leading causes of death in </w:t>
      </w:r>
      <w:r w:rsidR="00B1287B">
        <w:t xml:space="preserve">people with </w:t>
      </w:r>
      <w:r w:rsidR="00FE4BB3">
        <w:t>HIV</w:t>
      </w:r>
      <w:r w:rsidR="00B1287B">
        <w:t xml:space="preserve"> infection</w:t>
      </w:r>
      <w:r w:rsidR="009A3BCB">
        <w:t xml:space="preserve"> [19]</w:t>
      </w:r>
      <w:r w:rsidR="00FE4BB3">
        <w:t xml:space="preserve">. </w:t>
      </w:r>
      <w:r w:rsidR="00860CC1">
        <w:t xml:space="preserve">It is interesting that </w:t>
      </w:r>
      <w:r w:rsidR="00D26E82">
        <w:t>ischaemic</w:t>
      </w:r>
      <w:r w:rsidR="00860CC1">
        <w:t xml:space="preserve"> stroke </w:t>
      </w:r>
      <w:r w:rsidR="00CB36FE">
        <w:t>of un</w:t>
      </w:r>
      <w:r w:rsidR="00094D28">
        <w:t>determined</w:t>
      </w:r>
      <w:r w:rsidR="00555D04">
        <w:t xml:space="preserve"> pathology</w:t>
      </w:r>
      <w:r w:rsidR="00CB36FE">
        <w:t xml:space="preserve"> in</w:t>
      </w:r>
      <w:r w:rsidR="00F27AEE">
        <w:t xml:space="preserve"> HIV</w:t>
      </w:r>
      <w:r w:rsidR="00860CC1">
        <w:t xml:space="preserve"> </w:t>
      </w:r>
      <w:r w:rsidR="008116FC">
        <w:t>carried the</w:t>
      </w:r>
      <w:r w:rsidR="00860CC1">
        <w:t xml:space="preserve"> highest risk of death (OR=4</w:t>
      </w:r>
      <w:r w:rsidR="00860CC1" w:rsidRPr="008A1F16">
        <w:t>·</w:t>
      </w:r>
      <w:r w:rsidR="00094D28">
        <w:t>12</w:t>
      </w:r>
      <w:r w:rsidR="00860CC1">
        <w:t xml:space="preserve">), </w:t>
      </w:r>
      <w:r w:rsidR="00C74E34">
        <w:t>raising</w:t>
      </w:r>
      <w:r w:rsidR="002178B7">
        <w:t xml:space="preserve"> </w:t>
      </w:r>
      <w:r w:rsidR="00A86EDF">
        <w:t xml:space="preserve">the </w:t>
      </w:r>
      <w:r w:rsidR="002178B7">
        <w:lastRenderedPageBreak/>
        <w:t>possibility of</w:t>
      </w:r>
      <w:r w:rsidR="00860CC1">
        <w:t xml:space="preserve"> </w:t>
      </w:r>
      <w:r w:rsidR="00111CC6">
        <w:t>serious life threatening causes of</w:t>
      </w:r>
      <w:r w:rsidR="00860CC1">
        <w:t xml:space="preserve"> stroke</w:t>
      </w:r>
      <w:r w:rsidR="007E62E2">
        <w:t xml:space="preserve"> </w:t>
      </w:r>
      <w:r w:rsidR="00860CC1">
        <w:t xml:space="preserve">in </w:t>
      </w:r>
      <w:r w:rsidR="002178B7">
        <w:t xml:space="preserve">these </w:t>
      </w:r>
      <w:r w:rsidR="00DE6589">
        <w:t>cases</w:t>
      </w:r>
      <w:r w:rsidR="008553A8">
        <w:t>.</w:t>
      </w:r>
      <w:r w:rsidR="000918AF">
        <w:t xml:space="preserve"> </w:t>
      </w:r>
      <w:r w:rsidR="00C66B7A">
        <w:t xml:space="preserve">Unfortunately, data on precise cause of death, </w:t>
      </w:r>
      <w:r w:rsidR="00094D28">
        <w:t>was</w:t>
      </w:r>
      <w:r w:rsidR="00C66B7A">
        <w:t xml:space="preserve"> not available</w:t>
      </w:r>
      <w:r w:rsidR="00094D28">
        <w:t xml:space="preserve"> from our data set and so was not </w:t>
      </w:r>
      <w:r w:rsidR="00740A46">
        <w:t>accounted</w:t>
      </w:r>
      <w:r w:rsidR="00094D28">
        <w:t xml:space="preserve"> for in this analysis.</w:t>
      </w:r>
      <w:r w:rsidR="00C66B7A">
        <w:t xml:space="preserve"> </w:t>
      </w:r>
      <w:r w:rsidR="008553A8">
        <w:t>I</w:t>
      </w:r>
      <w:r w:rsidR="009D666B">
        <w:t>n keeping with the higher prevalence of complications</w:t>
      </w:r>
      <w:r w:rsidR="00C03BF0">
        <w:t xml:space="preserve"> found here</w:t>
      </w:r>
      <w:r w:rsidR="0013377B">
        <w:t>,</w:t>
      </w:r>
      <w:r w:rsidR="00DA0305">
        <w:t xml:space="preserve"> and</w:t>
      </w:r>
      <w:r w:rsidR="00C80AF2">
        <w:t xml:space="preserve"> with previous literature</w:t>
      </w:r>
      <w:r w:rsidR="009D666B">
        <w:t xml:space="preserve">, mean LOS was longer in HIV </w:t>
      </w:r>
      <w:r w:rsidR="00C81F96">
        <w:t>patients</w:t>
      </w:r>
      <w:r w:rsidR="00121A74">
        <w:t xml:space="preserve">, </w:t>
      </w:r>
      <w:r w:rsidR="008365EB">
        <w:t>particularly</w:t>
      </w:r>
      <w:r w:rsidR="009D666B">
        <w:t xml:space="preserve"> those with </w:t>
      </w:r>
      <w:r w:rsidR="00D26E82">
        <w:t>ischaemic</w:t>
      </w:r>
      <w:r w:rsidR="009D666B">
        <w:t xml:space="preserve"> stroke</w:t>
      </w:r>
      <w:r w:rsidR="009A3BCB">
        <w:t xml:space="preserve"> [11]</w:t>
      </w:r>
      <w:r w:rsidR="00094D28">
        <w:t>.</w:t>
      </w:r>
      <w:r w:rsidR="009D666B">
        <w:t xml:space="preserve"> </w:t>
      </w:r>
    </w:p>
    <w:p w14:paraId="2CE2D563" w14:textId="23F18D60" w:rsidR="005C2283" w:rsidRDefault="00864BC3" w:rsidP="0097575D">
      <w:pPr>
        <w:spacing w:line="360" w:lineRule="auto"/>
        <w:ind w:firstLine="720"/>
        <w:jc w:val="both"/>
      </w:pPr>
      <w:r>
        <w:t xml:space="preserve">Overall this study shows that HIV in stroke has poorer clinical outcomes. We </w:t>
      </w:r>
      <w:r w:rsidR="00BF67DB">
        <w:t>found that</w:t>
      </w:r>
      <w:r w:rsidR="00740A46">
        <w:t>, compared to non-HIV stroke patients,</w:t>
      </w:r>
      <w:r>
        <w:t xml:space="preserve"> HIV patients</w:t>
      </w:r>
      <w:r w:rsidR="00BF67DB">
        <w:t xml:space="preserve"> with stroke</w:t>
      </w:r>
      <w:r>
        <w:t xml:space="preserve"> are younger </w:t>
      </w:r>
      <w:r w:rsidR="00BF67DB">
        <w:t>and have different co-morbid conditions which may contribute</w:t>
      </w:r>
      <w:r w:rsidR="00CF2B9A">
        <w:t xml:space="preserve"> </w:t>
      </w:r>
      <w:r w:rsidR="00BF67DB">
        <w:t>to risk of stroke in HIV</w:t>
      </w:r>
      <w:r w:rsidR="005C2283">
        <w:t xml:space="preserve"> and subsequent clinical sequalae. Alternatively, </w:t>
      </w:r>
      <w:r w:rsidR="00E66A4A">
        <w:t xml:space="preserve">there </w:t>
      </w:r>
      <w:r w:rsidR="005C2283">
        <w:t>may be a broader spectrum of stroke severity in</w:t>
      </w:r>
      <w:r w:rsidR="00BF67DB">
        <w:t xml:space="preserve"> older non-HIV stroke patients and </w:t>
      </w:r>
      <w:r w:rsidR="005C2283">
        <w:t>that HIV patient</w:t>
      </w:r>
      <w:r w:rsidR="007A0681">
        <w:t>s</w:t>
      </w:r>
      <w:r w:rsidR="00BF67DB">
        <w:t xml:space="preserve"> suffer more severe stroke</w:t>
      </w:r>
      <w:r w:rsidR="005C2283">
        <w:t xml:space="preserve"> at a young</w:t>
      </w:r>
      <w:r w:rsidR="005D4D40">
        <w:t>er</w:t>
      </w:r>
      <w:r w:rsidR="005C2283">
        <w:t xml:space="preserve"> age</w:t>
      </w:r>
      <w:r w:rsidR="00BF67DB">
        <w:t>, with higher complication</w:t>
      </w:r>
      <w:r w:rsidR="005C2283">
        <w:t xml:space="preserve"> rates</w:t>
      </w:r>
      <w:r w:rsidR="00BF67DB">
        <w:t xml:space="preserve">. </w:t>
      </w:r>
      <w:r w:rsidR="00CA30C6">
        <w:t>O</w:t>
      </w:r>
      <w:r w:rsidR="00BF67DB">
        <w:t xml:space="preserve">ur dataset did not allow us to investigate this, </w:t>
      </w:r>
      <w:r w:rsidR="005C2283">
        <w:t xml:space="preserve">but another group </w:t>
      </w:r>
      <w:r w:rsidR="00190CF4">
        <w:t>have</w:t>
      </w:r>
      <w:r w:rsidR="005C2283">
        <w:t xml:space="preserve"> reported</w:t>
      </w:r>
      <w:r w:rsidR="00190CF4">
        <w:t xml:space="preserve"> greater</w:t>
      </w:r>
      <w:r w:rsidR="005C2283">
        <w:t xml:space="preserve"> s</w:t>
      </w:r>
      <w:r w:rsidR="005F5066">
        <w:t xml:space="preserve">troke severity in HIV </w:t>
      </w:r>
      <w:r w:rsidR="00190CF4">
        <w:t>whilst others have found no</w:t>
      </w:r>
      <w:r w:rsidR="005F5066">
        <w:t xml:space="preserve"> difference</w:t>
      </w:r>
      <w:r w:rsidR="00CA30C6">
        <w:t>s</w:t>
      </w:r>
      <w:r w:rsidR="009A3BCB">
        <w:t xml:space="preserve"> [9,10,18]</w:t>
      </w:r>
      <w:r w:rsidR="00190CF4">
        <w:t xml:space="preserve">. </w:t>
      </w:r>
      <w:r w:rsidR="00BC7802">
        <w:t>Another explanation for our finding</w:t>
      </w:r>
      <w:r w:rsidR="00190CF4">
        <w:t>s</w:t>
      </w:r>
      <w:r w:rsidR="00BC7802">
        <w:t xml:space="preserve"> may be the aetiology of stroke in HIV</w:t>
      </w:r>
      <w:r w:rsidR="00061357">
        <w:t>.</w:t>
      </w:r>
      <w:r w:rsidR="00190CF4">
        <w:t xml:space="preserve"> </w:t>
      </w:r>
      <w:r w:rsidR="00061357">
        <w:t>R</w:t>
      </w:r>
      <w:r w:rsidR="00190CF4">
        <w:t xml:space="preserve">eported aetiologies of stroke </w:t>
      </w:r>
      <w:r w:rsidR="000C67F9">
        <w:t xml:space="preserve">in HIV </w:t>
      </w:r>
      <w:r w:rsidR="00102E62">
        <w:rPr>
          <w:i/>
        </w:rPr>
        <w:t>e.g.</w:t>
      </w:r>
      <w:r w:rsidR="00102E62">
        <w:t xml:space="preserve"> </w:t>
      </w:r>
      <w:r w:rsidR="000C67F9">
        <w:t>vasculopathies</w:t>
      </w:r>
      <w:r w:rsidR="00190CF4">
        <w:t xml:space="preserve"> may incur more widespread arterial involvement and hence worsen outcomes</w:t>
      </w:r>
      <w:r w:rsidR="009A3BCB">
        <w:t xml:space="preserve"> [10,20]</w:t>
      </w:r>
      <w:r w:rsidR="00190CF4">
        <w:t>.</w:t>
      </w:r>
      <w:r w:rsidR="000C67F9">
        <w:t xml:space="preserve"> To this end, our</w:t>
      </w:r>
      <w:r w:rsidR="00E66A4A">
        <w:t xml:space="preserve"> findings and those in reported </w:t>
      </w:r>
      <w:r w:rsidR="00061357">
        <w:t>l</w:t>
      </w:r>
      <w:r w:rsidR="000C67F9">
        <w:t>iterature reinstate that stroke in HIV is a complex issue.</w:t>
      </w:r>
    </w:p>
    <w:p w14:paraId="15210B90" w14:textId="0B57B827" w:rsidR="003D3EFA" w:rsidRDefault="005C2283" w:rsidP="0097575D">
      <w:pPr>
        <w:spacing w:line="360" w:lineRule="auto"/>
        <w:ind w:firstLine="720"/>
      </w:pPr>
      <w:r>
        <w:t xml:space="preserve"> </w:t>
      </w:r>
      <w:r w:rsidR="00A30B24">
        <w:t>O</w:t>
      </w:r>
      <w:r w:rsidR="00BA32B1">
        <w:t>ur</w:t>
      </w:r>
      <w:r w:rsidR="00247830">
        <w:t xml:space="preserve"> study has some</w:t>
      </w:r>
      <w:r w:rsidR="007A0681">
        <w:t xml:space="preserve"> </w:t>
      </w:r>
      <w:r w:rsidR="00247830">
        <w:t>limitations</w:t>
      </w:r>
      <w:r w:rsidR="007A0681">
        <w:t xml:space="preserve"> that should be acknowledged</w:t>
      </w:r>
      <w:r w:rsidR="00247830">
        <w:t xml:space="preserve">. </w:t>
      </w:r>
      <w:r w:rsidR="00075F42">
        <w:t>Firstly</w:t>
      </w:r>
      <w:r w:rsidR="004024F8">
        <w:t xml:space="preserve">, </w:t>
      </w:r>
      <w:r w:rsidR="00BA32B1">
        <w:t xml:space="preserve">we relied on ICD coding to identify diagnosis of stroke and </w:t>
      </w:r>
      <w:r w:rsidR="003D3EFA">
        <w:t>co-morbidity</w:t>
      </w:r>
      <w:r w:rsidR="00BA32B1">
        <w:t xml:space="preserve"> data</w:t>
      </w:r>
      <w:r w:rsidR="00121A74">
        <w:t>,</w:t>
      </w:r>
      <w:r w:rsidR="003D3EFA">
        <w:t xml:space="preserve"> including HIV. </w:t>
      </w:r>
      <w:r w:rsidR="00722217">
        <w:t xml:space="preserve">Secondly, </w:t>
      </w:r>
      <w:r w:rsidR="00E66A4A">
        <w:t>our</w:t>
      </w:r>
      <w:r w:rsidR="00722217">
        <w:t xml:space="preserve"> data source meant that detailed clinica</w:t>
      </w:r>
      <w:r w:rsidR="00BA32B1">
        <w:t xml:space="preserve">l </w:t>
      </w:r>
      <w:r w:rsidR="00A91FE3">
        <w:t>information</w:t>
      </w:r>
      <w:r w:rsidR="00BA32B1">
        <w:t xml:space="preserve"> </w:t>
      </w:r>
      <w:r w:rsidR="00E66A4A">
        <w:rPr>
          <w:i/>
        </w:rPr>
        <w:t>e.g.</w:t>
      </w:r>
      <w:r w:rsidR="004E0FC3">
        <w:rPr>
          <w:i/>
        </w:rPr>
        <w:t xml:space="preserve"> </w:t>
      </w:r>
      <w:r w:rsidR="00A13495">
        <w:t>stroke severity and</w:t>
      </w:r>
      <w:r w:rsidR="005F5066">
        <w:t xml:space="preserve"> pre</w:t>
      </w:r>
      <w:r w:rsidR="00065F5E">
        <w:t>-</w:t>
      </w:r>
      <w:r w:rsidR="005F5066">
        <w:t>stroke disability</w:t>
      </w:r>
      <w:r w:rsidR="002B4C7B">
        <w:t xml:space="preserve">, </w:t>
      </w:r>
      <w:r w:rsidR="002C55F5">
        <w:t>which are important determinant</w:t>
      </w:r>
      <w:r w:rsidR="00E66A4A">
        <w:t>s</w:t>
      </w:r>
      <w:r w:rsidR="002C55F5">
        <w:t xml:space="preserve"> of outcomes </w:t>
      </w:r>
      <w:r w:rsidR="00A13495">
        <w:t>were</w:t>
      </w:r>
      <w:r w:rsidR="00BA32B1">
        <w:t xml:space="preserve"> not available</w:t>
      </w:r>
      <w:r w:rsidR="009A3BCB">
        <w:t xml:space="preserve"> [21]</w:t>
      </w:r>
      <w:r w:rsidR="00BA32B1">
        <w:t>.</w:t>
      </w:r>
      <w:r w:rsidR="00722217">
        <w:t xml:space="preserve"> </w:t>
      </w:r>
      <w:r w:rsidR="00BA32B1">
        <w:t xml:space="preserve">Thirdly, </w:t>
      </w:r>
      <w:r w:rsidR="0013377B">
        <w:t>we did not</w:t>
      </w:r>
      <w:r w:rsidR="00192466">
        <w:t xml:space="preserve"> </w:t>
      </w:r>
      <w:r w:rsidR="00BA32B1">
        <w:t xml:space="preserve">have data on </w:t>
      </w:r>
      <w:r w:rsidR="00F27AEE">
        <w:t>cART therapies,</w:t>
      </w:r>
      <w:r w:rsidR="00A30B24">
        <w:t xml:space="preserve"> </w:t>
      </w:r>
      <w:r w:rsidR="0080696A">
        <w:t>which may impact stroke outcome</w:t>
      </w:r>
      <w:r w:rsidR="00BA32B1">
        <w:t xml:space="preserve">. </w:t>
      </w:r>
      <w:r w:rsidR="007A0681">
        <w:t xml:space="preserve">However, cART therapies have been widely </w:t>
      </w:r>
      <w:r w:rsidR="00733096">
        <w:t>available</w:t>
      </w:r>
      <w:r w:rsidR="007A0681">
        <w:t xml:space="preserve"> free of charge throughout Thailand since 2002</w:t>
      </w:r>
      <w:r w:rsidR="009A3BCB">
        <w:t xml:space="preserve"> [22]</w:t>
      </w:r>
      <w:r w:rsidR="004C2D7B">
        <w:t>.</w:t>
      </w:r>
      <w:r w:rsidR="009A3BCB">
        <w:rPr>
          <w:vertAlign w:val="superscript"/>
        </w:rPr>
        <w:t xml:space="preserve"> </w:t>
      </w:r>
      <w:r w:rsidR="006A7682">
        <w:t xml:space="preserve">Fourthly, </w:t>
      </w:r>
      <w:r w:rsidR="00102E62">
        <w:t>we were</w:t>
      </w:r>
      <w:r w:rsidR="006A7682">
        <w:t xml:space="preserve"> not able to study mild stroke</w:t>
      </w:r>
      <w:r w:rsidR="00A30B24">
        <w:t>s</w:t>
      </w:r>
      <w:r w:rsidR="006A7682">
        <w:t xml:space="preserve"> </w:t>
      </w:r>
      <w:r w:rsidR="0080696A">
        <w:t xml:space="preserve">not admitted to hospital </w:t>
      </w:r>
      <w:r w:rsidR="006A7682">
        <w:t xml:space="preserve">and </w:t>
      </w:r>
      <w:r w:rsidR="0080696A">
        <w:t xml:space="preserve">very severe </w:t>
      </w:r>
      <w:r w:rsidR="006A7682">
        <w:t>stroke</w:t>
      </w:r>
      <w:r w:rsidR="00A30B24">
        <w:t>s</w:t>
      </w:r>
      <w:r w:rsidR="006A7682">
        <w:t xml:space="preserve"> resulting in death prior to admission. </w:t>
      </w:r>
      <w:r w:rsidR="0080696A">
        <w:t xml:space="preserve">However, the truncation of distribution is only likely to attenuate the results. </w:t>
      </w:r>
    </w:p>
    <w:p w14:paraId="2FC54990" w14:textId="77777777" w:rsidR="00DE595D" w:rsidRDefault="00DE1F4E" w:rsidP="0097575D">
      <w:pPr>
        <w:spacing w:line="360" w:lineRule="auto"/>
        <w:ind w:firstLine="720"/>
      </w:pPr>
      <w:r>
        <w:t>N</w:t>
      </w:r>
      <w:r w:rsidR="00FA26B1">
        <w:t>otwithstanding</w:t>
      </w:r>
      <w:r w:rsidR="00DE595D">
        <w:t xml:space="preserve"> </w:t>
      </w:r>
      <w:r w:rsidR="00163CAA">
        <w:t>the</w:t>
      </w:r>
      <w:r w:rsidR="00FA26B1">
        <w:t>se</w:t>
      </w:r>
      <w:r w:rsidR="00163CAA">
        <w:t xml:space="preserve"> </w:t>
      </w:r>
      <w:r w:rsidR="00DE595D">
        <w:t xml:space="preserve">limitations this </w:t>
      </w:r>
      <w:r w:rsidR="00A91FE3">
        <w:t>work</w:t>
      </w:r>
      <w:r w:rsidR="00DE595D">
        <w:t xml:space="preserve"> makes a</w:t>
      </w:r>
      <w:r w:rsidR="007A0681">
        <w:t>n important</w:t>
      </w:r>
      <w:r w:rsidR="00DE595D">
        <w:t xml:space="preserve"> contribution to underst</w:t>
      </w:r>
      <w:r w:rsidR="00922985">
        <w:t>anding of</w:t>
      </w:r>
      <w:r w:rsidR="00EE0832">
        <w:t xml:space="preserve"> outcome</w:t>
      </w:r>
      <w:r w:rsidR="002E25B0">
        <w:t>s</w:t>
      </w:r>
      <w:r w:rsidR="00EE0832">
        <w:t xml:space="preserve"> of stroke </w:t>
      </w:r>
      <w:r>
        <w:t>in</w:t>
      </w:r>
      <w:r w:rsidR="00EE0832">
        <w:t xml:space="preserve"> </w:t>
      </w:r>
      <w:r w:rsidR="00922985">
        <w:t>HIV</w:t>
      </w:r>
      <w:r w:rsidR="00DE595D">
        <w:t>.</w:t>
      </w:r>
      <w:r w:rsidR="00FD7A35">
        <w:t xml:space="preserve"> </w:t>
      </w:r>
      <w:r w:rsidR="00A30B24">
        <w:t>T</w:t>
      </w:r>
      <w:r w:rsidR="00FD7A35">
        <w:t>he use of re</w:t>
      </w:r>
      <w:r w:rsidR="00922985">
        <w:t>imbursement forms as a data set</w:t>
      </w:r>
      <w:r w:rsidR="00FD7A35">
        <w:t xml:space="preserve"> allowed us to capture </w:t>
      </w:r>
      <w:r w:rsidR="000C5A2A">
        <w:t>an</w:t>
      </w:r>
      <w:r w:rsidR="00FD7A35">
        <w:t xml:space="preserve"> </w:t>
      </w:r>
      <w:r w:rsidR="000C5A2A">
        <w:t>almost actual</w:t>
      </w:r>
      <w:r w:rsidR="00FD7A35">
        <w:t xml:space="preserve"> population service use for stroke</w:t>
      </w:r>
      <w:r w:rsidR="00194956">
        <w:t xml:space="preserve"> in Thailand</w:t>
      </w:r>
      <w:r w:rsidR="00E66A4A">
        <w:t xml:space="preserve"> and</w:t>
      </w:r>
      <w:r w:rsidR="00FD7A35">
        <w:t xml:space="preserve"> to study</w:t>
      </w:r>
      <w:r w:rsidR="00DE595D">
        <w:t xml:space="preserve"> a </w:t>
      </w:r>
      <w:r w:rsidR="00061357">
        <w:t>large</w:t>
      </w:r>
      <w:r w:rsidR="00DE595D">
        <w:t xml:space="preserve"> </w:t>
      </w:r>
      <w:r w:rsidR="00FA26B1">
        <w:t>nationwide</w:t>
      </w:r>
      <w:r w:rsidR="00DE595D">
        <w:t xml:space="preserve">, unselected </w:t>
      </w:r>
      <w:r w:rsidR="00163CAA">
        <w:t>population and availabilit</w:t>
      </w:r>
      <w:r w:rsidR="00FD7A35">
        <w:t xml:space="preserve">y of outcome data was complete. </w:t>
      </w:r>
    </w:p>
    <w:p w14:paraId="74EAE8B9" w14:textId="77777777" w:rsidR="00270923" w:rsidRDefault="00270923" w:rsidP="0097575D">
      <w:pPr>
        <w:spacing w:line="360" w:lineRule="auto"/>
        <w:outlineLvl w:val="0"/>
        <w:rPr>
          <w:b/>
        </w:rPr>
      </w:pPr>
    </w:p>
    <w:p w14:paraId="2FDF916E" w14:textId="7C30BDB6" w:rsidR="003767BF" w:rsidRPr="003767BF" w:rsidRDefault="003767BF" w:rsidP="0097575D">
      <w:pPr>
        <w:spacing w:line="360" w:lineRule="auto"/>
        <w:outlineLvl w:val="0"/>
        <w:rPr>
          <w:b/>
        </w:rPr>
      </w:pPr>
      <w:r>
        <w:rPr>
          <w:b/>
        </w:rPr>
        <w:lastRenderedPageBreak/>
        <w:t>Conclusions</w:t>
      </w:r>
    </w:p>
    <w:p w14:paraId="2EDB050D" w14:textId="77777777" w:rsidR="007F107E" w:rsidRDefault="00F205FD" w:rsidP="0097575D">
      <w:pPr>
        <w:spacing w:line="360" w:lineRule="auto"/>
        <w:ind w:firstLine="720"/>
      </w:pPr>
      <w:r>
        <w:t xml:space="preserve">In </w:t>
      </w:r>
      <w:r w:rsidR="00E561AF">
        <w:t>conclusion</w:t>
      </w:r>
      <w:r>
        <w:t xml:space="preserve">, </w:t>
      </w:r>
      <w:r w:rsidR="00733096">
        <w:t>t</w:t>
      </w:r>
      <w:r w:rsidR="00DA0305">
        <w:t xml:space="preserve">he findings confirm that </w:t>
      </w:r>
      <w:r w:rsidR="006A7682">
        <w:t xml:space="preserve">the </w:t>
      </w:r>
      <w:r w:rsidR="00DA0305">
        <w:t>characteristics of stroke in pati</w:t>
      </w:r>
      <w:r w:rsidR="0013377B">
        <w:t xml:space="preserve">ents with HIV are different from those in the general population and show that the </w:t>
      </w:r>
      <w:r w:rsidR="00A13495">
        <w:t>prevalence</w:t>
      </w:r>
      <w:r w:rsidR="00F27AEE">
        <w:t>,</w:t>
      </w:r>
      <w:r w:rsidR="0013377B">
        <w:t xml:space="preserve"> and </w:t>
      </w:r>
      <w:r w:rsidR="00F27AEE">
        <w:t xml:space="preserve">in some instances </w:t>
      </w:r>
      <w:r w:rsidR="0013377B">
        <w:t>risk</w:t>
      </w:r>
      <w:r w:rsidR="00F27AEE">
        <w:t>,</w:t>
      </w:r>
      <w:r w:rsidR="0013377B">
        <w:t xml:space="preserve"> of </w:t>
      </w:r>
      <w:r w:rsidR="00DE1F4E">
        <w:t>sepsis, convulsions, inpatient mortality, and longer LOS</w:t>
      </w:r>
      <w:r w:rsidR="00DE1F4E" w:rsidDel="00DE1F4E">
        <w:t xml:space="preserve"> </w:t>
      </w:r>
      <w:r w:rsidR="0013377B">
        <w:t xml:space="preserve">stroke are higher in </w:t>
      </w:r>
      <w:r w:rsidR="00F27AEE">
        <w:t xml:space="preserve">patients with </w:t>
      </w:r>
      <w:r w:rsidR="0013377B">
        <w:t>HIV</w:t>
      </w:r>
      <w:r w:rsidR="006B6C2D">
        <w:t>.</w:t>
      </w:r>
      <w:r w:rsidR="0013377B">
        <w:t xml:space="preserve"> Foresight and </w:t>
      </w:r>
      <w:r w:rsidR="006A7682">
        <w:t xml:space="preserve">prompt </w:t>
      </w:r>
      <w:r w:rsidR="0013377B">
        <w:t>treatment of these complications</w:t>
      </w:r>
      <w:r w:rsidR="006B6C2D">
        <w:t>,</w:t>
      </w:r>
      <w:r w:rsidR="0013377B">
        <w:t xml:space="preserve"> and any co-</w:t>
      </w:r>
      <w:r w:rsidR="007B6D0E">
        <w:t>existing</w:t>
      </w:r>
      <w:r w:rsidR="0013377B">
        <w:t xml:space="preserve"> illnesses</w:t>
      </w:r>
      <w:r w:rsidR="006B6C2D">
        <w:t>,</w:t>
      </w:r>
      <w:r w:rsidR="0013377B">
        <w:t xml:space="preserve"> </w:t>
      </w:r>
      <w:r w:rsidR="00C03BF0">
        <w:t xml:space="preserve">could potentially </w:t>
      </w:r>
      <w:r w:rsidR="0013377B">
        <w:t xml:space="preserve">help improve outcomes of stroke in </w:t>
      </w:r>
      <w:r w:rsidR="00B1287B">
        <w:t xml:space="preserve">people with co-existing </w:t>
      </w:r>
      <w:r w:rsidR="0013377B">
        <w:t>HIV</w:t>
      </w:r>
      <w:r w:rsidR="00B1287B">
        <w:t xml:space="preserve"> infection</w:t>
      </w:r>
      <w:r w:rsidR="0013377B">
        <w:t xml:space="preserve">. </w:t>
      </w:r>
      <w:r>
        <w:t xml:space="preserve">Future studies should focus on </w:t>
      </w:r>
      <w:r w:rsidR="00894E6C">
        <w:t xml:space="preserve">fully establishing </w:t>
      </w:r>
      <w:r>
        <w:t>risk factors</w:t>
      </w:r>
      <w:r w:rsidR="00894E6C">
        <w:t xml:space="preserve"> and </w:t>
      </w:r>
      <w:r w:rsidR="00F35328">
        <w:t>mechanisms</w:t>
      </w:r>
      <w:r w:rsidR="00894E6C">
        <w:t xml:space="preserve"> of stroke in HIV,</w:t>
      </w:r>
      <w:r w:rsidR="00F35328">
        <w:t xml:space="preserve"> </w:t>
      </w:r>
      <w:r>
        <w:t xml:space="preserve">and </w:t>
      </w:r>
      <w:r w:rsidR="00894E6C">
        <w:t>developing</w:t>
      </w:r>
      <w:r>
        <w:t xml:space="preserve"> optimal treatment strategies for </w:t>
      </w:r>
      <w:r w:rsidR="00194956">
        <w:t>stroke in HIV</w:t>
      </w:r>
      <w:r>
        <w:t xml:space="preserve">. </w:t>
      </w:r>
    </w:p>
    <w:p w14:paraId="235D8044" w14:textId="77777777" w:rsidR="00B1287B" w:rsidRDefault="00B1287B" w:rsidP="0097575D">
      <w:pPr>
        <w:spacing w:after="0" w:line="360" w:lineRule="auto"/>
        <w:rPr>
          <w:b/>
        </w:rPr>
      </w:pPr>
      <w:r>
        <w:rPr>
          <w:b/>
        </w:rPr>
        <w:br w:type="page"/>
      </w:r>
    </w:p>
    <w:p w14:paraId="550E818D" w14:textId="77777777" w:rsidR="00F205FD" w:rsidRPr="007F107E" w:rsidRDefault="001D6146" w:rsidP="0097575D">
      <w:pPr>
        <w:spacing w:line="360" w:lineRule="auto"/>
        <w:outlineLvl w:val="0"/>
        <w:rPr>
          <w:b/>
        </w:rPr>
      </w:pPr>
      <w:r w:rsidRPr="001D6146">
        <w:rPr>
          <w:b/>
        </w:rPr>
        <w:lastRenderedPageBreak/>
        <w:t>Acknowledgement</w:t>
      </w:r>
      <w:r w:rsidR="00075F42">
        <w:rPr>
          <w:b/>
        </w:rPr>
        <w:t>s</w:t>
      </w:r>
    </w:p>
    <w:p w14:paraId="288CD7B0" w14:textId="6D18830D" w:rsidR="007F107E" w:rsidRDefault="007F107E" w:rsidP="0097575D">
      <w:pPr>
        <w:spacing w:line="360" w:lineRule="auto"/>
      </w:pPr>
      <w:r>
        <w:t xml:space="preserve">We thank the administrative staff of Insurance Schemes who prepared the anonymised datasets. </w:t>
      </w:r>
    </w:p>
    <w:p w14:paraId="3E3B5022" w14:textId="77777777" w:rsidR="0010042D" w:rsidRPr="007F107E" w:rsidRDefault="0010042D" w:rsidP="0097575D">
      <w:pPr>
        <w:spacing w:line="360" w:lineRule="auto"/>
      </w:pPr>
      <w:r w:rsidRPr="008E6D8E">
        <w:rPr>
          <w:b/>
        </w:rPr>
        <w:t xml:space="preserve">Funding: </w:t>
      </w:r>
      <w:r>
        <w:t>This study received no specific funding.</w:t>
      </w:r>
    </w:p>
    <w:p w14:paraId="6E6C62E5" w14:textId="77777777" w:rsidR="00B1287B" w:rsidRPr="005B20EE" w:rsidRDefault="00B1287B" w:rsidP="0097575D">
      <w:pPr>
        <w:spacing w:line="360" w:lineRule="auto"/>
        <w:rPr>
          <w:b/>
        </w:rPr>
      </w:pPr>
      <w:r w:rsidRPr="005B20EE">
        <w:rPr>
          <w:b/>
        </w:rPr>
        <w:t>Contributors</w:t>
      </w:r>
    </w:p>
    <w:p w14:paraId="4F1AEEEA" w14:textId="6C7B0E08" w:rsidR="00B1287B" w:rsidRDefault="00B1287B" w:rsidP="0097575D">
      <w:pPr>
        <w:spacing w:line="360" w:lineRule="auto"/>
      </w:pPr>
      <w:r>
        <w:t>PKM conceive</w:t>
      </w:r>
      <w:r w:rsidRPr="006257DB">
        <w:t>d</w:t>
      </w:r>
      <w:r>
        <w:t xml:space="preserve"> the stu</w:t>
      </w:r>
      <w:r w:rsidRPr="006257DB">
        <w:t>d</w:t>
      </w:r>
      <w:r>
        <w:t>y. PKM an</w:t>
      </w:r>
      <w:r w:rsidRPr="006257DB">
        <w:t>d</w:t>
      </w:r>
      <w:r>
        <w:t xml:space="preserve"> ABC </w:t>
      </w:r>
      <w:r w:rsidRPr="006257DB">
        <w:t>d</w:t>
      </w:r>
      <w:r>
        <w:t>esign the analysis plan. ST</w:t>
      </w:r>
      <w:r w:rsidR="00600A8C">
        <w:t xml:space="preserve"> obtaine</w:t>
      </w:r>
      <w:r w:rsidR="00600A8C" w:rsidRPr="006257DB">
        <w:t>d</w:t>
      </w:r>
      <w:r w:rsidR="00600A8C">
        <w:t xml:space="preserve"> </w:t>
      </w:r>
      <w:r w:rsidR="00600A8C" w:rsidRPr="006257DB">
        <w:t>d</w:t>
      </w:r>
      <w:r w:rsidR="00600A8C">
        <w:t>ata an</w:t>
      </w:r>
      <w:r w:rsidR="00600A8C" w:rsidRPr="006257DB">
        <w:t>d</w:t>
      </w:r>
      <w:r w:rsidR="00600A8C">
        <w:t xml:space="preserve"> relevant ethical approvals. KC </w:t>
      </w:r>
      <w:r w:rsidR="00600A8C" w:rsidRPr="006257DB">
        <w:t>d</w:t>
      </w:r>
      <w:r w:rsidR="00600A8C">
        <w:t>rafte</w:t>
      </w:r>
      <w:r w:rsidR="00600A8C" w:rsidRPr="006257DB">
        <w:t>d</w:t>
      </w:r>
      <w:r w:rsidR="00600A8C">
        <w:t xml:space="preserve"> the paper. </w:t>
      </w:r>
      <w:r w:rsidR="00600A8C">
        <w:rPr>
          <w:szCs w:val="24"/>
        </w:rPr>
        <w:t>All authors contributed in interpretation of results and in making an important intellectual contribution to the manuscript. PKM is the guarantor</w:t>
      </w:r>
      <w:r w:rsidR="00600A8C">
        <w:t>.</w:t>
      </w:r>
      <w:r w:rsidR="00485489">
        <w:t xml:space="preserve"> All authors have read and approved the final manuscript.</w:t>
      </w:r>
    </w:p>
    <w:p w14:paraId="574C6D6F" w14:textId="77777777" w:rsidR="0010042D" w:rsidRDefault="0010042D" w:rsidP="0097575D">
      <w:pPr>
        <w:spacing w:line="360" w:lineRule="auto"/>
        <w:rPr>
          <w:b/>
        </w:rPr>
      </w:pPr>
      <w:r>
        <w:rPr>
          <w:b/>
        </w:rPr>
        <w:br w:type="page"/>
      </w:r>
    </w:p>
    <w:p w14:paraId="2A0F20C7" w14:textId="77777777" w:rsidR="0010042D" w:rsidRDefault="0010042D" w:rsidP="0097575D">
      <w:pPr>
        <w:spacing w:line="360" w:lineRule="auto"/>
        <w:outlineLvl w:val="0"/>
        <w:rPr>
          <w:b/>
        </w:rPr>
      </w:pPr>
      <w:r>
        <w:rPr>
          <w:b/>
        </w:rPr>
        <w:t>References</w:t>
      </w:r>
    </w:p>
    <w:p w14:paraId="216949E3" w14:textId="2771199A" w:rsidR="0010042D" w:rsidRPr="00E71D49" w:rsidRDefault="008F670C" w:rsidP="0097575D">
      <w:pPr>
        <w:spacing w:line="360" w:lineRule="auto"/>
        <w:rPr>
          <w:szCs w:val="24"/>
        </w:rPr>
      </w:pPr>
      <w:r>
        <w:rPr>
          <w:szCs w:val="24"/>
        </w:rPr>
        <w:t xml:space="preserve">1. Feigin VL, </w:t>
      </w:r>
      <w:r w:rsidR="00270923">
        <w:rPr>
          <w:szCs w:val="24"/>
        </w:rPr>
        <w:t xml:space="preserve">et al. </w:t>
      </w:r>
      <w:r w:rsidR="0010042D" w:rsidRPr="00E71D49">
        <w:rPr>
          <w:szCs w:val="24"/>
        </w:rPr>
        <w:t>Worldwide stroke incidence and early case fatality reported in 56 population-base</w:t>
      </w:r>
      <w:r>
        <w:rPr>
          <w:szCs w:val="24"/>
        </w:rPr>
        <w:t xml:space="preserve">d studies: a systematic review. </w:t>
      </w:r>
      <w:r>
        <w:rPr>
          <w:i/>
          <w:szCs w:val="24"/>
        </w:rPr>
        <w:t xml:space="preserve">Lancet Neurol. </w:t>
      </w:r>
      <w:r>
        <w:rPr>
          <w:szCs w:val="24"/>
        </w:rPr>
        <w:t>2009;8:355–</w:t>
      </w:r>
      <w:r w:rsidR="0010042D" w:rsidRPr="00E71D49">
        <w:rPr>
          <w:szCs w:val="24"/>
        </w:rPr>
        <w:t>369.</w:t>
      </w:r>
      <w:r w:rsidR="002F7539">
        <w:rPr>
          <w:szCs w:val="24"/>
        </w:rPr>
        <w:t xml:space="preserve"> </w:t>
      </w:r>
    </w:p>
    <w:p w14:paraId="5F4449E7" w14:textId="40D11434" w:rsidR="0010042D" w:rsidRPr="00E71D49" w:rsidRDefault="0010042D" w:rsidP="0097575D">
      <w:pPr>
        <w:spacing w:line="360" w:lineRule="auto"/>
        <w:rPr>
          <w:szCs w:val="24"/>
        </w:rPr>
      </w:pPr>
      <w:r w:rsidRPr="00E71D49">
        <w:rPr>
          <w:szCs w:val="24"/>
        </w:rPr>
        <w:t xml:space="preserve">2. Ovbiagele B, Nath A. Increasing incidence of </w:t>
      </w:r>
      <w:r w:rsidR="00D26E82">
        <w:rPr>
          <w:szCs w:val="24"/>
        </w:rPr>
        <w:t>ischaemic</w:t>
      </w:r>
      <w:r w:rsidRPr="00E71D49">
        <w:rPr>
          <w:szCs w:val="24"/>
        </w:rPr>
        <w:t xml:space="preserve"> stroke in patients with HIV infection. </w:t>
      </w:r>
      <w:r w:rsidRPr="00E71D49">
        <w:rPr>
          <w:i/>
          <w:iCs/>
          <w:szCs w:val="24"/>
        </w:rPr>
        <w:t>Neurology</w:t>
      </w:r>
      <w:r>
        <w:rPr>
          <w:i/>
          <w:iCs/>
          <w:szCs w:val="24"/>
        </w:rPr>
        <w:t>.</w:t>
      </w:r>
      <w:r w:rsidRPr="00E71D49">
        <w:rPr>
          <w:i/>
          <w:iCs/>
          <w:szCs w:val="24"/>
        </w:rPr>
        <w:t xml:space="preserve"> </w:t>
      </w:r>
      <w:r>
        <w:rPr>
          <w:szCs w:val="24"/>
        </w:rPr>
        <w:t>2011;</w:t>
      </w:r>
      <w:r w:rsidRPr="00E71D49">
        <w:rPr>
          <w:bCs/>
          <w:szCs w:val="24"/>
        </w:rPr>
        <w:t>76:</w:t>
      </w:r>
      <w:r w:rsidRPr="00E71D49">
        <w:rPr>
          <w:szCs w:val="24"/>
        </w:rPr>
        <w:t>444–50.</w:t>
      </w:r>
    </w:p>
    <w:p w14:paraId="59D404D9" w14:textId="57C916B2" w:rsidR="0010042D" w:rsidRPr="00E71D49" w:rsidRDefault="0010042D" w:rsidP="0097575D">
      <w:pPr>
        <w:spacing w:line="360" w:lineRule="auto"/>
        <w:rPr>
          <w:szCs w:val="24"/>
        </w:rPr>
      </w:pPr>
      <w:r w:rsidRPr="00E71D49">
        <w:rPr>
          <w:szCs w:val="24"/>
        </w:rPr>
        <w:t xml:space="preserve">3. Cole JW,  et al. Acquired immunodeficiency syndrome and the risk of stroke. </w:t>
      </w:r>
      <w:r w:rsidRPr="00E71D49">
        <w:rPr>
          <w:i/>
          <w:iCs/>
          <w:szCs w:val="24"/>
        </w:rPr>
        <w:t>Stroke</w:t>
      </w:r>
      <w:r>
        <w:rPr>
          <w:i/>
          <w:iCs/>
          <w:szCs w:val="24"/>
        </w:rPr>
        <w:t>.</w:t>
      </w:r>
      <w:r w:rsidRPr="00E71D49">
        <w:rPr>
          <w:i/>
          <w:iCs/>
          <w:szCs w:val="24"/>
        </w:rPr>
        <w:t xml:space="preserve"> </w:t>
      </w:r>
      <w:r>
        <w:rPr>
          <w:szCs w:val="24"/>
        </w:rPr>
        <w:t>2004;</w:t>
      </w:r>
      <w:r w:rsidRPr="00E71D49">
        <w:rPr>
          <w:bCs/>
          <w:szCs w:val="24"/>
        </w:rPr>
        <w:t>35:</w:t>
      </w:r>
      <w:r w:rsidRPr="00E71D49">
        <w:rPr>
          <w:szCs w:val="24"/>
        </w:rPr>
        <w:t>51–56.</w:t>
      </w:r>
    </w:p>
    <w:p w14:paraId="35CAE22F" w14:textId="77777777" w:rsidR="0010042D" w:rsidRPr="00806CBC" w:rsidRDefault="0010042D" w:rsidP="0097575D">
      <w:pPr>
        <w:spacing w:line="360" w:lineRule="auto"/>
        <w:rPr>
          <w:szCs w:val="24"/>
          <w:highlight w:val="yellow"/>
        </w:rPr>
      </w:pPr>
      <w:r w:rsidRPr="00806CBC">
        <w:rPr>
          <w:szCs w:val="24"/>
        </w:rPr>
        <w:t xml:space="preserve">4. </w:t>
      </w:r>
      <w:r w:rsidRPr="00806CBC">
        <w:t xml:space="preserve">World Health Organisation Statistical Information System. . 2014. </w:t>
      </w:r>
      <w:r w:rsidRPr="00806CBC">
        <w:rPr>
          <w:rStyle w:val="Emphasis"/>
        </w:rPr>
        <w:t xml:space="preserve">Causes of death: mortality and health status. </w:t>
      </w:r>
      <w:r w:rsidRPr="00806CBC">
        <w:t xml:space="preserve">. [ONLINE] Available at: </w:t>
      </w:r>
      <w:hyperlink r:id="rId10" w:history="1">
        <w:r w:rsidRPr="00806CBC">
          <w:rPr>
            <w:rStyle w:val="Hyperlink"/>
            <w:color w:val="auto"/>
          </w:rPr>
          <w:t>http://www.who.int/research/en/</w:t>
        </w:r>
      </w:hyperlink>
      <w:r w:rsidRPr="00806CBC">
        <w:t>. [Accessed 20 September 14].</w:t>
      </w:r>
    </w:p>
    <w:p w14:paraId="4353E763" w14:textId="1C606BD8" w:rsidR="0010042D" w:rsidRPr="00E71D49" w:rsidRDefault="0010042D" w:rsidP="0097575D">
      <w:pPr>
        <w:spacing w:line="360" w:lineRule="auto"/>
        <w:rPr>
          <w:szCs w:val="24"/>
        </w:rPr>
      </w:pPr>
      <w:r w:rsidRPr="00E71D49">
        <w:rPr>
          <w:szCs w:val="24"/>
        </w:rPr>
        <w:t xml:space="preserve">5. Atadzhanov M, </w:t>
      </w:r>
      <w:r w:rsidR="00270923">
        <w:rPr>
          <w:szCs w:val="24"/>
        </w:rPr>
        <w:t>et al</w:t>
      </w:r>
      <w:r w:rsidRPr="00E71D49">
        <w:rPr>
          <w:szCs w:val="24"/>
        </w:rPr>
        <w:t xml:space="preserve">. Stroke characteristics and outcomes of adult patients admitted to the University Teaching Hospital, Lusaka, Zambia. </w:t>
      </w:r>
      <w:r w:rsidRPr="00154BC5">
        <w:rPr>
          <w:i/>
          <w:szCs w:val="24"/>
        </w:rPr>
        <w:t>The Open General and Internal Medicine Journal</w:t>
      </w:r>
      <w:r w:rsidR="00154BC5" w:rsidRPr="00154BC5">
        <w:rPr>
          <w:i/>
          <w:szCs w:val="24"/>
        </w:rPr>
        <w:t>.</w:t>
      </w:r>
      <w:r w:rsidRPr="00E71D49">
        <w:rPr>
          <w:szCs w:val="24"/>
        </w:rPr>
        <w:t xml:space="preserve"> 2012;5:3-8.</w:t>
      </w:r>
    </w:p>
    <w:p w14:paraId="04E0914B" w14:textId="2BCDE383" w:rsidR="0010042D" w:rsidRPr="00E71D49" w:rsidRDefault="0010042D" w:rsidP="0097575D">
      <w:pPr>
        <w:spacing w:line="360" w:lineRule="auto"/>
        <w:rPr>
          <w:szCs w:val="24"/>
        </w:rPr>
      </w:pPr>
      <w:r w:rsidRPr="00E71D49">
        <w:rPr>
          <w:szCs w:val="24"/>
        </w:rPr>
        <w:t xml:space="preserve">6. Chow FC, </w:t>
      </w:r>
      <w:r w:rsidR="00270923">
        <w:rPr>
          <w:szCs w:val="24"/>
        </w:rPr>
        <w:t xml:space="preserve">et al. </w:t>
      </w:r>
      <w:r w:rsidRPr="00E71D49">
        <w:rPr>
          <w:szCs w:val="24"/>
        </w:rPr>
        <w:t xml:space="preserve">Comparison of </w:t>
      </w:r>
      <w:r w:rsidR="00D26E82">
        <w:rPr>
          <w:szCs w:val="24"/>
        </w:rPr>
        <w:t>ischaemic</w:t>
      </w:r>
      <w:r w:rsidRPr="00E71D49">
        <w:rPr>
          <w:szCs w:val="24"/>
        </w:rPr>
        <w:t xml:space="preserve"> stroke incidence in HIV-infected and non—HIV-infected patients in a US health care system.</w:t>
      </w:r>
      <w:r>
        <w:rPr>
          <w:i/>
          <w:szCs w:val="24"/>
        </w:rPr>
        <w:t xml:space="preserve"> J. Acquir. Immune Defic. Synd.</w:t>
      </w:r>
      <w:r w:rsidRPr="00E71D49">
        <w:rPr>
          <w:i/>
          <w:szCs w:val="24"/>
        </w:rPr>
        <w:t xml:space="preserve">. </w:t>
      </w:r>
      <w:r>
        <w:rPr>
          <w:szCs w:val="24"/>
        </w:rPr>
        <w:t>2012;60:</w:t>
      </w:r>
      <w:r w:rsidRPr="00E71D49">
        <w:rPr>
          <w:szCs w:val="24"/>
        </w:rPr>
        <w:t>351–358.</w:t>
      </w:r>
    </w:p>
    <w:p w14:paraId="363292EF" w14:textId="77777777" w:rsidR="0010042D" w:rsidRPr="00E71D49" w:rsidRDefault="0010042D" w:rsidP="0097575D">
      <w:pPr>
        <w:spacing w:line="360" w:lineRule="auto"/>
        <w:rPr>
          <w:color w:val="000000"/>
          <w:szCs w:val="24"/>
        </w:rPr>
      </w:pPr>
      <w:r w:rsidRPr="00E71D49">
        <w:rPr>
          <w:szCs w:val="24"/>
        </w:rPr>
        <w:t xml:space="preserve">7. Palomeras E, Roquer J. Cerebrovascular disease as a form of presentation of HIV infection. </w:t>
      </w:r>
      <w:r w:rsidRPr="00E71D49">
        <w:rPr>
          <w:i/>
          <w:szCs w:val="24"/>
        </w:rPr>
        <w:t>Neurologia.</w:t>
      </w:r>
      <w:r w:rsidRPr="00E71D49">
        <w:rPr>
          <w:szCs w:val="24"/>
        </w:rPr>
        <w:t xml:space="preserve"> 1996;11:346 - 349.</w:t>
      </w:r>
    </w:p>
    <w:p w14:paraId="4D3BA680" w14:textId="5320271F" w:rsidR="0010042D" w:rsidRPr="00270923" w:rsidRDefault="0010042D" w:rsidP="0097575D">
      <w:pPr>
        <w:spacing w:line="360" w:lineRule="auto"/>
        <w:rPr>
          <w:szCs w:val="24"/>
          <w:lang w:val="en-US" w:eastAsia="en-GB" w:bidi="th-TH"/>
        </w:rPr>
      </w:pPr>
      <w:r w:rsidRPr="00E71D49">
        <w:rPr>
          <w:szCs w:val="24"/>
          <w:lang w:val="en-US" w:eastAsia="en-GB" w:bidi="th-TH"/>
        </w:rPr>
        <w:t>8. Anunnatsiri S,</w:t>
      </w:r>
      <w:r w:rsidR="00270923">
        <w:rPr>
          <w:szCs w:val="24"/>
          <w:lang w:val="en-US" w:eastAsia="en-GB" w:bidi="th-TH"/>
        </w:rPr>
        <w:t xml:space="preserve"> et al. </w:t>
      </w:r>
      <w:r w:rsidRPr="00270923">
        <w:rPr>
          <w:szCs w:val="24"/>
          <w:lang w:val="en-US" w:eastAsia="en-GB" w:bidi="th-TH"/>
        </w:rPr>
        <w:t xml:space="preserve">Disease Patterns among Thai Adult Population: An Analysis of Data from the Hospitalization National Health Insurance System. </w:t>
      </w:r>
      <w:r w:rsidRPr="00270923">
        <w:rPr>
          <w:i/>
          <w:szCs w:val="24"/>
          <w:lang w:val="en-US" w:eastAsia="en-GB" w:bidi="th-TH"/>
        </w:rPr>
        <w:t>J Med Assoc Thai.</w:t>
      </w:r>
      <w:r w:rsidRPr="00270923">
        <w:rPr>
          <w:szCs w:val="24"/>
          <w:lang w:val="en-US" w:eastAsia="en-GB" w:bidi="th-TH"/>
        </w:rPr>
        <w:t xml:space="preserve"> 2012;95:S74-80.</w:t>
      </w:r>
    </w:p>
    <w:p w14:paraId="046F67E0" w14:textId="3AD8EDBD" w:rsidR="0010042D" w:rsidRPr="00E71D49" w:rsidRDefault="0010042D" w:rsidP="0097575D">
      <w:pPr>
        <w:spacing w:line="360" w:lineRule="auto"/>
        <w:rPr>
          <w:szCs w:val="24"/>
        </w:rPr>
      </w:pPr>
      <w:r w:rsidRPr="00E71D49">
        <w:rPr>
          <w:szCs w:val="24"/>
        </w:rPr>
        <w:t xml:space="preserve">9. Heikinheimo T, </w:t>
      </w:r>
      <w:r w:rsidR="004B37D2">
        <w:rPr>
          <w:szCs w:val="24"/>
        </w:rPr>
        <w:t xml:space="preserve">et al. </w:t>
      </w:r>
      <w:r w:rsidRPr="00E71D49">
        <w:rPr>
          <w:szCs w:val="24"/>
        </w:rPr>
        <w:t xml:space="preserve">Stroke Outcomes in Malawi, a Country with High Prevalence of HIV: A Prospective Follow-Up Study. </w:t>
      </w:r>
      <w:r w:rsidRPr="00E71D49">
        <w:rPr>
          <w:i/>
          <w:szCs w:val="24"/>
        </w:rPr>
        <w:t>PLoS ONE.</w:t>
      </w:r>
      <w:r w:rsidRPr="00E71D49">
        <w:rPr>
          <w:szCs w:val="24"/>
        </w:rPr>
        <w:t xml:space="preserve"> 2012. 7(3): e33765. doi:10.1371/journal.pone.0033765</w:t>
      </w:r>
    </w:p>
    <w:p w14:paraId="40F0BB04" w14:textId="4A29B607" w:rsidR="0010042D" w:rsidRPr="00E71D49" w:rsidRDefault="0010042D" w:rsidP="0097575D">
      <w:pPr>
        <w:spacing w:line="360" w:lineRule="auto"/>
        <w:rPr>
          <w:szCs w:val="24"/>
        </w:rPr>
      </w:pPr>
      <w:r w:rsidRPr="00E71D49">
        <w:rPr>
          <w:szCs w:val="24"/>
          <w:shd w:val="clear" w:color="auto" w:fill="FFFFFF"/>
        </w:rPr>
        <w:t>10. Tipping B,</w:t>
      </w:r>
      <w:r w:rsidR="004B37D2">
        <w:rPr>
          <w:szCs w:val="24"/>
          <w:shd w:val="clear" w:color="auto" w:fill="FFFFFF"/>
        </w:rPr>
        <w:t xml:space="preserve"> et al. </w:t>
      </w:r>
      <w:r w:rsidRPr="00E71D49">
        <w:rPr>
          <w:szCs w:val="24"/>
          <w:shd w:val="clear" w:color="auto" w:fill="FFFFFF"/>
        </w:rPr>
        <w:t>Stroke in patients with human immunodeficiency virus infection.</w:t>
      </w:r>
      <w:r w:rsidR="008F670C"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E71D49">
        <w:rPr>
          <w:rStyle w:val="ref-journal"/>
          <w:i/>
          <w:color w:val="000000"/>
          <w:szCs w:val="24"/>
          <w:shd w:val="clear" w:color="auto" w:fill="FFFFFF"/>
        </w:rPr>
        <w:t>J Neurol Neurosurg Psychiatry</w:t>
      </w:r>
      <w:r w:rsidRPr="00E71D49">
        <w:rPr>
          <w:rStyle w:val="ref-journal"/>
          <w:color w:val="000000"/>
          <w:szCs w:val="24"/>
          <w:shd w:val="clear" w:color="auto" w:fill="FFFFFF"/>
        </w:rPr>
        <w:t>.</w:t>
      </w:r>
      <w:r w:rsidRPr="00E71D49">
        <w:rPr>
          <w:szCs w:val="24"/>
          <w:shd w:val="clear" w:color="auto" w:fill="FFFFFF"/>
        </w:rPr>
        <w:t>2007;</w:t>
      </w:r>
      <w:r w:rsidRPr="00E71D49">
        <w:rPr>
          <w:rStyle w:val="ref-vol"/>
          <w:color w:val="000000"/>
          <w:szCs w:val="24"/>
          <w:shd w:val="clear" w:color="auto" w:fill="FFFFFF"/>
        </w:rPr>
        <w:t>78</w:t>
      </w:r>
      <w:r w:rsidRPr="00E71D49">
        <w:rPr>
          <w:szCs w:val="24"/>
          <w:shd w:val="clear" w:color="auto" w:fill="FFFFFF"/>
        </w:rPr>
        <w:t>:1320–4</w:t>
      </w:r>
    </w:p>
    <w:p w14:paraId="6E435C98" w14:textId="77777777" w:rsidR="0010042D" w:rsidRPr="00E71D49" w:rsidRDefault="0010042D" w:rsidP="0097575D">
      <w:pPr>
        <w:spacing w:line="360" w:lineRule="auto"/>
        <w:rPr>
          <w:szCs w:val="24"/>
          <w:shd w:val="clear" w:color="auto" w:fill="FFFFFF"/>
        </w:rPr>
      </w:pPr>
      <w:r w:rsidRPr="00E71D49">
        <w:rPr>
          <w:szCs w:val="24"/>
          <w:shd w:val="clear" w:color="auto" w:fill="FFFFFF"/>
        </w:rPr>
        <w:t>11. Mlay M, Bakari M. The prevalence of HIV among patients admitted with stroke at the Muhimbili National Hospital, Dar es Salam, Tanzania.</w:t>
      </w:r>
      <w:r w:rsidR="008F670C"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E71D49">
        <w:rPr>
          <w:rStyle w:val="ref-journal"/>
          <w:i/>
          <w:color w:val="000000"/>
          <w:szCs w:val="24"/>
          <w:shd w:val="clear" w:color="auto" w:fill="FFFFFF"/>
        </w:rPr>
        <w:t>Tanz J Health Res.</w:t>
      </w:r>
      <w:r w:rsidRPr="00E71D49">
        <w:rPr>
          <w:szCs w:val="24"/>
          <w:shd w:val="clear" w:color="auto" w:fill="FFFFFF"/>
        </w:rPr>
        <w:t>2010;</w:t>
      </w:r>
      <w:r w:rsidRPr="00E71D49">
        <w:rPr>
          <w:rStyle w:val="ref-vol"/>
          <w:color w:val="000000"/>
          <w:szCs w:val="24"/>
          <w:shd w:val="clear" w:color="auto" w:fill="FFFFFF"/>
        </w:rPr>
        <w:t>12</w:t>
      </w:r>
      <w:r w:rsidRPr="00E71D49">
        <w:rPr>
          <w:szCs w:val="24"/>
          <w:shd w:val="clear" w:color="auto" w:fill="FFFFFF"/>
        </w:rPr>
        <w:t>:1–12.</w:t>
      </w:r>
    </w:p>
    <w:p w14:paraId="294432C0" w14:textId="7DE99042" w:rsidR="0010042D" w:rsidRPr="00E71D49" w:rsidRDefault="008F670C" w:rsidP="0097575D">
      <w:pPr>
        <w:spacing w:line="360" w:lineRule="auto"/>
        <w:rPr>
          <w:szCs w:val="24"/>
        </w:rPr>
      </w:pPr>
      <w:r>
        <w:rPr>
          <w:szCs w:val="24"/>
        </w:rPr>
        <w:t>12. Benjamin LA,</w:t>
      </w:r>
      <w:r w:rsidR="004B37D2">
        <w:rPr>
          <w:szCs w:val="24"/>
        </w:rPr>
        <w:t xml:space="preserve"> et al. </w:t>
      </w:r>
      <w:r w:rsidR="0010042D" w:rsidRPr="00E71D49">
        <w:rPr>
          <w:szCs w:val="24"/>
        </w:rPr>
        <w:t>HIV infection and stroke: current pers</w:t>
      </w:r>
      <w:r>
        <w:rPr>
          <w:szCs w:val="24"/>
        </w:rPr>
        <w:t xml:space="preserve">pectives and future directions. </w:t>
      </w:r>
      <w:r w:rsidR="0010042D" w:rsidRPr="00E71D49">
        <w:rPr>
          <w:i/>
          <w:szCs w:val="24"/>
        </w:rPr>
        <w:t>Lancet Neurol</w:t>
      </w:r>
      <w:r w:rsidR="0010042D">
        <w:rPr>
          <w:i/>
          <w:szCs w:val="24"/>
        </w:rPr>
        <w:t>.</w:t>
      </w:r>
      <w:r>
        <w:rPr>
          <w:szCs w:val="24"/>
        </w:rPr>
        <w:t xml:space="preserve"> </w:t>
      </w:r>
      <w:r w:rsidR="0010042D" w:rsidRPr="00E71D49">
        <w:rPr>
          <w:szCs w:val="24"/>
        </w:rPr>
        <w:t>2012;11:878–90.</w:t>
      </w:r>
    </w:p>
    <w:p w14:paraId="385BA939" w14:textId="0AE2F234" w:rsidR="0010042D" w:rsidRPr="00E71D49" w:rsidRDefault="0010042D" w:rsidP="0097575D">
      <w:pPr>
        <w:spacing w:line="360" w:lineRule="auto"/>
        <w:rPr>
          <w:szCs w:val="24"/>
        </w:rPr>
      </w:pPr>
      <w:r w:rsidRPr="00E71D49">
        <w:rPr>
          <w:szCs w:val="24"/>
        </w:rPr>
        <w:t>13. Ortiz G,</w:t>
      </w:r>
      <w:r w:rsidR="004B37D2">
        <w:rPr>
          <w:szCs w:val="24"/>
        </w:rPr>
        <w:t xml:space="preserve"> et al. </w:t>
      </w:r>
      <w:r w:rsidRPr="00E71D49">
        <w:rPr>
          <w:szCs w:val="24"/>
        </w:rPr>
        <w:t xml:space="preserve">Mechanisms of </w:t>
      </w:r>
      <w:r w:rsidR="00D26E82">
        <w:rPr>
          <w:szCs w:val="24"/>
        </w:rPr>
        <w:t>ischaemic</w:t>
      </w:r>
      <w:r w:rsidRPr="00E71D49">
        <w:rPr>
          <w:szCs w:val="24"/>
        </w:rPr>
        <w:t xml:space="preserve"> stroke in HIV-infected patients. </w:t>
      </w:r>
      <w:r w:rsidRPr="00E71D49">
        <w:rPr>
          <w:i/>
          <w:iCs/>
          <w:szCs w:val="24"/>
        </w:rPr>
        <w:t>Neurology</w:t>
      </w:r>
      <w:r>
        <w:rPr>
          <w:i/>
          <w:iCs/>
          <w:szCs w:val="24"/>
        </w:rPr>
        <w:t>.</w:t>
      </w:r>
      <w:r w:rsidRPr="00E71D49">
        <w:rPr>
          <w:i/>
          <w:iCs/>
          <w:szCs w:val="24"/>
        </w:rPr>
        <w:t xml:space="preserve"> </w:t>
      </w:r>
      <w:r w:rsidRPr="00E71D49">
        <w:rPr>
          <w:szCs w:val="24"/>
        </w:rPr>
        <w:t>2007;</w:t>
      </w:r>
      <w:r>
        <w:rPr>
          <w:bCs/>
          <w:szCs w:val="24"/>
        </w:rPr>
        <w:t>68:</w:t>
      </w:r>
      <w:r w:rsidRPr="00E71D49">
        <w:rPr>
          <w:szCs w:val="24"/>
        </w:rPr>
        <w:t>1257–61</w:t>
      </w:r>
    </w:p>
    <w:p w14:paraId="2F77AF66" w14:textId="545C6233" w:rsidR="0010042D" w:rsidRPr="00E71D49" w:rsidRDefault="0010042D" w:rsidP="0097575D">
      <w:pPr>
        <w:spacing w:line="360" w:lineRule="auto"/>
        <w:rPr>
          <w:szCs w:val="24"/>
        </w:rPr>
      </w:pPr>
      <w:r w:rsidRPr="00E71D49">
        <w:rPr>
          <w:szCs w:val="24"/>
        </w:rPr>
        <w:t xml:space="preserve">14. Hoffmann M, </w:t>
      </w:r>
      <w:r w:rsidR="004B37D2">
        <w:rPr>
          <w:szCs w:val="24"/>
        </w:rPr>
        <w:t xml:space="preserve">et al. </w:t>
      </w:r>
      <w:r w:rsidRPr="00E71D49">
        <w:rPr>
          <w:szCs w:val="24"/>
        </w:rPr>
        <w:t xml:space="preserve">Cerebrovascular disease in young, HIV-infected, black Africans in the KwaZulu Natal province of South Africa. </w:t>
      </w:r>
      <w:r w:rsidRPr="00E71D49">
        <w:rPr>
          <w:i/>
          <w:iCs/>
          <w:szCs w:val="24"/>
        </w:rPr>
        <w:t>J Neurovirol</w:t>
      </w:r>
      <w:r>
        <w:rPr>
          <w:i/>
          <w:iCs/>
          <w:szCs w:val="24"/>
        </w:rPr>
        <w:t>.</w:t>
      </w:r>
      <w:r w:rsidRPr="00E71D49">
        <w:rPr>
          <w:i/>
          <w:iCs/>
          <w:szCs w:val="24"/>
        </w:rPr>
        <w:t xml:space="preserve"> </w:t>
      </w:r>
      <w:r w:rsidRPr="00E71D49">
        <w:rPr>
          <w:szCs w:val="24"/>
        </w:rPr>
        <w:t>2000;</w:t>
      </w:r>
      <w:r w:rsidRPr="00E71D49">
        <w:rPr>
          <w:bCs/>
          <w:szCs w:val="24"/>
        </w:rPr>
        <w:t>6:</w:t>
      </w:r>
      <w:r w:rsidRPr="00E71D49">
        <w:rPr>
          <w:szCs w:val="24"/>
        </w:rPr>
        <w:t>229–36.</w:t>
      </w:r>
    </w:p>
    <w:p w14:paraId="1D909EAB" w14:textId="77777777" w:rsidR="0010042D" w:rsidRPr="00E71D49" w:rsidRDefault="0010042D" w:rsidP="0097575D">
      <w:pPr>
        <w:spacing w:line="360" w:lineRule="auto"/>
        <w:rPr>
          <w:rFonts w:eastAsiaTheme="minorHAnsi"/>
          <w:b/>
          <w:bCs/>
          <w:color w:val="00703C"/>
          <w:szCs w:val="24"/>
        </w:rPr>
      </w:pPr>
      <w:r w:rsidRPr="00E71D49">
        <w:rPr>
          <w:szCs w:val="24"/>
        </w:rPr>
        <w:t xml:space="preserve">15. Kumar S, Selim M, Caplan L. Medical complications after stroke. </w:t>
      </w:r>
      <w:r w:rsidRPr="00CA65E7">
        <w:rPr>
          <w:i/>
          <w:szCs w:val="24"/>
        </w:rPr>
        <w:t>Lancet Neurol.</w:t>
      </w:r>
      <w:r>
        <w:rPr>
          <w:szCs w:val="24"/>
        </w:rPr>
        <w:t xml:space="preserve"> 2010;</w:t>
      </w:r>
      <w:r w:rsidRPr="00E71D49">
        <w:rPr>
          <w:szCs w:val="24"/>
        </w:rPr>
        <w:t>9:105–18</w:t>
      </w:r>
    </w:p>
    <w:p w14:paraId="5023CBF4" w14:textId="0DC27E8E" w:rsidR="0010042D" w:rsidRPr="00E71D49" w:rsidRDefault="0010042D" w:rsidP="0097575D">
      <w:pPr>
        <w:spacing w:line="360" w:lineRule="auto"/>
        <w:rPr>
          <w:szCs w:val="24"/>
        </w:rPr>
      </w:pPr>
      <w:r w:rsidRPr="00E71D49">
        <w:rPr>
          <w:szCs w:val="24"/>
        </w:rPr>
        <w:t xml:space="preserve">16. Whiteley W, </w:t>
      </w:r>
      <w:r w:rsidRPr="004B37D2">
        <w:rPr>
          <w:szCs w:val="24"/>
        </w:rPr>
        <w:t>et al.</w:t>
      </w:r>
      <w:r w:rsidRPr="00E71D49">
        <w:rPr>
          <w:szCs w:val="24"/>
        </w:rPr>
        <w:t xml:space="preserve"> Inflammatory Markers and Poor Outcome after Stroke: A Prospective Cohort Study and Systematic Review of Interleukin-6. </w:t>
      </w:r>
      <w:r w:rsidRPr="00B2463B">
        <w:rPr>
          <w:i/>
          <w:szCs w:val="24"/>
        </w:rPr>
        <w:t>PLoS Med</w:t>
      </w:r>
      <w:r>
        <w:rPr>
          <w:szCs w:val="24"/>
        </w:rPr>
        <w:t>. 2009;6(9):</w:t>
      </w:r>
      <w:r w:rsidRPr="00E71D49">
        <w:rPr>
          <w:szCs w:val="24"/>
        </w:rPr>
        <w:t>e1000145. doi:10.1371/journal.pmed.1000145</w:t>
      </w:r>
    </w:p>
    <w:p w14:paraId="08543493" w14:textId="29AC7AB3" w:rsidR="0010042D" w:rsidRPr="00E71D49" w:rsidRDefault="0010042D" w:rsidP="0097575D">
      <w:pPr>
        <w:spacing w:line="360" w:lineRule="auto"/>
        <w:rPr>
          <w:szCs w:val="24"/>
        </w:rPr>
      </w:pPr>
      <w:r w:rsidRPr="00E71D49">
        <w:rPr>
          <w:szCs w:val="24"/>
        </w:rPr>
        <w:t xml:space="preserve">17. Fugate JE, </w:t>
      </w:r>
      <w:r w:rsidR="004B37D2">
        <w:rPr>
          <w:szCs w:val="24"/>
        </w:rPr>
        <w:t xml:space="preserve">et al. </w:t>
      </w:r>
      <w:r w:rsidRPr="00E71D49">
        <w:rPr>
          <w:szCs w:val="24"/>
        </w:rPr>
        <w:t>Infectious causes of stro</w:t>
      </w:r>
      <w:r>
        <w:rPr>
          <w:szCs w:val="24"/>
        </w:rPr>
        <w:t xml:space="preserve">ke. </w:t>
      </w:r>
      <w:r w:rsidRPr="00B2463B">
        <w:rPr>
          <w:i/>
          <w:szCs w:val="24"/>
        </w:rPr>
        <w:t>Lancet Infect Dis.</w:t>
      </w:r>
      <w:r>
        <w:rPr>
          <w:szCs w:val="24"/>
        </w:rPr>
        <w:t xml:space="preserve"> 2014;14:</w:t>
      </w:r>
      <w:r w:rsidRPr="00E71D49">
        <w:rPr>
          <w:szCs w:val="24"/>
        </w:rPr>
        <w:t>869-80.</w:t>
      </w:r>
    </w:p>
    <w:p w14:paraId="21719238" w14:textId="60CD2AAA" w:rsidR="0010042D" w:rsidRPr="00E71D49" w:rsidRDefault="0010042D" w:rsidP="0097575D">
      <w:pPr>
        <w:spacing w:line="360" w:lineRule="auto"/>
        <w:rPr>
          <w:szCs w:val="24"/>
        </w:rPr>
      </w:pPr>
      <w:r w:rsidRPr="00E71D49">
        <w:rPr>
          <w:szCs w:val="24"/>
        </w:rPr>
        <w:t xml:space="preserve">18. </w:t>
      </w:r>
      <w:r>
        <w:rPr>
          <w:szCs w:val="24"/>
        </w:rPr>
        <w:t>Donne</w:t>
      </w:r>
      <w:r w:rsidRPr="00E71D49">
        <w:rPr>
          <w:szCs w:val="24"/>
        </w:rPr>
        <w:t xml:space="preserve"> </w:t>
      </w:r>
      <w:r>
        <w:rPr>
          <w:szCs w:val="24"/>
        </w:rPr>
        <w:t>GD</w:t>
      </w:r>
      <w:r w:rsidRPr="00E71D49">
        <w:rPr>
          <w:szCs w:val="24"/>
        </w:rPr>
        <w:t xml:space="preserve">, </w:t>
      </w:r>
      <w:r w:rsidR="004B37D2">
        <w:rPr>
          <w:szCs w:val="24"/>
        </w:rPr>
        <w:t xml:space="preserve">et al. </w:t>
      </w:r>
      <w:r w:rsidRPr="00E71D49">
        <w:rPr>
          <w:szCs w:val="24"/>
        </w:rPr>
        <w:t>Human Immuno</w:t>
      </w:r>
      <w:r>
        <w:rPr>
          <w:szCs w:val="24"/>
        </w:rPr>
        <w:t>deficiency Virus infection</w:t>
      </w:r>
      <w:r w:rsidRPr="00E71D49">
        <w:rPr>
          <w:szCs w:val="24"/>
        </w:rPr>
        <w:t xml:space="preserve">, stroke severity and mortality predictive indicator in Centre National Hospitalier et Universitaire-Hubert Koutoukou Maga (CNHU-HKM) Cotonou, Benin. </w:t>
      </w:r>
      <w:r w:rsidRPr="00B2463B">
        <w:rPr>
          <w:i/>
          <w:szCs w:val="24"/>
        </w:rPr>
        <w:t>African Journal of Neurological Sciences.</w:t>
      </w:r>
      <w:r>
        <w:rPr>
          <w:szCs w:val="24"/>
        </w:rPr>
        <w:t xml:space="preserve"> 2013;32</w:t>
      </w:r>
      <w:r w:rsidRPr="00E71D49">
        <w:rPr>
          <w:szCs w:val="24"/>
        </w:rPr>
        <w:t>(2)</w:t>
      </w:r>
      <w:r w:rsidRPr="00E71D49">
        <w:rPr>
          <w:color w:val="0A0905"/>
          <w:szCs w:val="24"/>
        </w:rPr>
        <w:t xml:space="preserve"> .</w:t>
      </w:r>
    </w:p>
    <w:p w14:paraId="1D032545" w14:textId="3E479D6B" w:rsidR="0010042D" w:rsidRPr="00E71D49" w:rsidRDefault="0010042D" w:rsidP="0097575D">
      <w:pPr>
        <w:spacing w:line="360" w:lineRule="auto"/>
        <w:rPr>
          <w:szCs w:val="24"/>
        </w:rPr>
      </w:pPr>
      <w:r w:rsidRPr="00E71D49">
        <w:rPr>
          <w:szCs w:val="24"/>
        </w:rPr>
        <w:t xml:space="preserve">19. Weber R, </w:t>
      </w:r>
      <w:r w:rsidRPr="004B37D2">
        <w:rPr>
          <w:szCs w:val="24"/>
        </w:rPr>
        <w:t>et al.</w:t>
      </w:r>
      <w:r w:rsidRPr="00E71D49">
        <w:rPr>
          <w:szCs w:val="24"/>
        </w:rPr>
        <w:t xml:space="preserve"> Decreasing mortality and chan</w:t>
      </w:r>
      <w:r w:rsidR="002B5B7C">
        <w:rPr>
          <w:szCs w:val="24"/>
        </w:rPr>
        <w:t>g</w:t>
      </w:r>
      <w:r w:rsidRPr="00E71D49">
        <w:rPr>
          <w:szCs w:val="24"/>
        </w:rPr>
        <w:t xml:space="preserve">ing patterns of causes of death in the Swiss HIV cohort. </w:t>
      </w:r>
      <w:r w:rsidRPr="00E71D49">
        <w:rPr>
          <w:i/>
          <w:szCs w:val="24"/>
        </w:rPr>
        <w:t>HIV Med.</w:t>
      </w:r>
      <w:r w:rsidRPr="00E71D49">
        <w:rPr>
          <w:szCs w:val="24"/>
        </w:rPr>
        <w:t xml:space="preserve"> 2013; 14(4):195-207. </w:t>
      </w:r>
    </w:p>
    <w:p w14:paraId="1CB98104" w14:textId="77777777" w:rsidR="0010042D" w:rsidRPr="00E71D49" w:rsidRDefault="0010042D" w:rsidP="0097575D">
      <w:pPr>
        <w:spacing w:line="360" w:lineRule="auto"/>
        <w:rPr>
          <w:szCs w:val="24"/>
          <w:lang w:eastAsia="en-GB"/>
        </w:rPr>
      </w:pPr>
      <w:r>
        <w:rPr>
          <w:szCs w:val="24"/>
        </w:rPr>
        <w:t>20</w:t>
      </w:r>
      <w:r w:rsidRPr="00E71D49">
        <w:rPr>
          <w:szCs w:val="24"/>
        </w:rPr>
        <w:t xml:space="preserve">. </w:t>
      </w:r>
      <w:r w:rsidRPr="00E71D49">
        <w:rPr>
          <w:szCs w:val="24"/>
          <w:lang w:eastAsia="en-GB"/>
        </w:rPr>
        <w:t xml:space="preserve">Mochan A, Modi M, Modi G. Stroke in Black South African HIV-Positive Patients: A Prospective Analysis. </w:t>
      </w:r>
      <w:r w:rsidRPr="00E71D49">
        <w:rPr>
          <w:i/>
          <w:iCs/>
          <w:szCs w:val="24"/>
          <w:lang w:eastAsia="en-GB"/>
        </w:rPr>
        <w:t xml:space="preserve">Stroke. </w:t>
      </w:r>
      <w:r w:rsidRPr="00E71D49">
        <w:rPr>
          <w:szCs w:val="24"/>
          <w:lang w:eastAsia="en-GB"/>
        </w:rPr>
        <w:t>2003;34:10-15.</w:t>
      </w:r>
    </w:p>
    <w:p w14:paraId="13972BBB" w14:textId="0E8040E4" w:rsidR="0010042D" w:rsidRDefault="0010042D" w:rsidP="0097575D">
      <w:pPr>
        <w:spacing w:line="360" w:lineRule="auto"/>
        <w:rPr>
          <w:szCs w:val="24"/>
        </w:rPr>
      </w:pPr>
      <w:r>
        <w:rPr>
          <w:szCs w:val="24"/>
          <w:lang w:eastAsia="en-GB"/>
        </w:rPr>
        <w:t>21</w:t>
      </w:r>
      <w:r w:rsidRPr="00E71D49">
        <w:rPr>
          <w:szCs w:val="24"/>
          <w:lang w:eastAsia="en-GB"/>
        </w:rPr>
        <w:t xml:space="preserve">. </w:t>
      </w:r>
      <w:r>
        <w:rPr>
          <w:szCs w:val="24"/>
        </w:rPr>
        <w:t xml:space="preserve">Kwok CS, </w:t>
      </w:r>
      <w:r w:rsidRPr="004B37D2">
        <w:rPr>
          <w:szCs w:val="24"/>
        </w:rPr>
        <w:t xml:space="preserve">et al. </w:t>
      </w:r>
      <w:hyperlink r:id="rId11" w:history="1">
        <w:r w:rsidRPr="00E71D49">
          <w:rPr>
            <w:rStyle w:val="Hyperlink"/>
            <w:color w:val="auto"/>
            <w:szCs w:val="24"/>
            <w:u w:val="none"/>
          </w:rPr>
          <w:t xml:space="preserve">Association between prestroke disability and inpatient mortality and length of acute hospital stay after acute </w:t>
        </w:r>
        <w:r w:rsidRPr="00E71D49">
          <w:rPr>
            <w:rStyle w:val="Hyperlink"/>
            <w:bCs/>
            <w:color w:val="auto"/>
            <w:szCs w:val="24"/>
            <w:u w:val="none"/>
          </w:rPr>
          <w:t>stroke</w:t>
        </w:r>
        <w:r w:rsidRPr="00E71D49">
          <w:rPr>
            <w:rStyle w:val="Hyperlink"/>
            <w:color w:val="auto"/>
            <w:szCs w:val="24"/>
            <w:u w:val="none"/>
          </w:rPr>
          <w:t>.</w:t>
        </w:r>
      </w:hyperlink>
      <w:r w:rsidRPr="00E71D49">
        <w:rPr>
          <w:szCs w:val="24"/>
        </w:rPr>
        <w:t xml:space="preserve"> </w:t>
      </w:r>
      <w:r w:rsidRPr="00E71D49">
        <w:rPr>
          <w:rStyle w:val="jrnl"/>
          <w:szCs w:val="24"/>
        </w:rPr>
        <w:t>J Am Geriatr Soc</w:t>
      </w:r>
      <w:r w:rsidRPr="00E71D49">
        <w:rPr>
          <w:szCs w:val="24"/>
        </w:rPr>
        <w:t>. 2012 Apr;60:726-32</w:t>
      </w:r>
    </w:p>
    <w:p w14:paraId="14707CDD" w14:textId="627325C8" w:rsidR="00D86F98" w:rsidRDefault="007D4313" w:rsidP="00F02F66">
      <w:pPr>
        <w:spacing w:line="360" w:lineRule="auto"/>
      </w:pPr>
      <w:r>
        <w:rPr>
          <w:szCs w:val="24"/>
        </w:rPr>
        <w:t xml:space="preserve">22. </w:t>
      </w:r>
      <w:r w:rsidRPr="007D4313">
        <w:t xml:space="preserve">Chasombat S, </w:t>
      </w:r>
      <w:r w:rsidR="004B37D2">
        <w:t xml:space="preserve">et al. </w:t>
      </w:r>
      <w:r w:rsidRPr="007D4313">
        <w:t>The National Access to Antiretroviral Program for PHA (NAPHA) in Thailand.</w:t>
      </w:r>
      <w:r w:rsidRPr="00154BC5">
        <w:rPr>
          <w:i/>
        </w:rPr>
        <w:t xml:space="preserve"> Southeast Asian J Trop Med Public Health</w:t>
      </w:r>
      <w:r w:rsidR="00154BC5">
        <w:t>.</w:t>
      </w:r>
      <w:r w:rsidRPr="007D4313">
        <w:t xml:space="preserve"> 2006, 37:704-15</w:t>
      </w:r>
      <w:r w:rsidR="00F02F66">
        <w:t>.</w:t>
      </w:r>
    </w:p>
    <w:p w14:paraId="767D58B2" w14:textId="77777777" w:rsidR="00D86F98" w:rsidRDefault="00D86F98">
      <w:pPr>
        <w:spacing w:after="0" w:line="240" w:lineRule="auto"/>
      </w:pPr>
      <w:r>
        <w:br w:type="page"/>
      </w:r>
    </w:p>
    <w:p w14:paraId="4104D832" w14:textId="77777777" w:rsidR="00D86F98" w:rsidRDefault="00D86F98" w:rsidP="00F02F66">
      <w:pPr>
        <w:spacing w:line="360" w:lineRule="auto"/>
        <w:rPr>
          <w:b/>
        </w:rPr>
        <w:sectPr w:rsidR="00D86F98" w:rsidSect="00F02F66">
          <w:footerReference w:type="default" r:id="rId12"/>
          <w:pgSz w:w="11906" w:h="16838"/>
          <w:pgMar w:top="1440" w:right="1440" w:bottom="1440" w:left="1440" w:header="708" w:footer="708" w:gutter="0"/>
          <w:cols w:space="708"/>
          <w:rtlGutter/>
          <w:docGrid w:linePitch="360"/>
        </w:sectPr>
      </w:pPr>
    </w:p>
    <w:p w14:paraId="67F87D9F" w14:textId="77777777" w:rsidR="00D86F98" w:rsidRPr="00D26E82" w:rsidRDefault="00D86F98" w:rsidP="00D86F98">
      <w:pPr>
        <w:spacing w:after="0" w:line="240" w:lineRule="auto"/>
        <w:rPr>
          <w:szCs w:val="24"/>
        </w:rPr>
      </w:pPr>
      <w:r w:rsidRPr="002D190C">
        <w:rPr>
          <w:b/>
          <w:szCs w:val="24"/>
        </w:rPr>
        <w:t xml:space="preserve">Table 1: </w:t>
      </w:r>
      <w:r w:rsidRPr="00D26E82">
        <w:rPr>
          <w:szCs w:val="24"/>
        </w:rPr>
        <w:t xml:space="preserve">Sample characteristics of </w:t>
      </w:r>
      <w:r>
        <w:rPr>
          <w:szCs w:val="24"/>
        </w:rPr>
        <w:t>610,688</w:t>
      </w:r>
      <w:r w:rsidRPr="00D26E82">
        <w:rPr>
          <w:szCs w:val="24"/>
        </w:rPr>
        <w:t xml:space="preserve"> hospitalised stroke patients with and without HIV infection in Thailand (2004-2013)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126"/>
        <w:gridCol w:w="1666"/>
        <w:gridCol w:w="1364"/>
      </w:tblGrid>
      <w:tr w:rsidR="00D86F98" w:rsidRPr="00A72033" w14:paraId="11C74BFC" w14:textId="77777777" w:rsidTr="00915067">
        <w:trPr>
          <w:trHeight w:val="32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42F82EE1" w14:textId="77777777" w:rsidR="00D86F98" w:rsidRPr="00A72033" w:rsidRDefault="00D86F98" w:rsidP="009150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D6677">
              <w:rPr>
                <w:b/>
                <w:szCs w:val="24"/>
              </w:rPr>
              <w:t>Characteristic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2B39B7" w14:textId="77777777" w:rsidR="00D86F98" w:rsidRPr="00A72033" w:rsidRDefault="00D86F98" w:rsidP="009150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D6677">
              <w:rPr>
                <w:b/>
                <w:szCs w:val="24"/>
              </w:rPr>
              <w:t xml:space="preserve">Non-HIV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0352025E" w14:textId="77777777" w:rsidR="00D86F98" w:rsidRPr="00A72033" w:rsidRDefault="00D86F98" w:rsidP="009150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D6677">
              <w:rPr>
                <w:b/>
                <w:szCs w:val="24"/>
              </w:rPr>
              <w:t xml:space="preserve">HIV 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C317E4D" w14:textId="77777777" w:rsidR="00D86F98" w:rsidRPr="00A72033" w:rsidRDefault="00D86F98" w:rsidP="009150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D6677">
              <w:rPr>
                <w:b/>
                <w:szCs w:val="24"/>
              </w:rPr>
              <w:t>P value</w:t>
            </w:r>
          </w:p>
        </w:tc>
      </w:tr>
      <w:tr w:rsidR="00D86F98" w:rsidRPr="00A72033" w14:paraId="39DBDE30" w14:textId="77777777" w:rsidTr="00915067">
        <w:trPr>
          <w:trHeight w:val="271"/>
        </w:trPr>
        <w:tc>
          <w:tcPr>
            <w:tcW w:w="3794" w:type="dxa"/>
            <w:tcBorders>
              <w:top w:val="single" w:sz="4" w:space="0" w:color="auto"/>
            </w:tcBorders>
          </w:tcPr>
          <w:p w14:paraId="25BABE44" w14:textId="77777777" w:rsidR="00D86F98" w:rsidRPr="00A72033" w:rsidRDefault="00D86F98" w:rsidP="009150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D6677">
              <w:rPr>
                <w:b/>
                <w:szCs w:val="24"/>
              </w:rPr>
              <w:t>Number (N)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082207A1" w14:textId="77777777" w:rsidR="00D86F98" w:rsidRPr="00A72033" w:rsidRDefault="00D86F98" w:rsidP="0091506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609,802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bottom"/>
          </w:tcPr>
          <w:p w14:paraId="1C8B658F" w14:textId="77777777" w:rsidR="00D86F98" w:rsidRPr="00A72033" w:rsidRDefault="00D86F98" w:rsidP="0091506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866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2AC3F006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D86F98" w:rsidRPr="00A72033" w14:paraId="469FE3F9" w14:textId="77777777" w:rsidTr="00915067">
        <w:trPr>
          <w:trHeight w:val="253"/>
        </w:trPr>
        <w:tc>
          <w:tcPr>
            <w:tcW w:w="3794" w:type="dxa"/>
          </w:tcPr>
          <w:p w14:paraId="42E7A045" w14:textId="77777777" w:rsidR="00D86F98" w:rsidRPr="00A72033" w:rsidRDefault="00D86F98" w:rsidP="00915067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14:paraId="4AFC3FD2" w14:textId="77777777" w:rsidR="00D86F98" w:rsidRPr="00A72033" w:rsidRDefault="00D86F98" w:rsidP="009150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D6677">
              <w:rPr>
                <w:b/>
                <w:szCs w:val="24"/>
              </w:rPr>
              <w:t>Age (years)</w:t>
            </w:r>
          </w:p>
        </w:tc>
        <w:tc>
          <w:tcPr>
            <w:tcW w:w="2126" w:type="dxa"/>
            <w:vAlign w:val="bottom"/>
          </w:tcPr>
          <w:p w14:paraId="4A294370" w14:textId="77777777" w:rsidR="00D86F98" w:rsidRPr="00A72033" w:rsidRDefault="00D86F98" w:rsidP="0091506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666" w:type="dxa"/>
            <w:vAlign w:val="bottom"/>
          </w:tcPr>
          <w:p w14:paraId="2C0D0BF6" w14:textId="77777777" w:rsidR="00D86F98" w:rsidRPr="00A72033" w:rsidRDefault="00D86F98" w:rsidP="0091506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64" w:type="dxa"/>
          </w:tcPr>
          <w:p w14:paraId="0B90A1E7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D86F98" w:rsidRPr="00A72033" w14:paraId="4D80B361" w14:textId="77777777" w:rsidTr="00915067">
        <w:trPr>
          <w:trHeight w:val="253"/>
        </w:trPr>
        <w:tc>
          <w:tcPr>
            <w:tcW w:w="3794" w:type="dxa"/>
          </w:tcPr>
          <w:p w14:paraId="7EF9A51D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4A404BAF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Mean (± SD)</w:t>
            </w:r>
          </w:p>
        </w:tc>
        <w:tc>
          <w:tcPr>
            <w:tcW w:w="2126" w:type="dxa"/>
            <w:vAlign w:val="bottom"/>
          </w:tcPr>
          <w:p w14:paraId="1FA4660C" w14:textId="77777777" w:rsidR="00D86F98" w:rsidRPr="00A72033" w:rsidRDefault="00D86F98" w:rsidP="0091506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AD6677">
              <w:rPr>
                <w:color w:val="000000"/>
                <w:szCs w:val="24"/>
              </w:rPr>
              <w:t>63</w:t>
            </w:r>
            <w:r w:rsidRPr="00AD6677">
              <w:rPr>
                <w:szCs w:val="24"/>
              </w:rPr>
              <w:t>·</w:t>
            </w:r>
            <w:r w:rsidRPr="00AD6677">
              <w:rPr>
                <w:color w:val="000000"/>
                <w:szCs w:val="24"/>
              </w:rPr>
              <w:t>5 (14</w:t>
            </w:r>
            <w:r w:rsidRPr="00AD6677">
              <w:rPr>
                <w:szCs w:val="24"/>
              </w:rPr>
              <w:t>·7)</w:t>
            </w:r>
          </w:p>
        </w:tc>
        <w:tc>
          <w:tcPr>
            <w:tcW w:w="1666" w:type="dxa"/>
            <w:vAlign w:val="bottom"/>
          </w:tcPr>
          <w:p w14:paraId="00EB9C4D" w14:textId="77777777" w:rsidR="00D86F98" w:rsidRPr="00A72033" w:rsidRDefault="00D86F98" w:rsidP="0091506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AD6677">
              <w:rPr>
                <w:color w:val="000000"/>
                <w:szCs w:val="24"/>
              </w:rPr>
              <w:t>41</w:t>
            </w:r>
            <w:r w:rsidRPr="00AD6677">
              <w:rPr>
                <w:szCs w:val="24"/>
              </w:rPr>
              <w:t>·</w:t>
            </w:r>
            <w:r>
              <w:rPr>
                <w:color w:val="000000"/>
                <w:szCs w:val="24"/>
              </w:rPr>
              <w:t>3</w:t>
            </w:r>
            <w:r w:rsidRPr="00AD6677">
              <w:rPr>
                <w:color w:val="000000"/>
                <w:szCs w:val="24"/>
              </w:rPr>
              <w:t xml:space="preserve"> (11</w:t>
            </w:r>
            <w:r>
              <w:rPr>
                <w:szCs w:val="24"/>
              </w:rPr>
              <w:t>·3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364" w:type="dxa"/>
          </w:tcPr>
          <w:p w14:paraId="69D7E374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1A3DBCCD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&lt;0·001</w:t>
            </w:r>
          </w:p>
        </w:tc>
      </w:tr>
      <w:tr w:rsidR="00D86F98" w:rsidRPr="00A72033" w14:paraId="73535D3B" w14:textId="77777777" w:rsidTr="00915067">
        <w:trPr>
          <w:trHeight w:val="215"/>
        </w:trPr>
        <w:tc>
          <w:tcPr>
            <w:tcW w:w="3794" w:type="dxa"/>
          </w:tcPr>
          <w:p w14:paraId="5D6E5ED6" w14:textId="77777777" w:rsidR="00D86F98" w:rsidRPr="00A72033" w:rsidRDefault="00D86F98" w:rsidP="00915067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14:paraId="6E392655" w14:textId="77777777" w:rsidR="00D86F98" w:rsidRPr="00A72033" w:rsidRDefault="00D86F98" w:rsidP="009150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D6677">
              <w:rPr>
                <w:b/>
                <w:szCs w:val="24"/>
              </w:rPr>
              <w:t>Female sex % (N)</w:t>
            </w:r>
          </w:p>
        </w:tc>
        <w:tc>
          <w:tcPr>
            <w:tcW w:w="2126" w:type="dxa"/>
            <w:vAlign w:val="bottom"/>
          </w:tcPr>
          <w:p w14:paraId="21808EFB" w14:textId="77777777" w:rsidR="00D86F98" w:rsidRPr="00A72033" w:rsidRDefault="00D86F98" w:rsidP="0091506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AD6677">
              <w:rPr>
                <w:color w:val="000000"/>
                <w:szCs w:val="24"/>
              </w:rPr>
              <w:t>45</w:t>
            </w:r>
            <w:r w:rsidRPr="00AD6677">
              <w:rPr>
                <w:szCs w:val="24"/>
              </w:rPr>
              <w:t>·</w:t>
            </w:r>
            <w:r>
              <w:rPr>
                <w:color w:val="000000"/>
                <w:szCs w:val="24"/>
              </w:rPr>
              <w:t>2 (275,911</w:t>
            </w:r>
            <w:r w:rsidRPr="00AD6677">
              <w:rPr>
                <w:color w:val="000000"/>
                <w:szCs w:val="24"/>
              </w:rPr>
              <w:t>)</w:t>
            </w:r>
          </w:p>
        </w:tc>
        <w:tc>
          <w:tcPr>
            <w:tcW w:w="1666" w:type="dxa"/>
            <w:vAlign w:val="bottom"/>
          </w:tcPr>
          <w:p w14:paraId="5BF9EFA6" w14:textId="77777777" w:rsidR="00D86F98" w:rsidRPr="00A72033" w:rsidRDefault="00D86F98" w:rsidP="0091506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AD6677">
              <w:rPr>
                <w:color w:val="000000"/>
                <w:szCs w:val="24"/>
              </w:rPr>
              <w:t>30</w:t>
            </w:r>
            <w:r w:rsidRPr="00AD6677">
              <w:rPr>
                <w:szCs w:val="24"/>
              </w:rPr>
              <w:t>·</w:t>
            </w:r>
            <w:r>
              <w:rPr>
                <w:color w:val="000000"/>
                <w:szCs w:val="24"/>
              </w:rPr>
              <w:t xml:space="preserve"> 8 (267</w:t>
            </w:r>
            <w:r w:rsidRPr="00AD6677">
              <w:rPr>
                <w:color w:val="000000"/>
                <w:szCs w:val="24"/>
              </w:rPr>
              <w:t>)</w:t>
            </w:r>
          </w:p>
        </w:tc>
        <w:tc>
          <w:tcPr>
            <w:tcW w:w="1364" w:type="dxa"/>
          </w:tcPr>
          <w:p w14:paraId="1E6BA38D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226E0F72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&lt;0·001</w:t>
            </w:r>
          </w:p>
        </w:tc>
      </w:tr>
      <w:tr w:rsidR="00D86F98" w:rsidRPr="00A72033" w14:paraId="56C3FD9D" w14:textId="77777777" w:rsidTr="00915067">
        <w:trPr>
          <w:trHeight w:val="265"/>
        </w:trPr>
        <w:tc>
          <w:tcPr>
            <w:tcW w:w="3794" w:type="dxa"/>
          </w:tcPr>
          <w:p w14:paraId="602C91F3" w14:textId="77777777" w:rsidR="00D86F98" w:rsidRPr="00A72033" w:rsidRDefault="00D86F98" w:rsidP="00915067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14:paraId="28E7F850" w14:textId="77777777" w:rsidR="00D86F98" w:rsidRPr="00A72033" w:rsidRDefault="00D86F98" w:rsidP="009150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D6677">
              <w:rPr>
                <w:b/>
                <w:szCs w:val="24"/>
              </w:rPr>
              <w:t>Co-morbidities % (N)</w:t>
            </w:r>
          </w:p>
        </w:tc>
        <w:tc>
          <w:tcPr>
            <w:tcW w:w="2126" w:type="dxa"/>
            <w:vAlign w:val="bottom"/>
          </w:tcPr>
          <w:p w14:paraId="662DD127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66" w:type="dxa"/>
            <w:vAlign w:val="bottom"/>
          </w:tcPr>
          <w:p w14:paraId="06BDB8F0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4" w:type="dxa"/>
          </w:tcPr>
          <w:p w14:paraId="376C74A7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D86F98" w:rsidRPr="00A72033" w14:paraId="0ECC44E4" w14:textId="77777777" w:rsidTr="00915067">
        <w:trPr>
          <w:trHeight w:val="268"/>
        </w:trPr>
        <w:tc>
          <w:tcPr>
            <w:tcW w:w="3794" w:type="dxa"/>
          </w:tcPr>
          <w:p w14:paraId="37E54CCC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72C00300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Hypertension</w:t>
            </w:r>
          </w:p>
        </w:tc>
        <w:tc>
          <w:tcPr>
            <w:tcW w:w="2126" w:type="dxa"/>
            <w:vAlign w:val="bottom"/>
          </w:tcPr>
          <w:p w14:paraId="4B400F7C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44·2 (269,562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666" w:type="dxa"/>
            <w:vAlign w:val="bottom"/>
          </w:tcPr>
          <w:p w14:paraId="739EE4E1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 (78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364" w:type="dxa"/>
          </w:tcPr>
          <w:p w14:paraId="31BF8DF7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1CB60AE2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&lt;0·001</w:t>
            </w:r>
          </w:p>
        </w:tc>
      </w:tr>
      <w:tr w:rsidR="00D86F98" w:rsidRPr="00A72033" w14:paraId="4DC2FDBA" w14:textId="77777777" w:rsidTr="00915067">
        <w:trPr>
          <w:trHeight w:val="273"/>
        </w:trPr>
        <w:tc>
          <w:tcPr>
            <w:tcW w:w="3794" w:type="dxa"/>
          </w:tcPr>
          <w:p w14:paraId="4D7B8890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1732DCD3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 xml:space="preserve">Diabetes </w:t>
            </w:r>
          </w:p>
        </w:tc>
        <w:tc>
          <w:tcPr>
            <w:tcW w:w="2126" w:type="dxa"/>
            <w:vAlign w:val="bottom"/>
          </w:tcPr>
          <w:p w14:paraId="154E3C55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16·5 (100,319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666" w:type="dxa"/>
            <w:vAlign w:val="bottom"/>
          </w:tcPr>
          <w:p w14:paraId="756D4CC3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3·3 (29)</w:t>
            </w:r>
          </w:p>
        </w:tc>
        <w:tc>
          <w:tcPr>
            <w:tcW w:w="1364" w:type="dxa"/>
          </w:tcPr>
          <w:p w14:paraId="7D26C468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5349B574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&lt;0·001</w:t>
            </w:r>
          </w:p>
        </w:tc>
      </w:tr>
      <w:tr w:rsidR="00D86F98" w:rsidRPr="00A72033" w14:paraId="061D243B" w14:textId="77777777" w:rsidTr="00915067">
        <w:trPr>
          <w:trHeight w:val="253"/>
        </w:trPr>
        <w:tc>
          <w:tcPr>
            <w:tcW w:w="3794" w:type="dxa"/>
          </w:tcPr>
          <w:p w14:paraId="4C8CB990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4DB79FDB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 xml:space="preserve">Previous stroke </w:t>
            </w:r>
          </w:p>
        </w:tc>
        <w:tc>
          <w:tcPr>
            <w:tcW w:w="2126" w:type="dxa"/>
            <w:vAlign w:val="bottom"/>
          </w:tcPr>
          <w:p w14:paraId="187C6688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7·8 (47,467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666" w:type="dxa"/>
            <w:vAlign w:val="bottom"/>
          </w:tcPr>
          <w:p w14:paraId="77763E4D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7·4 (64)</w:t>
            </w:r>
          </w:p>
        </w:tc>
        <w:tc>
          <w:tcPr>
            <w:tcW w:w="1364" w:type="dxa"/>
          </w:tcPr>
          <w:p w14:paraId="0E411A72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72A02E4D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0·666</w:t>
            </w:r>
          </w:p>
        </w:tc>
      </w:tr>
      <w:tr w:rsidR="00D86F98" w:rsidRPr="00A72033" w14:paraId="44F6E017" w14:textId="77777777" w:rsidTr="00915067">
        <w:trPr>
          <w:trHeight w:val="253"/>
        </w:trPr>
        <w:tc>
          <w:tcPr>
            <w:tcW w:w="3794" w:type="dxa"/>
          </w:tcPr>
          <w:p w14:paraId="2703A069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512D9FBB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 xml:space="preserve">Anaemia </w:t>
            </w:r>
          </w:p>
        </w:tc>
        <w:tc>
          <w:tcPr>
            <w:tcW w:w="2126" w:type="dxa"/>
            <w:vAlign w:val="bottom"/>
          </w:tcPr>
          <w:p w14:paraId="5E559CA1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5·4 (32,652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666" w:type="dxa"/>
            <w:vAlign w:val="bottom"/>
          </w:tcPr>
          <w:p w14:paraId="1566A236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12·9 (112)</w:t>
            </w:r>
          </w:p>
        </w:tc>
        <w:tc>
          <w:tcPr>
            <w:tcW w:w="1364" w:type="dxa"/>
          </w:tcPr>
          <w:p w14:paraId="1D699D4E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77C468D6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&lt;0·001</w:t>
            </w:r>
          </w:p>
        </w:tc>
      </w:tr>
      <w:tr w:rsidR="00D86F98" w:rsidRPr="00A72033" w14:paraId="7243AC51" w14:textId="77777777" w:rsidTr="00915067">
        <w:trPr>
          <w:trHeight w:val="225"/>
        </w:trPr>
        <w:tc>
          <w:tcPr>
            <w:tcW w:w="3794" w:type="dxa"/>
          </w:tcPr>
          <w:p w14:paraId="4DFFA00E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62AC20C9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 xml:space="preserve">Rheumatic heart disease </w:t>
            </w:r>
          </w:p>
        </w:tc>
        <w:tc>
          <w:tcPr>
            <w:tcW w:w="2126" w:type="dxa"/>
            <w:vAlign w:val="bottom"/>
          </w:tcPr>
          <w:p w14:paraId="0072A7D9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0·9 (5,488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666" w:type="dxa"/>
            <w:vAlign w:val="bottom"/>
          </w:tcPr>
          <w:p w14:paraId="499DE7BA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0·3 (3)</w:t>
            </w:r>
          </w:p>
        </w:tc>
        <w:tc>
          <w:tcPr>
            <w:tcW w:w="1364" w:type="dxa"/>
          </w:tcPr>
          <w:p w14:paraId="49CFB7BE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40C8CBEA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0·085</w:t>
            </w:r>
          </w:p>
        </w:tc>
      </w:tr>
      <w:tr w:rsidR="00D86F98" w:rsidRPr="00A72033" w14:paraId="3DD2A093" w14:textId="77777777" w:rsidTr="00915067">
        <w:trPr>
          <w:trHeight w:val="235"/>
        </w:trPr>
        <w:tc>
          <w:tcPr>
            <w:tcW w:w="3794" w:type="dxa"/>
          </w:tcPr>
          <w:p w14:paraId="2936973D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2E54C3B9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Chronic obstructive pulmonary disease</w:t>
            </w:r>
          </w:p>
        </w:tc>
        <w:tc>
          <w:tcPr>
            <w:tcW w:w="2126" w:type="dxa"/>
            <w:vAlign w:val="bottom"/>
          </w:tcPr>
          <w:p w14:paraId="04E54B68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1·9 (11,591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666" w:type="dxa"/>
            <w:vAlign w:val="bottom"/>
          </w:tcPr>
          <w:p w14:paraId="6B8A74EC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0·3 (3)</w:t>
            </w:r>
          </w:p>
        </w:tc>
        <w:tc>
          <w:tcPr>
            <w:tcW w:w="1364" w:type="dxa"/>
          </w:tcPr>
          <w:p w14:paraId="39B47F04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5C798AE7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0·001</w:t>
            </w:r>
          </w:p>
        </w:tc>
      </w:tr>
      <w:tr w:rsidR="00D86F98" w:rsidRPr="00A72033" w14:paraId="0B3F0032" w14:textId="77777777" w:rsidTr="00915067">
        <w:trPr>
          <w:trHeight w:val="253"/>
        </w:trPr>
        <w:tc>
          <w:tcPr>
            <w:tcW w:w="3794" w:type="dxa"/>
          </w:tcPr>
          <w:p w14:paraId="54670D61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1079243F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 xml:space="preserve">Chronic </w:t>
            </w:r>
            <w:r>
              <w:rPr>
                <w:szCs w:val="24"/>
              </w:rPr>
              <w:t>ischaemic</w:t>
            </w:r>
            <w:r w:rsidRPr="00AD6677">
              <w:rPr>
                <w:szCs w:val="24"/>
              </w:rPr>
              <w:t xml:space="preserve"> heart disease </w:t>
            </w:r>
          </w:p>
        </w:tc>
        <w:tc>
          <w:tcPr>
            <w:tcW w:w="2126" w:type="dxa"/>
            <w:vAlign w:val="bottom"/>
          </w:tcPr>
          <w:p w14:paraId="12704ED8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2.7 (16,344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666" w:type="dxa"/>
            <w:vAlign w:val="bottom"/>
          </w:tcPr>
          <w:p w14:paraId="798D72A8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0 (0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364" w:type="dxa"/>
          </w:tcPr>
          <w:p w14:paraId="42748E18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0C7BFA53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Pr="00AD6677">
              <w:rPr>
                <w:szCs w:val="24"/>
              </w:rPr>
              <w:t>0·001</w:t>
            </w:r>
          </w:p>
        </w:tc>
      </w:tr>
      <w:tr w:rsidR="00D86F98" w:rsidRPr="00A72033" w14:paraId="250940C6" w14:textId="77777777" w:rsidTr="00915067">
        <w:trPr>
          <w:trHeight w:val="253"/>
        </w:trPr>
        <w:tc>
          <w:tcPr>
            <w:tcW w:w="3794" w:type="dxa"/>
          </w:tcPr>
          <w:p w14:paraId="0AF740EE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4A8297DE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Chronic kidney disease</w:t>
            </w:r>
          </w:p>
        </w:tc>
        <w:tc>
          <w:tcPr>
            <w:tcW w:w="2126" w:type="dxa"/>
            <w:vAlign w:val="bottom"/>
          </w:tcPr>
          <w:p w14:paraId="0F08FC57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3·1 (19,188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666" w:type="dxa"/>
            <w:vAlign w:val="bottom"/>
          </w:tcPr>
          <w:p w14:paraId="66C53D2A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0·7 (6)</w:t>
            </w:r>
          </w:p>
        </w:tc>
        <w:tc>
          <w:tcPr>
            <w:tcW w:w="1364" w:type="dxa"/>
          </w:tcPr>
          <w:p w14:paraId="37C870DD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1F9EAAC0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&lt;0·001</w:t>
            </w:r>
          </w:p>
        </w:tc>
      </w:tr>
      <w:tr w:rsidR="00D86F98" w:rsidRPr="00A72033" w14:paraId="6073D2C9" w14:textId="77777777" w:rsidTr="00915067">
        <w:trPr>
          <w:trHeight w:val="235"/>
        </w:trPr>
        <w:tc>
          <w:tcPr>
            <w:tcW w:w="3794" w:type="dxa"/>
          </w:tcPr>
          <w:p w14:paraId="6F06A82B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6D6E7B52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Atrial fibrillation</w:t>
            </w:r>
          </w:p>
        </w:tc>
        <w:tc>
          <w:tcPr>
            <w:tcW w:w="2126" w:type="dxa"/>
            <w:vAlign w:val="bottom"/>
          </w:tcPr>
          <w:p w14:paraId="427DE2D0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6·1 (37,177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666" w:type="dxa"/>
            <w:vAlign w:val="bottom"/>
          </w:tcPr>
          <w:p w14:paraId="7273204C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0·7 (6)</w:t>
            </w:r>
          </w:p>
        </w:tc>
        <w:tc>
          <w:tcPr>
            <w:tcW w:w="1364" w:type="dxa"/>
          </w:tcPr>
          <w:p w14:paraId="45AB028A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4C8D3695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&lt;0·001</w:t>
            </w:r>
          </w:p>
        </w:tc>
      </w:tr>
      <w:tr w:rsidR="00D86F98" w:rsidRPr="00A72033" w14:paraId="61F3E8C0" w14:textId="77777777" w:rsidTr="00915067">
        <w:trPr>
          <w:trHeight w:val="253"/>
        </w:trPr>
        <w:tc>
          <w:tcPr>
            <w:tcW w:w="3794" w:type="dxa"/>
          </w:tcPr>
          <w:p w14:paraId="566A4EFF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47656EA5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Heart failure</w:t>
            </w:r>
          </w:p>
        </w:tc>
        <w:tc>
          <w:tcPr>
            <w:tcW w:w="2126" w:type="dxa"/>
            <w:vAlign w:val="bottom"/>
          </w:tcPr>
          <w:p w14:paraId="195279E6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1·5 (8,994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666" w:type="dxa"/>
            <w:vAlign w:val="bottom"/>
          </w:tcPr>
          <w:p w14:paraId="0C1B2AC0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0·7 (6)</w:t>
            </w:r>
          </w:p>
        </w:tc>
        <w:tc>
          <w:tcPr>
            <w:tcW w:w="1364" w:type="dxa"/>
          </w:tcPr>
          <w:p w14:paraId="0943B217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0513C186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0·05</w:t>
            </w:r>
            <w:r>
              <w:rPr>
                <w:szCs w:val="24"/>
              </w:rPr>
              <w:t>6</w:t>
            </w:r>
          </w:p>
        </w:tc>
      </w:tr>
      <w:tr w:rsidR="00D86F98" w:rsidRPr="00A72033" w14:paraId="24CD068C" w14:textId="77777777" w:rsidTr="00915067">
        <w:trPr>
          <w:trHeight w:val="253"/>
        </w:trPr>
        <w:tc>
          <w:tcPr>
            <w:tcW w:w="3794" w:type="dxa"/>
          </w:tcPr>
          <w:p w14:paraId="6534FAFE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3C8DDC08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66" w:type="dxa"/>
            <w:vAlign w:val="bottom"/>
          </w:tcPr>
          <w:p w14:paraId="293EFF1E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4" w:type="dxa"/>
          </w:tcPr>
          <w:p w14:paraId="70CDDE10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D86F98" w:rsidRPr="00A72033" w14:paraId="5A2896A8" w14:textId="77777777" w:rsidTr="00915067">
        <w:trPr>
          <w:trHeight w:val="285"/>
        </w:trPr>
        <w:tc>
          <w:tcPr>
            <w:tcW w:w="3794" w:type="dxa"/>
          </w:tcPr>
          <w:p w14:paraId="6880F0B7" w14:textId="77777777" w:rsidR="00D86F98" w:rsidRPr="00A72033" w:rsidRDefault="00D86F98" w:rsidP="00915067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14:paraId="359F7DBD" w14:textId="77777777" w:rsidR="00D86F98" w:rsidRPr="00A72033" w:rsidRDefault="00D86F98" w:rsidP="0091506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D6677">
              <w:rPr>
                <w:b/>
                <w:szCs w:val="24"/>
              </w:rPr>
              <w:t>Stroke type % (N)</w:t>
            </w:r>
          </w:p>
        </w:tc>
        <w:tc>
          <w:tcPr>
            <w:tcW w:w="2126" w:type="dxa"/>
            <w:vAlign w:val="bottom"/>
          </w:tcPr>
          <w:p w14:paraId="42A78CA8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66" w:type="dxa"/>
            <w:vAlign w:val="bottom"/>
          </w:tcPr>
          <w:p w14:paraId="30CBF06F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4" w:type="dxa"/>
          </w:tcPr>
          <w:p w14:paraId="1AD39F47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  <w:p w14:paraId="43922F2C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&lt;0·001</w:t>
            </w:r>
          </w:p>
        </w:tc>
      </w:tr>
      <w:tr w:rsidR="00D86F98" w:rsidRPr="00A72033" w14:paraId="789D159C" w14:textId="77777777" w:rsidTr="00915067">
        <w:trPr>
          <w:trHeight w:val="289"/>
        </w:trPr>
        <w:tc>
          <w:tcPr>
            <w:tcW w:w="3794" w:type="dxa"/>
          </w:tcPr>
          <w:p w14:paraId="6228858B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 xml:space="preserve"> </w:t>
            </w:r>
          </w:p>
          <w:p w14:paraId="47980F85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Haemorrhagic</w:t>
            </w:r>
          </w:p>
        </w:tc>
        <w:tc>
          <w:tcPr>
            <w:tcW w:w="2126" w:type="dxa"/>
            <w:vAlign w:val="bottom"/>
          </w:tcPr>
          <w:p w14:paraId="2F983BFB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34·6 (211,117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666" w:type="dxa"/>
            <w:vAlign w:val="bottom"/>
          </w:tcPr>
          <w:p w14:paraId="7E41DDC7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30.1 (261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364" w:type="dxa"/>
          </w:tcPr>
          <w:p w14:paraId="3FE61414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D86F98" w:rsidRPr="00A72033" w14:paraId="36FE6F2D" w14:textId="77777777" w:rsidTr="00915067">
        <w:trPr>
          <w:trHeight w:val="265"/>
        </w:trPr>
        <w:tc>
          <w:tcPr>
            <w:tcW w:w="3794" w:type="dxa"/>
          </w:tcPr>
          <w:p w14:paraId="3D52F36A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 xml:space="preserve"> </w:t>
            </w:r>
          </w:p>
          <w:p w14:paraId="3250F928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Ischaemic</w:t>
            </w:r>
          </w:p>
        </w:tc>
        <w:tc>
          <w:tcPr>
            <w:tcW w:w="2126" w:type="dxa"/>
            <w:vAlign w:val="bottom"/>
          </w:tcPr>
          <w:p w14:paraId="67735097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5</w:t>
            </w:r>
            <w:r>
              <w:rPr>
                <w:szCs w:val="24"/>
              </w:rPr>
              <w:t>0</w:t>
            </w:r>
            <w:r w:rsidRPr="00AD6677">
              <w:rPr>
                <w:szCs w:val="24"/>
              </w:rPr>
              <w:t>·</w:t>
            </w:r>
            <w:r>
              <w:rPr>
                <w:szCs w:val="24"/>
              </w:rPr>
              <w:t>1 (305,621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666" w:type="dxa"/>
            <w:vAlign w:val="bottom"/>
          </w:tcPr>
          <w:p w14:paraId="4DE7A19F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6</w:t>
            </w:r>
            <w:r>
              <w:rPr>
                <w:szCs w:val="24"/>
              </w:rPr>
              <w:t>1.3 (531</w:t>
            </w:r>
            <w:r w:rsidRPr="00AD6677">
              <w:rPr>
                <w:szCs w:val="24"/>
              </w:rPr>
              <w:t>)</w:t>
            </w:r>
          </w:p>
        </w:tc>
        <w:tc>
          <w:tcPr>
            <w:tcW w:w="1364" w:type="dxa"/>
          </w:tcPr>
          <w:p w14:paraId="4A3038C3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D86F98" w:rsidRPr="00A72033" w14:paraId="2E9BDCA8" w14:textId="77777777" w:rsidTr="00915067">
        <w:trPr>
          <w:trHeight w:val="253"/>
        </w:trPr>
        <w:tc>
          <w:tcPr>
            <w:tcW w:w="3794" w:type="dxa"/>
            <w:tcBorders>
              <w:bottom w:val="single" w:sz="4" w:space="0" w:color="auto"/>
            </w:tcBorders>
          </w:tcPr>
          <w:p w14:paraId="59FBDF1F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 xml:space="preserve"> </w:t>
            </w:r>
          </w:p>
          <w:p w14:paraId="2EAB96EF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AD6677">
              <w:rPr>
                <w:szCs w:val="24"/>
              </w:rPr>
              <w:t xml:space="preserve">troke of undetermined </w:t>
            </w:r>
            <w:r>
              <w:rPr>
                <w:szCs w:val="24"/>
              </w:rPr>
              <w:t>pathology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07CA0D2B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15·</w:t>
            </w:r>
            <w:r>
              <w:rPr>
                <w:szCs w:val="24"/>
              </w:rPr>
              <w:t>3</w:t>
            </w:r>
            <w:r w:rsidRPr="00AD6677">
              <w:rPr>
                <w:szCs w:val="24"/>
              </w:rPr>
              <w:t xml:space="preserve"> (93,061)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14:paraId="6D67E2E4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  <w:r w:rsidRPr="00AD6677">
              <w:rPr>
                <w:szCs w:val="24"/>
              </w:rPr>
              <w:t>8·</w:t>
            </w:r>
            <w:r>
              <w:rPr>
                <w:szCs w:val="24"/>
              </w:rPr>
              <w:t>5</w:t>
            </w:r>
            <w:r w:rsidRPr="00AD6677">
              <w:rPr>
                <w:szCs w:val="24"/>
              </w:rPr>
              <w:t xml:space="preserve"> (74)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45782E7A" w14:textId="77777777" w:rsidR="00D86F98" w:rsidRPr="00A72033" w:rsidRDefault="00D86F98" w:rsidP="0091506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2C6CE6CF" w14:textId="77777777" w:rsidR="00D86F98" w:rsidRPr="003F12F3" w:rsidRDefault="00D86F98" w:rsidP="00D86F98">
      <w:pPr>
        <w:spacing w:after="0" w:line="240" w:lineRule="auto"/>
        <w:jc w:val="both"/>
        <w:rPr>
          <w:sz w:val="16"/>
          <w:szCs w:val="16"/>
        </w:rPr>
      </w:pPr>
      <w:r w:rsidRPr="003F12F3">
        <w:rPr>
          <w:sz w:val="16"/>
          <w:szCs w:val="16"/>
        </w:rPr>
        <w:br w:type="page"/>
      </w:r>
    </w:p>
    <w:p w14:paraId="68DF5B81" w14:textId="77777777" w:rsidR="00D86F98" w:rsidRPr="00D26E82" w:rsidRDefault="00D86F98" w:rsidP="00D86F98">
      <w:pPr>
        <w:spacing w:line="240" w:lineRule="auto"/>
        <w:rPr>
          <w:szCs w:val="24"/>
        </w:rPr>
      </w:pPr>
      <w:r w:rsidRPr="00B33EA4">
        <w:rPr>
          <w:b/>
          <w:szCs w:val="24"/>
        </w:rPr>
        <w:t xml:space="preserve">Table 2: </w:t>
      </w:r>
      <w:r w:rsidRPr="00D26E82">
        <w:rPr>
          <w:szCs w:val="24"/>
        </w:rPr>
        <w:t xml:space="preserve">Comparison of outcomes after stroke in </w:t>
      </w:r>
      <w:r>
        <w:rPr>
          <w:szCs w:val="24"/>
        </w:rPr>
        <w:t>610,688</w:t>
      </w:r>
      <w:r w:rsidRPr="00D26E82">
        <w:rPr>
          <w:szCs w:val="24"/>
        </w:rPr>
        <w:t xml:space="preserve"> hospitalised stroke patients with and without HIV infection in Thailand (2004-2013)</w:t>
      </w:r>
    </w:p>
    <w:p w14:paraId="5BC64891" w14:textId="77777777" w:rsidR="00D86F98" w:rsidRPr="00D26E82" w:rsidRDefault="00D86F98" w:rsidP="00D86F98">
      <w:pPr>
        <w:spacing w:after="0" w:line="240" w:lineRule="auto"/>
        <w:rPr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1417"/>
        <w:gridCol w:w="1106"/>
      </w:tblGrid>
      <w:tr w:rsidR="00D86F98" w:rsidRPr="00B1287B" w14:paraId="0F772A15" w14:textId="77777777" w:rsidTr="00915067">
        <w:trPr>
          <w:trHeight w:val="189"/>
        </w:trPr>
        <w:tc>
          <w:tcPr>
            <w:tcW w:w="3794" w:type="dxa"/>
            <w:tcBorders>
              <w:bottom w:val="single" w:sz="4" w:space="0" w:color="auto"/>
            </w:tcBorders>
          </w:tcPr>
          <w:p w14:paraId="60DAC14F" w14:textId="77777777" w:rsidR="00D86F98" w:rsidRPr="005B20EE" w:rsidRDefault="00D86F98" w:rsidP="00915067">
            <w:pPr>
              <w:pStyle w:val="NoSpacing"/>
              <w:pBdr>
                <w:top w:val="single" w:sz="4" w:space="1" w:color="auto"/>
              </w:pBdr>
              <w:tabs>
                <w:tab w:val="left" w:pos="1880"/>
              </w:tabs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5B20EE">
              <w:rPr>
                <w:rFonts w:ascii="Times New Roman" w:hAnsi="Times New Roman"/>
                <w:b/>
                <w:szCs w:val="24"/>
              </w:rPr>
              <w:t>Outcome investigated</w:t>
            </w:r>
            <w:r w:rsidRPr="005B20EE">
              <w:rPr>
                <w:rFonts w:ascii="Times New Roman" w:hAnsi="Times New Roman"/>
                <w:b/>
                <w:szCs w:val="24"/>
              </w:rPr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336DD59" w14:textId="77777777" w:rsidR="00D86F98" w:rsidRPr="005B20EE" w:rsidRDefault="00D86F98" w:rsidP="00915067">
            <w:pPr>
              <w:pStyle w:val="NoSpacing"/>
              <w:pBdr>
                <w:top w:val="single" w:sz="4" w:space="1" w:color="auto"/>
              </w:pBdr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5B20EE">
              <w:rPr>
                <w:rFonts w:ascii="Times New Roman" w:hAnsi="Times New Roman"/>
                <w:b/>
                <w:szCs w:val="24"/>
              </w:rPr>
              <w:t>Non-HIV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AD67D85" w14:textId="77777777" w:rsidR="00D86F98" w:rsidRPr="005B20EE" w:rsidRDefault="00D86F98" w:rsidP="00915067">
            <w:pPr>
              <w:pStyle w:val="NoSpacing"/>
              <w:pBdr>
                <w:top w:val="single" w:sz="4" w:space="1" w:color="auto"/>
              </w:pBdr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5B20EE">
              <w:rPr>
                <w:rFonts w:ascii="Times New Roman" w:hAnsi="Times New Roman"/>
                <w:b/>
                <w:szCs w:val="24"/>
              </w:rPr>
              <w:t>HIV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019A1729" w14:textId="77777777" w:rsidR="00D86F98" w:rsidRPr="005B20EE" w:rsidRDefault="00D86F98" w:rsidP="00915067">
            <w:pPr>
              <w:pStyle w:val="NoSpacing"/>
              <w:pBdr>
                <w:top w:val="single" w:sz="4" w:space="1" w:color="auto"/>
              </w:pBdr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5B20EE">
              <w:rPr>
                <w:rFonts w:ascii="Times New Roman" w:hAnsi="Times New Roman"/>
                <w:b/>
                <w:szCs w:val="24"/>
              </w:rPr>
              <w:t>P value</w:t>
            </w:r>
          </w:p>
        </w:tc>
      </w:tr>
      <w:tr w:rsidR="00D86F98" w:rsidRPr="00B1287B" w14:paraId="4D61E673" w14:textId="77777777" w:rsidTr="00915067">
        <w:trPr>
          <w:trHeight w:val="330"/>
        </w:trPr>
        <w:tc>
          <w:tcPr>
            <w:tcW w:w="3794" w:type="dxa"/>
            <w:tcBorders>
              <w:top w:val="single" w:sz="4" w:space="0" w:color="auto"/>
            </w:tcBorders>
          </w:tcPr>
          <w:p w14:paraId="69962538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</w:p>
          <w:p w14:paraId="401EC686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b/>
                <w:szCs w:val="24"/>
              </w:rPr>
              <w:t>Number (N)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77B2D77F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609,802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230214A8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866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21DF2BB4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099C547D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D86F98" w:rsidRPr="00B1287B" w14:paraId="143696C7" w14:textId="77777777" w:rsidTr="00915067">
        <w:trPr>
          <w:trHeight w:val="323"/>
        </w:trPr>
        <w:tc>
          <w:tcPr>
            <w:tcW w:w="3794" w:type="dxa"/>
          </w:tcPr>
          <w:p w14:paraId="3FD2959B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</w:p>
          <w:p w14:paraId="0CC22E42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5B20EE">
              <w:rPr>
                <w:rFonts w:ascii="Times New Roman" w:hAnsi="Times New Roman"/>
                <w:b/>
                <w:szCs w:val="24"/>
              </w:rPr>
              <w:t>Complication of stroke % (N)</w:t>
            </w:r>
          </w:p>
        </w:tc>
        <w:tc>
          <w:tcPr>
            <w:tcW w:w="1701" w:type="dxa"/>
            <w:vAlign w:val="bottom"/>
          </w:tcPr>
          <w:p w14:paraId="10755061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F9947C4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6" w:type="dxa"/>
          </w:tcPr>
          <w:p w14:paraId="366322B0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D86F98" w:rsidRPr="00B1287B" w14:paraId="56F7BABA" w14:textId="77777777" w:rsidTr="00915067">
        <w:trPr>
          <w:trHeight w:val="127"/>
        </w:trPr>
        <w:tc>
          <w:tcPr>
            <w:tcW w:w="3794" w:type="dxa"/>
          </w:tcPr>
          <w:p w14:paraId="0D4305CC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5F420ABF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Pneumonia</w:t>
            </w:r>
          </w:p>
        </w:tc>
        <w:tc>
          <w:tcPr>
            <w:tcW w:w="1701" w:type="dxa"/>
            <w:vAlign w:val="bottom"/>
          </w:tcPr>
          <w:p w14:paraId="03A31E9A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9·6 (58,524)</w:t>
            </w:r>
          </w:p>
        </w:tc>
        <w:tc>
          <w:tcPr>
            <w:tcW w:w="1417" w:type="dxa"/>
            <w:vAlign w:val="bottom"/>
          </w:tcPr>
          <w:p w14:paraId="23D9ABED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7·2 (62)</w:t>
            </w:r>
          </w:p>
        </w:tc>
        <w:tc>
          <w:tcPr>
            <w:tcW w:w="1106" w:type="dxa"/>
          </w:tcPr>
          <w:p w14:paraId="70A55C7D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12DA2CDC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0·015</w:t>
            </w:r>
          </w:p>
        </w:tc>
      </w:tr>
      <w:tr w:rsidR="00D86F98" w:rsidRPr="00B1287B" w14:paraId="21A2D082" w14:textId="77777777" w:rsidTr="00915067">
        <w:trPr>
          <w:trHeight w:val="335"/>
        </w:trPr>
        <w:tc>
          <w:tcPr>
            <w:tcW w:w="3794" w:type="dxa"/>
          </w:tcPr>
          <w:p w14:paraId="78C3645B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7AEE01BF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Sepsis</w:t>
            </w:r>
          </w:p>
        </w:tc>
        <w:tc>
          <w:tcPr>
            <w:tcW w:w="1701" w:type="dxa"/>
            <w:vAlign w:val="bottom"/>
          </w:tcPr>
          <w:p w14:paraId="17C604FC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3.2 (19,654)</w:t>
            </w:r>
          </w:p>
        </w:tc>
        <w:tc>
          <w:tcPr>
            <w:tcW w:w="1417" w:type="dxa"/>
            <w:vAlign w:val="bottom"/>
          </w:tcPr>
          <w:p w14:paraId="22B9F01F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5 (43)</w:t>
            </w:r>
          </w:p>
        </w:tc>
        <w:tc>
          <w:tcPr>
            <w:tcW w:w="1106" w:type="dxa"/>
          </w:tcPr>
          <w:p w14:paraId="523D8E0E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1E7FA327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0·004</w:t>
            </w:r>
          </w:p>
        </w:tc>
      </w:tr>
      <w:tr w:rsidR="00D86F98" w:rsidRPr="00B1287B" w14:paraId="61739552" w14:textId="77777777" w:rsidTr="00915067">
        <w:trPr>
          <w:trHeight w:val="325"/>
        </w:trPr>
        <w:tc>
          <w:tcPr>
            <w:tcW w:w="3794" w:type="dxa"/>
          </w:tcPr>
          <w:p w14:paraId="7E25CDAF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0B50B733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Respiratory failure</w:t>
            </w:r>
          </w:p>
        </w:tc>
        <w:tc>
          <w:tcPr>
            <w:tcW w:w="1701" w:type="dxa"/>
            <w:vAlign w:val="bottom"/>
          </w:tcPr>
          <w:p w14:paraId="3290E67C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7·3 (44,333)</w:t>
            </w:r>
          </w:p>
        </w:tc>
        <w:tc>
          <w:tcPr>
            <w:tcW w:w="1417" w:type="dxa"/>
            <w:vAlign w:val="bottom"/>
          </w:tcPr>
          <w:p w14:paraId="7BE6FD68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6·7 (57)</w:t>
            </w:r>
          </w:p>
        </w:tc>
        <w:tc>
          <w:tcPr>
            <w:tcW w:w="1106" w:type="dxa"/>
          </w:tcPr>
          <w:p w14:paraId="6794813B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472E976A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0·436</w:t>
            </w:r>
          </w:p>
        </w:tc>
      </w:tr>
      <w:tr w:rsidR="00D86F98" w:rsidRPr="00B1287B" w14:paraId="06FBB1A8" w14:textId="77777777" w:rsidTr="00915067">
        <w:trPr>
          <w:trHeight w:val="156"/>
        </w:trPr>
        <w:tc>
          <w:tcPr>
            <w:tcW w:w="3794" w:type="dxa"/>
          </w:tcPr>
          <w:p w14:paraId="2A34667F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374CEBB5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Convulsion</w:t>
            </w:r>
          </w:p>
        </w:tc>
        <w:tc>
          <w:tcPr>
            <w:tcW w:w="1701" w:type="dxa"/>
            <w:vAlign w:val="bottom"/>
          </w:tcPr>
          <w:p w14:paraId="1CFB42DE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3·4 (20,475)</w:t>
            </w:r>
          </w:p>
        </w:tc>
        <w:tc>
          <w:tcPr>
            <w:tcW w:w="1417" w:type="dxa"/>
            <w:vAlign w:val="bottom"/>
          </w:tcPr>
          <w:p w14:paraId="6E40F665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6·4 (55)</w:t>
            </w:r>
          </w:p>
        </w:tc>
        <w:tc>
          <w:tcPr>
            <w:tcW w:w="1106" w:type="dxa"/>
          </w:tcPr>
          <w:p w14:paraId="4D395FED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2D21DBD8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&lt;0·001</w:t>
            </w:r>
          </w:p>
        </w:tc>
      </w:tr>
      <w:tr w:rsidR="00D86F98" w:rsidRPr="00B1287B" w14:paraId="197412BA" w14:textId="77777777" w:rsidTr="00915067">
        <w:trPr>
          <w:trHeight w:val="156"/>
        </w:trPr>
        <w:tc>
          <w:tcPr>
            <w:tcW w:w="3794" w:type="dxa"/>
          </w:tcPr>
          <w:p w14:paraId="00DB38C0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751CD27F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Inpatient death</w:t>
            </w:r>
          </w:p>
        </w:tc>
        <w:tc>
          <w:tcPr>
            <w:tcW w:w="1701" w:type="dxa"/>
          </w:tcPr>
          <w:p w14:paraId="6DC44D8B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1EDFB92C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13·3 (80,977)</w:t>
            </w:r>
          </w:p>
        </w:tc>
        <w:tc>
          <w:tcPr>
            <w:tcW w:w="1417" w:type="dxa"/>
          </w:tcPr>
          <w:p w14:paraId="07CF8137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3E9CBF3F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20·2 (175)</w:t>
            </w:r>
          </w:p>
        </w:tc>
        <w:tc>
          <w:tcPr>
            <w:tcW w:w="1106" w:type="dxa"/>
          </w:tcPr>
          <w:p w14:paraId="1E61AA6E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23D40FEF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&lt;0·001</w:t>
            </w:r>
          </w:p>
        </w:tc>
      </w:tr>
      <w:tr w:rsidR="00D86F98" w:rsidRPr="00B1287B" w14:paraId="05AD7395" w14:textId="77777777" w:rsidTr="00915067">
        <w:trPr>
          <w:trHeight w:val="239"/>
        </w:trPr>
        <w:tc>
          <w:tcPr>
            <w:tcW w:w="3794" w:type="dxa"/>
          </w:tcPr>
          <w:p w14:paraId="14FF2750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</w:p>
          <w:p w14:paraId="1B93F551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5B20EE">
              <w:rPr>
                <w:rFonts w:ascii="Times New Roman" w:hAnsi="Times New Roman"/>
                <w:b/>
                <w:szCs w:val="24"/>
              </w:rPr>
              <w:t>Length of inpatient stay (days)</w:t>
            </w:r>
          </w:p>
        </w:tc>
        <w:tc>
          <w:tcPr>
            <w:tcW w:w="1701" w:type="dxa"/>
            <w:vAlign w:val="bottom"/>
          </w:tcPr>
          <w:p w14:paraId="1636E252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295189D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6" w:type="dxa"/>
          </w:tcPr>
          <w:p w14:paraId="3CDE1B0C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2FC0774C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D86F98" w:rsidRPr="00B1287B" w14:paraId="722DB3C7" w14:textId="77777777" w:rsidTr="00915067">
        <w:trPr>
          <w:trHeight w:val="287"/>
        </w:trPr>
        <w:tc>
          <w:tcPr>
            <w:tcW w:w="3794" w:type="dxa"/>
            <w:tcBorders>
              <w:bottom w:val="single" w:sz="4" w:space="0" w:color="auto"/>
            </w:tcBorders>
          </w:tcPr>
          <w:p w14:paraId="6A37CDDA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79E12345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Mean (± SD)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D1310AA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7·5</w:t>
            </w:r>
            <w:r w:rsidRPr="005B20EE">
              <w:rPr>
                <w:rFonts w:ascii="Times New Roman" w:hAnsi="Times New Roman"/>
                <w:szCs w:val="24"/>
              </w:rPr>
              <w:t xml:space="preserve"> (</w:t>
            </w:r>
            <w:r>
              <w:rPr>
                <w:rFonts w:ascii="Times New Roman" w:hAnsi="Times New Roman"/>
                <w:szCs w:val="24"/>
              </w:rPr>
              <w:t>11·5</w:t>
            </w:r>
            <w:r w:rsidRPr="005B20E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F733AAC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9 (10·6)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329ECE6C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1161DB7B" w14:textId="77777777" w:rsidR="00D86F98" w:rsidRPr="005B20EE" w:rsidRDefault="00D86F98" w:rsidP="00915067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5B20EE">
              <w:rPr>
                <w:rFonts w:ascii="Times New Roman" w:hAnsi="Times New Roman"/>
                <w:szCs w:val="24"/>
              </w:rPr>
              <w:t>0·2909</w:t>
            </w:r>
          </w:p>
        </w:tc>
      </w:tr>
    </w:tbl>
    <w:p w14:paraId="5E56DF0A" w14:textId="77777777" w:rsidR="00D86F98" w:rsidRPr="00FC25E6" w:rsidRDefault="00D86F98" w:rsidP="00D86F98">
      <w:pPr>
        <w:spacing w:after="0" w:line="360" w:lineRule="auto"/>
        <w:rPr>
          <w:b/>
          <w:szCs w:val="24"/>
        </w:rPr>
      </w:pPr>
    </w:p>
    <w:p w14:paraId="45B76550" w14:textId="77777777" w:rsidR="00D86F98" w:rsidRDefault="00D86F98" w:rsidP="00D86F98">
      <w:pPr>
        <w:rPr>
          <w:b/>
        </w:rPr>
        <w:sectPr w:rsidR="00D86F98" w:rsidSect="00654998">
          <w:footerReference w:type="default" r:id="rId13"/>
          <w:pgSz w:w="11906" w:h="16838"/>
          <w:pgMar w:top="1440" w:right="1440" w:bottom="1440" w:left="1440" w:header="708" w:footer="708" w:gutter="0"/>
          <w:cols w:space="708"/>
          <w:rtlGutter/>
          <w:docGrid w:linePitch="360"/>
        </w:sectPr>
      </w:pPr>
    </w:p>
    <w:p w14:paraId="27B6905F" w14:textId="77777777" w:rsidR="00D86F98" w:rsidRPr="00D26E82" w:rsidRDefault="00D86F98" w:rsidP="00D86F98">
      <w:pPr>
        <w:spacing w:line="240" w:lineRule="auto"/>
        <w:rPr>
          <w:szCs w:val="24"/>
        </w:rPr>
      </w:pPr>
      <w:r w:rsidRPr="002D190C">
        <w:rPr>
          <w:b/>
          <w:szCs w:val="24"/>
        </w:rPr>
        <w:t xml:space="preserve">Table 3: </w:t>
      </w:r>
      <w:r w:rsidRPr="00D26E82">
        <w:rPr>
          <w:szCs w:val="24"/>
        </w:rPr>
        <w:t xml:space="preserve">Odds ratios and corresponding 95% CI (mean LOS differences and 95%CI for LOS outcome) for complications of hospitalised stroke in </w:t>
      </w:r>
      <w:r>
        <w:rPr>
          <w:color w:val="000000"/>
          <w:szCs w:val="24"/>
        </w:rPr>
        <w:t>866</w:t>
      </w:r>
      <w:r w:rsidRPr="00D26E82">
        <w:rPr>
          <w:color w:val="000000"/>
          <w:szCs w:val="24"/>
        </w:rPr>
        <w:t xml:space="preserve"> </w:t>
      </w:r>
      <w:r w:rsidRPr="00D26E82">
        <w:rPr>
          <w:szCs w:val="24"/>
        </w:rPr>
        <w:t xml:space="preserve">patients with HIV using </w:t>
      </w:r>
      <w:r>
        <w:rPr>
          <w:color w:val="000000"/>
          <w:szCs w:val="24"/>
        </w:rPr>
        <w:t>609,802</w:t>
      </w:r>
      <w:r w:rsidRPr="00D26E82">
        <w:rPr>
          <w:color w:val="000000"/>
          <w:szCs w:val="24"/>
        </w:rPr>
        <w:t xml:space="preserve"> </w:t>
      </w:r>
      <w:r w:rsidRPr="00D26E82">
        <w:rPr>
          <w:szCs w:val="24"/>
        </w:rPr>
        <w:t>non-HIV patients as the reference category in Thailand (2004-2013)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10"/>
        <w:gridCol w:w="1701"/>
        <w:gridCol w:w="1701"/>
        <w:gridCol w:w="1985"/>
        <w:gridCol w:w="1701"/>
        <w:gridCol w:w="1593"/>
      </w:tblGrid>
      <w:tr w:rsidR="00D86F98" w:rsidRPr="00B1287B" w14:paraId="026643FD" w14:textId="77777777" w:rsidTr="00915067">
        <w:trPr>
          <w:trHeight w:val="313"/>
        </w:trPr>
        <w:tc>
          <w:tcPr>
            <w:tcW w:w="3510" w:type="dxa"/>
            <w:tcBorders>
              <w:top w:val="single" w:sz="4" w:space="0" w:color="auto"/>
            </w:tcBorders>
          </w:tcPr>
          <w:p w14:paraId="21CD4BFA" w14:textId="77777777" w:rsidR="00D86F98" w:rsidRPr="005B20EE" w:rsidRDefault="00D86F98" w:rsidP="00915067">
            <w:pPr>
              <w:pStyle w:val="xmsonorma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</w:tcPr>
          <w:p w14:paraId="5BE889E3" w14:textId="77777777" w:rsidR="00D86F98" w:rsidRPr="005B20EE" w:rsidRDefault="00D86F98" w:rsidP="00915067">
            <w:pPr>
              <w:pStyle w:val="xmsonormal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B20EE">
              <w:rPr>
                <w:b/>
                <w:sz w:val="22"/>
                <w:szCs w:val="22"/>
              </w:rPr>
              <w:t>Odds ratio (95% confidence interval)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02FEC207" w14:textId="77777777" w:rsidR="00D86F98" w:rsidRPr="005B20EE" w:rsidRDefault="00D86F98" w:rsidP="00915067">
            <w:pPr>
              <w:pStyle w:val="xmsonormal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86F98" w:rsidRPr="00B1287B" w14:paraId="53BD0160" w14:textId="77777777" w:rsidTr="00915067">
        <w:trPr>
          <w:trHeight w:val="228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4AF24B" w14:textId="77777777" w:rsidR="00D86F98" w:rsidRPr="005B20EE" w:rsidRDefault="00D86F98" w:rsidP="00915067">
            <w:pPr>
              <w:pStyle w:val="xmsonormal"/>
              <w:spacing w:line="360" w:lineRule="auto"/>
              <w:rPr>
                <w:b/>
                <w:sz w:val="22"/>
                <w:szCs w:val="22"/>
              </w:rPr>
            </w:pPr>
            <w:r w:rsidRPr="005B20EE">
              <w:rPr>
                <w:b/>
                <w:sz w:val="22"/>
                <w:szCs w:val="22"/>
              </w:rPr>
              <w:t>Complication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3DE641" w14:textId="77777777" w:rsidR="00D86F98" w:rsidRPr="002C54F9" w:rsidRDefault="00D86F98" w:rsidP="00915067">
            <w:pPr>
              <w:pStyle w:val="xmsonormal"/>
              <w:spacing w:line="360" w:lineRule="auto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Model A</w:t>
            </w:r>
            <w:r>
              <w:rPr>
                <w:b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73AF6" w14:textId="77777777" w:rsidR="00D86F98" w:rsidRPr="002C54F9" w:rsidRDefault="00D86F98" w:rsidP="00915067">
            <w:pPr>
              <w:pStyle w:val="xmsonormal"/>
              <w:spacing w:line="360" w:lineRule="auto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Model B</w:t>
            </w:r>
            <w:r>
              <w:rPr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5D9FB3" w14:textId="77777777" w:rsidR="00D86F98" w:rsidRPr="002C54F9" w:rsidRDefault="00D86F98" w:rsidP="00915067">
            <w:pPr>
              <w:pStyle w:val="xmsonormal"/>
              <w:spacing w:line="360" w:lineRule="auto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Model C</w:t>
            </w:r>
            <w:r>
              <w:rPr>
                <w:b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C44F92" w14:textId="77777777" w:rsidR="00D86F98" w:rsidRPr="002C54F9" w:rsidRDefault="00D86F98" w:rsidP="00915067">
            <w:pPr>
              <w:pStyle w:val="xmsonormal"/>
              <w:spacing w:line="360" w:lineRule="auto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Model D</w:t>
            </w:r>
            <w:r>
              <w:rPr>
                <w:b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32D8110" w14:textId="77777777" w:rsidR="00D86F98" w:rsidRPr="002C54F9" w:rsidRDefault="00D86F98" w:rsidP="00915067">
            <w:pPr>
              <w:pStyle w:val="xmsonormal"/>
              <w:spacing w:line="360" w:lineRule="auto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Model E</w:t>
            </w:r>
            <w:r>
              <w:rPr>
                <w:b/>
                <w:sz w:val="22"/>
                <w:szCs w:val="22"/>
                <w:vertAlign w:val="superscript"/>
              </w:rPr>
              <w:t>e</w:t>
            </w:r>
          </w:p>
        </w:tc>
      </w:tr>
      <w:tr w:rsidR="00D86F98" w:rsidRPr="00B1287B" w14:paraId="5AC799FC" w14:textId="77777777" w:rsidTr="00915067">
        <w:trPr>
          <w:trHeight w:val="307"/>
        </w:trPr>
        <w:tc>
          <w:tcPr>
            <w:tcW w:w="3510" w:type="dxa"/>
            <w:tcBorders>
              <w:top w:val="single" w:sz="4" w:space="0" w:color="auto"/>
            </w:tcBorders>
          </w:tcPr>
          <w:p w14:paraId="14EAB36B" w14:textId="77777777" w:rsidR="00D86F98" w:rsidRPr="005B20EE" w:rsidRDefault="00D86F98" w:rsidP="00915067">
            <w:pPr>
              <w:pStyle w:val="xmsonormal"/>
              <w:spacing w:line="360" w:lineRule="auto"/>
              <w:rPr>
                <w:sz w:val="22"/>
                <w:szCs w:val="22"/>
              </w:rPr>
            </w:pPr>
            <w:r w:rsidRPr="005B20EE">
              <w:rPr>
                <w:sz w:val="22"/>
                <w:szCs w:val="22"/>
              </w:rPr>
              <w:t>Pneumonia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F1C6CC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0.73 (0.56,0.94)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64390D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1.14 (0.88,1.48)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7EDA9B9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1.21 (0.93,1.57)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94FDBE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1.01 (0.78,1.32)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75D72C33" w14:textId="77777777" w:rsidR="00D86F98" w:rsidRPr="005B20EE" w:rsidRDefault="00D86F98" w:rsidP="00915067">
            <w:pPr>
              <w:pStyle w:val="xmsonormal"/>
              <w:spacing w:line="360" w:lineRule="auto"/>
              <w:rPr>
                <w:sz w:val="22"/>
                <w:szCs w:val="22"/>
              </w:rPr>
            </w:pPr>
          </w:p>
        </w:tc>
      </w:tr>
      <w:tr w:rsidR="00D86F98" w:rsidRPr="00B1287B" w14:paraId="4EFC06D2" w14:textId="77777777" w:rsidTr="00915067">
        <w:trPr>
          <w:trHeight w:val="272"/>
        </w:trPr>
        <w:tc>
          <w:tcPr>
            <w:tcW w:w="3510" w:type="dxa"/>
          </w:tcPr>
          <w:p w14:paraId="366B4352" w14:textId="77777777" w:rsidR="00D86F98" w:rsidRPr="005B20EE" w:rsidRDefault="00D86F98" w:rsidP="00915067">
            <w:pPr>
              <w:pStyle w:val="xmsonormal"/>
              <w:spacing w:line="360" w:lineRule="auto"/>
              <w:rPr>
                <w:sz w:val="22"/>
                <w:szCs w:val="22"/>
              </w:rPr>
            </w:pPr>
            <w:r w:rsidRPr="005B20EE">
              <w:rPr>
                <w:sz w:val="22"/>
                <w:szCs w:val="22"/>
              </w:rPr>
              <w:t>Sepsis</w:t>
            </w:r>
          </w:p>
        </w:tc>
        <w:tc>
          <w:tcPr>
            <w:tcW w:w="1701" w:type="dxa"/>
          </w:tcPr>
          <w:p w14:paraId="4C027469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1.57 (1.15,2.13)</w:t>
            </w:r>
          </w:p>
        </w:tc>
        <w:tc>
          <w:tcPr>
            <w:tcW w:w="1701" w:type="dxa"/>
          </w:tcPr>
          <w:p w14:paraId="1538AEE6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2.16 (1.59,2.95)</w:t>
            </w:r>
          </w:p>
        </w:tc>
        <w:tc>
          <w:tcPr>
            <w:tcW w:w="1985" w:type="dxa"/>
          </w:tcPr>
          <w:p w14:paraId="3A9A5D5C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2.17 (1.6,2.96)</w:t>
            </w:r>
          </w:p>
        </w:tc>
        <w:tc>
          <w:tcPr>
            <w:tcW w:w="1701" w:type="dxa"/>
          </w:tcPr>
          <w:p w14:paraId="4EFC67EA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1.75 (1.29,2.4)</w:t>
            </w:r>
          </w:p>
        </w:tc>
        <w:tc>
          <w:tcPr>
            <w:tcW w:w="1593" w:type="dxa"/>
          </w:tcPr>
          <w:p w14:paraId="442B5F83" w14:textId="77777777" w:rsidR="00D86F98" w:rsidRPr="005B20EE" w:rsidRDefault="00D86F98" w:rsidP="00915067">
            <w:pPr>
              <w:pStyle w:val="xmsonormal"/>
              <w:spacing w:line="360" w:lineRule="auto"/>
              <w:rPr>
                <w:sz w:val="22"/>
                <w:szCs w:val="22"/>
              </w:rPr>
            </w:pPr>
          </w:p>
        </w:tc>
      </w:tr>
      <w:tr w:rsidR="00D86F98" w:rsidRPr="00B1287B" w14:paraId="43FBA5D1" w14:textId="77777777" w:rsidTr="00915067">
        <w:trPr>
          <w:trHeight w:val="319"/>
        </w:trPr>
        <w:tc>
          <w:tcPr>
            <w:tcW w:w="3510" w:type="dxa"/>
          </w:tcPr>
          <w:p w14:paraId="359E8526" w14:textId="77777777" w:rsidR="00D86F98" w:rsidRPr="005B20EE" w:rsidRDefault="00D86F98" w:rsidP="00915067">
            <w:pPr>
              <w:pStyle w:val="xmsonormal"/>
              <w:spacing w:line="360" w:lineRule="auto"/>
              <w:rPr>
                <w:sz w:val="22"/>
                <w:szCs w:val="22"/>
              </w:rPr>
            </w:pPr>
            <w:r w:rsidRPr="005B20EE">
              <w:rPr>
                <w:sz w:val="22"/>
                <w:szCs w:val="22"/>
              </w:rPr>
              <w:t>Respiratory failure</w:t>
            </w:r>
          </w:p>
        </w:tc>
        <w:tc>
          <w:tcPr>
            <w:tcW w:w="1701" w:type="dxa"/>
          </w:tcPr>
          <w:p w14:paraId="1D66DAFF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0.9 (0.69,1.18)</w:t>
            </w:r>
          </w:p>
        </w:tc>
        <w:tc>
          <w:tcPr>
            <w:tcW w:w="1701" w:type="dxa"/>
          </w:tcPr>
          <w:p w14:paraId="0DEC3A76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 (0.76,1.31)</w:t>
            </w:r>
          </w:p>
        </w:tc>
        <w:tc>
          <w:tcPr>
            <w:tcW w:w="1985" w:type="dxa"/>
          </w:tcPr>
          <w:p w14:paraId="3A8B81D5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1.16 (0.88,1.52)</w:t>
            </w:r>
          </w:p>
        </w:tc>
        <w:tc>
          <w:tcPr>
            <w:tcW w:w="1701" w:type="dxa"/>
          </w:tcPr>
          <w:p w14:paraId="15008E5D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1.02 (0.78,1.35)</w:t>
            </w:r>
          </w:p>
        </w:tc>
        <w:tc>
          <w:tcPr>
            <w:tcW w:w="1593" w:type="dxa"/>
          </w:tcPr>
          <w:p w14:paraId="51625249" w14:textId="77777777" w:rsidR="00D86F98" w:rsidRPr="005B20EE" w:rsidRDefault="00D86F98" w:rsidP="00915067">
            <w:pPr>
              <w:pStyle w:val="xmsonormal"/>
              <w:spacing w:line="360" w:lineRule="auto"/>
              <w:rPr>
                <w:sz w:val="22"/>
                <w:szCs w:val="22"/>
              </w:rPr>
            </w:pPr>
          </w:p>
        </w:tc>
      </w:tr>
      <w:tr w:rsidR="00D86F98" w:rsidRPr="00B1287B" w14:paraId="4BA02009" w14:textId="77777777" w:rsidTr="00915067">
        <w:trPr>
          <w:trHeight w:val="272"/>
        </w:trPr>
        <w:tc>
          <w:tcPr>
            <w:tcW w:w="3510" w:type="dxa"/>
          </w:tcPr>
          <w:p w14:paraId="281520F6" w14:textId="77777777" w:rsidR="00D86F98" w:rsidRPr="005B20EE" w:rsidRDefault="00D86F98" w:rsidP="00915067">
            <w:pPr>
              <w:pStyle w:val="xmsonormal"/>
              <w:spacing w:line="360" w:lineRule="auto"/>
              <w:rPr>
                <w:sz w:val="22"/>
                <w:szCs w:val="22"/>
              </w:rPr>
            </w:pPr>
            <w:r w:rsidRPr="005B20EE">
              <w:rPr>
                <w:sz w:val="22"/>
                <w:szCs w:val="22"/>
              </w:rPr>
              <w:t>Convulsion</w:t>
            </w:r>
          </w:p>
        </w:tc>
        <w:tc>
          <w:tcPr>
            <w:tcW w:w="1701" w:type="dxa"/>
          </w:tcPr>
          <w:p w14:paraId="4D9E55A2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1.95 (1.48,2.57)</w:t>
            </w:r>
          </w:p>
        </w:tc>
        <w:tc>
          <w:tcPr>
            <w:tcW w:w="1701" w:type="dxa"/>
          </w:tcPr>
          <w:p w14:paraId="4E4800A4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1.29 (0.98,1.7)</w:t>
            </w:r>
          </w:p>
        </w:tc>
        <w:tc>
          <w:tcPr>
            <w:tcW w:w="1985" w:type="dxa"/>
          </w:tcPr>
          <w:p w14:paraId="3B4D76C9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1.23 (0.94,1.62)</w:t>
            </w:r>
          </w:p>
        </w:tc>
        <w:tc>
          <w:tcPr>
            <w:tcW w:w="1701" w:type="dxa"/>
          </w:tcPr>
          <w:p w14:paraId="25D2C361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1.05 (0.8,1.38)</w:t>
            </w:r>
          </w:p>
        </w:tc>
        <w:tc>
          <w:tcPr>
            <w:tcW w:w="1593" w:type="dxa"/>
          </w:tcPr>
          <w:p w14:paraId="219E2938" w14:textId="77777777" w:rsidR="00D86F98" w:rsidRPr="005B20EE" w:rsidRDefault="00D86F98" w:rsidP="00915067">
            <w:pPr>
              <w:pStyle w:val="xmsonormal"/>
              <w:spacing w:line="360" w:lineRule="auto"/>
              <w:rPr>
                <w:sz w:val="22"/>
                <w:szCs w:val="22"/>
              </w:rPr>
            </w:pPr>
          </w:p>
        </w:tc>
      </w:tr>
      <w:tr w:rsidR="00D86F98" w:rsidRPr="00B1287B" w14:paraId="46DC3291" w14:textId="77777777" w:rsidTr="00915067">
        <w:trPr>
          <w:trHeight w:val="272"/>
        </w:trPr>
        <w:tc>
          <w:tcPr>
            <w:tcW w:w="3510" w:type="dxa"/>
          </w:tcPr>
          <w:p w14:paraId="58F9D92D" w14:textId="77777777" w:rsidR="00D86F98" w:rsidRPr="005B20EE" w:rsidRDefault="00D86F98" w:rsidP="00915067">
            <w:pPr>
              <w:pStyle w:val="xmsonormal"/>
              <w:spacing w:line="360" w:lineRule="auto"/>
              <w:rPr>
                <w:sz w:val="22"/>
                <w:szCs w:val="22"/>
              </w:rPr>
            </w:pPr>
            <w:r w:rsidRPr="005B20EE">
              <w:rPr>
                <w:sz w:val="22"/>
                <w:szCs w:val="22"/>
              </w:rPr>
              <w:t>Death</w:t>
            </w:r>
          </w:p>
        </w:tc>
        <w:tc>
          <w:tcPr>
            <w:tcW w:w="1701" w:type="dxa"/>
          </w:tcPr>
          <w:p w14:paraId="040D805F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1.65 (1.4,1.95)</w:t>
            </w:r>
          </w:p>
        </w:tc>
        <w:tc>
          <w:tcPr>
            <w:tcW w:w="1701" w:type="dxa"/>
          </w:tcPr>
          <w:p w14:paraId="15027B01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1.65 (1.4,1.95)</w:t>
            </w:r>
          </w:p>
        </w:tc>
        <w:tc>
          <w:tcPr>
            <w:tcW w:w="1985" w:type="dxa"/>
          </w:tcPr>
          <w:p w14:paraId="1B359B93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2.29 (1.92,2.73)</w:t>
            </w:r>
          </w:p>
        </w:tc>
        <w:tc>
          <w:tcPr>
            <w:tcW w:w="1701" w:type="dxa"/>
          </w:tcPr>
          <w:p w14:paraId="729E1171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2.15 (1.8,2.56)</w:t>
            </w:r>
          </w:p>
        </w:tc>
        <w:tc>
          <w:tcPr>
            <w:tcW w:w="1593" w:type="dxa"/>
          </w:tcPr>
          <w:p w14:paraId="35102159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2.2 (1.83,2.64)</w:t>
            </w:r>
          </w:p>
        </w:tc>
      </w:tr>
      <w:tr w:rsidR="00D86F98" w:rsidRPr="00B1287B" w14:paraId="489F825E" w14:textId="77777777" w:rsidTr="00915067">
        <w:trPr>
          <w:trHeight w:val="272"/>
        </w:trPr>
        <w:tc>
          <w:tcPr>
            <w:tcW w:w="3510" w:type="dxa"/>
            <w:tcBorders>
              <w:bottom w:val="single" w:sz="4" w:space="0" w:color="auto"/>
            </w:tcBorders>
          </w:tcPr>
          <w:p w14:paraId="088CB959" w14:textId="77777777" w:rsidR="00D86F98" w:rsidRPr="005B20EE" w:rsidRDefault="00D86F98" w:rsidP="00915067">
            <w:pPr>
              <w:pStyle w:val="xmsonormal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5B20EE">
              <w:rPr>
                <w:color w:val="000000" w:themeColor="text1"/>
                <w:sz w:val="22"/>
                <w:szCs w:val="22"/>
              </w:rPr>
              <w:t>Mean difference in length of inpatient stay (days)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AF488D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1.54 (0.84,2.24)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7F0C0E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1.55 (0.85,2.25)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8FE7630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2.05 (1.30,2.79)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08E813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1.64 (0.89,2.39)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1BC1C89" w14:textId="77777777" w:rsidR="00D86F98" w:rsidRPr="005B20EE" w:rsidRDefault="00D86F98" w:rsidP="00915067">
            <w:pPr>
              <w:spacing w:after="0" w:line="360" w:lineRule="auto"/>
              <w:rPr>
                <w:color w:val="000000"/>
                <w:sz w:val="22"/>
                <w:lang w:eastAsia="en-GB"/>
              </w:rPr>
            </w:pPr>
            <w:r>
              <w:rPr>
                <w:color w:val="000000"/>
                <w:sz w:val="22"/>
              </w:rPr>
              <w:t>1.11</w:t>
            </w:r>
            <w:r w:rsidRPr="005B20EE">
              <w:rPr>
                <w:color w:val="000000"/>
                <w:sz w:val="22"/>
              </w:rPr>
              <w:t>(0.41,1.82</w:t>
            </w:r>
            <w:r>
              <w:rPr>
                <w:color w:val="000000"/>
                <w:sz w:val="22"/>
              </w:rPr>
              <w:t>)</w:t>
            </w:r>
          </w:p>
        </w:tc>
      </w:tr>
    </w:tbl>
    <w:p w14:paraId="2A593EBF" w14:textId="77777777" w:rsidR="00D86F98" w:rsidRPr="005B20EE" w:rsidRDefault="00D86F98" w:rsidP="00D86F98">
      <w:pPr>
        <w:pStyle w:val="NoSpacing"/>
        <w:spacing w:line="360" w:lineRule="auto"/>
        <w:rPr>
          <w:rFonts w:ascii="Times New Roman" w:hAnsi="Times New Roman"/>
          <w:sz w:val="22"/>
        </w:rPr>
      </w:pPr>
    </w:p>
    <w:p w14:paraId="3CC8DCC2" w14:textId="77777777" w:rsidR="00D86F98" w:rsidRPr="005B20EE" w:rsidRDefault="00D86F98" w:rsidP="00D86F98">
      <w:pPr>
        <w:pStyle w:val="NoSpacing"/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vertAlign w:val="superscript"/>
        </w:rPr>
        <w:t>a</w:t>
      </w:r>
      <w:r w:rsidRPr="005B20EE">
        <w:rPr>
          <w:rFonts w:ascii="Times New Roman" w:hAnsi="Times New Roman"/>
          <w:sz w:val="22"/>
        </w:rPr>
        <w:t>Model A= unadjusted analysis</w:t>
      </w:r>
    </w:p>
    <w:p w14:paraId="00C9E13C" w14:textId="77777777" w:rsidR="00D86F98" w:rsidRPr="005B20EE" w:rsidRDefault="00D86F98" w:rsidP="00D86F98">
      <w:pPr>
        <w:pStyle w:val="NoSpacing"/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vertAlign w:val="superscript"/>
        </w:rPr>
        <w:t>b</w:t>
      </w:r>
      <w:r w:rsidRPr="005B20EE">
        <w:rPr>
          <w:rFonts w:ascii="Times New Roman" w:hAnsi="Times New Roman"/>
          <w:sz w:val="22"/>
        </w:rPr>
        <w:t>Model B=analysis adjusted for age and sex</w:t>
      </w:r>
    </w:p>
    <w:p w14:paraId="5BD27DB5" w14:textId="77777777" w:rsidR="00D86F98" w:rsidRPr="005B20EE" w:rsidRDefault="00D86F98" w:rsidP="00D86F98">
      <w:pPr>
        <w:pStyle w:val="NoSpacing"/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vertAlign w:val="superscript"/>
        </w:rPr>
        <w:t>c</w:t>
      </w:r>
      <w:r w:rsidRPr="005B20EE">
        <w:rPr>
          <w:rFonts w:ascii="Times New Roman" w:hAnsi="Times New Roman"/>
          <w:sz w:val="22"/>
        </w:rPr>
        <w:t>Model C=analysis adjusted for age, sex and stroke type</w:t>
      </w:r>
    </w:p>
    <w:p w14:paraId="352D6A76" w14:textId="77777777" w:rsidR="00D86F98" w:rsidRPr="005B20EE" w:rsidRDefault="00D86F98" w:rsidP="00D86F98">
      <w:pPr>
        <w:pStyle w:val="NoSpacing"/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vertAlign w:val="superscript"/>
        </w:rPr>
        <w:t>d</w:t>
      </w:r>
      <w:r w:rsidRPr="005B20EE">
        <w:rPr>
          <w:rFonts w:ascii="Times New Roman" w:hAnsi="Times New Roman"/>
          <w:sz w:val="22"/>
        </w:rPr>
        <w:t>Model D=analysis adjusted for age, sex, stroke type and co-morbidities</w:t>
      </w:r>
    </w:p>
    <w:p w14:paraId="2A5A10C7" w14:textId="77777777" w:rsidR="00D86F98" w:rsidRPr="005B20EE" w:rsidRDefault="00D86F98" w:rsidP="00D86F98">
      <w:pPr>
        <w:pStyle w:val="NoSpacing"/>
        <w:spacing w:line="360" w:lineRule="auto"/>
        <w:rPr>
          <w:rFonts w:ascii="Times New Roman" w:hAnsi="Times New Roman"/>
          <w:sz w:val="22"/>
        </w:rPr>
        <w:sectPr w:rsidR="00D86F98" w:rsidRPr="005B20EE" w:rsidSect="008116FC">
          <w:pgSz w:w="16838" w:h="11906" w:orient="landscape"/>
          <w:pgMar w:top="1440" w:right="1440" w:bottom="1440" w:left="1440" w:header="708" w:footer="708" w:gutter="0"/>
          <w:cols w:space="708"/>
          <w:rtlGutter/>
          <w:docGrid w:linePitch="360"/>
        </w:sectPr>
      </w:pPr>
      <w:r>
        <w:rPr>
          <w:rFonts w:ascii="Times New Roman" w:hAnsi="Times New Roman"/>
          <w:sz w:val="22"/>
          <w:vertAlign w:val="superscript"/>
        </w:rPr>
        <w:t>e</w:t>
      </w:r>
      <w:r w:rsidRPr="005B20EE">
        <w:rPr>
          <w:rFonts w:ascii="Times New Roman" w:hAnsi="Times New Roman"/>
          <w:sz w:val="22"/>
        </w:rPr>
        <w:t>Model E = analysis adjusted for age, sex, stroke type, co-morbidities and complications (Pneumonia, sepsis, respiratory failure or convulsion)</w:t>
      </w:r>
    </w:p>
    <w:p w14:paraId="5C4268F3" w14:textId="77777777" w:rsidR="00D86F98" w:rsidRPr="00D26E82" w:rsidRDefault="00D86F98" w:rsidP="00D86F98">
      <w:pPr>
        <w:spacing w:line="240" w:lineRule="auto"/>
        <w:rPr>
          <w:szCs w:val="24"/>
        </w:rPr>
      </w:pPr>
      <w:r w:rsidRPr="002D190C">
        <w:rPr>
          <w:b/>
          <w:szCs w:val="24"/>
        </w:rPr>
        <w:t xml:space="preserve">Table 4: </w:t>
      </w:r>
      <w:r w:rsidRPr="00D26E82">
        <w:rPr>
          <w:szCs w:val="24"/>
        </w:rPr>
        <w:t xml:space="preserve">Odds ratios and corresponding 95% CI (mean LOS differences and 95%CI for LOS outcome) for complications of hospitalised stroke in </w:t>
      </w:r>
      <w:r>
        <w:rPr>
          <w:color w:val="000000"/>
          <w:szCs w:val="24"/>
        </w:rPr>
        <w:t>866</w:t>
      </w:r>
      <w:r w:rsidRPr="00D26E82">
        <w:rPr>
          <w:color w:val="000000"/>
          <w:szCs w:val="24"/>
        </w:rPr>
        <w:t xml:space="preserve"> </w:t>
      </w:r>
      <w:r w:rsidRPr="00D26E82">
        <w:rPr>
          <w:szCs w:val="24"/>
        </w:rPr>
        <w:t xml:space="preserve">patients with HIV stratified by stroke type using </w:t>
      </w:r>
      <w:r>
        <w:rPr>
          <w:color w:val="000000"/>
          <w:szCs w:val="24"/>
        </w:rPr>
        <w:t>609,802</w:t>
      </w:r>
      <w:r w:rsidRPr="00D26E82">
        <w:rPr>
          <w:color w:val="000000"/>
          <w:szCs w:val="24"/>
        </w:rPr>
        <w:t xml:space="preserve"> </w:t>
      </w:r>
      <w:r w:rsidRPr="00D26E82">
        <w:rPr>
          <w:szCs w:val="24"/>
        </w:rPr>
        <w:t>non-HIV patients as the reference category in Thailand (2004-2013)</w:t>
      </w:r>
    </w:p>
    <w:tbl>
      <w:tblPr>
        <w:tblW w:w="13149" w:type="dxa"/>
        <w:tblLayout w:type="fixed"/>
        <w:tblLook w:val="00A0" w:firstRow="1" w:lastRow="0" w:firstColumn="1" w:lastColumn="0" w:noHBand="0" w:noVBand="0"/>
      </w:tblPr>
      <w:tblGrid>
        <w:gridCol w:w="1764"/>
        <w:gridCol w:w="1523"/>
        <w:gridCol w:w="365"/>
        <w:gridCol w:w="1158"/>
        <w:gridCol w:w="685"/>
        <w:gridCol w:w="1843"/>
        <w:gridCol w:w="1701"/>
        <w:gridCol w:w="1701"/>
        <w:gridCol w:w="2409"/>
      </w:tblGrid>
      <w:tr w:rsidR="00D86F98" w:rsidRPr="00D3630B" w14:paraId="56F8D5DD" w14:textId="77777777" w:rsidTr="00915067">
        <w:trPr>
          <w:gridAfter w:val="5"/>
          <w:wAfter w:w="8339" w:type="dxa"/>
        </w:trPr>
        <w:tc>
          <w:tcPr>
            <w:tcW w:w="1764" w:type="dxa"/>
          </w:tcPr>
          <w:p w14:paraId="7AC11721" w14:textId="77777777" w:rsidR="00D86F98" w:rsidRPr="00D3630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5CA1398F" w14:textId="77777777" w:rsidR="00D86F98" w:rsidRPr="00D3630B" w:rsidRDefault="00D86F98" w:rsidP="00915067">
            <w:pPr>
              <w:pStyle w:val="xmso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gridSpan w:val="2"/>
          </w:tcPr>
          <w:p w14:paraId="302A046F" w14:textId="77777777" w:rsidR="00D86F98" w:rsidRPr="00D3630B" w:rsidRDefault="00D86F98" w:rsidP="00915067">
            <w:pPr>
              <w:pStyle w:val="xmsonormal"/>
              <w:jc w:val="center"/>
              <w:rPr>
                <w:b/>
                <w:sz w:val="22"/>
                <w:szCs w:val="22"/>
              </w:rPr>
            </w:pPr>
          </w:p>
        </w:tc>
      </w:tr>
      <w:tr w:rsidR="00D86F98" w:rsidRPr="00D3630B" w14:paraId="58782BCD" w14:textId="77777777" w:rsidTr="00915067"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3315A53" w14:textId="77777777" w:rsidR="00D86F98" w:rsidRPr="00B1287B" w:rsidRDefault="00D86F98" w:rsidP="00915067">
            <w:pPr>
              <w:pStyle w:val="xmsonormal"/>
              <w:rPr>
                <w:b/>
                <w:sz w:val="22"/>
                <w:szCs w:val="22"/>
              </w:rPr>
            </w:pPr>
            <w:r w:rsidRPr="00B1287B">
              <w:rPr>
                <w:b/>
                <w:sz w:val="22"/>
                <w:szCs w:val="22"/>
              </w:rPr>
              <w:t>Stroke type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2F03A" w14:textId="77777777" w:rsidR="00D86F98" w:rsidRPr="00B1287B" w:rsidRDefault="00D86F98" w:rsidP="00915067">
            <w:pPr>
              <w:pStyle w:val="xmsonormal"/>
              <w:rPr>
                <w:b/>
                <w:sz w:val="22"/>
                <w:szCs w:val="22"/>
              </w:rPr>
            </w:pPr>
            <w:r w:rsidRPr="00B1287B">
              <w:rPr>
                <w:b/>
                <w:sz w:val="22"/>
                <w:szCs w:val="22"/>
              </w:rPr>
              <w:t>Pneumonia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6C53F" w14:textId="77777777" w:rsidR="00D86F98" w:rsidRPr="00B1287B" w:rsidRDefault="00D86F98" w:rsidP="00915067">
            <w:pPr>
              <w:pStyle w:val="xmsonormal"/>
              <w:rPr>
                <w:b/>
                <w:sz w:val="22"/>
                <w:szCs w:val="22"/>
              </w:rPr>
            </w:pPr>
            <w:r w:rsidRPr="00B1287B">
              <w:rPr>
                <w:b/>
                <w:sz w:val="22"/>
                <w:szCs w:val="22"/>
              </w:rPr>
              <w:t>Sepsis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DE9FC78" w14:textId="77777777" w:rsidR="00D86F98" w:rsidRPr="00B1287B" w:rsidRDefault="00D86F98" w:rsidP="00915067">
            <w:pPr>
              <w:pStyle w:val="xmsonormal"/>
              <w:rPr>
                <w:b/>
                <w:sz w:val="22"/>
                <w:szCs w:val="22"/>
              </w:rPr>
            </w:pPr>
            <w:r w:rsidRPr="00B1287B">
              <w:rPr>
                <w:b/>
                <w:sz w:val="22"/>
                <w:szCs w:val="22"/>
              </w:rPr>
              <w:t>Respiratory failure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8767BA" w14:textId="77777777" w:rsidR="00D86F98" w:rsidRPr="00B1287B" w:rsidRDefault="00D86F98" w:rsidP="00915067">
            <w:pPr>
              <w:pStyle w:val="xmsonormal"/>
              <w:rPr>
                <w:b/>
                <w:sz w:val="22"/>
                <w:szCs w:val="22"/>
              </w:rPr>
            </w:pPr>
            <w:r w:rsidRPr="00B1287B">
              <w:rPr>
                <w:b/>
                <w:sz w:val="22"/>
                <w:szCs w:val="22"/>
              </w:rPr>
              <w:t>Convulsion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A32621" w14:textId="77777777" w:rsidR="00D86F98" w:rsidRPr="00B1287B" w:rsidRDefault="00D86F98" w:rsidP="00915067">
            <w:pPr>
              <w:pStyle w:val="xmsonormal"/>
              <w:rPr>
                <w:b/>
                <w:sz w:val="22"/>
                <w:szCs w:val="22"/>
              </w:rPr>
            </w:pPr>
            <w:r w:rsidRPr="00B1287B">
              <w:rPr>
                <w:b/>
                <w:sz w:val="22"/>
                <w:szCs w:val="22"/>
              </w:rPr>
              <w:t>Death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2FABED8" w14:textId="77777777" w:rsidR="00D86F98" w:rsidRPr="00B1287B" w:rsidRDefault="00D86F98" w:rsidP="00915067">
            <w:pPr>
              <w:pStyle w:val="xmsonormal"/>
              <w:rPr>
                <w:b/>
                <w:sz w:val="22"/>
                <w:szCs w:val="22"/>
              </w:rPr>
            </w:pPr>
            <w:r w:rsidRPr="00B1287B">
              <w:rPr>
                <w:b/>
                <w:sz w:val="22"/>
                <w:szCs w:val="22"/>
              </w:rPr>
              <w:t>Length of inpatient stay</w:t>
            </w:r>
          </w:p>
        </w:tc>
      </w:tr>
      <w:tr w:rsidR="00D86F98" w:rsidRPr="00D3630B" w14:paraId="3F11E40B" w14:textId="77777777" w:rsidTr="00915067">
        <w:trPr>
          <w:trHeight w:val="327"/>
        </w:trPr>
        <w:tc>
          <w:tcPr>
            <w:tcW w:w="1764" w:type="dxa"/>
            <w:tcBorders>
              <w:top w:val="single" w:sz="4" w:space="0" w:color="auto"/>
            </w:tcBorders>
          </w:tcPr>
          <w:p w14:paraId="15352E51" w14:textId="77777777" w:rsidR="00D86F98" w:rsidRPr="00B1287B" w:rsidRDefault="00D86F98" w:rsidP="00915067">
            <w:pPr>
              <w:pStyle w:val="xmso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Haemorrhagic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</w:tcBorders>
          </w:tcPr>
          <w:p w14:paraId="343EA0E9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61AFC90F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C12A0E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771A41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36E7D0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967D2E2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</w:tr>
      <w:tr w:rsidR="00D86F98" w:rsidRPr="00D3630B" w14:paraId="33A10307" w14:textId="77777777" w:rsidTr="00915067">
        <w:tc>
          <w:tcPr>
            <w:tcW w:w="1764" w:type="dxa"/>
          </w:tcPr>
          <w:p w14:paraId="2C665FD3" w14:textId="77777777" w:rsidR="00D86F98" w:rsidRPr="00671A49" w:rsidRDefault="00D86F98" w:rsidP="00915067">
            <w:pPr>
              <w:pStyle w:val="xmsonormal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Model A</w:t>
            </w:r>
            <w:r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888" w:type="dxa"/>
            <w:gridSpan w:val="2"/>
          </w:tcPr>
          <w:p w14:paraId="6E76F5B8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0.6 (0.38,0.95)</w:t>
            </w:r>
          </w:p>
        </w:tc>
        <w:tc>
          <w:tcPr>
            <w:tcW w:w="1843" w:type="dxa"/>
            <w:gridSpan w:val="2"/>
          </w:tcPr>
          <w:p w14:paraId="64BD8C67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1.86 (1.14,3.05)</w:t>
            </w:r>
          </w:p>
        </w:tc>
        <w:tc>
          <w:tcPr>
            <w:tcW w:w="1843" w:type="dxa"/>
          </w:tcPr>
          <w:p w14:paraId="56C02F4C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1.06 (0.74,1.53)</w:t>
            </w:r>
          </w:p>
        </w:tc>
        <w:tc>
          <w:tcPr>
            <w:tcW w:w="1701" w:type="dxa"/>
          </w:tcPr>
          <w:p w14:paraId="25E35552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1.88 (1.13,3.12)</w:t>
            </w:r>
          </w:p>
        </w:tc>
        <w:tc>
          <w:tcPr>
            <w:tcW w:w="1701" w:type="dxa"/>
          </w:tcPr>
          <w:p w14:paraId="1D4CF50C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1.6 (1.24,2.06)</w:t>
            </w:r>
          </w:p>
        </w:tc>
        <w:tc>
          <w:tcPr>
            <w:tcW w:w="2409" w:type="dxa"/>
          </w:tcPr>
          <w:p w14:paraId="2C618110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-1.03 (-2.33,0.27)</w:t>
            </w:r>
          </w:p>
        </w:tc>
      </w:tr>
      <w:tr w:rsidR="00D86F98" w:rsidRPr="00D3630B" w14:paraId="797EB297" w14:textId="77777777" w:rsidTr="00915067">
        <w:tc>
          <w:tcPr>
            <w:tcW w:w="1764" w:type="dxa"/>
          </w:tcPr>
          <w:p w14:paraId="42FDF092" w14:textId="77777777" w:rsidR="00D86F98" w:rsidRPr="00671A49" w:rsidRDefault="00D86F98" w:rsidP="00915067">
            <w:pPr>
              <w:pStyle w:val="xmsonormal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Model B</w:t>
            </w:r>
            <w:r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888" w:type="dxa"/>
            <w:gridSpan w:val="2"/>
          </w:tcPr>
          <w:p w14:paraId="2302E064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0.8 (0.51,1.26)</w:t>
            </w:r>
          </w:p>
        </w:tc>
        <w:tc>
          <w:tcPr>
            <w:tcW w:w="1843" w:type="dxa"/>
            <w:gridSpan w:val="2"/>
          </w:tcPr>
          <w:p w14:paraId="40671D84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2.23 (1.36,3.65)</w:t>
            </w:r>
          </w:p>
        </w:tc>
        <w:tc>
          <w:tcPr>
            <w:tcW w:w="1843" w:type="dxa"/>
          </w:tcPr>
          <w:p w14:paraId="4EE42BD7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1.21 (0.84,1.74)</w:t>
            </w:r>
          </w:p>
        </w:tc>
        <w:tc>
          <w:tcPr>
            <w:tcW w:w="1701" w:type="dxa"/>
          </w:tcPr>
          <w:p w14:paraId="2272BD9C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1.23 (0.74,2.04)</w:t>
            </w:r>
          </w:p>
        </w:tc>
        <w:tc>
          <w:tcPr>
            <w:tcW w:w="1701" w:type="dxa"/>
          </w:tcPr>
          <w:p w14:paraId="26E0CFBB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1.82 (1.41,2.34)</w:t>
            </w:r>
          </w:p>
        </w:tc>
        <w:tc>
          <w:tcPr>
            <w:tcW w:w="2409" w:type="dxa"/>
          </w:tcPr>
          <w:p w14:paraId="198E0C68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-0.81 (-2.07,0.46)</w:t>
            </w:r>
          </w:p>
        </w:tc>
      </w:tr>
      <w:tr w:rsidR="00D86F98" w:rsidRPr="00D3630B" w14:paraId="21EBD9B0" w14:textId="77777777" w:rsidTr="00915067">
        <w:tc>
          <w:tcPr>
            <w:tcW w:w="1764" w:type="dxa"/>
          </w:tcPr>
          <w:p w14:paraId="0C964FA2" w14:textId="77777777" w:rsidR="00D86F98" w:rsidRPr="00671A49" w:rsidRDefault="00D86F98" w:rsidP="00915067">
            <w:pPr>
              <w:pStyle w:val="xmsonormal"/>
              <w:rPr>
                <w:sz w:val="22"/>
                <w:szCs w:val="22"/>
                <w:vertAlign w:val="superscript"/>
              </w:rPr>
            </w:pPr>
            <w:r w:rsidRPr="00B1287B">
              <w:rPr>
                <w:sz w:val="22"/>
                <w:szCs w:val="22"/>
              </w:rPr>
              <w:t>Model C</w:t>
            </w:r>
            <w:r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888" w:type="dxa"/>
            <w:gridSpan w:val="2"/>
          </w:tcPr>
          <w:p w14:paraId="7D79A83B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0.71 (0.44,1.12)</w:t>
            </w:r>
          </w:p>
        </w:tc>
        <w:tc>
          <w:tcPr>
            <w:tcW w:w="1843" w:type="dxa"/>
            <w:gridSpan w:val="2"/>
          </w:tcPr>
          <w:p w14:paraId="3F37C9FB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1.9 (1.15,3.14)</w:t>
            </w:r>
          </w:p>
        </w:tc>
        <w:tc>
          <w:tcPr>
            <w:tcW w:w="1843" w:type="dxa"/>
          </w:tcPr>
          <w:p w14:paraId="5A4C8769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1.14 (0.79,1.65)</w:t>
            </w:r>
          </w:p>
        </w:tc>
        <w:tc>
          <w:tcPr>
            <w:tcW w:w="1701" w:type="dxa"/>
          </w:tcPr>
          <w:p w14:paraId="44F3B032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1.06 (0.64,1.77)</w:t>
            </w:r>
          </w:p>
        </w:tc>
        <w:tc>
          <w:tcPr>
            <w:tcW w:w="1701" w:type="dxa"/>
          </w:tcPr>
          <w:p w14:paraId="53BB3AF7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1.76 (1.37,2.27)</w:t>
            </w:r>
          </w:p>
        </w:tc>
        <w:tc>
          <w:tcPr>
            <w:tcW w:w="2409" w:type="dxa"/>
          </w:tcPr>
          <w:p w14:paraId="50D1F68A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-1.28 (-2.53,-0.03)</w:t>
            </w:r>
          </w:p>
        </w:tc>
      </w:tr>
      <w:tr w:rsidR="00D86F98" w:rsidRPr="00D3630B" w14:paraId="1B856175" w14:textId="77777777" w:rsidTr="00915067">
        <w:tc>
          <w:tcPr>
            <w:tcW w:w="1764" w:type="dxa"/>
          </w:tcPr>
          <w:p w14:paraId="700AE856" w14:textId="77777777" w:rsidR="00D86F98" w:rsidRPr="00671A49" w:rsidRDefault="00D86F98" w:rsidP="00915067">
            <w:pPr>
              <w:pStyle w:val="xmsonormal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Model D</w:t>
            </w:r>
            <w:r>
              <w:rPr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888" w:type="dxa"/>
            <w:gridSpan w:val="2"/>
          </w:tcPr>
          <w:p w14:paraId="6D801C4E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</w:tcPr>
          <w:p w14:paraId="66CAE048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100B256B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16A725A2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255B6E54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1.71 (1.32,2.23)</w:t>
            </w:r>
          </w:p>
        </w:tc>
        <w:tc>
          <w:tcPr>
            <w:tcW w:w="2409" w:type="dxa"/>
          </w:tcPr>
          <w:p w14:paraId="3FA44204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-0.88 (-2.19,0.43)</w:t>
            </w:r>
          </w:p>
        </w:tc>
      </w:tr>
      <w:tr w:rsidR="00D86F98" w:rsidRPr="00D3630B" w14:paraId="5BEBD468" w14:textId="77777777" w:rsidTr="00915067">
        <w:tc>
          <w:tcPr>
            <w:tcW w:w="1764" w:type="dxa"/>
          </w:tcPr>
          <w:p w14:paraId="66F87C59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888" w:type="dxa"/>
            <w:gridSpan w:val="2"/>
          </w:tcPr>
          <w:p w14:paraId="65C76109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CE27608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D6C9A1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901EC38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9D00C2A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D6F8FC9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</w:tr>
      <w:tr w:rsidR="00D86F98" w:rsidRPr="00D3630B" w14:paraId="1FC27645" w14:textId="77777777" w:rsidTr="00915067">
        <w:tc>
          <w:tcPr>
            <w:tcW w:w="1764" w:type="dxa"/>
          </w:tcPr>
          <w:p w14:paraId="01407114" w14:textId="77777777" w:rsidR="00D86F98" w:rsidRPr="00B1287B" w:rsidRDefault="00D86F98" w:rsidP="00915067">
            <w:pPr>
              <w:pStyle w:val="xmso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Ischaemic</w:t>
            </w:r>
          </w:p>
        </w:tc>
        <w:tc>
          <w:tcPr>
            <w:tcW w:w="1888" w:type="dxa"/>
            <w:gridSpan w:val="2"/>
          </w:tcPr>
          <w:p w14:paraId="203EB0D5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012A76F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AE1A51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344E1B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1A55E9A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02B149C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</w:tr>
      <w:tr w:rsidR="00D86F98" w:rsidRPr="00D3630B" w14:paraId="5C3E3CB3" w14:textId="77777777" w:rsidTr="00915067">
        <w:tc>
          <w:tcPr>
            <w:tcW w:w="1764" w:type="dxa"/>
          </w:tcPr>
          <w:p w14:paraId="0240077E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Model A</w:t>
            </w:r>
            <w:r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888" w:type="dxa"/>
            <w:gridSpan w:val="2"/>
          </w:tcPr>
          <w:p w14:paraId="6D6C18C1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0.77 (0.56,1.07)</w:t>
            </w:r>
          </w:p>
        </w:tc>
        <w:tc>
          <w:tcPr>
            <w:tcW w:w="1843" w:type="dxa"/>
            <w:gridSpan w:val="2"/>
          </w:tcPr>
          <w:p w14:paraId="66FE95DB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1.34 (0.89,2.01)</w:t>
            </w:r>
          </w:p>
        </w:tc>
        <w:tc>
          <w:tcPr>
            <w:tcW w:w="1843" w:type="dxa"/>
          </w:tcPr>
          <w:p w14:paraId="4FC7D923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0.77 (0.5,1.16)</w:t>
            </w:r>
          </w:p>
        </w:tc>
        <w:tc>
          <w:tcPr>
            <w:tcW w:w="1701" w:type="dxa"/>
          </w:tcPr>
          <w:p w14:paraId="40E1E0BE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2.03 (1.45,2.84)</w:t>
            </w:r>
          </w:p>
        </w:tc>
        <w:tc>
          <w:tcPr>
            <w:tcW w:w="1701" w:type="dxa"/>
          </w:tcPr>
          <w:p w14:paraId="3477A860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1.98 (1.55,2.54)</w:t>
            </w:r>
          </w:p>
        </w:tc>
        <w:tc>
          <w:tcPr>
            <w:tcW w:w="2409" w:type="dxa"/>
          </w:tcPr>
          <w:p w14:paraId="6D832C0F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2.84 (1.90,3.78)</w:t>
            </w:r>
          </w:p>
        </w:tc>
      </w:tr>
      <w:tr w:rsidR="00D86F98" w:rsidRPr="00D3630B" w14:paraId="02525D92" w14:textId="77777777" w:rsidTr="00915067">
        <w:tc>
          <w:tcPr>
            <w:tcW w:w="1764" w:type="dxa"/>
          </w:tcPr>
          <w:p w14:paraId="5AAB859A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Model B</w:t>
            </w:r>
            <w:r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888" w:type="dxa"/>
            <w:gridSpan w:val="2"/>
          </w:tcPr>
          <w:p w14:paraId="01315857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1.66 (1.19,2.31)</w:t>
            </w:r>
          </w:p>
        </w:tc>
        <w:tc>
          <w:tcPr>
            <w:tcW w:w="1843" w:type="dxa"/>
            <w:gridSpan w:val="2"/>
          </w:tcPr>
          <w:p w14:paraId="5D16AA97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2.25 (1.49,3.4)</w:t>
            </w:r>
          </w:p>
        </w:tc>
        <w:tc>
          <w:tcPr>
            <w:tcW w:w="1843" w:type="dxa"/>
          </w:tcPr>
          <w:p w14:paraId="499B4A68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1.23 (0.81,1.88)</w:t>
            </w:r>
          </w:p>
        </w:tc>
        <w:tc>
          <w:tcPr>
            <w:tcW w:w="1701" w:type="dxa"/>
          </w:tcPr>
          <w:p w14:paraId="65825E22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1.42 (1.01,1.98)</w:t>
            </w:r>
          </w:p>
        </w:tc>
        <w:tc>
          <w:tcPr>
            <w:tcW w:w="1701" w:type="dxa"/>
          </w:tcPr>
          <w:p w14:paraId="55621CD6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3.16 (2.46,4.05)</w:t>
            </w:r>
          </w:p>
        </w:tc>
        <w:tc>
          <w:tcPr>
            <w:tcW w:w="2409" w:type="dxa"/>
          </w:tcPr>
          <w:p w14:paraId="2FF91975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3.50 (2.56,4.44)</w:t>
            </w:r>
          </w:p>
        </w:tc>
      </w:tr>
      <w:tr w:rsidR="00D86F98" w:rsidRPr="00D3630B" w14:paraId="33FF8498" w14:textId="77777777" w:rsidTr="00915067">
        <w:tc>
          <w:tcPr>
            <w:tcW w:w="1764" w:type="dxa"/>
          </w:tcPr>
          <w:p w14:paraId="2CDC6921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Model C</w:t>
            </w:r>
            <w:r>
              <w:rPr>
                <w:sz w:val="22"/>
                <w:szCs w:val="22"/>
                <w:vertAlign w:val="superscript"/>
              </w:rPr>
              <w:t>c</w:t>
            </w:r>
            <w:r w:rsidRPr="00B128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8" w:type="dxa"/>
            <w:gridSpan w:val="2"/>
          </w:tcPr>
          <w:p w14:paraId="1EB9EE96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1.3 (0.93,1.82)</w:t>
            </w:r>
          </w:p>
        </w:tc>
        <w:tc>
          <w:tcPr>
            <w:tcW w:w="1843" w:type="dxa"/>
            <w:gridSpan w:val="2"/>
          </w:tcPr>
          <w:p w14:paraId="5E02A192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1.72 (1.14,2.61)</w:t>
            </w:r>
          </w:p>
        </w:tc>
        <w:tc>
          <w:tcPr>
            <w:tcW w:w="1843" w:type="dxa"/>
          </w:tcPr>
          <w:p w14:paraId="25FD36E8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0.98 (0.65,1.5)</w:t>
            </w:r>
          </w:p>
        </w:tc>
        <w:tc>
          <w:tcPr>
            <w:tcW w:w="1701" w:type="dxa"/>
          </w:tcPr>
          <w:p w14:paraId="7E302616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1.19 (0.85,1.66)</w:t>
            </w:r>
          </w:p>
        </w:tc>
        <w:tc>
          <w:tcPr>
            <w:tcW w:w="1701" w:type="dxa"/>
          </w:tcPr>
          <w:p w14:paraId="183228F5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2.72 (2.12,3.5)</w:t>
            </w:r>
          </w:p>
        </w:tc>
        <w:tc>
          <w:tcPr>
            <w:tcW w:w="2409" w:type="dxa"/>
          </w:tcPr>
          <w:p w14:paraId="575A085C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2.99 (2.05,3.93)</w:t>
            </w:r>
          </w:p>
        </w:tc>
      </w:tr>
      <w:tr w:rsidR="00D86F98" w:rsidRPr="00D3630B" w14:paraId="4E40FD8E" w14:textId="77777777" w:rsidTr="00915067">
        <w:tc>
          <w:tcPr>
            <w:tcW w:w="1764" w:type="dxa"/>
          </w:tcPr>
          <w:p w14:paraId="6C8E8685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Model D</w:t>
            </w:r>
            <w:r>
              <w:rPr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888" w:type="dxa"/>
            <w:gridSpan w:val="2"/>
          </w:tcPr>
          <w:p w14:paraId="32CB8B36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</w:tcPr>
          <w:p w14:paraId="45A869DD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68F2158E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2A31D35C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5486440A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2.97 (2.27,3.89)</w:t>
            </w:r>
          </w:p>
        </w:tc>
        <w:tc>
          <w:tcPr>
            <w:tcW w:w="2409" w:type="dxa"/>
          </w:tcPr>
          <w:p w14:paraId="3DED28BF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2.74 (1.80,3.68)</w:t>
            </w:r>
          </w:p>
        </w:tc>
      </w:tr>
      <w:tr w:rsidR="00D86F98" w:rsidRPr="00D3630B" w14:paraId="47577DE2" w14:textId="77777777" w:rsidTr="00915067">
        <w:tc>
          <w:tcPr>
            <w:tcW w:w="1764" w:type="dxa"/>
          </w:tcPr>
          <w:p w14:paraId="2E4C0615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888" w:type="dxa"/>
            <w:gridSpan w:val="2"/>
          </w:tcPr>
          <w:p w14:paraId="359210C5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F9A37CC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5B6BF9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49E149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D547F57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A613EE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</w:tr>
      <w:tr w:rsidR="00D86F98" w:rsidRPr="00D3630B" w14:paraId="3C341BFE" w14:textId="77777777" w:rsidTr="00915067">
        <w:tc>
          <w:tcPr>
            <w:tcW w:w="1764" w:type="dxa"/>
          </w:tcPr>
          <w:p w14:paraId="02851A93" w14:textId="77777777" w:rsidR="00D86F98" w:rsidRPr="00B1287B" w:rsidRDefault="00D86F98" w:rsidP="00915067">
            <w:pPr>
              <w:pStyle w:val="xmso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Pr="00B1287B">
              <w:rPr>
                <w:b/>
                <w:sz w:val="22"/>
                <w:szCs w:val="22"/>
              </w:rPr>
              <w:t xml:space="preserve">ndetermined </w:t>
            </w:r>
            <w:r>
              <w:rPr>
                <w:b/>
                <w:sz w:val="22"/>
                <w:szCs w:val="22"/>
              </w:rPr>
              <w:t>stoke type</w:t>
            </w:r>
          </w:p>
        </w:tc>
        <w:tc>
          <w:tcPr>
            <w:tcW w:w="1888" w:type="dxa"/>
            <w:gridSpan w:val="2"/>
          </w:tcPr>
          <w:p w14:paraId="47593A37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51B2E64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ECF9E13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DF02062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173581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56C70E6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</w:tr>
      <w:tr w:rsidR="00D86F98" w:rsidRPr="00D3630B" w14:paraId="327D5E8B" w14:textId="77777777" w:rsidTr="00915067">
        <w:tc>
          <w:tcPr>
            <w:tcW w:w="1764" w:type="dxa"/>
          </w:tcPr>
          <w:p w14:paraId="3622C374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Model A</w:t>
            </w:r>
            <w:r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888" w:type="dxa"/>
            <w:gridSpan w:val="2"/>
          </w:tcPr>
          <w:p w14:paraId="6EB10D5C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0.98 (0.36,2.67)</w:t>
            </w:r>
          </w:p>
        </w:tc>
        <w:tc>
          <w:tcPr>
            <w:tcW w:w="1843" w:type="dxa"/>
            <w:gridSpan w:val="2"/>
          </w:tcPr>
          <w:p w14:paraId="195A628F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1.61 (0.39,6.56)</w:t>
            </w:r>
          </w:p>
        </w:tc>
        <w:tc>
          <w:tcPr>
            <w:tcW w:w="1843" w:type="dxa"/>
          </w:tcPr>
          <w:p w14:paraId="3B83BD39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0.65 (0.09,4.66)</w:t>
            </w:r>
          </w:p>
        </w:tc>
        <w:tc>
          <w:tcPr>
            <w:tcW w:w="1701" w:type="dxa"/>
          </w:tcPr>
          <w:p w14:paraId="47FF132A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 (0.24,4.06)</w:t>
            </w:r>
          </w:p>
        </w:tc>
        <w:tc>
          <w:tcPr>
            <w:tcW w:w="1701" w:type="dxa"/>
          </w:tcPr>
          <w:p w14:paraId="1F8F1BD6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3.09 (1.54,6.22)</w:t>
            </w:r>
          </w:p>
        </w:tc>
        <w:tc>
          <w:tcPr>
            <w:tcW w:w="2409" w:type="dxa"/>
          </w:tcPr>
          <w:p w14:paraId="502B9198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1.61 (0.09,3.14)</w:t>
            </w:r>
          </w:p>
        </w:tc>
      </w:tr>
      <w:tr w:rsidR="00D86F98" w:rsidRPr="00D3630B" w14:paraId="4CC1FF61" w14:textId="77777777" w:rsidTr="00915067">
        <w:tc>
          <w:tcPr>
            <w:tcW w:w="1764" w:type="dxa"/>
          </w:tcPr>
          <w:p w14:paraId="0EA0CAAC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Model B</w:t>
            </w:r>
            <w:r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888" w:type="dxa"/>
            <w:gridSpan w:val="2"/>
          </w:tcPr>
          <w:p w14:paraId="498BE999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2.49 (0.9,6.87)</w:t>
            </w:r>
          </w:p>
        </w:tc>
        <w:tc>
          <w:tcPr>
            <w:tcW w:w="1843" w:type="dxa"/>
            <w:gridSpan w:val="2"/>
          </w:tcPr>
          <w:p w14:paraId="178D6681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2.89 (0.71,11.86)</w:t>
            </w:r>
          </w:p>
        </w:tc>
        <w:tc>
          <w:tcPr>
            <w:tcW w:w="1843" w:type="dxa"/>
          </w:tcPr>
          <w:p w14:paraId="26A22720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1.07 (0.15,7.75)</w:t>
            </w:r>
          </w:p>
        </w:tc>
        <w:tc>
          <w:tcPr>
            <w:tcW w:w="1701" w:type="dxa"/>
          </w:tcPr>
          <w:p w14:paraId="35C3BC4F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0.66 (0.16,2.69)</w:t>
            </w:r>
          </w:p>
        </w:tc>
        <w:tc>
          <w:tcPr>
            <w:tcW w:w="1701" w:type="dxa"/>
          </w:tcPr>
          <w:p w14:paraId="311BF9B1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4.71 (2.34,9.51)</w:t>
            </w:r>
          </w:p>
        </w:tc>
        <w:tc>
          <w:tcPr>
            <w:tcW w:w="2409" w:type="dxa"/>
          </w:tcPr>
          <w:p w14:paraId="1946D0B9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2.37 (0.87,3.86)</w:t>
            </w:r>
          </w:p>
        </w:tc>
      </w:tr>
      <w:tr w:rsidR="00D86F98" w:rsidRPr="00D3630B" w14:paraId="5825A734" w14:textId="77777777" w:rsidTr="00915067">
        <w:tc>
          <w:tcPr>
            <w:tcW w:w="1764" w:type="dxa"/>
          </w:tcPr>
          <w:p w14:paraId="496F1297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Model C</w:t>
            </w:r>
            <w:r>
              <w:rPr>
                <w:sz w:val="22"/>
                <w:szCs w:val="22"/>
                <w:vertAlign w:val="superscript"/>
              </w:rPr>
              <w:t>c</w:t>
            </w:r>
            <w:r w:rsidRPr="00B128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8" w:type="dxa"/>
            <w:gridSpan w:val="2"/>
          </w:tcPr>
          <w:p w14:paraId="45290957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2.18 (0.79,6.02)</w:t>
            </w:r>
          </w:p>
        </w:tc>
        <w:tc>
          <w:tcPr>
            <w:tcW w:w="1843" w:type="dxa"/>
            <w:gridSpan w:val="2"/>
          </w:tcPr>
          <w:p w14:paraId="52582A51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2.54 (0.62,10.44)</w:t>
            </w:r>
          </w:p>
        </w:tc>
        <w:tc>
          <w:tcPr>
            <w:tcW w:w="1843" w:type="dxa"/>
          </w:tcPr>
          <w:p w14:paraId="1B5C4BDB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1.01 (0.14,7.28)</w:t>
            </w:r>
          </w:p>
        </w:tc>
        <w:tc>
          <w:tcPr>
            <w:tcW w:w="1701" w:type="dxa"/>
          </w:tcPr>
          <w:p w14:paraId="3ED6CFA6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0.62 (0.15,2.53)</w:t>
            </w:r>
          </w:p>
        </w:tc>
        <w:tc>
          <w:tcPr>
            <w:tcW w:w="1701" w:type="dxa"/>
          </w:tcPr>
          <w:p w14:paraId="51E8EAE5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4.36 (2.15,8.8)</w:t>
            </w:r>
          </w:p>
        </w:tc>
        <w:tc>
          <w:tcPr>
            <w:tcW w:w="2409" w:type="dxa"/>
          </w:tcPr>
          <w:p w14:paraId="6F8839FE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2.30 (0.83,3.77)</w:t>
            </w:r>
          </w:p>
        </w:tc>
      </w:tr>
      <w:tr w:rsidR="00D86F98" w:rsidRPr="00D3630B" w14:paraId="690C66FA" w14:textId="77777777" w:rsidTr="00915067">
        <w:tc>
          <w:tcPr>
            <w:tcW w:w="1764" w:type="dxa"/>
            <w:tcBorders>
              <w:bottom w:val="single" w:sz="4" w:space="0" w:color="auto"/>
            </w:tcBorders>
          </w:tcPr>
          <w:p w14:paraId="378C5F51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Model D</w:t>
            </w:r>
            <w:r>
              <w:rPr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14:paraId="1F316FB5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6973EF5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570C6E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84A01E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  <w:r w:rsidRPr="00B128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FF75AA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4.12 (1.96,8.66)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A51E1A3" w14:textId="77777777" w:rsidR="00D86F98" w:rsidRPr="005B20EE" w:rsidRDefault="00D86F98" w:rsidP="00915067">
            <w:pPr>
              <w:spacing w:after="0" w:line="240" w:lineRule="auto"/>
              <w:rPr>
                <w:color w:val="000000"/>
                <w:sz w:val="22"/>
                <w:lang w:eastAsia="en-GB"/>
              </w:rPr>
            </w:pPr>
            <w:r w:rsidRPr="005B20EE">
              <w:rPr>
                <w:color w:val="000000"/>
                <w:sz w:val="22"/>
              </w:rPr>
              <w:t>1.92 (0.46,3.38)</w:t>
            </w:r>
          </w:p>
          <w:p w14:paraId="0249ECC1" w14:textId="77777777" w:rsidR="00D86F98" w:rsidRPr="00B1287B" w:rsidRDefault="00D86F98" w:rsidP="00915067">
            <w:pPr>
              <w:pStyle w:val="xmsonormal"/>
              <w:rPr>
                <w:sz w:val="22"/>
                <w:szCs w:val="22"/>
              </w:rPr>
            </w:pPr>
          </w:p>
        </w:tc>
      </w:tr>
    </w:tbl>
    <w:p w14:paraId="1BD76DE0" w14:textId="77777777" w:rsidR="00D86F98" w:rsidRPr="00D3630B" w:rsidRDefault="00D86F98" w:rsidP="00D86F9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vertAlign w:val="superscript"/>
        </w:rPr>
        <w:t>a</w:t>
      </w:r>
      <w:r w:rsidRPr="00AD6677">
        <w:rPr>
          <w:rFonts w:ascii="Times New Roman" w:hAnsi="Times New Roman"/>
          <w:sz w:val="22"/>
        </w:rPr>
        <w:t>Model A= unadjusted analysis</w:t>
      </w:r>
    </w:p>
    <w:p w14:paraId="329EE7D1" w14:textId="77777777" w:rsidR="00D86F98" w:rsidRPr="00D3630B" w:rsidRDefault="00D86F98" w:rsidP="00D86F9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vertAlign w:val="superscript"/>
        </w:rPr>
        <w:t>b</w:t>
      </w:r>
      <w:r w:rsidRPr="00AD6677">
        <w:rPr>
          <w:rFonts w:ascii="Times New Roman" w:hAnsi="Times New Roman"/>
          <w:sz w:val="22"/>
        </w:rPr>
        <w:t>Model B=analysis adjusted for age and sex</w:t>
      </w:r>
    </w:p>
    <w:p w14:paraId="153014AB" w14:textId="77777777" w:rsidR="00D86F98" w:rsidRPr="00D3630B" w:rsidRDefault="00D86F98" w:rsidP="00D86F98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vertAlign w:val="superscript"/>
        </w:rPr>
        <w:t>c</w:t>
      </w:r>
      <w:r w:rsidRPr="00AD6677">
        <w:rPr>
          <w:rFonts w:ascii="Times New Roman" w:hAnsi="Times New Roman"/>
          <w:sz w:val="22"/>
        </w:rPr>
        <w:t xml:space="preserve">Model C=analysis adjusted for age, sex and co-morbidities </w:t>
      </w:r>
    </w:p>
    <w:p w14:paraId="7095B27E" w14:textId="77777777" w:rsidR="00D86F98" w:rsidRDefault="00D86F98" w:rsidP="00D86F98">
      <w:pPr>
        <w:pStyle w:val="NoSpacing"/>
        <w:rPr>
          <w:b/>
        </w:rPr>
      </w:pPr>
      <w:r>
        <w:rPr>
          <w:rFonts w:ascii="Times New Roman" w:hAnsi="Times New Roman"/>
          <w:sz w:val="22"/>
          <w:vertAlign w:val="superscript"/>
        </w:rPr>
        <w:t>d</w:t>
      </w:r>
      <w:r w:rsidRPr="00AD6677">
        <w:rPr>
          <w:rFonts w:ascii="Times New Roman" w:hAnsi="Times New Roman"/>
          <w:sz w:val="22"/>
        </w:rPr>
        <w:t>Model D = analysis adjusted for age, sex, stroke type, co-morbidities and complications (pneumonia, sepsis, respiratory failure, convulsions</w:t>
      </w:r>
    </w:p>
    <w:p w14:paraId="5E7FA894" w14:textId="4D86A215" w:rsidR="001B4A55" w:rsidRDefault="001B4A55" w:rsidP="00F02F66">
      <w:pPr>
        <w:spacing w:line="360" w:lineRule="auto"/>
        <w:rPr>
          <w:b/>
        </w:rPr>
      </w:pPr>
    </w:p>
    <w:sectPr w:rsidR="001B4A55" w:rsidSect="00166004">
      <w:pgSz w:w="16838" w:h="11906" w:orient="landscape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FCAB5" w14:textId="77777777" w:rsidR="00552DD6" w:rsidRDefault="00552DD6" w:rsidP="00D16145">
      <w:pPr>
        <w:spacing w:after="0" w:line="240" w:lineRule="auto"/>
      </w:pPr>
      <w:r>
        <w:separator/>
      </w:r>
    </w:p>
  </w:endnote>
  <w:endnote w:type="continuationSeparator" w:id="0">
    <w:p w14:paraId="15D6A7E5" w14:textId="77777777" w:rsidR="00552DD6" w:rsidRDefault="00552DD6" w:rsidP="00D1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otis SemiSans Std">
    <w:altName w:val="Rotis Semi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panose1 w:val="02020502060506020403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dvP7DA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248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9B6E2" w14:textId="190DDF45" w:rsidR="00B21D54" w:rsidRDefault="00B21D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C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B00A85" w14:textId="77777777" w:rsidR="00B21D54" w:rsidRDefault="00B21D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D8BD4" w14:textId="77777777" w:rsidR="00D86F98" w:rsidRDefault="00D86F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31139" w14:textId="77777777" w:rsidR="00552DD6" w:rsidRDefault="00552DD6" w:rsidP="00D16145">
      <w:pPr>
        <w:spacing w:after="0" w:line="240" w:lineRule="auto"/>
      </w:pPr>
      <w:r>
        <w:separator/>
      </w:r>
    </w:p>
  </w:footnote>
  <w:footnote w:type="continuationSeparator" w:id="0">
    <w:p w14:paraId="56993C43" w14:textId="77777777" w:rsidR="00552DD6" w:rsidRDefault="00552DD6" w:rsidP="00D1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7761"/>
    <w:multiLevelType w:val="hybridMultilevel"/>
    <w:tmpl w:val="48B48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95430"/>
    <w:multiLevelType w:val="hybridMultilevel"/>
    <w:tmpl w:val="F894C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161DD"/>
    <w:multiLevelType w:val="hybridMultilevel"/>
    <w:tmpl w:val="FB1C126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50929"/>
    <w:multiLevelType w:val="hybridMultilevel"/>
    <w:tmpl w:val="5BF4F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3536D"/>
    <w:multiLevelType w:val="hybridMultilevel"/>
    <w:tmpl w:val="8E549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4639A"/>
    <w:multiLevelType w:val="hybridMultilevel"/>
    <w:tmpl w:val="CE007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D6C1D"/>
    <w:multiLevelType w:val="hybridMultilevel"/>
    <w:tmpl w:val="A8401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81"/>
    <w:rsid w:val="000002EF"/>
    <w:rsid w:val="00000F6C"/>
    <w:rsid w:val="0000248B"/>
    <w:rsid w:val="000061DF"/>
    <w:rsid w:val="0000675B"/>
    <w:rsid w:val="00006BE3"/>
    <w:rsid w:val="00011ACA"/>
    <w:rsid w:val="00014BB9"/>
    <w:rsid w:val="000169C6"/>
    <w:rsid w:val="000227FE"/>
    <w:rsid w:val="0002392B"/>
    <w:rsid w:val="0002753A"/>
    <w:rsid w:val="000356FF"/>
    <w:rsid w:val="00035731"/>
    <w:rsid w:val="00036F5F"/>
    <w:rsid w:val="00037403"/>
    <w:rsid w:val="0004227E"/>
    <w:rsid w:val="00042597"/>
    <w:rsid w:val="00044827"/>
    <w:rsid w:val="000469C2"/>
    <w:rsid w:val="00050C19"/>
    <w:rsid w:val="00051EBF"/>
    <w:rsid w:val="00052101"/>
    <w:rsid w:val="000521FB"/>
    <w:rsid w:val="000548B7"/>
    <w:rsid w:val="00055B92"/>
    <w:rsid w:val="00057B5A"/>
    <w:rsid w:val="00061357"/>
    <w:rsid w:val="00061613"/>
    <w:rsid w:val="0006203D"/>
    <w:rsid w:val="000644B1"/>
    <w:rsid w:val="0006571D"/>
    <w:rsid w:val="00065F5E"/>
    <w:rsid w:val="000756F9"/>
    <w:rsid w:val="00075F42"/>
    <w:rsid w:val="00077323"/>
    <w:rsid w:val="00080A6F"/>
    <w:rsid w:val="000818ED"/>
    <w:rsid w:val="00082D8F"/>
    <w:rsid w:val="00082E18"/>
    <w:rsid w:val="00083296"/>
    <w:rsid w:val="00084F4B"/>
    <w:rsid w:val="00087E37"/>
    <w:rsid w:val="00090ECB"/>
    <w:rsid w:val="000918AF"/>
    <w:rsid w:val="00091AA9"/>
    <w:rsid w:val="00092FA6"/>
    <w:rsid w:val="00094D28"/>
    <w:rsid w:val="00095C23"/>
    <w:rsid w:val="000963B9"/>
    <w:rsid w:val="000A0712"/>
    <w:rsid w:val="000A1114"/>
    <w:rsid w:val="000A23F5"/>
    <w:rsid w:val="000A316A"/>
    <w:rsid w:val="000A4874"/>
    <w:rsid w:val="000B3DE9"/>
    <w:rsid w:val="000C1036"/>
    <w:rsid w:val="000C25AE"/>
    <w:rsid w:val="000C5A2A"/>
    <w:rsid w:val="000C67F9"/>
    <w:rsid w:val="000D0423"/>
    <w:rsid w:val="000D396C"/>
    <w:rsid w:val="000D4848"/>
    <w:rsid w:val="000E3A66"/>
    <w:rsid w:val="000F0C8A"/>
    <w:rsid w:val="000F1FF3"/>
    <w:rsid w:val="000F2724"/>
    <w:rsid w:val="000F37A0"/>
    <w:rsid w:val="000F7996"/>
    <w:rsid w:val="0010042D"/>
    <w:rsid w:val="00102E62"/>
    <w:rsid w:val="00104112"/>
    <w:rsid w:val="001053CC"/>
    <w:rsid w:val="00106D8F"/>
    <w:rsid w:val="00111CC6"/>
    <w:rsid w:val="00114A52"/>
    <w:rsid w:val="00114C4C"/>
    <w:rsid w:val="00116E70"/>
    <w:rsid w:val="00117DDE"/>
    <w:rsid w:val="00121576"/>
    <w:rsid w:val="00121A74"/>
    <w:rsid w:val="001222B5"/>
    <w:rsid w:val="001236A6"/>
    <w:rsid w:val="00125C6D"/>
    <w:rsid w:val="00127D68"/>
    <w:rsid w:val="0013377B"/>
    <w:rsid w:val="00133D94"/>
    <w:rsid w:val="00134C4F"/>
    <w:rsid w:val="00135D6A"/>
    <w:rsid w:val="0013791F"/>
    <w:rsid w:val="00137C7A"/>
    <w:rsid w:val="0014152F"/>
    <w:rsid w:val="00142EB7"/>
    <w:rsid w:val="0014363A"/>
    <w:rsid w:val="00146124"/>
    <w:rsid w:val="00146B41"/>
    <w:rsid w:val="00147DB7"/>
    <w:rsid w:val="00150764"/>
    <w:rsid w:val="001511C8"/>
    <w:rsid w:val="00151562"/>
    <w:rsid w:val="001529FB"/>
    <w:rsid w:val="00154181"/>
    <w:rsid w:val="00154BC5"/>
    <w:rsid w:val="0015656D"/>
    <w:rsid w:val="0016019C"/>
    <w:rsid w:val="00162062"/>
    <w:rsid w:val="00163CAA"/>
    <w:rsid w:val="001658B8"/>
    <w:rsid w:val="00166004"/>
    <w:rsid w:val="00166244"/>
    <w:rsid w:val="0017077F"/>
    <w:rsid w:val="00172125"/>
    <w:rsid w:val="001721D9"/>
    <w:rsid w:val="00176D87"/>
    <w:rsid w:val="0018000E"/>
    <w:rsid w:val="00181B5C"/>
    <w:rsid w:val="00183FEC"/>
    <w:rsid w:val="00184EE6"/>
    <w:rsid w:val="001900C6"/>
    <w:rsid w:val="00190CF4"/>
    <w:rsid w:val="00191157"/>
    <w:rsid w:val="00192466"/>
    <w:rsid w:val="00194956"/>
    <w:rsid w:val="00197A76"/>
    <w:rsid w:val="001A0A48"/>
    <w:rsid w:val="001A300A"/>
    <w:rsid w:val="001A36BC"/>
    <w:rsid w:val="001A46F6"/>
    <w:rsid w:val="001A5B98"/>
    <w:rsid w:val="001A66DF"/>
    <w:rsid w:val="001A6CD1"/>
    <w:rsid w:val="001A7A56"/>
    <w:rsid w:val="001B0005"/>
    <w:rsid w:val="001B0D17"/>
    <w:rsid w:val="001B1992"/>
    <w:rsid w:val="001B33F7"/>
    <w:rsid w:val="001B4A55"/>
    <w:rsid w:val="001C15DC"/>
    <w:rsid w:val="001C35E4"/>
    <w:rsid w:val="001C466D"/>
    <w:rsid w:val="001D0E40"/>
    <w:rsid w:val="001D15F0"/>
    <w:rsid w:val="001D3489"/>
    <w:rsid w:val="001D404C"/>
    <w:rsid w:val="001D417E"/>
    <w:rsid w:val="001D6146"/>
    <w:rsid w:val="001D7201"/>
    <w:rsid w:val="001E0CD9"/>
    <w:rsid w:val="001E601F"/>
    <w:rsid w:val="001E6A8E"/>
    <w:rsid w:val="001E6ACD"/>
    <w:rsid w:val="001F02DE"/>
    <w:rsid w:val="001F3739"/>
    <w:rsid w:val="001F3FF4"/>
    <w:rsid w:val="001F6E59"/>
    <w:rsid w:val="00206856"/>
    <w:rsid w:val="002117A9"/>
    <w:rsid w:val="002178B7"/>
    <w:rsid w:val="0022197B"/>
    <w:rsid w:val="00221E88"/>
    <w:rsid w:val="002226B4"/>
    <w:rsid w:val="00222B22"/>
    <w:rsid w:val="002242C6"/>
    <w:rsid w:val="002262C4"/>
    <w:rsid w:val="002277C2"/>
    <w:rsid w:val="0023008F"/>
    <w:rsid w:val="002317ED"/>
    <w:rsid w:val="00231CA1"/>
    <w:rsid w:val="00232BB7"/>
    <w:rsid w:val="002332AA"/>
    <w:rsid w:val="0023412B"/>
    <w:rsid w:val="00234307"/>
    <w:rsid w:val="00236023"/>
    <w:rsid w:val="00245111"/>
    <w:rsid w:val="00247830"/>
    <w:rsid w:val="00251C56"/>
    <w:rsid w:val="0025287C"/>
    <w:rsid w:val="00257E2C"/>
    <w:rsid w:val="00260445"/>
    <w:rsid w:val="00262FD8"/>
    <w:rsid w:val="00265045"/>
    <w:rsid w:val="0026550E"/>
    <w:rsid w:val="002707A2"/>
    <w:rsid w:val="00270923"/>
    <w:rsid w:val="002722CD"/>
    <w:rsid w:val="00272F97"/>
    <w:rsid w:val="00275B47"/>
    <w:rsid w:val="00275CBF"/>
    <w:rsid w:val="00275E9F"/>
    <w:rsid w:val="002766F8"/>
    <w:rsid w:val="0027675D"/>
    <w:rsid w:val="0027709F"/>
    <w:rsid w:val="00282C1E"/>
    <w:rsid w:val="00283C3C"/>
    <w:rsid w:val="00284002"/>
    <w:rsid w:val="00284625"/>
    <w:rsid w:val="0028480E"/>
    <w:rsid w:val="002963C9"/>
    <w:rsid w:val="002A126F"/>
    <w:rsid w:val="002A1C6D"/>
    <w:rsid w:val="002A1C89"/>
    <w:rsid w:val="002A3EC4"/>
    <w:rsid w:val="002A615B"/>
    <w:rsid w:val="002B0B9B"/>
    <w:rsid w:val="002B3EA0"/>
    <w:rsid w:val="002B4C7B"/>
    <w:rsid w:val="002B5B7C"/>
    <w:rsid w:val="002B5DD8"/>
    <w:rsid w:val="002B67F3"/>
    <w:rsid w:val="002B6A6A"/>
    <w:rsid w:val="002C013F"/>
    <w:rsid w:val="002C01C1"/>
    <w:rsid w:val="002C1C9F"/>
    <w:rsid w:val="002C54F9"/>
    <w:rsid w:val="002C55F5"/>
    <w:rsid w:val="002C6CDA"/>
    <w:rsid w:val="002C7E79"/>
    <w:rsid w:val="002D0657"/>
    <w:rsid w:val="002D0D19"/>
    <w:rsid w:val="002D1759"/>
    <w:rsid w:val="002D190C"/>
    <w:rsid w:val="002D4DD9"/>
    <w:rsid w:val="002D7162"/>
    <w:rsid w:val="002E0BEA"/>
    <w:rsid w:val="002E25B0"/>
    <w:rsid w:val="002E53C0"/>
    <w:rsid w:val="002E6A77"/>
    <w:rsid w:val="002E7649"/>
    <w:rsid w:val="002F04EE"/>
    <w:rsid w:val="002F30DB"/>
    <w:rsid w:val="002F4627"/>
    <w:rsid w:val="002F564E"/>
    <w:rsid w:val="002F6447"/>
    <w:rsid w:val="002F6915"/>
    <w:rsid w:val="002F7539"/>
    <w:rsid w:val="003000C2"/>
    <w:rsid w:val="00302563"/>
    <w:rsid w:val="0030470B"/>
    <w:rsid w:val="00306D70"/>
    <w:rsid w:val="0031090C"/>
    <w:rsid w:val="003111FE"/>
    <w:rsid w:val="00312C23"/>
    <w:rsid w:val="00320903"/>
    <w:rsid w:val="003233BD"/>
    <w:rsid w:val="0032424A"/>
    <w:rsid w:val="00326F7A"/>
    <w:rsid w:val="003279A7"/>
    <w:rsid w:val="0033052E"/>
    <w:rsid w:val="00331097"/>
    <w:rsid w:val="003312AF"/>
    <w:rsid w:val="00331336"/>
    <w:rsid w:val="00333BAF"/>
    <w:rsid w:val="003355D9"/>
    <w:rsid w:val="00345CE3"/>
    <w:rsid w:val="00350F2E"/>
    <w:rsid w:val="00351E42"/>
    <w:rsid w:val="003541F5"/>
    <w:rsid w:val="003621D6"/>
    <w:rsid w:val="00362CE9"/>
    <w:rsid w:val="00362FE1"/>
    <w:rsid w:val="00363791"/>
    <w:rsid w:val="003700B1"/>
    <w:rsid w:val="00370BD8"/>
    <w:rsid w:val="00373012"/>
    <w:rsid w:val="0037392A"/>
    <w:rsid w:val="00374004"/>
    <w:rsid w:val="00375E6C"/>
    <w:rsid w:val="00375E9B"/>
    <w:rsid w:val="00376456"/>
    <w:rsid w:val="003767BF"/>
    <w:rsid w:val="00376C8D"/>
    <w:rsid w:val="00377D67"/>
    <w:rsid w:val="00381E6C"/>
    <w:rsid w:val="00386A8F"/>
    <w:rsid w:val="003878CF"/>
    <w:rsid w:val="0039293F"/>
    <w:rsid w:val="00392F10"/>
    <w:rsid w:val="00396DBD"/>
    <w:rsid w:val="003A0CF5"/>
    <w:rsid w:val="003A1AC0"/>
    <w:rsid w:val="003A20D4"/>
    <w:rsid w:val="003A3B45"/>
    <w:rsid w:val="003A4BF9"/>
    <w:rsid w:val="003A5322"/>
    <w:rsid w:val="003B1AF5"/>
    <w:rsid w:val="003B2F55"/>
    <w:rsid w:val="003B6B68"/>
    <w:rsid w:val="003C056D"/>
    <w:rsid w:val="003C076D"/>
    <w:rsid w:val="003C29DC"/>
    <w:rsid w:val="003C3DE6"/>
    <w:rsid w:val="003C5B37"/>
    <w:rsid w:val="003D1535"/>
    <w:rsid w:val="003D2223"/>
    <w:rsid w:val="003D3EFA"/>
    <w:rsid w:val="003D43A0"/>
    <w:rsid w:val="003D45C9"/>
    <w:rsid w:val="003D4FB4"/>
    <w:rsid w:val="003E3919"/>
    <w:rsid w:val="003F12F3"/>
    <w:rsid w:val="003F3E00"/>
    <w:rsid w:val="003F4443"/>
    <w:rsid w:val="004024F8"/>
    <w:rsid w:val="004040F8"/>
    <w:rsid w:val="00405427"/>
    <w:rsid w:val="004165A9"/>
    <w:rsid w:val="004202F9"/>
    <w:rsid w:val="0042451C"/>
    <w:rsid w:val="0042507F"/>
    <w:rsid w:val="00430786"/>
    <w:rsid w:val="00433C19"/>
    <w:rsid w:val="00433ED6"/>
    <w:rsid w:val="00436CE1"/>
    <w:rsid w:val="00437E8A"/>
    <w:rsid w:val="00440089"/>
    <w:rsid w:val="00442A62"/>
    <w:rsid w:val="004436C2"/>
    <w:rsid w:val="004441F1"/>
    <w:rsid w:val="0044648C"/>
    <w:rsid w:val="00446E58"/>
    <w:rsid w:val="0045196C"/>
    <w:rsid w:val="00453443"/>
    <w:rsid w:val="004558E2"/>
    <w:rsid w:val="00456691"/>
    <w:rsid w:val="004715E9"/>
    <w:rsid w:val="00474AD9"/>
    <w:rsid w:val="004777BC"/>
    <w:rsid w:val="0048065F"/>
    <w:rsid w:val="00483DED"/>
    <w:rsid w:val="00485489"/>
    <w:rsid w:val="0049327A"/>
    <w:rsid w:val="00494C76"/>
    <w:rsid w:val="00496341"/>
    <w:rsid w:val="00496D8B"/>
    <w:rsid w:val="00497450"/>
    <w:rsid w:val="004A5F53"/>
    <w:rsid w:val="004A7119"/>
    <w:rsid w:val="004B1511"/>
    <w:rsid w:val="004B2C01"/>
    <w:rsid w:val="004B37D2"/>
    <w:rsid w:val="004B6311"/>
    <w:rsid w:val="004B69D7"/>
    <w:rsid w:val="004C008C"/>
    <w:rsid w:val="004C0673"/>
    <w:rsid w:val="004C0873"/>
    <w:rsid w:val="004C2193"/>
    <w:rsid w:val="004C2D7B"/>
    <w:rsid w:val="004C309A"/>
    <w:rsid w:val="004C362E"/>
    <w:rsid w:val="004C5EBC"/>
    <w:rsid w:val="004D3039"/>
    <w:rsid w:val="004D46EC"/>
    <w:rsid w:val="004D4853"/>
    <w:rsid w:val="004D5BA9"/>
    <w:rsid w:val="004D67A4"/>
    <w:rsid w:val="004D7B8F"/>
    <w:rsid w:val="004D7E9F"/>
    <w:rsid w:val="004E0FC3"/>
    <w:rsid w:val="004E1A53"/>
    <w:rsid w:val="004E5791"/>
    <w:rsid w:val="004E70AA"/>
    <w:rsid w:val="004E7237"/>
    <w:rsid w:val="004E74B8"/>
    <w:rsid w:val="00500ED0"/>
    <w:rsid w:val="005078C8"/>
    <w:rsid w:val="00512202"/>
    <w:rsid w:val="00512829"/>
    <w:rsid w:val="00522686"/>
    <w:rsid w:val="0052271B"/>
    <w:rsid w:val="00524F2B"/>
    <w:rsid w:val="00525E2F"/>
    <w:rsid w:val="00530A83"/>
    <w:rsid w:val="00534CA6"/>
    <w:rsid w:val="00536934"/>
    <w:rsid w:val="00543562"/>
    <w:rsid w:val="00544940"/>
    <w:rsid w:val="005466E4"/>
    <w:rsid w:val="005467D5"/>
    <w:rsid w:val="00546E33"/>
    <w:rsid w:val="005479F9"/>
    <w:rsid w:val="00547F06"/>
    <w:rsid w:val="005505BF"/>
    <w:rsid w:val="00552DD6"/>
    <w:rsid w:val="00555D04"/>
    <w:rsid w:val="00561797"/>
    <w:rsid w:val="0057035C"/>
    <w:rsid w:val="00572D81"/>
    <w:rsid w:val="00576958"/>
    <w:rsid w:val="0058156A"/>
    <w:rsid w:val="00581BF5"/>
    <w:rsid w:val="00583B7B"/>
    <w:rsid w:val="00593348"/>
    <w:rsid w:val="00595F53"/>
    <w:rsid w:val="005968D2"/>
    <w:rsid w:val="005A0AA0"/>
    <w:rsid w:val="005A3978"/>
    <w:rsid w:val="005A415F"/>
    <w:rsid w:val="005B12D3"/>
    <w:rsid w:val="005B20EE"/>
    <w:rsid w:val="005B744C"/>
    <w:rsid w:val="005C04DB"/>
    <w:rsid w:val="005C2283"/>
    <w:rsid w:val="005C3D40"/>
    <w:rsid w:val="005C5B69"/>
    <w:rsid w:val="005C6865"/>
    <w:rsid w:val="005C6F3E"/>
    <w:rsid w:val="005D41D2"/>
    <w:rsid w:val="005D4876"/>
    <w:rsid w:val="005D4D40"/>
    <w:rsid w:val="005D5D5F"/>
    <w:rsid w:val="005D7676"/>
    <w:rsid w:val="005E3A44"/>
    <w:rsid w:val="005E4E60"/>
    <w:rsid w:val="005E5340"/>
    <w:rsid w:val="005E5687"/>
    <w:rsid w:val="005E7DA3"/>
    <w:rsid w:val="005E7EE8"/>
    <w:rsid w:val="005F392A"/>
    <w:rsid w:val="005F3CF8"/>
    <w:rsid w:val="005F5066"/>
    <w:rsid w:val="005F50FC"/>
    <w:rsid w:val="005F54F2"/>
    <w:rsid w:val="005F5FDB"/>
    <w:rsid w:val="00600A8C"/>
    <w:rsid w:val="00602385"/>
    <w:rsid w:val="00603E1A"/>
    <w:rsid w:val="0060581E"/>
    <w:rsid w:val="00605E81"/>
    <w:rsid w:val="006076B1"/>
    <w:rsid w:val="0061304F"/>
    <w:rsid w:val="0061401E"/>
    <w:rsid w:val="006144DA"/>
    <w:rsid w:val="00621D58"/>
    <w:rsid w:val="006238A8"/>
    <w:rsid w:val="006257DB"/>
    <w:rsid w:val="00630FDB"/>
    <w:rsid w:val="00631411"/>
    <w:rsid w:val="0063359D"/>
    <w:rsid w:val="00637383"/>
    <w:rsid w:val="006378D2"/>
    <w:rsid w:val="00642F4F"/>
    <w:rsid w:val="00647DEE"/>
    <w:rsid w:val="00651002"/>
    <w:rsid w:val="00651498"/>
    <w:rsid w:val="0065162A"/>
    <w:rsid w:val="00651935"/>
    <w:rsid w:val="00653ED8"/>
    <w:rsid w:val="00654998"/>
    <w:rsid w:val="006562E6"/>
    <w:rsid w:val="006601F8"/>
    <w:rsid w:val="006610E5"/>
    <w:rsid w:val="006641C2"/>
    <w:rsid w:val="00665290"/>
    <w:rsid w:val="0067048E"/>
    <w:rsid w:val="00670F81"/>
    <w:rsid w:val="006711AB"/>
    <w:rsid w:val="00671A49"/>
    <w:rsid w:val="00673464"/>
    <w:rsid w:val="00676A99"/>
    <w:rsid w:val="00677A8C"/>
    <w:rsid w:val="0068221A"/>
    <w:rsid w:val="0068550B"/>
    <w:rsid w:val="0069003C"/>
    <w:rsid w:val="00691A27"/>
    <w:rsid w:val="00694FCC"/>
    <w:rsid w:val="006A201D"/>
    <w:rsid w:val="006A3A81"/>
    <w:rsid w:val="006A43D5"/>
    <w:rsid w:val="006A7682"/>
    <w:rsid w:val="006B47A4"/>
    <w:rsid w:val="006B4999"/>
    <w:rsid w:val="006B6C2D"/>
    <w:rsid w:val="006B7B42"/>
    <w:rsid w:val="006C10B2"/>
    <w:rsid w:val="006C7784"/>
    <w:rsid w:val="006D153F"/>
    <w:rsid w:val="006D4F30"/>
    <w:rsid w:val="006D52B5"/>
    <w:rsid w:val="006E28E9"/>
    <w:rsid w:val="006F138D"/>
    <w:rsid w:val="006F1AA0"/>
    <w:rsid w:val="006F4D58"/>
    <w:rsid w:val="00702DC3"/>
    <w:rsid w:val="00705812"/>
    <w:rsid w:val="007063FC"/>
    <w:rsid w:val="00706463"/>
    <w:rsid w:val="0070666C"/>
    <w:rsid w:val="00706804"/>
    <w:rsid w:val="007125C8"/>
    <w:rsid w:val="0072017E"/>
    <w:rsid w:val="00720AD4"/>
    <w:rsid w:val="00722217"/>
    <w:rsid w:val="0072229E"/>
    <w:rsid w:val="00722394"/>
    <w:rsid w:val="00724A6E"/>
    <w:rsid w:val="00727EBD"/>
    <w:rsid w:val="00731D0A"/>
    <w:rsid w:val="00733096"/>
    <w:rsid w:val="007373B4"/>
    <w:rsid w:val="00740A46"/>
    <w:rsid w:val="00747061"/>
    <w:rsid w:val="007519D2"/>
    <w:rsid w:val="00754667"/>
    <w:rsid w:val="00756162"/>
    <w:rsid w:val="00756E0B"/>
    <w:rsid w:val="007623F7"/>
    <w:rsid w:val="0076351D"/>
    <w:rsid w:val="00763D49"/>
    <w:rsid w:val="0076455E"/>
    <w:rsid w:val="007650A1"/>
    <w:rsid w:val="00767AFD"/>
    <w:rsid w:val="0077536B"/>
    <w:rsid w:val="00775661"/>
    <w:rsid w:val="0077587C"/>
    <w:rsid w:val="007771E0"/>
    <w:rsid w:val="00780849"/>
    <w:rsid w:val="0078189A"/>
    <w:rsid w:val="00783679"/>
    <w:rsid w:val="00783DAB"/>
    <w:rsid w:val="00784EAF"/>
    <w:rsid w:val="0078718D"/>
    <w:rsid w:val="00787508"/>
    <w:rsid w:val="007965A7"/>
    <w:rsid w:val="00796809"/>
    <w:rsid w:val="00797408"/>
    <w:rsid w:val="007A0681"/>
    <w:rsid w:val="007A16C4"/>
    <w:rsid w:val="007A296F"/>
    <w:rsid w:val="007A5404"/>
    <w:rsid w:val="007A5481"/>
    <w:rsid w:val="007A5A6D"/>
    <w:rsid w:val="007A7815"/>
    <w:rsid w:val="007B35CF"/>
    <w:rsid w:val="007B48BA"/>
    <w:rsid w:val="007B6116"/>
    <w:rsid w:val="007B6D0E"/>
    <w:rsid w:val="007B756E"/>
    <w:rsid w:val="007C4E92"/>
    <w:rsid w:val="007C6E8C"/>
    <w:rsid w:val="007D0988"/>
    <w:rsid w:val="007D0AA8"/>
    <w:rsid w:val="007D2833"/>
    <w:rsid w:val="007D4313"/>
    <w:rsid w:val="007D6EB8"/>
    <w:rsid w:val="007E1DED"/>
    <w:rsid w:val="007E2834"/>
    <w:rsid w:val="007E4AF4"/>
    <w:rsid w:val="007E543C"/>
    <w:rsid w:val="007E62E2"/>
    <w:rsid w:val="007F08C0"/>
    <w:rsid w:val="007F107E"/>
    <w:rsid w:val="007F1EBF"/>
    <w:rsid w:val="007F7836"/>
    <w:rsid w:val="0080003D"/>
    <w:rsid w:val="0080010D"/>
    <w:rsid w:val="00800AA3"/>
    <w:rsid w:val="00804626"/>
    <w:rsid w:val="008062C7"/>
    <w:rsid w:val="008064CD"/>
    <w:rsid w:val="0080696A"/>
    <w:rsid w:val="00806CBC"/>
    <w:rsid w:val="0080786F"/>
    <w:rsid w:val="008116FC"/>
    <w:rsid w:val="00813D27"/>
    <w:rsid w:val="00815329"/>
    <w:rsid w:val="00815792"/>
    <w:rsid w:val="0081687C"/>
    <w:rsid w:val="0081709C"/>
    <w:rsid w:val="00820BF6"/>
    <w:rsid w:val="00822D90"/>
    <w:rsid w:val="00825F9E"/>
    <w:rsid w:val="0082708A"/>
    <w:rsid w:val="008277F8"/>
    <w:rsid w:val="00831D33"/>
    <w:rsid w:val="008344E6"/>
    <w:rsid w:val="00835035"/>
    <w:rsid w:val="008365E9"/>
    <w:rsid w:val="008365EB"/>
    <w:rsid w:val="00837E33"/>
    <w:rsid w:val="00853593"/>
    <w:rsid w:val="008553A8"/>
    <w:rsid w:val="0085543F"/>
    <w:rsid w:val="0085730D"/>
    <w:rsid w:val="008575BF"/>
    <w:rsid w:val="00857B33"/>
    <w:rsid w:val="008602A2"/>
    <w:rsid w:val="00860CC1"/>
    <w:rsid w:val="008641FC"/>
    <w:rsid w:val="00864BC3"/>
    <w:rsid w:val="00864FED"/>
    <w:rsid w:val="00865186"/>
    <w:rsid w:val="0086641B"/>
    <w:rsid w:val="00866D55"/>
    <w:rsid w:val="00866E9F"/>
    <w:rsid w:val="0086732F"/>
    <w:rsid w:val="00872F2A"/>
    <w:rsid w:val="00873EC9"/>
    <w:rsid w:val="0087484D"/>
    <w:rsid w:val="00874D19"/>
    <w:rsid w:val="00875094"/>
    <w:rsid w:val="00881A5E"/>
    <w:rsid w:val="00882554"/>
    <w:rsid w:val="00885781"/>
    <w:rsid w:val="00886743"/>
    <w:rsid w:val="008871D5"/>
    <w:rsid w:val="00890244"/>
    <w:rsid w:val="0089059C"/>
    <w:rsid w:val="008912D6"/>
    <w:rsid w:val="00892D8E"/>
    <w:rsid w:val="0089434F"/>
    <w:rsid w:val="00894E6C"/>
    <w:rsid w:val="00896803"/>
    <w:rsid w:val="008A1F16"/>
    <w:rsid w:val="008A70FF"/>
    <w:rsid w:val="008A759B"/>
    <w:rsid w:val="008B414F"/>
    <w:rsid w:val="008B5EDB"/>
    <w:rsid w:val="008C0A77"/>
    <w:rsid w:val="008C2443"/>
    <w:rsid w:val="008D2EF3"/>
    <w:rsid w:val="008D3282"/>
    <w:rsid w:val="008D6BAB"/>
    <w:rsid w:val="008D714F"/>
    <w:rsid w:val="008E14B9"/>
    <w:rsid w:val="008E164A"/>
    <w:rsid w:val="008E1713"/>
    <w:rsid w:val="008E66BF"/>
    <w:rsid w:val="008E6D8E"/>
    <w:rsid w:val="008E6F72"/>
    <w:rsid w:val="008F2227"/>
    <w:rsid w:val="008F6224"/>
    <w:rsid w:val="008F670C"/>
    <w:rsid w:val="009008ED"/>
    <w:rsid w:val="00902061"/>
    <w:rsid w:val="0090281F"/>
    <w:rsid w:val="00903C5F"/>
    <w:rsid w:val="00906274"/>
    <w:rsid w:val="00906B2F"/>
    <w:rsid w:val="00907AA8"/>
    <w:rsid w:val="009101D6"/>
    <w:rsid w:val="00910AAB"/>
    <w:rsid w:val="00911C0B"/>
    <w:rsid w:val="00911D2A"/>
    <w:rsid w:val="00913679"/>
    <w:rsid w:val="0091682A"/>
    <w:rsid w:val="009205CE"/>
    <w:rsid w:val="00922985"/>
    <w:rsid w:val="0092400E"/>
    <w:rsid w:val="009242B9"/>
    <w:rsid w:val="0093010F"/>
    <w:rsid w:val="00931776"/>
    <w:rsid w:val="00931A44"/>
    <w:rsid w:val="00935E21"/>
    <w:rsid w:val="00936D60"/>
    <w:rsid w:val="009371B3"/>
    <w:rsid w:val="00937794"/>
    <w:rsid w:val="00941B7E"/>
    <w:rsid w:val="0094260C"/>
    <w:rsid w:val="0094343C"/>
    <w:rsid w:val="009448BF"/>
    <w:rsid w:val="009454AB"/>
    <w:rsid w:val="00945542"/>
    <w:rsid w:val="009461EA"/>
    <w:rsid w:val="00951097"/>
    <w:rsid w:val="00953878"/>
    <w:rsid w:val="00953D97"/>
    <w:rsid w:val="009548CD"/>
    <w:rsid w:val="00960416"/>
    <w:rsid w:val="00961E1E"/>
    <w:rsid w:val="00966947"/>
    <w:rsid w:val="00966B0D"/>
    <w:rsid w:val="0097065B"/>
    <w:rsid w:val="00970F94"/>
    <w:rsid w:val="0097109A"/>
    <w:rsid w:val="009718B3"/>
    <w:rsid w:val="00972665"/>
    <w:rsid w:val="009727C1"/>
    <w:rsid w:val="0097575D"/>
    <w:rsid w:val="009761DB"/>
    <w:rsid w:val="009778B9"/>
    <w:rsid w:val="00981F75"/>
    <w:rsid w:val="009866E8"/>
    <w:rsid w:val="00991FCB"/>
    <w:rsid w:val="009934BE"/>
    <w:rsid w:val="009969D5"/>
    <w:rsid w:val="009A0DEA"/>
    <w:rsid w:val="009A112E"/>
    <w:rsid w:val="009A1DA3"/>
    <w:rsid w:val="009A3BCB"/>
    <w:rsid w:val="009A66A1"/>
    <w:rsid w:val="009A792D"/>
    <w:rsid w:val="009B05F8"/>
    <w:rsid w:val="009B5CE9"/>
    <w:rsid w:val="009C7454"/>
    <w:rsid w:val="009D0F59"/>
    <w:rsid w:val="009D666B"/>
    <w:rsid w:val="009D748A"/>
    <w:rsid w:val="009E55DA"/>
    <w:rsid w:val="009E6405"/>
    <w:rsid w:val="009F1DF2"/>
    <w:rsid w:val="009F2BFD"/>
    <w:rsid w:val="009F3133"/>
    <w:rsid w:val="00A0091D"/>
    <w:rsid w:val="00A039D2"/>
    <w:rsid w:val="00A13495"/>
    <w:rsid w:val="00A15208"/>
    <w:rsid w:val="00A16BD6"/>
    <w:rsid w:val="00A17951"/>
    <w:rsid w:val="00A2030A"/>
    <w:rsid w:val="00A236D8"/>
    <w:rsid w:val="00A25838"/>
    <w:rsid w:val="00A30B24"/>
    <w:rsid w:val="00A35149"/>
    <w:rsid w:val="00A377DA"/>
    <w:rsid w:val="00A40BEE"/>
    <w:rsid w:val="00A438FC"/>
    <w:rsid w:val="00A44D24"/>
    <w:rsid w:val="00A51397"/>
    <w:rsid w:val="00A533AF"/>
    <w:rsid w:val="00A56E7F"/>
    <w:rsid w:val="00A57C9C"/>
    <w:rsid w:val="00A60279"/>
    <w:rsid w:val="00A61C78"/>
    <w:rsid w:val="00A62988"/>
    <w:rsid w:val="00A64DE8"/>
    <w:rsid w:val="00A72033"/>
    <w:rsid w:val="00A73A04"/>
    <w:rsid w:val="00A73CD2"/>
    <w:rsid w:val="00A76AE5"/>
    <w:rsid w:val="00A76B74"/>
    <w:rsid w:val="00A77722"/>
    <w:rsid w:val="00A808CE"/>
    <w:rsid w:val="00A8114D"/>
    <w:rsid w:val="00A856F8"/>
    <w:rsid w:val="00A86EDF"/>
    <w:rsid w:val="00A8789A"/>
    <w:rsid w:val="00A9026E"/>
    <w:rsid w:val="00A91FE3"/>
    <w:rsid w:val="00A94C41"/>
    <w:rsid w:val="00A97F37"/>
    <w:rsid w:val="00AA048E"/>
    <w:rsid w:val="00AA37B4"/>
    <w:rsid w:val="00AA3AA9"/>
    <w:rsid w:val="00AA3CF3"/>
    <w:rsid w:val="00AA45C9"/>
    <w:rsid w:val="00AA52CA"/>
    <w:rsid w:val="00AA6A0D"/>
    <w:rsid w:val="00AA6FF4"/>
    <w:rsid w:val="00AB29C2"/>
    <w:rsid w:val="00AB4E52"/>
    <w:rsid w:val="00AB63A9"/>
    <w:rsid w:val="00AB70C3"/>
    <w:rsid w:val="00AC20A3"/>
    <w:rsid w:val="00AC7BD8"/>
    <w:rsid w:val="00AD2B74"/>
    <w:rsid w:val="00AD418C"/>
    <w:rsid w:val="00AD52D9"/>
    <w:rsid w:val="00AD61AF"/>
    <w:rsid w:val="00AD6677"/>
    <w:rsid w:val="00AD7324"/>
    <w:rsid w:val="00AE0C97"/>
    <w:rsid w:val="00AE7048"/>
    <w:rsid w:val="00AE73A2"/>
    <w:rsid w:val="00AF0ACF"/>
    <w:rsid w:val="00AF11C9"/>
    <w:rsid w:val="00AF1465"/>
    <w:rsid w:val="00AF18E7"/>
    <w:rsid w:val="00AF42EB"/>
    <w:rsid w:val="00AF4CC1"/>
    <w:rsid w:val="00AF5898"/>
    <w:rsid w:val="00B0110C"/>
    <w:rsid w:val="00B03064"/>
    <w:rsid w:val="00B0420E"/>
    <w:rsid w:val="00B049BC"/>
    <w:rsid w:val="00B04C24"/>
    <w:rsid w:val="00B124D5"/>
    <w:rsid w:val="00B126C9"/>
    <w:rsid w:val="00B1287B"/>
    <w:rsid w:val="00B13CF7"/>
    <w:rsid w:val="00B16777"/>
    <w:rsid w:val="00B175FE"/>
    <w:rsid w:val="00B202EA"/>
    <w:rsid w:val="00B219F9"/>
    <w:rsid w:val="00B21B04"/>
    <w:rsid w:val="00B21D54"/>
    <w:rsid w:val="00B2294F"/>
    <w:rsid w:val="00B2463B"/>
    <w:rsid w:val="00B24E9C"/>
    <w:rsid w:val="00B256C2"/>
    <w:rsid w:val="00B25722"/>
    <w:rsid w:val="00B336AB"/>
    <w:rsid w:val="00B33EA4"/>
    <w:rsid w:val="00B3469E"/>
    <w:rsid w:val="00B34B28"/>
    <w:rsid w:val="00B35901"/>
    <w:rsid w:val="00B3760F"/>
    <w:rsid w:val="00B37CC5"/>
    <w:rsid w:val="00B42C2A"/>
    <w:rsid w:val="00B430E3"/>
    <w:rsid w:val="00B4314B"/>
    <w:rsid w:val="00B43684"/>
    <w:rsid w:val="00B4436F"/>
    <w:rsid w:val="00B44C0D"/>
    <w:rsid w:val="00B50852"/>
    <w:rsid w:val="00B517F5"/>
    <w:rsid w:val="00B51A55"/>
    <w:rsid w:val="00B51DA6"/>
    <w:rsid w:val="00B574E8"/>
    <w:rsid w:val="00B57619"/>
    <w:rsid w:val="00B733B3"/>
    <w:rsid w:val="00B74766"/>
    <w:rsid w:val="00B75230"/>
    <w:rsid w:val="00B75244"/>
    <w:rsid w:val="00B768DA"/>
    <w:rsid w:val="00B8109B"/>
    <w:rsid w:val="00B8331C"/>
    <w:rsid w:val="00B83320"/>
    <w:rsid w:val="00B8418E"/>
    <w:rsid w:val="00B84E19"/>
    <w:rsid w:val="00B851DC"/>
    <w:rsid w:val="00B854EF"/>
    <w:rsid w:val="00B85FC2"/>
    <w:rsid w:val="00B906D6"/>
    <w:rsid w:val="00B93104"/>
    <w:rsid w:val="00B9789E"/>
    <w:rsid w:val="00BA155E"/>
    <w:rsid w:val="00BA3215"/>
    <w:rsid w:val="00BA32B1"/>
    <w:rsid w:val="00BA505B"/>
    <w:rsid w:val="00BA7722"/>
    <w:rsid w:val="00BB4B91"/>
    <w:rsid w:val="00BB5CE0"/>
    <w:rsid w:val="00BB62A2"/>
    <w:rsid w:val="00BB6B74"/>
    <w:rsid w:val="00BC13BE"/>
    <w:rsid w:val="00BC16C9"/>
    <w:rsid w:val="00BC1C23"/>
    <w:rsid w:val="00BC2054"/>
    <w:rsid w:val="00BC24D3"/>
    <w:rsid w:val="00BC3FD8"/>
    <w:rsid w:val="00BC6ADC"/>
    <w:rsid w:val="00BC6D19"/>
    <w:rsid w:val="00BC7802"/>
    <w:rsid w:val="00BD347E"/>
    <w:rsid w:val="00BD5B3C"/>
    <w:rsid w:val="00BD782F"/>
    <w:rsid w:val="00BE61CA"/>
    <w:rsid w:val="00BF0621"/>
    <w:rsid w:val="00BF1E24"/>
    <w:rsid w:val="00BF67DB"/>
    <w:rsid w:val="00BF69EB"/>
    <w:rsid w:val="00BF6E4B"/>
    <w:rsid w:val="00C01FC8"/>
    <w:rsid w:val="00C03BF0"/>
    <w:rsid w:val="00C05803"/>
    <w:rsid w:val="00C06673"/>
    <w:rsid w:val="00C1139D"/>
    <w:rsid w:val="00C21823"/>
    <w:rsid w:val="00C237DC"/>
    <w:rsid w:val="00C268BD"/>
    <w:rsid w:val="00C30749"/>
    <w:rsid w:val="00C31725"/>
    <w:rsid w:val="00C326CA"/>
    <w:rsid w:val="00C34FF9"/>
    <w:rsid w:val="00C35557"/>
    <w:rsid w:val="00C420CE"/>
    <w:rsid w:val="00C431E4"/>
    <w:rsid w:val="00C502E1"/>
    <w:rsid w:val="00C50686"/>
    <w:rsid w:val="00C526A0"/>
    <w:rsid w:val="00C531D8"/>
    <w:rsid w:val="00C53318"/>
    <w:rsid w:val="00C56B24"/>
    <w:rsid w:val="00C570DC"/>
    <w:rsid w:val="00C57E22"/>
    <w:rsid w:val="00C6308A"/>
    <w:rsid w:val="00C6452B"/>
    <w:rsid w:val="00C66B7A"/>
    <w:rsid w:val="00C67A4C"/>
    <w:rsid w:val="00C710BF"/>
    <w:rsid w:val="00C712DB"/>
    <w:rsid w:val="00C7225C"/>
    <w:rsid w:val="00C72F76"/>
    <w:rsid w:val="00C7389F"/>
    <w:rsid w:val="00C743F1"/>
    <w:rsid w:val="00C74E34"/>
    <w:rsid w:val="00C754DB"/>
    <w:rsid w:val="00C76566"/>
    <w:rsid w:val="00C76DE8"/>
    <w:rsid w:val="00C80AF2"/>
    <w:rsid w:val="00C81F96"/>
    <w:rsid w:val="00C8339B"/>
    <w:rsid w:val="00C839D5"/>
    <w:rsid w:val="00C85BFB"/>
    <w:rsid w:val="00C92426"/>
    <w:rsid w:val="00C9445D"/>
    <w:rsid w:val="00C954F0"/>
    <w:rsid w:val="00C96F94"/>
    <w:rsid w:val="00C97519"/>
    <w:rsid w:val="00C97C7F"/>
    <w:rsid w:val="00CA30C6"/>
    <w:rsid w:val="00CA65E7"/>
    <w:rsid w:val="00CA6DDC"/>
    <w:rsid w:val="00CB0425"/>
    <w:rsid w:val="00CB0765"/>
    <w:rsid w:val="00CB2DC5"/>
    <w:rsid w:val="00CB36FE"/>
    <w:rsid w:val="00CB6100"/>
    <w:rsid w:val="00CC33AC"/>
    <w:rsid w:val="00CC346E"/>
    <w:rsid w:val="00CC5207"/>
    <w:rsid w:val="00CC7C78"/>
    <w:rsid w:val="00CD096D"/>
    <w:rsid w:val="00CD39D1"/>
    <w:rsid w:val="00CD5C35"/>
    <w:rsid w:val="00CD6F5F"/>
    <w:rsid w:val="00CE152A"/>
    <w:rsid w:val="00CE7005"/>
    <w:rsid w:val="00CF0AB0"/>
    <w:rsid w:val="00CF1146"/>
    <w:rsid w:val="00CF1C8A"/>
    <w:rsid w:val="00CF2B9A"/>
    <w:rsid w:val="00CF41FA"/>
    <w:rsid w:val="00CF4F4C"/>
    <w:rsid w:val="00D006C6"/>
    <w:rsid w:val="00D04E04"/>
    <w:rsid w:val="00D05645"/>
    <w:rsid w:val="00D12588"/>
    <w:rsid w:val="00D157E2"/>
    <w:rsid w:val="00D15EBA"/>
    <w:rsid w:val="00D16145"/>
    <w:rsid w:val="00D16874"/>
    <w:rsid w:val="00D2019F"/>
    <w:rsid w:val="00D21258"/>
    <w:rsid w:val="00D21924"/>
    <w:rsid w:val="00D26E82"/>
    <w:rsid w:val="00D302EB"/>
    <w:rsid w:val="00D31C9F"/>
    <w:rsid w:val="00D36257"/>
    <w:rsid w:val="00D3630B"/>
    <w:rsid w:val="00D44538"/>
    <w:rsid w:val="00D44DFB"/>
    <w:rsid w:val="00D456F4"/>
    <w:rsid w:val="00D47AFC"/>
    <w:rsid w:val="00D47FFA"/>
    <w:rsid w:val="00D51DA3"/>
    <w:rsid w:val="00D52BB7"/>
    <w:rsid w:val="00D53552"/>
    <w:rsid w:val="00D57B5D"/>
    <w:rsid w:val="00D606BD"/>
    <w:rsid w:val="00D60BF3"/>
    <w:rsid w:val="00D640C8"/>
    <w:rsid w:val="00D65EE9"/>
    <w:rsid w:val="00D73B0F"/>
    <w:rsid w:val="00D73C15"/>
    <w:rsid w:val="00D7483C"/>
    <w:rsid w:val="00D748B9"/>
    <w:rsid w:val="00D7752C"/>
    <w:rsid w:val="00D80BB6"/>
    <w:rsid w:val="00D82AF5"/>
    <w:rsid w:val="00D85047"/>
    <w:rsid w:val="00D86F98"/>
    <w:rsid w:val="00D86FF6"/>
    <w:rsid w:val="00D87306"/>
    <w:rsid w:val="00D90C9D"/>
    <w:rsid w:val="00D9490B"/>
    <w:rsid w:val="00D94B15"/>
    <w:rsid w:val="00D96E48"/>
    <w:rsid w:val="00D97033"/>
    <w:rsid w:val="00DA0305"/>
    <w:rsid w:val="00DA08EC"/>
    <w:rsid w:val="00DA11BD"/>
    <w:rsid w:val="00DA2EE0"/>
    <w:rsid w:val="00DA3412"/>
    <w:rsid w:val="00DA4153"/>
    <w:rsid w:val="00DA649B"/>
    <w:rsid w:val="00DA6731"/>
    <w:rsid w:val="00DB0ADD"/>
    <w:rsid w:val="00DB0FDE"/>
    <w:rsid w:val="00DB4E4A"/>
    <w:rsid w:val="00DB72A4"/>
    <w:rsid w:val="00DC0A20"/>
    <w:rsid w:val="00DC216A"/>
    <w:rsid w:val="00DC3B45"/>
    <w:rsid w:val="00DC505C"/>
    <w:rsid w:val="00DC5751"/>
    <w:rsid w:val="00DC5BDA"/>
    <w:rsid w:val="00DC7B85"/>
    <w:rsid w:val="00DD1A9C"/>
    <w:rsid w:val="00DD2A83"/>
    <w:rsid w:val="00DE1F4E"/>
    <w:rsid w:val="00DE2B4F"/>
    <w:rsid w:val="00DE2FB3"/>
    <w:rsid w:val="00DE34C7"/>
    <w:rsid w:val="00DE481A"/>
    <w:rsid w:val="00DE522D"/>
    <w:rsid w:val="00DE595D"/>
    <w:rsid w:val="00DE6589"/>
    <w:rsid w:val="00DE7700"/>
    <w:rsid w:val="00DF3B09"/>
    <w:rsid w:val="00DF3EA6"/>
    <w:rsid w:val="00DF4099"/>
    <w:rsid w:val="00DF43D0"/>
    <w:rsid w:val="00DF575A"/>
    <w:rsid w:val="00E03549"/>
    <w:rsid w:val="00E04D9D"/>
    <w:rsid w:val="00E05B03"/>
    <w:rsid w:val="00E13D6E"/>
    <w:rsid w:val="00E16B95"/>
    <w:rsid w:val="00E20A6C"/>
    <w:rsid w:val="00E230A1"/>
    <w:rsid w:val="00E239A9"/>
    <w:rsid w:val="00E300FA"/>
    <w:rsid w:val="00E3132D"/>
    <w:rsid w:val="00E31A87"/>
    <w:rsid w:val="00E32924"/>
    <w:rsid w:val="00E3432D"/>
    <w:rsid w:val="00E350D1"/>
    <w:rsid w:val="00E36C5D"/>
    <w:rsid w:val="00E37A2F"/>
    <w:rsid w:val="00E44588"/>
    <w:rsid w:val="00E45905"/>
    <w:rsid w:val="00E50441"/>
    <w:rsid w:val="00E53486"/>
    <w:rsid w:val="00E54F9D"/>
    <w:rsid w:val="00E561AF"/>
    <w:rsid w:val="00E565A8"/>
    <w:rsid w:val="00E56BEC"/>
    <w:rsid w:val="00E614CE"/>
    <w:rsid w:val="00E614F8"/>
    <w:rsid w:val="00E624FF"/>
    <w:rsid w:val="00E63009"/>
    <w:rsid w:val="00E63D3B"/>
    <w:rsid w:val="00E66823"/>
    <w:rsid w:val="00E668C9"/>
    <w:rsid w:val="00E66A4A"/>
    <w:rsid w:val="00E71D49"/>
    <w:rsid w:val="00E71E18"/>
    <w:rsid w:val="00E72FA2"/>
    <w:rsid w:val="00E75C38"/>
    <w:rsid w:val="00E77FE3"/>
    <w:rsid w:val="00E82706"/>
    <w:rsid w:val="00E84CA0"/>
    <w:rsid w:val="00E86162"/>
    <w:rsid w:val="00E87105"/>
    <w:rsid w:val="00E903BF"/>
    <w:rsid w:val="00E92681"/>
    <w:rsid w:val="00E9620A"/>
    <w:rsid w:val="00E97BD8"/>
    <w:rsid w:val="00EA0D3B"/>
    <w:rsid w:val="00EA1534"/>
    <w:rsid w:val="00EA28CD"/>
    <w:rsid w:val="00EA583C"/>
    <w:rsid w:val="00EA688F"/>
    <w:rsid w:val="00EB6953"/>
    <w:rsid w:val="00EC03B3"/>
    <w:rsid w:val="00EC05B4"/>
    <w:rsid w:val="00EC2095"/>
    <w:rsid w:val="00EC2EA5"/>
    <w:rsid w:val="00ED0AFB"/>
    <w:rsid w:val="00ED1CC6"/>
    <w:rsid w:val="00ED3603"/>
    <w:rsid w:val="00ED4931"/>
    <w:rsid w:val="00ED4D9A"/>
    <w:rsid w:val="00ED65D6"/>
    <w:rsid w:val="00ED724D"/>
    <w:rsid w:val="00EE0832"/>
    <w:rsid w:val="00EE3FF6"/>
    <w:rsid w:val="00EE47CC"/>
    <w:rsid w:val="00EE4937"/>
    <w:rsid w:val="00EE66AD"/>
    <w:rsid w:val="00EE6B85"/>
    <w:rsid w:val="00EE713B"/>
    <w:rsid w:val="00EE7C91"/>
    <w:rsid w:val="00EF089D"/>
    <w:rsid w:val="00EF3DB4"/>
    <w:rsid w:val="00EF58D2"/>
    <w:rsid w:val="00F02520"/>
    <w:rsid w:val="00F02F66"/>
    <w:rsid w:val="00F04DD6"/>
    <w:rsid w:val="00F10744"/>
    <w:rsid w:val="00F1688E"/>
    <w:rsid w:val="00F16B17"/>
    <w:rsid w:val="00F205FD"/>
    <w:rsid w:val="00F20B3A"/>
    <w:rsid w:val="00F23235"/>
    <w:rsid w:val="00F24E89"/>
    <w:rsid w:val="00F2742F"/>
    <w:rsid w:val="00F27AEE"/>
    <w:rsid w:val="00F3517F"/>
    <w:rsid w:val="00F35328"/>
    <w:rsid w:val="00F35DA2"/>
    <w:rsid w:val="00F3770A"/>
    <w:rsid w:val="00F378C4"/>
    <w:rsid w:val="00F37C40"/>
    <w:rsid w:val="00F43A7C"/>
    <w:rsid w:val="00F44BAF"/>
    <w:rsid w:val="00F45410"/>
    <w:rsid w:val="00F47E3C"/>
    <w:rsid w:val="00F52E01"/>
    <w:rsid w:val="00F534F4"/>
    <w:rsid w:val="00F54A99"/>
    <w:rsid w:val="00F56E35"/>
    <w:rsid w:val="00F60D7A"/>
    <w:rsid w:val="00F6685A"/>
    <w:rsid w:val="00F71AE0"/>
    <w:rsid w:val="00F745E2"/>
    <w:rsid w:val="00F745FD"/>
    <w:rsid w:val="00F75AD9"/>
    <w:rsid w:val="00F81F5D"/>
    <w:rsid w:val="00F825A2"/>
    <w:rsid w:val="00F846BD"/>
    <w:rsid w:val="00F84DD4"/>
    <w:rsid w:val="00F8699F"/>
    <w:rsid w:val="00F90ECD"/>
    <w:rsid w:val="00F91812"/>
    <w:rsid w:val="00F919A2"/>
    <w:rsid w:val="00F91A86"/>
    <w:rsid w:val="00FA072A"/>
    <w:rsid w:val="00FA132A"/>
    <w:rsid w:val="00FA26B1"/>
    <w:rsid w:val="00FB1E1A"/>
    <w:rsid w:val="00FB1EBB"/>
    <w:rsid w:val="00FB40FE"/>
    <w:rsid w:val="00FB4625"/>
    <w:rsid w:val="00FB58BF"/>
    <w:rsid w:val="00FC21D8"/>
    <w:rsid w:val="00FC25E6"/>
    <w:rsid w:val="00FC2E04"/>
    <w:rsid w:val="00FC3360"/>
    <w:rsid w:val="00FC3AA3"/>
    <w:rsid w:val="00FC469F"/>
    <w:rsid w:val="00FC57D4"/>
    <w:rsid w:val="00FC6476"/>
    <w:rsid w:val="00FC6BB4"/>
    <w:rsid w:val="00FD0302"/>
    <w:rsid w:val="00FD0A1A"/>
    <w:rsid w:val="00FD19D7"/>
    <w:rsid w:val="00FD2225"/>
    <w:rsid w:val="00FD3DF9"/>
    <w:rsid w:val="00FD42B9"/>
    <w:rsid w:val="00FD45BF"/>
    <w:rsid w:val="00FD7A35"/>
    <w:rsid w:val="00FE0B5F"/>
    <w:rsid w:val="00FE2772"/>
    <w:rsid w:val="00FE2E75"/>
    <w:rsid w:val="00FE4BB3"/>
    <w:rsid w:val="00FE6040"/>
    <w:rsid w:val="00FF1D85"/>
    <w:rsid w:val="00FF3352"/>
    <w:rsid w:val="00FF380A"/>
    <w:rsid w:val="00FF59B5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604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D2"/>
    <w:pPr>
      <w:spacing w:after="200" w:line="48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479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47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479F9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7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479F9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4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9F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uiPriority w:val="99"/>
    <w:rsid w:val="00AD2B74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table" w:styleId="TableGrid">
    <w:name w:val="Table Grid"/>
    <w:basedOn w:val="TableNormal"/>
    <w:uiPriority w:val="99"/>
    <w:rsid w:val="00AD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1F16"/>
    <w:pPr>
      <w:jc w:val="both"/>
    </w:pPr>
    <w:rPr>
      <w:rFonts w:ascii="Arial" w:hAnsi="Arial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B43684"/>
    <w:rPr>
      <w:rFonts w:cs="Times New Roman"/>
      <w:color w:val="0000FF"/>
      <w:u w:val="single"/>
    </w:rPr>
  </w:style>
  <w:style w:type="paragraph" w:customStyle="1" w:styleId="Default">
    <w:name w:val="Default"/>
    <w:rsid w:val="003A5322"/>
    <w:pPr>
      <w:autoSpaceDE w:val="0"/>
      <w:autoSpaceDN w:val="0"/>
      <w:adjustRightInd w:val="0"/>
    </w:pPr>
    <w:rPr>
      <w:rFonts w:ascii="Rotis SemiSans Std" w:hAnsi="Rotis SemiSans Std" w:cs="Rotis SemiSans Std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3770A"/>
  </w:style>
  <w:style w:type="paragraph" w:customStyle="1" w:styleId="desc">
    <w:name w:val="desc"/>
    <w:basedOn w:val="Normal"/>
    <w:rsid w:val="00F3770A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customStyle="1" w:styleId="jrnl">
    <w:name w:val="jrnl"/>
    <w:basedOn w:val="DefaultParagraphFont"/>
    <w:rsid w:val="00F3770A"/>
  </w:style>
  <w:style w:type="character" w:customStyle="1" w:styleId="ref-journal">
    <w:name w:val="ref-journal"/>
    <w:basedOn w:val="DefaultParagraphFont"/>
    <w:rsid w:val="00F3770A"/>
  </w:style>
  <w:style w:type="character" w:customStyle="1" w:styleId="ref-vol">
    <w:name w:val="ref-vol"/>
    <w:basedOn w:val="DefaultParagraphFont"/>
    <w:rsid w:val="00F3770A"/>
  </w:style>
  <w:style w:type="paragraph" w:styleId="NormalWeb">
    <w:name w:val="Normal (Web)"/>
    <w:basedOn w:val="Normal"/>
    <w:uiPriority w:val="99"/>
    <w:semiHidden/>
    <w:unhideWhenUsed/>
    <w:rsid w:val="00F846BD"/>
    <w:pPr>
      <w:spacing w:before="100" w:beforeAutospacing="1" w:after="100" w:afterAutospacing="1" w:line="240" w:lineRule="auto"/>
    </w:pPr>
    <w:rPr>
      <w:rFonts w:ascii="Tahoma" w:eastAsiaTheme="minorHAnsi" w:hAnsi="Tahoma" w:cs="Tahoma"/>
      <w:szCs w:val="24"/>
      <w:lang w:eastAsia="en-GB" w:bidi="th-TH"/>
    </w:rPr>
  </w:style>
  <w:style w:type="paragraph" w:styleId="Revision">
    <w:name w:val="Revision"/>
    <w:hidden/>
    <w:uiPriority w:val="99"/>
    <w:semiHidden/>
    <w:rsid w:val="00396DBD"/>
    <w:rPr>
      <w:rFonts w:ascii="Times New Roman" w:hAnsi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50C19"/>
    <w:pPr>
      <w:ind w:left="720"/>
      <w:contextualSpacing/>
    </w:pPr>
  </w:style>
  <w:style w:type="paragraph" w:customStyle="1" w:styleId="Title1">
    <w:name w:val="Title1"/>
    <w:basedOn w:val="Normal"/>
    <w:rsid w:val="002C55F5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details">
    <w:name w:val="details"/>
    <w:basedOn w:val="Normal"/>
    <w:rsid w:val="002C55F5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customStyle="1" w:styleId="A3">
    <w:name w:val="A3"/>
    <w:uiPriority w:val="99"/>
    <w:rsid w:val="00AD61AF"/>
    <w:rPr>
      <w:rFonts w:cs="Adobe Garamond Pro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6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145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6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145"/>
    <w:rPr>
      <w:rFonts w:ascii="Times New Roman" w:hAnsi="Times New Roman"/>
      <w:sz w:val="24"/>
      <w:szCs w:val="22"/>
      <w:lang w:eastAsia="en-US"/>
    </w:rPr>
  </w:style>
  <w:style w:type="character" w:customStyle="1" w:styleId="bibrecord-highlight-user">
    <w:name w:val="bibrecord-highlight-user"/>
    <w:basedOn w:val="DefaultParagraphFont"/>
    <w:rsid w:val="00162062"/>
  </w:style>
  <w:style w:type="character" w:styleId="Emphasis">
    <w:name w:val="Emphasis"/>
    <w:basedOn w:val="DefaultParagraphFont"/>
    <w:uiPriority w:val="20"/>
    <w:qFormat/>
    <w:locked/>
    <w:rsid w:val="008641FC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6E35"/>
    <w:rPr>
      <w:rFonts w:ascii="Tahoma" w:hAnsi="Tahoma" w:cs="Tahoma"/>
      <w:sz w:val="16"/>
      <w:szCs w:val="16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694F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D2"/>
    <w:pPr>
      <w:spacing w:after="200" w:line="48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479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47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479F9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7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479F9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4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9F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uiPriority w:val="99"/>
    <w:rsid w:val="00AD2B74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table" w:styleId="TableGrid">
    <w:name w:val="Table Grid"/>
    <w:basedOn w:val="TableNormal"/>
    <w:uiPriority w:val="99"/>
    <w:rsid w:val="00AD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1F16"/>
    <w:pPr>
      <w:jc w:val="both"/>
    </w:pPr>
    <w:rPr>
      <w:rFonts w:ascii="Arial" w:hAnsi="Arial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B43684"/>
    <w:rPr>
      <w:rFonts w:cs="Times New Roman"/>
      <w:color w:val="0000FF"/>
      <w:u w:val="single"/>
    </w:rPr>
  </w:style>
  <w:style w:type="paragraph" w:customStyle="1" w:styleId="Default">
    <w:name w:val="Default"/>
    <w:rsid w:val="003A5322"/>
    <w:pPr>
      <w:autoSpaceDE w:val="0"/>
      <w:autoSpaceDN w:val="0"/>
      <w:adjustRightInd w:val="0"/>
    </w:pPr>
    <w:rPr>
      <w:rFonts w:ascii="Rotis SemiSans Std" w:hAnsi="Rotis SemiSans Std" w:cs="Rotis SemiSans Std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3770A"/>
  </w:style>
  <w:style w:type="paragraph" w:customStyle="1" w:styleId="desc">
    <w:name w:val="desc"/>
    <w:basedOn w:val="Normal"/>
    <w:rsid w:val="00F3770A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customStyle="1" w:styleId="jrnl">
    <w:name w:val="jrnl"/>
    <w:basedOn w:val="DefaultParagraphFont"/>
    <w:rsid w:val="00F3770A"/>
  </w:style>
  <w:style w:type="character" w:customStyle="1" w:styleId="ref-journal">
    <w:name w:val="ref-journal"/>
    <w:basedOn w:val="DefaultParagraphFont"/>
    <w:rsid w:val="00F3770A"/>
  </w:style>
  <w:style w:type="character" w:customStyle="1" w:styleId="ref-vol">
    <w:name w:val="ref-vol"/>
    <w:basedOn w:val="DefaultParagraphFont"/>
    <w:rsid w:val="00F3770A"/>
  </w:style>
  <w:style w:type="paragraph" w:styleId="NormalWeb">
    <w:name w:val="Normal (Web)"/>
    <w:basedOn w:val="Normal"/>
    <w:uiPriority w:val="99"/>
    <w:semiHidden/>
    <w:unhideWhenUsed/>
    <w:rsid w:val="00F846BD"/>
    <w:pPr>
      <w:spacing w:before="100" w:beforeAutospacing="1" w:after="100" w:afterAutospacing="1" w:line="240" w:lineRule="auto"/>
    </w:pPr>
    <w:rPr>
      <w:rFonts w:ascii="Tahoma" w:eastAsiaTheme="minorHAnsi" w:hAnsi="Tahoma" w:cs="Tahoma"/>
      <w:szCs w:val="24"/>
      <w:lang w:eastAsia="en-GB" w:bidi="th-TH"/>
    </w:rPr>
  </w:style>
  <w:style w:type="paragraph" w:styleId="Revision">
    <w:name w:val="Revision"/>
    <w:hidden/>
    <w:uiPriority w:val="99"/>
    <w:semiHidden/>
    <w:rsid w:val="00396DBD"/>
    <w:rPr>
      <w:rFonts w:ascii="Times New Roman" w:hAnsi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50C19"/>
    <w:pPr>
      <w:ind w:left="720"/>
      <w:contextualSpacing/>
    </w:pPr>
  </w:style>
  <w:style w:type="paragraph" w:customStyle="1" w:styleId="Title1">
    <w:name w:val="Title1"/>
    <w:basedOn w:val="Normal"/>
    <w:rsid w:val="002C55F5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details">
    <w:name w:val="details"/>
    <w:basedOn w:val="Normal"/>
    <w:rsid w:val="002C55F5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customStyle="1" w:styleId="A3">
    <w:name w:val="A3"/>
    <w:uiPriority w:val="99"/>
    <w:rsid w:val="00AD61AF"/>
    <w:rPr>
      <w:rFonts w:cs="Adobe Garamond Pro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6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145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6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145"/>
    <w:rPr>
      <w:rFonts w:ascii="Times New Roman" w:hAnsi="Times New Roman"/>
      <w:sz w:val="24"/>
      <w:szCs w:val="22"/>
      <w:lang w:eastAsia="en-US"/>
    </w:rPr>
  </w:style>
  <w:style w:type="character" w:customStyle="1" w:styleId="bibrecord-highlight-user">
    <w:name w:val="bibrecord-highlight-user"/>
    <w:basedOn w:val="DefaultParagraphFont"/>
    <w:rsid w:val="00162062"/>
  </w:style>
  <w:style w:type="character" w:styleId="Emphasis">
    <w:name w:val="Emphasis"/>
    <w:basedOn w:val="DefaultParagraphFont"/>
    <w:uiPriority w:val="20"/>
    <w:qFormat/>
    <w:locked/>
    <w:rsid w:val="008641FC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6E35"/>
    <w:rPr>
      <w:rFonts w:ascii="Tahoma" w:hAnsi="Tahoma" w:cs="Tahoma"/>
      <w:sz w:val="16"/>
      <w:szCs w:val="16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69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cbi.nlm.nih.gov/pubmed/22316344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hyo.myint@abdn.ac.uk" TargetMode="External"/><Relationship Id="rId10" Type="http://schemas.openxmlformats.org/officeDocument/2006/relationships/hyperlink" Target="http://www.who.int/research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B7DF8-30C3-F040-BCF7-48492770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3705</Words>
  <Characters>21125</Characters>
  <Application>Microsoft Macintosh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Characteristics and outcomes of stroke in HIV patients in a general Thai population: a population based study</vt:lpstr>
      <vt:lpstr>Characteristics and outcomes of stroke in HIV patients in a general Thai population: a population based study</vt:lpstr>
    </vt:vector>
  </TitlesOfParts>
  <Company>Microsoft</Company>
  <LinksUpToDate>false</LinksUpToDate>
  <CharactersWithSpaces>24781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and outcomes of stroke in HIV patients in a general Thai population: a population based study</dc:title>
  <dc:creator>Kirsten</dc:creator>
  <cp:lastModifiedBy>mamas mamas</cp:lastModifiedBy>
  <cp:revision>2</cp:revision>
  <cp:lastPrinted>2016-05-05T13:48:00Z</cp:lastPrinted>
  <dcterms:created xsi:type="dcterms:W3CDTF">2017-01-11T21:25:00Z</dcterms:created>
  <dcterms:modified xsi:type="dcterms:W3CDTF">2017-01-11T21:25:00Z</dcterms:modified>
</cp:coreProperties>
</file>