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0A26D" w14:textId="6CF50E62" w:rsidR="00850316" w:rsidRPr="00850316" w:rsidRDefault="0085638E" w:rsidP="00850316">
      <w:pPr>
        <w:rPr>
          <w:b/>
          <w:sz w:val="28"/>
        </w:rPr>
      </w:pPr>
      <w:bookmarkStart w:id="0" w:name="_GoBack"/>
      <w:bookmarkEnd w:id="0"/>
      <w:r w:rsidRPr="0085638E">
        <w:rPr>
          <w:b/>
          <w:sz w:val="28"/>
        </w:rPr>
        <w:t xml:space="preserve">Reviewing University Community Gardens for Sustainability: Taking stock, comparisons with urban community gardens, and mapping research </w:t>
      </w:r>
      <w:r w:rsidR="00F600A2">
        <w:rPr>
          <w:b/>
          <w:sz w:val="28"/>
        </w:rPr>
        <w:t>opportunities</w:t>
      </w:r>
    </w:p>
    <w:p w14:paraId="2B476CB9" w14:textId="454DE45C" w:rsidR="00442B9C" w:rsidRDefault="00987252" w:rsidP="009914A5">
      <w:pPr>
        <w:pStyle w:val="Authornames"/>
      </w:pPr>
      <w:r>
        <w:t>Rebecca Laycock</w:t>
      </w:r>
      <w:r w:rsidRPr="00987252">
        <w:rPr>
          <w:vertAlign w:val="superscript"/>
        </w:rPr>
        <w:t>1</w:t>
      </w:r>
      <w:r w:rsidR="00850316">
        <w:t xml:space="preserve"> and </w:t>
      </w:r>
      <w:r>
        <w:t>Dr Zoe Robinson</w:t>
      </w:r>
      <w:r w:rsidR="00850316">
        <w:rPr>
          <w:vertAlign w:val="superscript"/>
        </w:rPr>
        <w:t>1</w:t>
      </w:r>
    </w:p>
    <w:p w14:paraId="6E22B0FF" w14:textId="05959BBE" w:rsidR="00987252" w:rsidRDefault="00987252" w:rsidP="00A2360E">
      <w:pPr>
        <w:pStyle w:val="Affiliation"/>
      </w:pPr>
      <w:r w:rsidRPr="00987252">
        <w:rPr>
          <w:i w:val="0"/>
          <w:vertAlign w:val="superscript"/>
        </w:rPr>
        <w:t>1</w:t>
      </w:r>
      <w:r w:rsidR="00421CAE" w:rsidRPr="00421CAE">
        <w:t xml:space="preserve"> School of </w:t>
      </w:r>
      <w:r w:rsidR="00F97557">
        <w:t>Geography, Geology and the Environment</w:t>
      </w:r>
      <w:r>
        <w:t>, Keele University, Keele, UK</w:t>
      </w:r>
    </w:p>
    <w:p w14:paraId="43ED24E4" w14:textId="1D10A5FF" w:rsidR="00987252" w:rsidRDefault="00987252" w:rsidP="00987252">
      <w:pPr>
        <w:pStyle w:val="Correspondencedetails"/>
      </w:pPr>
      <w:r>
        <w:t xml:space="preserve">Rebecca Laycock (corresponding </w:t>
      </w:r>
      <w:r w:rsidR="00C86B01">
        <w:t>author)</w:t>
      </w:r>
      <w:r w:rsidR="00C86B01">
        <w:br/>
        <w:t>William Smith Building</w:t>
      </w:r>
      <w:r>
        <w:br/>
        <w:t>Keele University</w:t>
      </w:r>
      <w:r>
        <w:br/>
        <w:t>Staffordshire</w:t>
      </w:r>
      <w:r>
        <w:br/>
        <w:t>ST5 5BG</w:t>
      </w:r>
      <w:r w:rsidR="006F4008">
        <w:br/>
        <w:t>UK</w:t>
      </w:r>
      <w:r w:rsidR="00EC4379">
        <w:br/>
        <w:t>Email: r.laycock@keele.ac.uk</w:t>
      </w:r>
      <w:r w:rsidR="00EC4379">
        <w:br/>
        <w:t>T</w:t>
      </w:r>
      <w:r>
        <w:t>el: +44 (0) 1782 7</w:t>
      </w:r>
      <w:r w:rsidR="00EC4379">
        <w:t>34993</w:t>
      </w:r>
    </w:p>
    <w:p w14:paraId="3AF9E566" w14:textId="37F5C084" w:rsidR="00C246C5" w:rsidRDefault="00987252" w:rsidP="00850316">
      <w:pPr>
        <w:pStyle w:val="Correspondencedetails"/>
        <w:tabs>
          <w:tab w:val="left" w:pos="2132"/>
        </w:tabs>
      </w:pPr>
      <w:r>
        <w:t>Dr Zoe Robinson</w:t>
      </w:r>
      <w:r w:rsidR="00C86B01">
        <w:br/>
      </w:r>
      <w:r w:rsidR="00C86B01" w:rsidRPr="00C86B01">
        <w:t>William Smith Building</w:t>
      </w:r>
      <w:r w:rsidR="00C86B01" w:rsidRPr="00C86B01">
        <w:br/>
        <w:t>Keele University </w:t>
      </w:r>
      <w:r w:rsidR="00C86B01" w:rsidRPr="00C86B01">
        <w:br/>
        <w:t>Staffordshire </w:t>
      </w:r>
      <w:r w:rsidR="00C86B01" w:rsidRPr="00C86B01">
        <w:br/>
        <w:t>ST5 5BG</w:t>
      </w:r>
      <w:r w:rsidR="00C86B01" w:rsidRPr="00C86B01">
        <w:br/>
        <w:t>UK</w:t>
      </w:r>
      <w:r w:rsidR="00C86B01">
        <w:br/>
      </w:r>
      <w:r w:rsidR="00EC4379">
        <w:t>E</w:t>
      </w:r>
      <w:r w:rsidR="006F4008" w:rsidRPr="00C86B01">
        <w:t>mail.  z.p.robinson@keele.ac.uk</w:t>
      </w:r>
      <w:r w:rsidR="00EC4379">
        <w:t xml:space="preserve"> </w:t>
      </w:r>
      <w:r w:rsidR="00EC4379">
        <w:br/>
        <w:t>T</w:t>
      </w:r>
      <w:r w:rsidR="00C86B01" w:rsidRPr="00C86B01">
        <w:t>el: +44 (0)1782 734303</w:t>
      </w:r>
      <w:r w:rsidR="00C14585">
        <w:br w:type="page"/>
      </w:r>
      <w:r w:rsidR="00A958C0" w:rsidRPr="00A958C0">
        <w:lastRenderedPageBreak/>
        <w:t>Reviewing University Community Gardens for Sustainability: Taking stock, comparisons with urban community gardens, and mapping research opportunities</w:t>
      </w:r>
    </w:p>
    <w:p w14:paraId="1FE23A6C" w14:textId="0AF4EF3D" w:rsidR="000B7879" w:rsidRDefault="002F13F0" w:rsidP="00FA535E">
      <w:pPr>
        <w:pStyle w:val="Abstract"/>
      </w:pPr>
      <w:r>
        <w:t xml:space="preserve">Community </w:t>
      </w:r>
      <w:r w:rsidR="00A958C0">
        <w:t>g</w:t>
      </w:r>
      <w:r w:rsidR="00BD3B69" w:rsidRPr="009D0F44">
        <w:t>ardens in</w:t>
      </w:r>
      <w:r w:rsidR="0085638E">
        <w:t xml:space="preserve"> u</w:t>
      </w:r>
      <w:r w:rsidR="00F97557" w:rsidRPr="009D0F44">
        <w:t>niversity setting</w:t>
      </w:r>
      <w:r w:rsidR="00BD3B69" w:rsidRPr="009D0F44">
        <w:t>s</w:t>
      </w:r>
      <w:r w:rsidR="009438B9" w:rsidRPr="009D0F44">
        <w:t xml:space="preserve"> are faced with </w:t>
      </w:r>
      <w:r>
        <w:t>challenges associated with a</w:t>
      </w:r>
      <w:r w:rsidR="00BD3B69" w:rsidRPr="009D0F44">
        <w:t xml:space="preserve"> transient and </w:t>
      </w:r>
      <w:r w:rsidR="00F97557" w:rsidRPr="009D0F44">
        <w:t xml:space="preserve">inexperienced </w:t>
      </w:r>
      <w:r w:rsidR="009438B9" w:rsidRPr="009D0F44">
        <w:t>population of student gardeners, but</w:t>
      </w:r>
      <w:r w:rsidR="00A958C0">
        <w:t xml:space="preserve"> they</w:t>
      </w:r>
      <w:r w:rsidR="009438B9" w:rsidRPr="009D0F44">
        <w:t xml:space="preserve"> also </w:t>
      </w:r>
      <w:r w:rsidR="00653C28" w:rsidRPr="009D0F44">
        <w:t xml:space="preserve">have </w:t>
      </w:r>
      <w:r w:rsidR="009438B9" w:rsidRPr="009D0F44">
        <w:t xml:space="preserve">the potential to </w:t>
      </w:r>
      <w:r w:rsidR="00653C28" w:rsidRPr="009D0F44">
        <w:t xml:space="preserve">have a lasting </w:t>
      </w:r>
      <w:r w:rsidR="009438B9" w:rsidRPr="009D0F44">
        <w:t xml:space="preserve">impact on the food behaviours of many young people. </w:t>
      </w:r>
      <w:r w:rsidR="00E73734" w:rsidRPr="009D0F44">
        <w:t>This paper undertakes a s</w:t>
      </w:r>
      <w:r w:rsidR="00BD3B69" w:rsidRPr="009D0F44">
        <w:t>ystematic critical review of</w:t>
      </w:r>
      <w:r w:rsidR="00E73734" w:rsidRPr="009D0F44">
        <w:t xml:space="preserve"> literature about University Community Gardens for Sustainability</w:t>
      </w:r>
      <w:r w:rsidR="00FA535E" w:rsidRPr="009D0F44">
        <w:t xml:space="preserve"> (UCGS)</w:t>
      </w:r>
      <w:r w:rsidR="00BD3B69" w:rsidRPr="009D0F44">
        <w:t xml:space="preserve"> </w:t>
      </w:r>
      <w:r w:rsidR="00030C83" w:rsidRPr="009D0F44">
        <w:t>in order to</w:t>
      </w:r>
      <w:r w:rsidR="009D0F44">
        <w:t xml:space="preserve"> </w:t>
      </w:r>
      <w:r w:rsidR="00A958C0">
        <w:t>suggest</w:t>
      </w:r>
      <w:r w:rsidR="00030C83" w:rsidRPr="009D0F44">
        <w:t xml:space="preserve"> direct</w:t>
      </w:r>
      <w:r w:rsidR="009D0F44">
        <w:t>ions of</w:t>
      </w:r>
      <w:r w:rsidR="00030C83" w:rsidRPr="009D0F44">
        <w:t xml:space="preserve"> future research </w:t>
      </w:r>
      <w:r w:rsidR="009D0F44">
        <w:t>in the</w:t>
      </w:r>
      <w:r w:rsidR="00030C83" w:rsidRPr="009D0F44">
        <w:t xml:space="preserve"> emerging </w:t>
      </w:r>
      <w:r>
        <w:t>field research about community gardens within and outside of universities</w:t>
      </w:r>
      <w:r w:rsidR="00A46BF2" w:rsidRPr="009D0F44">
        <w:t>.</w:t>
      </w:r>
      <w:r w:rsidR="00FA535E" w:rsidRPr="009D0F44">
        <w:t xml:space="preserve"> </w:t>
      </w:r>
      <w:r w:rsidR="00030C83" w:rsidRPr="009D0F44">
        <w:t>T</w:t>
      </w:r>
      <w:r w:rsidR="00A91947" w:rsidRPr="009D0F44">
        <w:t xml:space="preserve">he literature shows that </w:t>
      </w:r>
      <w:r w:rsidR="00FA535E" w:rsidRPr="009D0F44">
        <w:t>UCGS have similar benefits</w:t>
      </w:r>
      <w:r w:rsidR="00F97557" w:rsidRPr="009D0F44">
        <w:t xml:space="preserve"> </w:t>
      </w:r>
      <w:r w:rsidR="008908C7" w:rsidRPr="009D0F44">
        <w:t>to those</w:t>
      </w:r>
      <w:r w:rsidR="009D0F44">
        <w:t xml:space="preserve"> identified</w:t>
      </w:r>
      <w:r w:rsidR="008908C7" w:rsidRPr="009D0F44">
        <w:t xml:space="preserve"> in</w:t>
      </w:r>
      <w:r w:rsidR="00F97557" w:rsidRPr="009D0F44">
        <w:t xml:space="preserve"> urban community garden literature</w:t>
      </w:r>
      <w:r w:rsidR="00FA535E" w:rsidRPr="009D0F44">
        <w:t xml:space="preserve">; </w:t>
      </w:r>
      <w:r w:rsidR="00030C83" w:rsidRPr="009D0F44">
        <w:t>but with</w:t>
      </w:r>
      <w:r w:rsidR="00653C28" w:rsidRPr="009D0F44">
        <w:t xml:space="preserve"> greater emphasis on both the</w:t>
      </w:r>
      <w:r w:rsidR="00F97557" w:rsidRPr="009D0F44">
        <w:t xml:space="preserve"> </w:t>
      </w:r>
      <w:r w:rsidR="00FA535E" w:rsidRPr="009D0F44">
        <w:t>education</w:t>
      </w:r>
      <w:r w:rsidR="00F97557" w:rsidRPr="009D0F44">
        <w:t>al</w:t>
      </w:r>
      <w:r w:rsidR="00FA535E" w:rsidRPr="009D0F44">
        <w:t xml:space="preserve"> and environmental sustainability </w:t>
      </w:r>
      <w:r w:rsidR="00F97557" w:rsidRPr="009D0F44">
        <w:t>benefits</w:t>
      </w:r>
      <w:r w:rsidR="00030C83" w:rsidRPr="009D0F44">
        <w:t>,</w:t>
      </w:r>
      <w:r w:rsidR="009D0F44">
        <w:t xml:space="preserve"> suggesting an</w:t>
      </w:r>
      <w:r w:rsidR="00653C28" w:rsidRPr="009D0F44">
        <w:t xml:space="preserve"> under-used </w:t>
      </w:r>
      <w:r w:rsidR="00E265E1" w:rsidRPr="009D0F44">
        <w:t xml:space="preserve">potential </w:t>
      </w:r>
      <w:r w:rsidR="009D0F44">
        <w:t xml:space="preserve">of Community Gardens in these areas.  </w:t>
      </w:r>
      <w:r w:rsidR="00653C28" w:rsidRPr="009D0F44">
        <w:t>We argue that</w:t>
      </w:r>
      <w:r>
        <w:t xml:space="preserve"> </w:t>
      </w:r>
      <w:r w:rsidR="00A958C0">
        <w:t>a better understanding of the</w:t>
      </w:r>
      <w:r w:rsidR="001A5002" w:rsidRPr="009D0F44">
        <w:t xml:space="preserve"> particular challenges </w:t>
      </w:r>
      <w:r w:rsidR="00A91947" w:rsidRPr="009D0F44">
        <w:t xml:space="preserve">and benefits </w:t>
      </w:r>
      <w:r w:rsidR="001A5002" w:rsidRPr="009D0F44">
        <w:t xml:space="preserve">of </w:t>
      </w:r>
      <w:r w:rsidR="00653C28" w:rsidRPr="009D0F44">
        <w:t>UCGS c</w:t>
      </w:r>
      <w:r>
        <w:t>ould</w:t>
      </w:r>
      <w:r w:rsidR="00653C28" w:rsidRPr="009D0F44">
        <w:t xml:space="preserve"> </w:t>
      </w:r>
      <w:r w:rsidR="00EA5DD6">
        <w:t>improve outcomes of</w:t>
      </w:r>
      <w:r w:rsidR="001A5002" w:rsidRPr="009D0F44">
        <w:t xml:space="preserve"> community gardens in all settings</w:t>
      </w:r>
      <w:r w:rsidR="00A958C0">
        <w:t xml:space="preserve">. Therefore we recommend that future should explore: </w:t>
      </w:r>
      <w:r w:rsidR="000B7879" w:rsidRPr="009D0F44">
        <w:t>(</w:t>
      </w:r>
      <w:r w:rsidR="001A5002" w:rsidRPr="009D0F44">
        <w:t>1</w:t>
      </w:r>
      <w:r w:rsidR="000B7879" w:rsidRPr="009D0F44">
        <w:t>)</w:t>
      </w:r>
      <w:r w:rsidR="00E73734" w:rsidRPr="009D0F44">
        <w:t xml:space="preserve"> participant transience in community gardens</w:t>
      </w:r>
      <w:r>
        <w:t>, thereby</w:t>
      </w:r>
      <w:r w:rsidR="00E73734" w:rsidRPr="009D0F44">
        <w:t xml:space="preserve"> help</w:t>
      </w:r>
      <w:r>
        <w:t>ing</w:t>
      </w:r>
      <w:r w:rsidR="00E73734" w:rsidRPr="009D0F44">
        <w:t xml:space="preserve"> sustainability projects with large volunteer bases learn to cope with challenges </w:t>
      </w:r>
      <w:r w:rsidR="00A91947" w:rsidRPr="009D0F44">
        <w:t>this</w:t>
      </w:r>
      <w:r w:rsidR="00E73734" w:rsidRPr="009D0F44">
        <w:t xml:space="preserve"> poses in </w:t>
      </w:r>
      <w:r w:rsidR="000B7879" w:rsidRPr="009D0F44">
        <w:t>order to maximize</w:t>
      </w:r>
      <w:r w:rsidR="00FE4159" w:rsidRPr="009D0F44">
        <w:t xml:space="preserve"> the garden’s</w:t>
      </w:r>
      <w:r w:rsidR="00A958C0">
        <w:t xml:space="preserve"> impacts;</w:t>
      </w:r>
      <w:r w:rsidR="000B7879" w:rsidRPr="009D0F44">
        <w:t xml:space="preserve"> (</w:t>
      </w:r>
      <w:r w:rsidR="001A5002" w:rsidRPr="009D0F44">
        <w:t>2</w:t>
      </w:r>
      <w:r w:rsidR="000B7879" w:rsidRPr="009D0F44">
        <w:t>)</w:t>
      </w:r>
      <w:r w:rsidR="00E73734" w:rsidRPr="009D0F44">
        <w:t xml:space="preserve"> </w:t>
      </w:r>
      <w:r w:rsidR="00226B85" w:rsidRPr="009D0F44">
        <w:t>whether/</w:t>
      </w:r>
      <w:r w:rsidR="000B7879" w:rsidRPr="009D0F44">
        <w:t>how</w:t>
      </w:r>
      <w:r w:rsidR="00E73734" w:rsidRPr="009D0F44">
        <w:t xml:space="preserve"> participating in</w:t>
      </w:r>
      <w:r w:rsidR="00A91947" w:rsidRPr="009D0F44">
        <w:t xml:space="preserve"> community gardens</w:t>
      </w:r>
      <w:r w:rsidR="00E73734" w:rsidRPr="009D0F44">
        <w:t xml:space="preserve"> can contribute to changes in attitudes/behaviours with </w:t>
      </w:r>
      <w:r w:rsidR="000B7879" w:rsidRPr="009D0F44">
        <w:t>regards to sustainability</w:t>
      </w:r>
      <w:r w:rsidR="009D0F44">
        <w:t xml:space="preserve"> and be used as a tool f</w:t>
      </w:r>
      <w:r>
        <w:t>or Education for Sustainability</w:t>
      </w:r>
      <w:r w:rsidR="008908C7" w:rsidRPr="009D0F44">
        <w:t xml:space="preserve"> </w:t>
      </w:r>
      <w:r>
        <w:t>in and outside of university settings</w:t>
      </w:r>
      <w:r w:rsidR="00A958C0">
        <w:t>;</w:t>
      </w:r>
      <w:r>
        <w:t xml:space="preserve"> and (3) </w:t>
      </w:r>
      <w:r w:rsidR="001A5002" w:rsidRPr="009D0F44">
        <w:t>failed cases of community gardens to genuinely understand factors that contribute to success</w:t>
      </w:r>
      <w:r w:rsidR="00A91947" w:rsidRPr="009D0F44">
        <w:t>.</w:t>
      </w:r>
      <w:r w:rsidR="001A5002" w:rsidRPr="009D0F44">
        <w:t xml:space="preserve"> </w:t>
      </w:r>
      <w:r w:rsidR="00E73734" w:rsidRPr="009D0F44">
        <w:t xml:space="preserve">By addressing these </w:t>
      </w:r>
      <w:r w:rsidR="001A5002" w:rsidRPr="009D0F44">
        <w:t xml:space="preserve">areas </w:t>
      </w:r>
      <w:r w:rsidR="00E73734" w:rsidRPr="009D0F44">
        <w:t xml:space="preserve">we </w:t>
      </w:r>
      <w:r w:rsidR="001A5002" w:rsidRPr="009D0F44">
        <w:t>can improve our</w:t>
      </w:r>
      <w:r w:rsidR="00E73734" w:rsidRPr="009D0F44">
        <w:t xml:space="preserve"> understanding of how community gardening can contribute </w:t>
      </w:r>
      <w:r w:rsidR="00E265E1" w:rsidRPr="009D0F44">
        <w:t>to our communities, universities, and environment</w:t>
      </w:r>
      <w:r w:rsidR="00E73734" w:rsidRPr="009D0F44">
        <w:t>, and can begin to make these potential contributions a reality.</w:t>
      </w:r>
    </w:p>
    <w:p w14:paraId="44E7F5D6" w14:textId="00E4B789" w:rsidR="0020415E" w:rsidRPr="0020415E" w:rsidRDefault="00997B0F" w:rsidP="000B7879">
      <w:pPr>
        <w:pStyle w:val="Abstract"/>
      </w:pPr>
      <w:r>
        <w:t xml:space="preserve">Keywords: </w:t>
      </w:r>
      <w:r w:rsidR="00BE4883">
        <w:t xml:space="preserve">Education for Sustainability, failure, </w:t>
      </w:r>
      <w:r w:rsidR="0015488E">
        <w:t xml:space="preserve">higher education, transience, volunteers, </w:t>
      </w:r>
      <w:r w:rsidR="00BE4883">
        <w:t>urban agriculture</w:t>
      </w:r>
    </w:p>
    <w:p w14:paraId="11CED9DA" w14:textId="77777777" w:rsidR="0015488E" w:rsidRDefault="0015488E" w:rsidP="0015488E">
      <w:pPr>
        <w:pStyle w:val="Paragraph"/>
        <w:rPr>
          <w:rFonts w:cs="Arial"/>
          <w:b/>
          <w:bCs/>
          <w:kern w:val="32"/>
          <w:szCs w:val="32"/>
        </w:rPr>
      </w:pPr>
      <w:r w:rsidRPr="0015488E">
        <w:rPr>
          <w:rFonts w:cs="Arial"/>
          <w:b/>
          <w:bCs/>
          <w:kern w:val="32"/>
          <w:szCs w:val="32"/>
        </w:rPr>
        <w:t>Introduction</w:t>
      </w:r>
    </w:p>
    <w:p w14:paraId="515DE632" w14:textId="70BD9099" w:rsidR="00997B0F" w:rsidRDefault="001F2B02" w:rsidP="007D6106">
      <w:pPr>
        <w:pStyle w:val="Newparagraph"/>
        <w:ind w:firstLine="0"/>
      </w:pPr>
      <w:r>
        <w:t>Community</w:t>
      </w:r>
      <w:r w:rsidR="00510E45">
        <w:t xml:space="preserve"> gardens,</w:t>
      </w:r>
      <w:r w:rsidR="0015488E" w:rsidRPr="0015488E">
        <w:t xml:space="preserve"> “open spaces managed and operated by members of the loca</w:t>
      </w:r>
      <w:r w:rsidR="00D24A29">
        <w:t>l community in which food,</w:t>
      </w:r>
      <w:r w:rsidR="0015488E" w:rsidRPr="0015488E">
        <w:t xml:space="preserve"> flowers</w:t>
      </w:r>
      <w:r w:rsidR="00D24A29">
        <w:t>” and/or other plants</w:t>
      </w:r>
      <w:r w:rsidR="0015488E" w:rsidRPr="0015488E">
        <w:t xml:space="preserve"> </w:t>
      </w:r>
      <w:r w:rsidR="00D24A29">
        <w:t>are cultivated</w:t>
      </w:r>
      <w:r w:rsidR="00653E09">
        <w:t xml:space="preserve"> (Holland 2004,</w:t>
      </w:r>
      <w:r w:rsidR="0015488E" w:rsidRPr="0015488E">
        <w:t xml:space="preserve"> </w:t>
      </w:r>
      <w:r w:rsidR="00653E09">
        <w:t>Pudup</w:t>
      </w:r>
      <w:r w:rsidR="00653E09" w:rsidRPr="0015488E">
        <w:t xml:space="preserve"> 2008</w:t>
      </w:r>
      <w:r w:rsidR="00653E09">
        <w:t>, Kingsley et al.</w:t>
      </w:r>
      <w:r w:rsidR="0015488E" w:rsidRPr="0015488E">
        <w:t xml:space="preserve"> 2009</w:t>
      </w:r>
      <w:r w:rsidR="00653E09">
        <w:t>,</w:t>
      </w:r>
      <w:r w:rsidR="00653E09" w:rsidRPr="00653E09">
        <w:t xml:space="preserve"> </w:t>
      </w:r>
      <w:r w:rsidR="00653E09">
        <w:t>Guitart et al. 2012, p. 364</w:t>
      </w:r>
      <w:r w:rsidR="00510E45">
        <w:t>),</w:t>
      </w:r>
      <w:r w:rsidR="0015488E" w:rsidRPr="0015488E">
        <w:t xml:space="preserve"> have been linked to building community, making fresh food accessible, improving health, providing </w:t>
      </w:r>
      <w:r w:rsidR="0015488E" w:rsidRPr="0015488E">
        <w:lastRenderedPageBreak/>
        <w:t xml:space="preserve">economic benefits to their users, </w:t>
      </w:r>
      <w:r w:rsidR="00726D09">
        <w:t xml:space="preserve">increasing biodiversity, </w:t>
      </w:r>
      <w:r w:rsidR="0015488E" w:rsidRPr="0015488E">
        <w:t xml:space="preserve">and contributing to self- and collective-efficacy </w:t>
      </w:r>
      <w:r w:rsidR="00B06549">
        <w:t>(</w:t>
      </w:r>
      <w:r w:rsidR="0015488E" w:rsidRPr="0015488E">
        <w:t>the belief in one’s capabilities or a group</w:t>
      </w:r>
      <w:r w:rsidR="00FC6289">
        <w:t>’</w:t>
      </w:r>
      <w:r w:rsidR="0015488E" w:rsidRPr="0015488E">
        <w:t>s capabilities to take action on a</w:t>
      </w:r>
      <w:r w:rsidR="00A958C0">
        <w:t xml:space="preserve"> given problem) (Pierce and</w:t>
      </w:r>
      <w:r w:rsidR="00BA0222">
        <w:t xml:space="preserve"> Seals 2006,</w:t>
      </w:r>
      <w:r w:rsidR="0015488E" w:rsidRPr="0015488E">
        <w:t xml:space="preserve"> Teig et al.</w:t>
      </w:r>
      <w:r w:rsidR="00BA0222">
        <w:t xml:space="preserve"> 2009, Evans et al. 2012, Guitart et al. </w:t>
      </w:r>
      <w:r w:rsidR="0015488E" w:rsidRPr="0015488E">
        <w:t>2012). In t</w:t>
      </w:r>
      <w:r w:rsidR="00AE543B">
        <w:t xml:space="preserve">hese </w:t>
      </w:r>
      <w:r w:rsidR="0015488E" w:rsidRPr="0015488E">
        <w:t>space</w:t>
      </w:r>
      <w:r w:rsidR="00AE543B">
        <w:t>s</w:t>
      </w:r>
      <w:r w:rsidR="0015488E" w:rsidRPr="0015488E">
        <w:t xml:space="preserve">, both direct impacts (like </w:t>
      </w:r>
      <w:r w:rsidR="00051D73">
        <w:t>increasing local biodiversity</w:t>
      </w:r>
      <w:r w:rsidR="0015488E" w:rsidRPr="0015488E">
        <w:t xml:space="preserve">) and indirect impacts (like education and community networking) to </w:t>
      </w:r>
      <w:r w:rsidR="00051D73">
        <w:t>communities and the environment</w:t>
      </w:r>
      <w:r w:rsidR="0015488E" w:rsidRPr="0015488E">
        <w:t xml:space="preserve"> can </w:t>
      </w:r>
      <w:r w:rsidR="00A958C0">
        <w:t>be made (Evers and</w:t>
      </w:r>
      <w:r w:rsidR="00BA0222">
        <w:t xml:space="preserve"> Hodgson</w:t>
      </w:r>
      <w:r w:rsidR="0015488E">
        <w:t xml:space="preserve"> 2011)</w:t>
      </w:r>
      <w:r w:rsidR="007911FD">
        <w:t>.</w:t>
      </w:r>
    </w:p>
    <w:p w14:paraId="1A54EFD2" w14:textId="035A0CCA" w:rsidR="0015488E" w:rsidRPr="0015488E" w:rsidRDefault="0015488E" w:rsidP="00B06549">
      <w:pPr>
        <w:pStyle w:val="Newparagraph"/>
      </w:pPr>
      <w:r w:rsidRPr="0015488E">
        <w:t>Community gardens that are affiliated with Higher Education</w:t>
      </w:r>
      <w:r w:rsidR="00B06549">
        <w:t xml:space="preserve"> Institutions (HEIs) </w:t>
      </w:r>
      <w:r w:rsidRPr="0015488E">
        <w:t xml:space="preserve">are a part of this movement </w:t>
      </w:r>
      <w:r w:rsidR="005A5F1D">
        <w:t>that have developed more recently</w:t>
      </w:r>
      <w:r w:rsidR="0018673A">
        <w:t xml:space="preserve"> </w:t>
      </w:r>
      <w:r w:rsidRPr="0015488E">
        <w:t>and are exper</w:t>
      </w:r>
      <w:r w:rsidR="00BA0222">
        <w:t>iencing growth (Barlett</w:t>
      </w:r>
      <w:r w:rsidRPr="0015488E">
        <w:t xml:space="preserve"> 2011). </w:t>
      </w:r>
      <w:r w:rsidR="0027108A">
        <w:t>Part of this growth in University-based community growing projects stems from an increased interest in enhancing the sustainability of universities and the</w:t>
      </w:r>
      <w:r w:rsidR="00E8415D">
        <w:t xml:space="preserve"> </w:t>
      </w:r>
      <w:r w:rsidR="0027108A">
        <w:t xml:space="preserve">potential </w:t>
      </w:r>
      <w:r w:rsidR="00E8415D">
        <w:t xml:space="preserve">of these garden projects </w:t>
      </w:r>
      <w:r w:rsidR="00BD3B69">
        <w:t>to influence</w:t>
      </w:r>
      <w:r w:rsidR="0027108A">
        <w:t xml:space="preserve"> the sustainability attitudes and behaviours of their students, society’s future leaders (</w:t>
      </w:r>
      <w:r w:rsidR="00A958C0">
        <w:t>McKinne and</w:t>
      </w:r>
      <w:r w:rsidR="009C761D">
        <w:t xml:space="preserve"> Halfacre 2007; Johnston et al. 2012</w:t>
      </w:r>
      <w:r w:rsidR="0027108A">
        <w:t>).  Many</w:t>
      </w:r>
      <w:r w:rsidRPr="0015488E">
        <w:t xml:space="preserve"> universities are striving to encourage sustainability through their campus environment </w:t>
      </w:r>
      <w:r w:rsidR="00703D60">
        <w:t>and food system</w:t>
      </w:r>
      <w:r w:rsidRPr="0015488E">
        <w:t xml:space="preserve"> (such as thos</w:t>
      </w:r>
      <w:r w:rsidR="00BA0222">
        <w:t xml:space="preserve">e documented by </w:t>
      </w:r>
      <w:r w:rsidR="00850316">
        <w:t xml:space="preserve">Sharp (2002), </w:t>
      </w:r>
      <w:r w:rsidR="00A958C0">
        <w:t>Baldwin and</w:t>
      </w:r>
      <w:r w:rsidR="00BA0222">
        <w:t xml:space="preserve"> Chung (2007)</w:t>
      </w:r>
      <w:r w:rsidR="0027108A">
        <w:t xml:space="preserve">, </w:t>
      </w:r>
      <w:r w:rsidR="00BA0222">
        <w:t>Rojas et al.</w:t>
      </w:r>
      <w:r w:rsidRPr="0015488E">
        <w:t xml:space="preserve"> </w:t>
      </w:r>
      <w:r w:rsidR="00BA0222">
        <w:t>(</w:t>
      </w:r>
      <w:r w:rsidRPr="0015488E">
        <w:t>2007</w:t>
      </w:r>
      <w:r w:rsidR="00BA0222">
        <w:t>)</w:t>
      </w:r>
      <w:r w:rsidR="0027108A">
        <w:t>,</w:t>
      </w:r>
      <w:r w:rsidRPr="0015488E">
        <w:t xml:space="preserve"> </w:t>
      </w:r>
      <w:r w:rsidR="0027108A">
        <w:t>and</w:t>
      </w:r>
      <w:r w:rsidR="00626278">
        <w:t xml:space="preserve"> </w:t>
      </w:r>
      <w:r w:rsidR="00BA0222">
        <w:t>Barlett</w:t>
      </w:r>
      <w:r w:rsidRPr="0015488E">
        <w:t xml:space="preserve"> </w:t>
      </w:r>
      <w:r w:rsidR="00850316">
        <w:t>(</w:t>
      </w:r>
      <w:r w:rsidRPr="0015488E">
        <w:t>2011)</w:t>
      </w:r>
      <w:r w:rsidR="00850316">
        <w:t>)</w:t>
      </w:r>
      <w:r w:rsidRPr="0015488E">
        <w:t>, and others are taking advantage of the opportunities to link these endeavours to the formal curriculum (such as those documented by Rojas et al.</w:t>
      </w:r>
      <w:r w:rsidR="00A958C0">
        <w:t xml:space="preserve"> (2007), Babich and</w:t>
      </w:r>
      <w:r w:rsidR="00BA0222">
        <w:t xml:space="preserve"> Smith (2010), Bacon et al. (2010)</w:t>
      </w:r>
      <w:r w:rsidR="00703D60">
        <w:t>,</w:t>
      </w:r>
      <w:r w:rsidR="00BA0222">
        <w:t xml:space="preserve"> and Cohen</w:t>
      </w:r>
      <w:r w:rsidRPr="0015488E">
        <w:t xml:space="preserve"> </w:t>
      </w:r>
      <w:r w:rsidR="0029602A">
        <w:t>(</w:t>
      </w:r>
      <w:r w:rsidRPr="0015488E">
        <w:t>2010)</w:t>
      </w:r>
      <w:r w:rsidR="0027108A">
        <w:t>)</w:t>
      </w:r>
      <w:r w:rsidRPr="0015488E">
        <w:t xml:space="preserve">. Sustainability leadership in </w:t>
      </w:r>
      <w:r w:rsidR="00626278">
        <w:t>H</w:t>
      </w:r>
      <w:r w:rsidR="00C00B03">
        <w:t>igher Education (H</w:t>
      </w:r>
      <w:r w:rsidR="00626278">
        <w:t>E</w:t>
      </w:r>
      <w:r w:rsidR="00C00B03">
        <w:t>)</w:t>
      </w:r>
      <w:r w:rsidRPr="0015488E">
        <w:t xml:space="preserve"> </w:t>
      </w:r>
      <w:r w:rsidR="00E8415D">
        <w:t xml:space="preserve">therefore </w:t>
      </w:r>
      <w:r w:rsidRPr="0015488E">
        <w:t>also has the ability to contribute to transformative change in the food system</w:t>
      </w:r>
      <w:r w:rsidR="00E8415D">
        <w:t xml:space="preserve"> through </w:t>
      </w:r>
      <w:r w:rsidRPr="0015488E">
        <w:t>fostering cultural transformations</w:t>
      </w:r>
      <w:r w:rsidR="00E8415D">
        <w:t xml:space="preserve"> and</w:t>
      </w:r>
      <w:r w:rsidRPr="0015488E">
        <w:t xml:space="preserve"> “[reshaping] relations between food and place”</w:t>
      </w:r>
      <w:r w:rsidR="00BD3B69">
        <w:t xml:space="preserve"> (Bartlett</w:t>
      </w:r>
      <w:r w:rsidR="00BD3B69" w:rsidRPr="0015488E">
        <w:t xml:space="preserve"> 2011, p. 101). </w:t>
      </w:r>
      <w:r w:rsidRPr="0015488E">
        <w:t xml:space="preserve"> </w:t>
      </w:r>
      <w:r w:rsidR="00E8415D">
        <w:t xml:space="preserve"> This can be achieved in a university setting </w:t>
      </w:r>
      <w:r w:rsidR="00C00B03">
        <w:t xml:space="preserve">by </w:t>
      </w:r>
      <w:r w:rsidRPr="0015488E">
        <w:t>encouraging sustainable food habits though promotional material, providing space for food growing initiatives, and demonstrating a commitment to social</w:t>
      </w:r>
      <w:r w:rsidR="00C00B03">
        <w:t>ly</w:t>
      </w:r>
      <w:r w:rsidRPr="0015488E">
        <w:t xml:space="preserve"> and environmentally e</w:t>
      </w:r>
      <w:r w:rsidR="00BA0222">
        <w:t>thical procurement</w:t>
      </w:r>
      <w:r w:rsidR="00BD3B69">
        <w:t>.</w:t>
      </w:r>
      <w:r w:rsidR="00BA0222">
        <w:t xml:space="preserve"> </w:t>
      </w:r>
      <w:r w:rsidR="00E8415D">
        <w:t>I</w:t>
      </w:r>
      <w:r w:rsidRPr="0015488E">
        <w:t>nstitutional commitments to sustainable procurement can make a sizable impact on the “conventional food chain” as well, since universities are</w:t>
      </w:r>
      <w:r w:rsidR="00BA0222">
        <w:t xml:space="preserve"> such large consumers (Bartlett</w:t>
      </w:r>
      <w:r w:rsidRPr="0015488E">
        <w:t xml:space="preserve"> 2011, p. 101, 111). </w:t>
      </w:r>
    </w:p>
    <w:p w14:paraId="47811518" w14:textId="2C44677C" w:rsidR="0015488E" w:rsidRPr="0015488E" w:rsidRDefault="00C11D5E" w:rsidP="00703D60">
      <w:pPr>
        <w:pStyle w:val="Newparagraph"/>
      </w:pPr>
      <w:r>
        <w:t xml:space="preserve">One issue that can negatively affect community growing schemes is that of participant </w:t>
      </w:r>
      <w:r w:rsidR="00850316">
        <w:t>transience</w:t>
      </w:r>
      <w:r>
        <w:t xml:space="preserve"> (</w:t>
      </w:r>
      <w:r w:rsidR="00A958C0">
        <w:t>McKinne and</w:t>
      </w:r>
      <w:r w:rsidR="009C761D">
        <w:t xml:space="preserve"> Halfacre 2007</w:t>
      </w:r>
      <w:r>
        <w:t xml:space="preserve">), </w:t>
      </w:r>
      <w:r w:rsidR="005A5F1D">
        <w:t>which create</w:t>
      </w:r>
      <w:r>
        <w:t xml:space="preserve"> a variety of challenges. </w:t>
      </w:r>
      <w:r w:rsidR="00C00B03">
        <w:t>‘</w:t>
      </w:r>
      <w:r w:rsidRPr="0015488E">
        <w:t>Participant transience’ is the phenomenon of a predictable</w:t>
      </w:r>
      <w:r>
        <w:t>,</w:t>
      </w:r>
      <w:r w:rsidRPr="0015488E">
        <w:t xml:space="preserve"> high turnover</w:t>
      </w:r>
      <w:r w:rsidR="00C00B03">
        <w:t xml:space="preserve"> </w:t>
      </w:r>
      <w:r w:rsidRPr="0015488E">
        <w:t>rate</w:t>
      </w:r>
      <w:r w:rsidR="00E8415D">
        <w:t xml:space="preserve"> </w:t>
      </w:r>
      <w:r w:rsidR="00C00B03">
        <w:t>(the rate of departure and replacement)</w:t>
      </w:r>
      <w:r w:rsidR="00C00B03" w:rsidRPr="0015488E">
        <w:t xml:space="preserve"> </w:t>
      </w:r>
      <w:r w:rsidR="00E8415D">
        <w:t xml:space="preserve">of </w:t>
      </w:r>
      <w:r w:rsidR="00C00B03">
        <w:t>people involved</w:t>
      </w:r>
      <w:r w:rsidR="00E8415D">
        <w:t xml:space="preserve"> in a </w:t>
      </w:r>
      <w:r w:rsidR="00BD3B69">
        <w:t>project or initiative</w:t>
      </w:r>
      <w:r w:rsidRPr="0015488E">
        <w:t xml:space="preserve">. </w:t>
      </w:r>
      <w:r>
        <w:t xml:space="preserve"> </w:t>
      </w:r>
      <w:r w:rsidR="0015488E" w:rsidRPr="0015488E">
        <w:t xml:space="preserve">University Community Gardens for Sustainability (UCGS) (community gardens </w:t>
      </w:r>
      <w:r w:rsidR="00B06549">
        <w:t xml:space="preserve">that have </w:t>
      </w:r>
      <w:r w:rsidR="0015488E" w:rsidRPr="0015488E">
        <w:t>a commitment to sustainability through practice and/or ethos</w:t>
      </w:r>
      <w:r w:rsidR="00B06549" w:rsidRPr="00B06549">
        <w:t xml:space="preserve"> </w:t>
      </w:r>
      <w:r w:rsidR="00703D60">
        <w:t>and</w:t>
      </w:r>
      <w:r w:rsidR="00B06549">
        <w:t xml:space="preserve"> are associated with a university</w:t>
      </w:r>
      <w:r w:rsidR="0015488E" w:rsidRPr="0015488E">
        <w:t xml:space="preserve">) are important to study </w:t>
      </w:r>
      <w:r w:rsidR="00C00B03">
        <w:t>as</w:t>
      </w:r>
      <w:r w:rsidR="0015488E" w:rsidRPr="0015488E">
        <w:t xml:space="preserve"> </w:t>
      </w:r>
      <w:r w:rsidR="00B06549">
        <w:t>they exemplify ‘participant transience’</w:t>
      </w:r>
      <w:r>
        <w:t xml:space="preserve"> </w:t>
      </w:r>
      <w:r w:rsidR="00850316">
        <w:t>because of their</w:t>
      </w:r>
      <w:r>
        <w:t xml:space="preserve"> predictable turnover of students</w:t>
      </w:r>
      <w:r w:rsidR="00C334FA">
        <w:t xml:space="preserve">. </w:t>
      </w:r>
      <w:r w:rsidR="0015488E" w:rsidRPr="0015488E">
        <w:t xml:space="preserve">Other </w:t>
      </w:r>
      <w:r w:rsidR="00C334FA">
        <w:t xml:space="preserve">places </w:t>
      </w:r>
      <w:r w:rsidR="00703D60">
        <w:t xml:space="preserve">that </w:t>
      </w:r>
      <w:r w:rsidR="0015488E" w:rsidRPr="0015488E">
        <w:t>experience high levels of participant transience include areas with large populations of migrant workers, homeless and domestic violence shelters, prisons, and schools</w:t>
      </w:r>
      <w:r>
        <w:t>.  Therefore research into university growing schemes can also provide insights into the management of growing schem</w:t>
      </w:r>
      <w:r w:rsidR="00850316">
        <w:t>es in these other communities</w:t>
      </w:r>
      <w:r w:rsidR="00CC117D">
        <w:t xml:space="preserve"> as well</w:t>
      </w:r>
      <w:r w:rsidR="005A5F1D">
        <w:t>, as well as other vol</w:t>
      </w:r>
      <w:r w:rsidR="0018673A">
        <w:t xml:space="preserve">unteer initiatives with high </w:t>
      </w:r>
      <w:r w:rsidR="005A5F1D">
        <w:t>participant transience</w:t>
      </w:r>
      <w:r w:rsidR="0015488E" w:rsidRPr="0015488E">
        <w:t>. Furthermore, UCGS involve people at a unique point in their lives when they have just moved from home and may be developing habits that stay</w:t>
      </w:r>
      <w:r w:rsidR="00393F5D">
        <w:t xml:space="preserve"> with them through their lives (</w:t>
      </w:r>
      <w:r w:rsidR="00364F82">
        <w:t xml:space="preserve">Verplanken et al. 2008, </w:t>
      </w:r>
      <w:r w:rsidR="005A5F1D">
        <w:t>Thompson et al.</w:t>
      </w:r>
      <w:r w:rsidR="005A5F1D" w:rsidRPr="0015488E">
        <w:t xml:space="preserve"> 2011</w:t>
      </w:r>
      <w:r w:rsidR="005A5F1D">
        <w:t xml:space="preserve">, </w:t>
      </w:r>
      <w:r w:rsidR="00A958C0">
        <w:t>van Niekerk and</w:t>
      </w:r>
      <w:r w:rsidR="0015488E" w:rsidRPr="0015488E">
        <w:t xml:space="preserve"> B</w:t>
      </w:r>
      <w:r w:rsidR="0018673A">
        <w:t>arnard 2011</w:t>
      </w:r>
      <w:r w:rsidR="0015488E" w:rsidRPr="0015488E">
        <w:t>). Because of this, the students’ skills, knowledge, and perceptions on their ability to contribute to positive changes that are developed throughout their university experience may have longer-lasting effects than those experiences of participants in other types of com</w:t>
      </w:r>
      <w:r w:rsidR="00BA0222">
        <w:t>munity gardens (Thompson et al.</w:t>
      </w:r>
      <w:r w:rsidR="0015488E" w:rsidRPr="0015488E">
        <w:t xml:space="preserve"> 2011)</w:t>
      </w:r>
      <w:r w:rsidR="0025263D">
        <w:t xml:space="preserve">. It </w:t>
      </w:r>
      <w:r>
        <w:t>is</w:t>
      </w:r>
      <w:r w:rsidR="0025263D">
        <w:t xml:space="preserve"> therefore</w:t>
      </w:r>
      <w:r>
        <w:t xml:space="preserve"> important to </w:t>
      </w:r>
      <w:r w:rsidR="005815B9">
        <w:t>maximise</w:t>
      </w:r>
      <w:r>
        <w:t xml:space="preserve"> the </w:t>
      </w:r>
      <w:r w:rsidR="005815B9">
        <w:t xml:space="preserve">learning potential </w:t>
      </w:r>
      <w:r>
        <w:t>of the university food growing experience</w:t>
      </w:r>
      <w:r w:rsidR="0015488E" w:rsidRPr="0015488E">
        <w:t xml:space="preserve">. </w:t>
      </w:r>
    </w:p>
    <w:p w14:paraId="7C668C2E" w14:textId="534F2427" w:rsidR="0015488E" w:rsidRDefault="0015488E" w:rsidP="00850316">
      <w:pPr>
        <w:pStyle w:val="Newparagraph"/>
      </w:pPr>
      <w:r w:rsidRPr="0015488E">
        <w:t>The purpose of this article is to identify what unique findings</w:t>
      </w:r>
      <w:r w:rsidR="00B06549">
        <w:t xml:space="preserve"> the</w:t>
      </w:r>
      <w:r w:rsidRPr="0015488E">
        <w:t xml:space="preserve"> literature about UCGS has contributed and has the potential to contribute to the existing conversations being had about community gardens, urban agriculture, sustainable food,</w:t>
      </w:r>
      <w:r w:rsidR="00B06549">
        <w:t xml:space="preserve"> </w:t>
      </w:r>
      <w:r w:rsidR="0018673A">
        <w:t>Education for Sustainability (EfS)</w:t>
      </w:r>
      <w:r w:rsidR="00EA5DD6">
        <w:t>,</w:t>
      </w:r>
      <w:r w:rsidR="0018673A">
        <w:t xml:space="preserve"> </w:t>
      </w:r>
      <w:r w:rsidR="00B06549">
        <w:t>and</w:t>
      </w:r>
      <w:r w:rsidRPr="0015488E">
        <w:t xml:space="preserve"> manage</w:t>
      </w:r>
      <w:r w:rsidR="00B06549">
        <w:t>ment of voluntary organisations</w:t>
      </w:r>
      <w:r w:rsidRPr="0015488E">
        <w:t>.</w:t>
      </w:r>
      <w:r w:rsidR="00B06549">
        <w:t xml:space="preserve"> </w:t>
      </w:r>
      <w:r w:rsidR="004C6019">
        <w:t xml:space="preserve">Given the potential impact that UCGS could have on sustainability attitudes and behaviours of future graduates, it is important to understand their </w:t>
      </w:r>
      <w:r w:rsidR="00EA5DD6">
        <w:t>effectiveness</w:t>
      </w:r>
      <w:r w:rsidR="004C6019">
        <w:t xml:space="preserve"> at achieving these aims and how they could be improved. </w:t>
      </w:r>
      <w:r w:rsidRPr="0015488E">
        <w:t>In order to do this, we</w:t>
      </w:r>
      <w:r w:rsidR="008908C7">
        <w:t xml:space="preserve"> undertook</w:t>
      </w:r>
      <w:r w:rsidRPr="0015488E">
        <w:t xml:space="preserve"> a systematic critical review of UCGS using a methodological framework established by Guitart et al. (2012) in their review of urban community gardens.</w:t>
      </w:r>
      <w:r w:rsidR="00850316">
        <w:t xml:space="preserve"> </w:t>
      </w:r>
      <w:r w:rsidR="006100EB">
        <w:t>In t</w:t>
      </w:r>
      <w:r w:rsidR="0043588A">
        <w:t xml:space="preserve">his review </w:t>
      </w:r>
      <w:r w:rsidR="006100EB">
        <w:t xml:space="preserve">we </w:t>
      </w:r>
      <w:r w:rsidR="0043588A">
        <w:t>map current trends in research in this new and evolving area in order to identify priorities fo</w:t>
      </w:r>
      <w:r w:rsidR="00850316">
        <w:t>r</w:t>
      </w:r>
      <w:r w:rsidR="0043588A">
        <w:t xml:space="preserve"> future research and to collate research in a way which can be utilised to </w:t>
      </w:r>
      <w:r w:rsidR="00EA5DD6">
        <w:t xml:space="preserve">improve the outcomes </w:t>
      </w:r>
      <w:r w:rsidR="0043588A">
        <w:t xml:space="preserve">of food-related growing projects in </w:t>
      </w:r>
      <w:r w:rsidR="0025263D">
        <w:t>HEIs</w:t>
      </w:r>
      <w:r w:rsidR="0043588A">
        <w:t>.</w:t>
      </w:r>
    </w:p>
    <w:p w14:paraId="35A6790B" w14:textId="0CCB3D46" w:rsidR="00EE24F4" w:rsidRDefault="00EE24F4" w:rsidP="00850316">
      <w:pPr>
        <w:pStyle w:val="Newparagraph"/>
      </w:pPr>
    </w:p>
    <w:p w14:paraId="051CB1DB" w14:textId="77777777" w:rsidR="0015488E" w:rsidRDefault="0015488E" w:rsidP="0015488E">
      <w:pPr>
        <w:pStyle w:val="Paragraph"/>
        <w:rPr>
          <w:rFonts w:cs="Arial"/>
          <w:b/>
          <w:bCs/>
          <w:kern w:val="32"/>
          <w:szCs w:val="32"/>
        </w:rPr>
      </w:pPr>
      <w:r>
        <w:rPr>
          <w:rFonts w:cs="Arial"/>
          <w:b/>
          <w:bCs/>
          <w:kern w:val="32"/>
          <w:szCs w:val="32"/>
        </w:rPr>
        <w:t>Methodology</w:t>
      </w:r>
    </w:p>
    <w:p w14:paraId="3E354EB5" w14:textId="11BE0034" w:rsidR="004C19BE" w:rsidRPr="003453B5" w:rsidRDefault="0015488E" w:rsidP="003453B5">
      <w:pPr>
        <w:pStyle w:val="Newparagraph"/>
        <w:rPr>
          <w:bCs/>
        </w:rPr>
      </w:pPr>
      <w:r w:rsidRPr="0015488E">
        <w:rPr>
          <w:bCs/>
        </w:rPr>
        <w:t>A systematic lit</w:t>
      </w:r>
      <w:r w:rsidR="00A958C0">
        <w:rPr>
          <w:bCs/>
        </w:rPr>
        <w:t>erature review was undertaken, producing</w:t>
      </w:r>
      <w:r w:rsidRPr="0015488E">
        <w:rPr>
          <w:bCs/>
        </w:rPr>
        <w:t xml:space="preserve"> a quantitative synthesis of the literature about UC</w:t>
      </w:r>
      <w:r w:rsidR="00850316">
        <w:rPr>
          <w:bCs/>
        </w:rPr>
        <w:t xml:space="preserve">GS to map current patterns and </w:t>
      </w:r>
      <w:r w:rsidRPr="0015488E">
        <w:rPr>
          <w:bCs/>
        </w:rPr>
        <w:t>direct future researc</w:t>
      </w:r>
      <w:r w:rsidR="00BA0222">
        <w:rPr>
          <w:bCs/>
        </w:rPr>
        <w:t>h ef</w:t>
      </w:r>
      <w:r w:rsidR="00850316">
        <w:rPr>
          <w:bCs/>
        </w:rPr>
        <w:t>forts</w:t>
      </w:r>
      <w:r w:rsidR="00A958C0">
        <w:rPr>
          <w:bCs/>
        </w:rPr>
        <w:t xml:space="preserve"> (Petticrew and</w:t>
      </w:r>
      <w:r w:rsidR="00BA0222">
        <w:rPr>
          <w:bCs/>
        </w:rPr>
        <w:t xml:space="preserve"> Roberts</w:t>
      </w:r>
      <w:r w:rsidR="00850316">
        <w:rPr>
          <w:bCs/>
        </w:rPr>
        <w:t xml:space="preserve"> 2006</w:t>
      </w:r>
      <w:r w:rsidRPr="0015488E">
        <w:rPr>
          <w:bCs/>
        </w:rPr>
        <w:t>). Systematic critical reviews are an approach to revi</w:t>
      </w:r>
      <w:r w:rsidR="00346EC9">
        <w:rPr>
          <w:bCs/>
        </w:rPr>
        <w:t>ewing literature that identify, appraise and synthesise</w:t>
      </w:r>
      <w:r w:rsidRPr="0015488E">
        <w:rPr>
          <w:bCs/>
        </w:rPr>
        <w:t xml:space="preserve"> all primary literature on a subject. They have been used widely in the social sciences, and increasingly in environmental and sustainability studies (</w:t>
      </w:r>
      <w:r w:rsidR="00346EC9">
        <w:rPr>
          <w:bCs/>
        </w:rPr>
        <w:t xml:space="preserve">as in </w:t>
      </w:r>
      <w:r w:rsidR="002E4A84">
        <w:rPr>
          <w:bCs/>
        </w:rPr>
        <w:t>Fleith de Medeiros et al. (</w:t>
      </w:r>
      <w:r w:rsidR="00BA0222">
        <w:rPr>
          <w:bCs/>
        </w:rPr>
        <w:t>2013) and Terstappen et al. (</w:t>
      </w:r>
      <w:r w:rsidRPr="0015488E">
        <w:rPr>
          <w:bCs/>
        </w:rPr>
        <w:t>2013</w:t>
      </w:r>
      <w:r w:rsidR="00BA0222">
        <w:rPr>
          <w:bCs/>
        </w:rPr>
        <w:t>)</w:t>
      </w:r>
      <w:r w:rsidRPr="0015488E">
        <w:rPr>
          <w:bCs/>
        </w:rPr>
        <w:t xml:space="preserve">). This style of review is beneficial for </w:t>
      </w:r>
      <w:r w:rsidR="00850316">
        <w:rPr>
          <w:bCs/>
        </w:rPr>
        <w:t>mapping trends in the</w:t>
      </w:r>
      <w:r w:rsidRPr="0015488E">
        <w:rPr>
          <w:bCs/>
        </w:rPr>
        <w:t xml:space="preserve"> literature, highlighting reliable findings and uncover</w:t>
      </w:r>
      <w:r w:rsidR="004C19BE">
        <w:rPr>
          <w:bCs/>
        </w:rPr>
        <w:t>ing biases</w:t>
      </w:r>
      <w:r w:rsidR="00D74BEE">
        <w:rPr>
          <w:bCs/>
        </w:rPr>
        <w:t>,</w:t>
      </w:r>
      <w:r w:rsidR="004C19BE">
        <w:rPr>
          <w:bCs/>
        </w:rPr>
        <w:t xml:space="preserve"> and is a “</w:t>
      </w:r>
      <w:r w:rsidR="004C19BE" w:rsidRPr="004C19BE">
        <w:rPr>
          <w:bCs/>
        </w:rPr>
        <w:t>re</w:t>
      </w:r>
      <w:r w:rsidR="004C19BE">
        <w:rPr>
          <w:bCs/>
        </w:rPr>
        <w:t>producible, reliable [assessment]</w:t>
      </w:r>
      <w:r w:rsidR="004C19BE" w:rsidRPr="004C19BE">
        <w:rPr>
          <w:bCs/>
        </w:rPr>
        <w:t xml:space="preserve"> of</w:t>
      </w:r>
      <w:r w:rsidR="004C19BE">
        <w:rPr>
          <w:bCs/>
        </w:rPr>
        <w:t xml:space="preserve"> </w:t>
      </w:r>
      <w:r w:rsidR="004C19BE" w:rsidRPr="004C19BE">
        <w:rPr>
          <w:bCs/>
        </w:rPr>
        <w:t>the current status of a field of research</w:t>
      </w:r>
      <w:r w:rsidR="00A958C0">
        <w:rPr>
          <w:bCs/>
        </w:rPr>
        <w:t>” (Petticrew and</w:t>
      </w:r>
      <w:r w:rsidR="004C19BE">
        <w:rPr>
          <w:bCs/>
        </w:rPr>
        <w:t xml:space="preserve"> Roberts</w:t>
      </w:r>
      <w:r w:rsidR="004C19BE" w:rsidRPr="0015488E">
        <w:rPr>
          <w:bCs/>
        </w:rPr>
        <w:t xml:space="preserve"> 2006</w:t>
      </w:r>
      <w:r w:rsidR="004C19BE">
        <w:rPr>
          <w:bCs/>
        </w:rPr>
        <w:t>; Guitart et al. 2012, p. 365). By appraising the literature using a transparent and clearly articulated methodology, there is reduced potential for authorial bias compared to narrative-style reviews (Guitart et al. 2012).</w:t>
      </w:r>
      <w:r w:rsidR="004C19BE" w:rsidRPr="004C19BE">
        <w:rPr>
          <w:bCs/>
        </w:rPr>
        <w:t xml:space="preserve"> </w:t>
      </w:r>
      <w:r w:rsidR="003453B5">
        <w:rPr>
          <w:bCs/>
        </w:rPr>
        <w:t xml:space="preserve">Some of the limitations of the method are that the reliability of the review is dependent on the quality </w:t>
      </w:r>
      <w:r w:rsidR="004C6019">
        <w:rPr>
          <w:bCs/>
        </w:rPr>
        <w:t xml:space="preserve">and scope </w:t>
      </w:r>
      <w:r w:rsidR="003453B5">
        <w:rPr>
          <w:bCs/>
        </w:rPr>
        <w:t>of articles analysed</w:t>
      </w:r>
      <w:r w:rsidR="003453B5" w:rsidRPr="0015488E">
        <w:rPr>
          <w:bCs/>
        </w:rPr>
        <w:t xml:space="preserve">, and there is a certain amount of subjectivity in developing inclusion criteria </w:t>
      </w:r>
      <w:r w:rsidR="003453B5">
        <w:rPr>
          <w:bCs/>
        </w:rPr>
        <w:t xml:space="preserve">for studies included in the review </w:t>
      </w:r>
      <w:r w:rsidR="003453B5" w:rsidRPr="0015488E">
        <w:rPr>
          <w:bCs/>
        </w:rPr>
        <w:t xml:space="preserve">and identifying themes in </w:t>
      </w:r>
      <w:r w:rsidR="003453B5">
        <w:rPr>
          <w:bCs/>
        </w:rPr>
        <w:t>diverse literature (Garg et al.</w:t>
      </w:r>
      <w:r w:rsidR="003453B5" w:rsidRPr="0015488E">
        <w:rPr>
          <w:bCs/>
        </w:rPr>
        <w:t xml:space="preserve"> 2008). </w:t>
      </w:r>
    </w:p>
    <w:p w14:paraId="1259BBF5" w14:textId="2A8EE251" w:rsidR="003453B5" w:rsidRDefault="003453B5" w:rsidP="00EE24F4">
      <w:pPr>
        <w:pStyle w:val="Newparagraph"/>
        <w:rPr>
          <w:bCs/>
        </w:rPr>
      </w:pPr>
      <w:r>
        <w:t>Given that l</w:t>
      </w:r>
      <w:r w:rsidR="00EE24F4">
        <w:t xml:space="preserve">iterature about growing projects in universities is an emerging area, a systematic literature review was an appropriate method to </w:t>
      </w:r>
      <w:r>
        <w:t xml:space="preserve">take stock of </w:t>
      </w:r>
      <w:r w:rsidR="00EE24F4">
        <w:t xml:space="preserve">what has been written to date to guide future research efforts. </w:t>
      </w:r>
      <w:r w:rsidR="002E4A84">
        <w:t xml:space="preserve">Because </w:t>
      </w:r>
      <w:r w:rsidR="00EE24F4" w:rsidRPr="0015488E">
        <w:rPr>
          <w:bCs/>
        </w:rPr>
        <w:t xml:space="preserve">Guitart et al. (2012) </w:t>
      </w:r>
      <w:r w:rsidR="00EE24F4">
        <w:rPr>
          <w:bCs/>
        </w:rPr>
        <w:t>have already developed a robust set of themes found in the literature about community gardens</w:t>
      </w:r>
      <w:r>
        <w:rPr>
          <w:bCs/>
        </w:rPr>
        <w:t xml:space="preserve">, </w:t>
      </w:r>
      <w:r w:rsidR="00EE24F4">
        <w:rPr>
          <w:bCs/>
        </w:rPr>
        <w:t>this paper uses and builds upon their thematic framework</w:t>
      </w:r>
      <w:r>
        <w:rPr>
          <w:bCs/>
        </w:rPr>
        <w:t xml:space="preserve"> to reduce subjectivity in identifying themes</w:t>
      </w:r>
      <w:r w:rsidR="002E4A84">
        <w:rPr>
          <w:bCs/>
        </w:rPr>
        <w:t>.</w:t>
      </w:r>
    </w:p>
    <w:p w14:paraId="7F276251" w14:textId="77777777" w:rsidR="0015488E" w:rsidRPr="0015488E" w:rsidRDefault="0015488E" w:rsidP="0015488E">
      <w:pPr>
        <w:pStyle w:val="Paragraph"/>
        <w:rPr>
          <w:rFonts w:cs="Arial"/>
          <w:b/>
          <w:bCs/>
          <w:kern w:val="32"/>
          <w:szCs w:val="32"/>
        </w:rPr>
      </w:pPr>
      <w:r>
        <w:rPr>
          <w:rFonts w:cs="Arial"/>
          <w:b/>
          <w:bCs/>
          <w:i/>
          <w:iCs/>
          <w:szCs w:val="28"/>
        </w:rPr>
        <w:t>Inclusion Criteria</w:t>
      </w:r>
    </w:p>
    <w:p w14:paraId="24F3AB33" w14:textId="2F4C5AE2" w:rsidR="005E4A0B" w:rsidRPr="009B19A6" w:rsidRDefault="00393F5D" w:rsidP="009B19A6">
      <w:pPr>
        <w:pStyle w:val="Newparagraph"/>
        <w:rPr>
          <w:bCs/>
          <w:iCs/>
        </w:rPr>
      </w:pPr>
      <w:r>
        <w:rPr>
          <w:bCs/>
        </w:rPr>
        <w:t>All</w:t>
      </w:r>
      <w:r w:rsidR="0015488E" w:rsidRPr="0015488E">
        <w:rPr>
          <w:bCs/>
        </w:rPr>
        <w:t xml:space="preserve"> gardens </w:t>
      </w:r>
      <w:r w:rsidR="005E4A0B">
        <w:rPr>
          <w:bCs/>
        </w:rPr>
        <w:t>in</w:t>
      </w:r>
      <w:r w:rsidR="0015488E" w:rsidRPr="0015488E">
        <w:rPr>
          <w:bCs/>
        </w:rPr>
        <w:t xml:space="preserve"> the articles </w:t>
      </w:r>
      <w:r w:rsidR="005E4A0B">
        <w:rPr>
          <w:bCs/>
        </w:rPr>
        <w:t>that were included</w:t>
      </w:r>
      <w:r w:rsidR="005E4A0B" w:rsidRPr="0015488E">
        <w:rPr>
          <w:bCs/>
        </w:rPr>
        <w:t xml:space="preserve"> </w:t>
      </w:r>
      <w:r>
        <w:rPr>
          <w:bCs/>
        </w:rPr>
        <w:t xml:space="preserve">in this review </w:t>
      </w:r>
      <w:r w:rsidR="0015488E" w:rsidRPr="0015488E">
        <w:rPr>
          <w:bCs/>
        </w:rPr>
        <w:t xml:space="preserve">were </w:t>
      </w:r>
      <w:r w:rsidR="0015488E" w:rsidRPr="0015488E">
        <w:rPr>
          <w:bCs/>
          <w:i/>
          <w:iCs/>
        </w:rPr>
        <w:t xml:space="preserve">University Community Gardens for Sustainability </w:t>
      </w:r>
      <w:r w:rsidR="0015488E" w:rsidRPr="0015488E">
        <w:rPr>
          <w:bCs/>
          <w:iCs/>
        </w:rPr>
        <w:t>(UCGS)</w:t>
      </w:r>
      <w:r w:rsidR="0015488E" w:rsidRPr="0015488E">
        <w:rPr>
          <w:bCs/>
          <w:i/>
          <w:iCs/>
        </w:rPr>
        <w:t>.</w:t>
      </w:r>
      <w:r w:rsidR="00D74BEE" w:rsidRPr="00393F5D">
        <w:rPr>
          <w:bCs/>
          <w:iCs/>
        </w:rPr>
        <w:t xml:space="preserve"> </w:t>
      </w:r>
      <w:r w:rsidR="00D24A29">
        <w:rPr>
          <w:bCs/>
          <w:iCs/>
        </w:rPr>
        <w:t>Guitart et al</w:t>
      </w:r>
      <w:r w:rsidR="00D74BEE">
        <w:rPr>
          <w:bCs/>
          <w:iCs/>
        </w:rPr>
        <w:t xml:space="preserve">’s. </w:t>
      </w:r>
      <w:r w:rsidR="00D24A29">
        <w:rPr>
          <w:bCs/>
          <w:iCs/>
        </w:rPr>
        <w:t xml:space="preserve">(2012) </w:t>
      </w:r>
      <w:r w:rsidR="00D74BEE">
        <w:rPr>
          <w:bCs/>
          <w:iCs/>
        </w:rPr>
        <w:t xml:space="preserve">review </w:t>
      </w:r>
      <w:r w:rsidR="00D24A29">
        <w:rPr>
          <w:bCs/>
          <w:iCs/>
        </w:rPr>
        <w:t xml:space="preserve">only included </w:t>
      </w:r>
      <w:r w:rsidR="00D74BEE">
        <w:rPr>
          <w:bCs/>
          <w:iCs/>
        </w:rPr>
        <w:t xml:space="preserve">literature which referred to </w:t>
      </w:r>
      <w:r w:rsidR="00D24A29">
        <w:rPr>
          <w:bCs/>
          <w:iCs/>
        </w:rPr>
        <w:t xml:space="preserve">gardens </w:t>
      </w:r>
      <w:r w:rsidR="00D74BEE">
        <w:rPr>
          <w:bCs/>
          <w:iCs/>
        </w:rPr>
        <w:t xml:space="preserve">specifically as </w:t>
      </w:r>
      <w:r w:rsidR="00D24A29">
        <w:rPr>
          <w:bCs/>
          <w:iCs/>
        </w:rPr>
        <w:t xml:space="preserve">‘community gardens’. We could not use this as </w:t>
      </w:r>
      <w:r w:rsidR="00E91061">
        <w:rPr>
          <w:bCs/>
          <w:iCs/>
        </w:rPr>
        <w:t xml:space="preserve">a </w:t>
      </w:r>
      <w:r w:rsidR="00EC4379">
        <w:rPr>
          <w:bCs/>
          <w:iCs/>
        </w:rPr>
        <w:t>criterion</w:t>
      </w:r>
      <w:r w:rsidR="00D24A29">
        <w:rPr>
          <w:bCs/>
          <w:iCs/>
        </w:rPr>
        <w:t xml:space="preserve">, as many of the limited number of papers about </w:t>
      </w:r>
      <w:r w:rsidR="0025263D">
        <w:rPr>
          <w:bCs/>
          <w:iCs/>
        </w:rPr>
        <w:t>food-growing initiatives at HEIs</w:t>
      </w:r>
      <w:r w:rsidR="00D24A29">
        <w:rPr>
          <w:bCs/>
          <w:iCs/>
        </w:rPr>
        <w:t xml:space="preserve"> di</w:t>
      </w:r>
      <w:r w:rsidR="00D74BEE">
        <w:rPr>
          <w:bCs/>
          <w:iCs/>
        </w:rPr>
        <w:t>d not</w:t>
      </w:r>
      <w:r w:rsidR="00D24A29">
        <w:rPr>
          <w:bCs/>
          <w:iCs/>
        </w:rPr>
        <w:t xml:space="preserve"> refer to their growing initiatives as ‘community gardens.’ </w:t>
      </w:r>
      <w:r w:rsidR="00016DD4">
        <w:rPr>
          <w:bCs/>
          <w:iCs/>
        </w:rPr>
        <w:t>There</w:t>
      </w:r>
      <w:r w:rsidR="00D24A29">
        <w:rPr>
          <w:bCs/>
          <w:iCs/>
        </w:rPr>
        <w:t>fore we developed</w:t>
      </w:r>
      <w:r w:rsidR="00016DD4">
        <w:rPr>
          <w:bCs/>
          <w:iCs/>
        </w:rPr>
        <w:t xml:space="preserve"> three</w:t>
      </w:r>
      <w:r w:rsidR="0015488E" w:rsidRPr="0015488E">
        <w:rPr>
          <w:bCs/>
          <w:iCs/>
        </w:rPr>
        <w:t xml:space="preserve"> criteria for inclusion</w:t>
      </w:r>
      <w:r w:rsidR="00D74BEE">
        <w:rPr>
          <w:bCs/>
          <w:iCs/>
        </w:rPr>
        <w:t xml:space="preserve"> in the review</w:t>
      </w:r>
      <w:r w:rsidR="0015488E" w:rsidRPr="0015488E">
        <w:rPr>
          <w:bCs/>
          <w:iCs/>
        </w:rPr>
        <w:t>: the g</w:t>
      </w:r>
      <w:r w:rsidR="005E4A0B">
        <w:rPr>
          <w:bCs/>
          <w:iCs/>
        </w:rPr>
        <w:t>ardens (1) were affiliated to a HEI</w:t>
      </w:r>
      <w:r w:rsidR="0015488E" w:rsidRPr="0015488E">
        <w:rPr>
          <w:bCs/>
          <w:iCs/>
        </w:rPr>
        <w:t>, (2), were community gardens</w:t>
      </w:r>
      <w:r w:rsidR="00F31CFB">
        <w:rPr>
          <w:bCs/>
          <w:iCs/>
        </w:rPr>
        <w:t>,</w:t>
      </w:r>
      <w:r w:rsidR="00D74BEE">
        <w:rPr>
          <w:bCs/>
          <w:iCs/>
        </w:rPr>
        <w:t xml:space="preserve"> in terms of being operated and managed by the local community</w:t>
      </w:r>
      <w:r w:rsidR="00F31CFB">
        <w:rPr>
          <w:bCs/>
          <w:iCs/>
        </w:rPr>
        <w:t xml:space="preserve"> (including </w:t>
      </w:r>
      <w:r w:rsidR="00F31CFB" w:rsidRPr="00F31CFB">
        <w:rPr>
          <w:bCs/>
          <w:iCs/>
        </w:rPr>
        <w:t xml:space="preserve">university students, staff, alumni, and residents, </w:t>
      </w:r>
      <w:r w:rsidR="00A958C0">
        <w:rPr>
          <w:bCs/>
          <w:iCs/>
        </w:rPr>
        <w:t>as well as</w:t>
      </w:r>
      <w:r w:rsidR="00F31CFB" w:rsidRPr="00F31CFB">
        <w:rPr>
          <w:bCs/>
          <w:iCs/>
        </w:rPr>
        <w:t xml:space="preserve"> people living in the</w:t>
      </w:r>
      <w:r w:rsidR="00F31CFB">
        <w:rPr>
          <w:bCs/>
          <w:iCs/>
        </w:rPr>
        <w:t xml:space="preserve"> area surrounding the</w:t>
      </w:r>
      <w:r w:rsidR="00F31CFB" w:rsidRPr="00F31CFB">
        <w:rPr>
          <w:bCs/>
          <w:iCs/>
        </w:rPr>
        <w:t xml:space="preserve"> </w:t>
      </w:r>
      <w:r w:rsidR="00F31CFB">
        <w:rPr>
          <w:bCs/>
          <w:iCs/>
        </w:rPr>
        <w:t>university or garden)</w:t>
      </w:r>
      <w:r w:rsidR="0015488E" w:rsidRPr="0015488E">
        <w:rPr>
          <w:bCs/>
          <w:iCs/>
        </w:rPr>
        <w:t xml:space="preserve">, and (3) had a commitment to sustainability through practice </w:t>
      </w:r>
      <w:r w:rsidR="00016DD4">
        <w:rPr>
          <w:bCs/>
          <w:iCs/>
        </w:rPr>
        <w:t>and/</w:t>
      </w:r>
      <w:r w:rsidR="0015488E" w:rsidRPr="0015488E">
        <w:rPr>
          <w:bCs/>
          <w:iCs/>
        </w:rPr>
        <w:t>or ethos</w:t>
      </w:r>
      <w:r w:rsidR="00886FD5">
        <w:rPr>
          <w:bCs/>
          <w:iCs/>
        </w:rPr>
        <w:t xml:space="preserve"> (the latter was included given the need to explore the capacity for </w:t>
      </w:r>
      <w:r w:rsidR="00781A85">
        <w:rPr>
          <w:bCs/>
          <w:iCs/>
        </w:rPr>
        <w:t xml:space="preserve">university community </w:t>
      </w:r>
      <w:r w:rsidR="00886FD5">
        <w:rPr>
          <w:bCs/>
          <w:iCs/>
        </w:rPr>
        <w:t>gardens to contribute to</w:t>
      </w:r>
      <w:r w:rsidR="00781A85">
        <w:rPr>
          <w:bCs/>
          <w:iCs/>
        </w:rPr>
        <w:t xml:space="preserve"> pro-environmental</w:t>
      </w:r>
      <w:r w:rsidR="00886FD5">
        <w:rPr>
          <w:bCs/>
          <w:iCs/>
        </w:rPr>
        <w:t xml:space="preserve"> attitude and behaviour change)</w:t>
      </w:r>
      <w:r w:rsidR="0015488E" w:rsidRPr="0015488E">
        <w:rPr>
          <w:bCs/>
          <w:iCs/>
        </w:rPr>
        <w:t>.</w:t>
      </w:r>
      <w:r w:rsidR="009B19A6">
        <w:rPr>
          <w:bCs/>
          <w:iCs/>
        </w:rPr>
        <w:t xml:space="preserve"> Specific descriptions about what these criteria include, as well as examples of gardens that have been excluded and included based on these criteria can be seen in Table </w:t>
      </w:r>
      <w:r w:rsidR="006F4008">
        <w:rPr>
          <w:bCs/>
          <w:iCs/>
        </w:rPr>
        <w:t>1</w:t>
      </w:r>
      <w:r w:rsidR="0050639D">
        <w:rPr>
          <w:bCs/>
          <w:iCs/>
        </w:rPr>
        <w:t xml:space="preserve"> and 2</w:t>
      </w:r>
      <w:r w:rsidR="00CF7883">
        <w:rPr>
          <w:bCs/>
          <w:iCs/>
        </w:rPr>
        <w:t>.</w:t>
      </w:r>
    </w:p>
    <w:p w14:paraId="74AC6C0C" w14:textId="1D18532D" w:rsidR="0015488E" w:rsidRPr="0015488E" w:rsidRDefault="0015488E" w:rsidP="0015488E">
      <w:pPr>
        <w:pStyle w:val="Newparagraph"/>
        <w:rPr>
          <w:bCs/>
        </w:rPr>
      </w:pPr>
      <w:r w:rsidRPr="0015488E">
        <w:rPr>
          <w:bCs/>
        </w:rPr>
        <w:t>Articles, such as reports or other accounts, which were n</w:t>
      </w:r>
      <w:r w:rsidR="00A958C0">
        <w:rPr>
          <w:bCs/>
        </w:rPr>
        <w:t>ot peer-reviewed (such as Lund and</w:t>
      </w:r>
      <w:r w:rsidR="00BA0222">
        <w:rPr>
          <w:bCs/>
        </w:rPr>
        <w:t xml:space="preserve"> Orth</w:t>
      </w:r>
      <w:r w:rsidRPr="0015488E">
        <w:rPr>
          <w:bCs/>
        </w:rPr>
        <w:t xml:space="preserve"> </w:t>
      </w:r>
      <w:r w:rsidR="00BA0222">
        <w:rPr>
          <w:bCs/>
        </w:rPr>
        <w:t>(</w:t>
      </w:r>
      <w:r w:rsidRPr="0015488E">
        <w:rPr>
          <w:bCs/>
        </w:rPr>
        <w:t>2010</w:t>
      </w:r>
      <w:r w:rsidR="00BA0222">
        <w:rPr>
          <w:bCs/>
        </w:rPr>
        <w:t>)</w:t>
      </w:r>
      <w:r w:rsidRPr="0015488E">
        <w:rPr>
          <w:bCs/>
        </w:rPr>
        <w:t xml:space="preserve">) were not included in the review, though were used as background information to give context to the review. </w:t>
      </w:r>
      <w:r w:rsidR="00794538">
        <w:rPr>
          <w:bCs/>
        </w:rPr>
        <w:t xml:space="preserve">The types of peer reviewed articles included conference proceedings, feature articles, </w:t>
      </w:r>
      <w:r w:rsidR="00675713">
        <w:rPr>
          <w:bCs/>
        </w:rPr>
        <w:t>technical papers</w:t>
      </w:r>
      <w:r w:rsidR="006F4008">
        <w:rPr>
          <w:bCs/>
        </w:rPr>
        <w:t>, perspective pieces, and research articles.</w:t>
      </w:r>
    </w:p>
    <w:p w14:paraId="15BA0FC2" w14:textId="77777777" w:rsidR="0015488E" w:rsidRPr="0015488E" w:rsidRDefault="0015488E" w:rsidP="0015488E">
      <w:pPr>
        <w:pStyle w:val="Paragraph"/>
        <w:rPr>
          <w:rFonts w:cs="Arial"/>
          <w:b/>
          <w:bCs/>
          <w:kern w:val="32"/>
          <w:szCs w:val="32"/>
        </w:rPr>
      </w:pPr>
      <w:r>
        <w:rPr>
          <w:rFonts w:cs="Arial"/>
          <w:b/>
          <w:bCs/>
          <w:i/>
          <w:iCs/>
          <w:szCs w:val="28"/>
        </w:rPr>
        <w:t>Method</w:t>
      </w:r>
    </w:p>
    <w:p w14:paraId="1DFB41A5" w14:textId="79023BD8" w:rsidR="0015488E" w:rsidRPr="0015488E" w:rsidRDefault="0015488E" w:rsidP="0015488E">
      <w:pPr>
        <w:pStyle w:val="Newparagraph"/>
        <w:rPr>
          <w:bCs/>
        </w:rPr>
      </w:pPr>
      <w:r w:rsidRPr="0015488E">
        <w:rPr>
          <w:bCs/>
        </w:rPr>
        <w:t xml:space="preserve">Articles were found searching through the following electronic databases: EBSCO, ISI Web of Knowledge, and Google Scholar. This was done from June 2013 to </w:t>
      </w:r>
      <w:r w:rsidR="0044722C">
        <w:rPr>
          <w:bCs/>
        </w:rPr>
        <w:t>August 2016</w:t>
      </w:r>
      <w:r w:rsidRPr="0015488E">
        <w:rPr>
          <w:bCs/>
        </w:rPr>
        <w:t>. Some of the keywords used to find the articles were ‘university,’ ‘community garden,’ ‘food growing,’ ‘campus,’ ‘higher education,’ and ‘sustainability.’ Further articles were found by exploring the references of the initial papers and other litera</w:t>
      </w:r>
      <w:r w:rsidR="00F31CFB">
        <w:rPr>
          <w:bCs/>
        </w:rPr>
        <w:t xml:space="preserve">ture reviews, as well as </w:t>
      </w:r>
      <w:r w:rsidR="00981090">
        <w:rPr>
          <w:bCs/>
        </w:rPr>
        <w:t>those papers wh</w:t>
      </w:r>
      <w:r w:rsidR="0018673A">
        <w:rPr>
          <w:bCs/>
        </w:rPr>
        <w:t xml:space="preserve">ich had cited </w:t>
      </w:r>
      <w:r w:rsidR="00A958C0">
        <w:rPr>
          <w:bCs/>
        </w:rPr>
        <w:t>Guitart et al.’s (2012)review.</w:t>
      </w:r>
    </w:p>
    <w:p w14:paraId="4B122B4F" w14:textId="6C2299F1" w:rsidR="0015488E" w:rsidRPr="0015488E" w:rsidRDefault="0015488E" w:rsidP="0015488E">
      <w:pPr>
        <w:pStyle w:val="Newparagraph"/>
        <w:rPr>
          <w:bCs/>
        </w:rPr>
      </w:pPr>
      <w:r w:rsidRPr="0015488E">
        <w:rPr>
          <w:bCs/>
        </w:rPr>
        <w:t>Each arti</w:t>
      </w:r>
      <w:r w:rsidR="00F31CFB">
        <w:rPr>
          <w:bCs/>
        </w:rPr>
        <w:t>cle was coded according to its authors’ affiliation(s)</w:t>
      </w:r>
      <w:r w:rsidRPr="0015488E">
        <w:rPr>
          <w:bCs/>
        </w:rPr>
        <w:t xml:space="preserve">, </w:t>
      </w:r>
      <w:r w:rsidR="00016DD4">
        <w:rPr>
          <w:bCs/>
        </w:rPr>
        <w:t>journal’s discipline area</w:t>
      </w:r>
      <w:r w:rsidRPr="0015488E">
        <w:rPr>
          <w:bCs/>
        </w:rPr>
        <w:t>, year of publication, location of the garden(s) studied,</w:t>
      </w:r>
      <w:r w:rsidR="004A36DF">
        <w:rPr>
          <w:bCs/>
        </w:rPr>
        <w:t xml:space="preserve"> </w:t>
      </w:r>
      <w:r w:rsidR="0018673A">
        <w:rPr>
          <w:bCs/>
        </w:rPr>
        <w:t xml:space="preserve">research </w:t>
      </w:r>
      <w:r w:rsidR="004A36DF">
        <w:rPr>
          <w:bCs/>
        </w:rPr>
        <w:t>methods used,</w:t>
      </w:r>
      <w:r w:rsidRPr="0015488E">
        <w:rPr>
          <w:bCs/>
        </w:rPr>
        <w:t xml:space="preserve"> garden characteristics, </w:t>
      </w:r>
      <w:r w:rsidR="00016DD4">
        <w:rPr>
          <w:bCs/>
        </w:rPr>
        <w:t xml:space="preserve">and benefits of the gardens </w:t>
      </w:r>
      <w:r w:rsidR="00030559">
        <w:rPr>
          <w:bCs/>
        </w:rPr>
        <w:t>(Guitart et al.</w:t>
      </w:r>
      <w:r w:rsidR="00703D60">
        <w:rPr>
          <w:bCs/>
        </w:rPr>
        <w:t xml:space="preserve"> 2012</w:t>
      </w:r>
      <w:r w:rsidR="00016DD4">
        <w:rPr>
          <w:bCs/>
        </w:rPr>
        <w:t>)</w:t>
      </w:r>
      <w:r w:rsidRPr="0015488E">
        <w:rPr>
          <w:bCs/>
        </w:rPr>
        <w:t>. The garden characteristics were then broken down into types of gardens (e</w:t>
      </w:r>
      <w:r w:rsidR="00F9309B">
        <w:rPr>
          <w:bCs/>
        </w:rPr>
        <w:t>.</w:t>
      </w:r>
      <w:r w:rsidRPr="0015488E">
        <w:rPr>
          <w:bCs/>
        </w:rPr>
        <w:t>g., food gardens, farms, botanical gardens), what plants were</w:t>
      </w:r>
      <w:r w:rsidR="00016DD4">
        <w:rPr>
          <w:bCs/>
        </w:rPr>
        <w:t xml:space="preserve"> grown (e.g. edible, </w:t>
      </w:r>
      <w:r w:rsidR="00F31CFB">
        <w:rPr>
          <w:bCs/>
        </w:rPr>
        <w:t xml:space="preserve">medicinal, </w:t>
      </w:r>
      <w:r w:rsidR="00016DD4">
        <w:rPr>
          <w:bCs/>
        </w:rPr>
        <w:t>ornamental</w:t>
      </w:r>
      <w:r w:rsidRPr="0015488E">
        <w:rPr>
          <w:bCs/>
        </w:rPr>
        <w:t xml:space="preserve">), whether or not produce was sold and who it was sold to, who participated in the garden (e.g. students, faculty, paid staff), and if the garden was </w:t>
      </w:r>
      <w:r w:rsidR="00016DD4">
        <w:rPr>
          <w:bCs/>
        </w:rPr>
        <w:t xml:space="preserve">used in the </w:t>
      </w:r>
      <w:r w:rsidR="00703D60">
        <w:rPr>
          <w:bCs/>
        </w:rPr>
        <w:t>formal curriculum, and if so, for</w:t>
      </w:r>
      <w:r w:rsidR="00016DD4">
        <w:rPr>
          <w:bCs/>
        </w:rPr>
        <w:t xml:space="preserve"> what subject area.</w:t>
      </w:r>
    </w:p>
    <w:p w14:paraId="131463C6" w14:textId="21D410C9" w:rsidR="0015488E" w:rsidRDefault="009E2EF8" w:rsidP="0027107A">
      <w:pPr>
        <w:pStyle w:val="Newparagraph"/>
        <w:rPr>
          <w:bCs/>
        </w:rPr>
      </w:pPr>
      <w:r>
        <w:rPr>
          <w:bCs/>
        </w:rPr>
        <w:t xml:space="preserve">The benefits (both </w:t>
      </w:r>
      <w:r w:rsidR="00DF14B8">
        <w:rPr>
          <w:bCs/>
        </w:rPr>
        <w:t>those that were discussed and those that were demonstrated</w:t>
      </w:r>
      <w:r>
        <w:rPr>
          <w:bCs/>
        </w:rPr>
        <w:t xml:space="preserve">) </w:t>
      </w:r>
      <w:r w:rsidR="00016DD4">
        <w:rPr>
          <w:bCs/>
        </w:rPr>
        <w:t xml:space="preserve">that </w:t>
      </w:r>
      <w:r>
        <w:rPr>
          <w:bCs/>
        </w:rPr>
        <w:t xml:space="preserve">the garden provided were categorised using the themes identified by Guitart et al. (2012). </w:t>
      </w:r>
      <w:r w:rsidR="00831F1E" w:rsidRPr="000E4183">
        <w:rPr>
          <w:bCs/>
          <w:i/>
        </w:rPr>
        <w:t>Discussed benefits</w:t>
      </w:r>
      <w:r w:rsidR="00831F1E">
        <w:rPr>
          <w:bCs/>
        </w:rPr>
        <w:t xml:space="preserve"> were </w:t>
      </w:r>
      <w:r w:rsidR="00D22B5F">
        <w:rPr>
          <w:bCs/>
        </w:rPr>
        <w:t>“</w:t>
      </w:r>
      <w:r w:rsidR="00D22B5F" w:rsidRPr="00D22B5F">
        <w:rPr>
          <w:bCs/>
        </w:rPr>
        <w:t>only mentioned as the authors’ opinion and/or findings in previous literature</w:t>
      </w:r>
      <w:r w:rsidR="00D22B5F">
        <w:rPr>
          <w:bCs/>
        </w:rPr>
        <w:t>”</w:t>
      </w:r>
      <w:r w:rsidR="00831F1E">
        <w:rPr>
          <w:bCs/>
        </w:rPr>
        <w:t xml:space="preserve">, while </w:t>
      </w:r>
      <w:r w:rsidR="00831F1E" w:rsidRPr="007F46AD">
        <w:rPr>
          <w:bCs/>
          <w:i/>
        </w:rPr>
        <w:t>demonstrated benefits</w:t>
      </w:r>
      <w:r w:rsidR="00831F1E">
        <w:rPr>
          <w:bCs/>
        </w:rPr>
        <w:t xml:space="preserve"> </w:t>
      </w:r>
      <w:r w:rsidR="00D22B5F">
        <w:rPr>
          <w:bCs/>
        </w:rPr>
        <w:t>“</w:t>
      </w:r>
      <w:r w:rsidR="00831F1E">
        <w:rPr>
          <w:bCs/>
        </w:rPr>
        <w:t>were</w:t>
      </w:r>
      <w:r w:rsidR="00D22B5F" w:rsidRPr="00D22B5F">
        <w:rPr>
          <w:bCs/>
        </w:rPr>
        <w:t xml:space="preserve"> confirmed as a result of the research</w:t>
      </w:r>
      <w:r w:rsidR="00D22B5F">
        <w:rPr>
          <w:bCs/>
        </w:rPr>
        <w:t>” (Guitart et al. 2012, p. 365)</w:t>
      </w:r>
      <w:r w:rsidR="00831F1E">
        <w:rPr>
          <w:bCs/>
        </w:rPr>
        <w:t xml:space="preserve">. </w:t>
      </w:r>
      <w:r>
        <w:rPr>
          <w:bCs/>
        </w:rPr>
        <w:t>The themes were</w:t>
      </w:r>
      <w:r w:rsidR="00F9309B">
        <w:rPr>
          <w:bCs/>
        </w:rPr>
        <w:t>:</w:t>
      </w:r>
      <w:r>
        <w:rPr>
          <w:bCs/>
        </w:rPr>
        <w:t xml:space="preserve"> </w:t>
      </w:r>
      <w:r w:rsidR="00F31CFB">
        <w:rPr>
          <w:bCs/>
        </w:rPr>
        <w:t>‘</w:t>
      </w:r>
      <w:r>
        <w:rPr>
          <w:bCs/>
        </w:rPr>
        <w:t>social benefits</w:t>
      </w:r>
      <w:r w:rsidR="00F31CFB">
        <w:rPr>
          <w:bCs/>
        </w:rPr>
        <w:t>’</w:t>
      </w:r>
      <w:r>
        <w:rPr>
          <w:bCs/>
        </w:rPr>
        <w:t xml:space="preserve"> (</w:t>
      </w:r>
      <w:r w:rsidR="008060EC">
        <w:rPr>
          <w:bCs/>
        </w:rPr>
        <w:t xml:space="preserve">which were benefits to a group of people, </w:t>
      </w:r>
      <w:r w:rsidR="00703D60">
        <w:rPr>
          <w:bCs/>
        </w:rPr>
        <w:t>such as</w:t>
      </w:r>
      <w:r w:rsidR="002B4F6B">
        <w:rPr>
          <w:bCs/>
        </w:rPr>
        <w:t xml:space="preserve"> </w:t>
      </w:r>
      <w:r w:rsidRPr="0015488E">
        <w:rPr>
          <w:bCs/>
        </w:rPr>
        <w:t>networking, engaging diverse groups of people</w:t>
      </w:r>
      <w:r w:rsidR="002B4F6B">
        <w:rPr>
          <w:bCs/>
        </w:rPr>
        <w:t xml:space="preserve">, </w:t>
      </w:r>
      <w:r w:rsidR="0085638E">
        <w:rPr>
          <w:bCs/>
        </w:rPr>
        <w:t xml:space="preserve">and </w:t>
      </w:r>
      <w:r>
        <w:rPr>
          <w:bCs/>
        </w:rPr>
        <w:t>community development)</w:t>
      </w:r>
      <w:r w:rsidR="00F9309B">
        <w:rPr>
          <w:bCs/>
        </w:rPr>
        <w:t>;</w:t>
      </w:r>
      <w:r>
        <w:rPr>
          <w:bCs/>
        </w:rPr>
        <w:t xml:space="preserve"> </w:t>
      </w:r>
      <w:r w:rsidR="00F31CFB">
        <w:rPr>
          <w:bCs/>
        </w:rPr>
        <w:t>‘</w:t>
      </w:r>
      <w:r>
        <w:rPr>
          <w:bCs/>
        </w:rPr>
        <w:t>access to fresh foods</w:t>
      </w:r>
      <w:r w:rsidR="00F31CFB">
        <w:rPr>
          <w:bCs/>
        </w:rPr>
        <w:t>’</w:t>
      </w:r>
      <w:r w:rsidR="00F9309B">
        <w:rPr>
          <w:bCs/>
        </w:rPr>
        <w:t>;</w:t>
      </w:r>
      <w:r>
        <w:rPr>
          <w:bCs/>
        </w:rPr>
        <w:t xml:space="preserve"> </w:t>
      </w:r>
      <w:r w:rsidR="00F31CFB">
        <w:rPr>
          <w:bCs/>
        </w:rPr>
        <w:t>‘</w:t>
      </w:r>
      <w:r>
        <w:rPr>
          <w:bCs/>
        </w:rPr>
        <w:t>e</w:t>
      </w:r>
      <w:r w:rsidRPr="0015488E">
        <w:rPr>
          <w:bCs/>
        </w:rPr>
        <w:t>conomic</w:t>
      </w:r>
      <w:r>
        <w:rPr>
          <w:bCs/>
        </w:rPr>
        <w:t xml:space="preserve"> benefits</w:t>
      </w:r>
      <w:r w:rsidR="00F31CFB">
        <w:rPr>
          <w:bCs/>
        </w:rPr>
        <w:t>’</w:t>
      </w:r>
      <w:r w:rsidR="00F9309B">
        <w:rPr>
          <w:bCs/>
        </w:rPr>
        <w:t>;</w:t>
      </w:r>
      <w:r>
        <w:rPr>
          <w:bCs/>
        </w:rPr>
        <w:t xml:space="preserve"> </w:t>
      </w:r>
      <w:r w:rsidR="00F31CFB">
        <w:rPr>
          <w:bCs/>
        </w:rPr>
        <w:t>‘</w:t>
      </w:r>
      <w:r>
        <w:rPr>
          <w:bCs/>
        </w:rPr>
        <w:t>h</w:t>
      </w:r>
      <w:r w:rsidRPr="0015488E">
        <w:rPr>
          <w:bCs/>
        </w:rPr>
        <w:t>ealth</w:t>
      </w:r>
      <w:r>
        <w:rPr>
          <w:bCs/>
        </w:rPr>
        <w:t xml:space="preserve"> benefits</w:t>
      </w:r>
      <w:r w:rsidR="00F31CFB">
        <w:rPr>
          <w:bCs/>
        </w:rPr>
        <w:t>’</w:t>
      </w:r>
      <w:r w:rsidR="00F9309B">
        <w:rPr>
          <w:bCs/>
        </w:rPr>
        <w:t>;</w:t>
      </w:r>
      <w:r>
        <w:rPr>
          <w:bCs/>
        </w:rPr>
        <w:t xml:space="preserve"> </w:t>
      </w:r>
      <w:r w:rsidR="00F31CFB">
        <w:rPr>
          <w:bCs/>
        </w:rPr>
        <w:t>‘</w:t>
      </w:r>
      <w:r>
        <w:rPr>
          <w:bCs/>
        </w:rPr>
        <w:t>reduced crime/increased safety</w:t>
      </w:r>
      <w:r w:rsidR="00F31CFB">
        <w:rPr>
          <w:bCs/>
        </w:rPr>
        <w:t>’</w:t>
      </w:r>
      <w:r w:rsidR="00F9309B">
        <w:rPr>
          <w:bCs/>
        </w:rPr>
        <w:t>;</w:t>
      </w:r>
      <w:r>
        <w:rPr>
          <w:bCs/>
        </w:rPr>
        <w:t xml:space="preserve"> </w:t>
      </w:r>
      <w:r w:rsidR="00F31CFB">
        <w:rPr>
          <w:bCs/>
        </w:rPr>
        <w:t>‘</w:t>
      </w:r>
      <w:r>
        <w:rPr>
          <w:bCs/>
        </w:rPr>
        <w:t>e</w:t>
      </w:r>
      <w:r w:rsidRPr="0015488E">
        <w:rPr>
          <w:bCs/>
        </w:rPr>
        <w:t>ducation</w:t>
      </w:r>
      <w:r>
        <w:rPr>
          <w:bCs/>
        </w:rPr>
        <w:t>al benefits</w:t>
      </w:r>
      <w:r w:rsidR="00F31CFB">
        <w:rPr>
          <w:bCs/>
        </w:rPr>
        <w:t>’</w:t>
      </w:r>
      <w:r w:rsidR="00F9309B">
        <w:rPr>
          <w:bCs/>
        </w:rPr>
        <w:t>;</w:t>
      </w:r>
      <w:r>
        <w:rPr>
          <w:bCs/>
        </w:rPr>
        <w:t xml:space="preserve"> </w:t>
      </w:r>
      <w:r w:rsidR="00F31CFB">
        <w:rPr>
          <w:bCs/>
        </w:rPr>
        <w:t>‘</w:t>
      </w:r>
      <w:r>
        <w:rPr>
          <w:bCs/>
        </w:rPr>
        <w:t>environmental s</w:t>
      </w:r>
      <w:r w:rsidRPr="0015488E">
        <w:rPr>
          <w:bCs/>
        </w:rPr>
        <w:t>ustainability</w:t>
      </w:r>
      <w:r>
        <w:rPr>
          <w:bCs/>
        </w:rPr>
        <w:t xml:space="preserve"> benefits</w:t>
      </w:r>
      <w:r w:rsidR="00F31CFB">
        <w:rPr>
          <w:bCs/>
        </w:rPr>
        <w:t>’</w:t>
      </w:r>
      <w:r>
        <w:rPr>
          <w:bCs/>
        </w:rPr>
        <w:t xml:space="preserve"> (such as</w:t>
      </w:r>
      <w:r w:rsidR="00703D60">
        <w:rPr>
          <w:bCs/>
        </w:rPr>
        <w:t xml:space="preserve"> the</w:t>
      </w:r>
      <w:r>
        <w:rPr>
          <w:bCs/>
        </w:rPr>
        <w:t xml:space="preserve"> </w:t>
      </w:r>
      <w:r w:rsidRPr="0015488E">
        <w:rPr>
          <w:bCs/>
        </w:rPr>
        <w:t>use of sustainable or organic farming or gardening methods</w:t>
      </w:r>
      <w:r>
        <w:rPr>
          <w:bCs/>
        </w:rPr>
        <w:t>)</w:t>
      </w:r>
      <w:r w:rsidR="00F9309B">
        <w:rPr>
          <w:bCs/>
        </w:rPr>
        <w:t>;</w:t>
      </w:r>
      <w:r>
        <w:rPr>
          <w:bCs/>
        </w:rPr>
        <w:t xml:space="preserve"> </w:t>
      </w:r>
      <w:r w:rsidR="00F31CFB">
        <w:rPr>
          <w:bCs/>
        </w:rPr>
        <w:t>‘</w:t>
      </w:r>
      <w:r>
        <w:rPr>
          <w:bCs/>
        </w:rPr>
        <w:t>cultural heritage/development</w:t>
      </w:r>
      <w:r w:rsidR="00F31CFB">
        <w:rPr>
          <w:bCs/>
        </w:rPr>
        <w:t>’</w:t>
      </w:r>
      <w:r w:rsidR="00F9309B">
        <w:rPr>
          <w:bCs/>
        </w:rPr>
        <w:t>;</w:t>
      </w:r>
      <w:r>
        <w:rPr>
          <w:bCs/>
        </w:rPr>
        <w:t xml:space="preserve"> </w:t>
      </w:r>
      <w:r w:rsidR="00F31CFB">
        <w:rPr>
          <w:bCs/>
        </w:rPr>
        <w:t>‘</w:t>
      </w:r>
      <w:r>
        <w:rPr>
          <w:bCs/>
        </w:rPr>
        <w:t>life s</w:t>
      </w:r>
      <w:r w:rsidRPr="0015488E">
        <w:rPr>
          <w:bCs/>
        </w:rPr>
        <w:t>ati</w:t>
      </w:r>
      <w:r>
        <w:rPr>
          <w:bCs/>
        </w:rPr>
        <w:t>sfaction</w:t>
      </w:r>
      <w:r w:rsidR="00F31CFB">
        <w:rPr>
          <w:bCs/>
        </w:rPr>
        <w:t>’</w:t>
      </w:r>
      <w:r w:rsidR="009246C6">
        <w:rPr>
          <w:rStyle w:val="FootnoteReference"/>
          <w:bCs/>
        </w:rPr>
        <w:footnoteReference w:id="1"/>
      </w:r>
      <w:r w:rsidR="00F9309B">
        <w:rPr>
          <w:bCs/>
        </w:rPr>
        <w:t>;</w:t>
      </w:r>
      <w:r>
        <w:rPr>
          <w:bCs/>
        </w:rPr>
        <w:t xml:space="preserve"> </w:t>
      </w:r>
      <w:r w:rsidR="00F31CFB">
        <w:rPr>
          <w:bCs/>
        </w:rPr>
        <w:t>‘</w:t>
      </w:r>
      <w:r>
        <w:rPr>
          <w:bCs/>
        </w:rPr>
        <w:t>environmental equity</w:t>
      </w:r>
      <w:r w:rsidR="00F31CFB">
        <w:rPr>
          <w:bCs/>
        </w:rPr>
        <w:t>’</w:t>
      </w:r>
      <w:r w:rsidR="00EA5DD6">
        <w:rPr>
          <w:bCs/>
        </w:rPr>
        <w:t xml:space="preserve"> (</w:t>
      </w:r>
      <w:r w:rsidR="0085638E">
        <w:rPr>
          <w:bCs/>
        </w:rPr>
        <w:t xml:space="preserve">a state </w:t>
      </w:r>
      <w:r w:rsidR="0027107A">
        <w:rPr>
          <w:bCs/>
        </w:rPr>
        <w:t xml:space="preserve">when a particular group or community does not bear disproportionate negative environmental effects or impacts), </w:t>
      </w:r>
      <w:r>
        <w:rPr>
          <w:bCs/>
        </w:rPr>
        <w:t xml:space="preserve">and </w:t>
      </w:r>
      <w:r w:rsidR="00F31CFB">
        <w:rPr>
          <w:bCs/>
        </w:rPr>
        <w:t>‘</w:t>
      </w:r>
      <w:r>
        <w:rPr>
          <w:bCs/>
        </w:rPr>
        <w:t>increased b</w:t>
      </w:r>
      <w:r w:rsidRPr="0015488E">
        <w:rPr>
          <w:bCs/>
        </w:rPr>
        <w:t>iodiversity</w:t>
      </w:r>
      <w:r w:rsidR="00F31CFB">
        <w:rPr>
          <w:bCs/>
        </w:rPr>
        <w:t>’</w:t>
      </w:r>
      <w:r w:rsidR="005E2548">
        <w:rPr>
          <w:rStyle w:val="FootnoteReference"/>
          <w:bCs/>
        </w:rPr>
        <w:footnoteReference w:id="2"/>
      </w:r>
      <w:r w:rsidRPr="0015488E">
        <w:rPr>
          <w:bCs/>
        </w:rPr>
        <w:t>.</w:t>
      </w:r>
      <w:r w:rsidR="00F9309B">
        <w:rPr>
          <w:bCs/>
        </w:rPr>
        <w:t xml:space="preserve">  For this review we</w:t>
      </w:r>
      <w:r>
        <w:rPr>
          <w:bCs/>
        </w:rPr>
        <w:t xml:space="preserve"> </w:t>
      </w:r>
      <w:r w:rsidR="00F9309B">
        <w:rPr>
          <w:bCs/>
        </w:rPr>
        <w:t xml:space="preserve">have </w:t>
      </w:r>
      <w:r>
        <w:rPr>
          <w:bCs/>
        </w:rPr>
        <w:t>developed</w:t>
      </w:r>
      <w:r w:rsidR="00703D60">
        <w:rPr>
          <w:bCs/>
        </w:rPr>
        <w:t xml:space="preserve"> three</w:t>
      </w:r>
      <w:r>
        <w:rPr>
          <w:bCs/>
        </w:rPr>
        <w:t xml:space="preserve"> new categories </w:t>
      </w:r>
      <w:r w:rsidR="00F9309B">
        <w:rPr>
          <w:bCs/>
        </w:rPr>
        <w:t xml:space="preserve">of </w:t>
      </w:r>
      <w:r>
        <w:rPr>
          <w:bCs/>
        </w:rPr>
        <w:t>benefits that did</w:t>
      </w:r>
      <w:r w:rsidR="00F9309B">
        <w:rPr>
          <w:bCs/>
        </w:rPr>
        <w:t xml:space="preserve"> not</w:t>
      </w:r>
      <w:r w:rsidR="002B4F6B">
        <w:rPr>
          <w:bCs/>
        </w:rPr>
        <w:t xml:space="preserve"> fit under any of the themes</w:t>
      </w:r>
      <w:r w:rsidR="00F9309B">
        <w:rPr>
          <w:bCs/>
        </w:rPr>
        <w:t xml:space="preserve"> identified by Guit</w:t>
      </w:r>
      <w:r w:rsidR="004E5F5C">
        <w:rPr>
          <w:bCs/>
        </w:rPr>
        <w:t>art et al</w:t>
      </w:r>
      <w:r w:rsidR="004E09BF">
        <w:rPr>
          <w:bCs/>
        </w:rPr>
        <w:t>.</w:t>
      </w:r>
      <w:r w:rsidR="004E5F5C">
        <w:rPr>
          <w:bCs/>
        </w:rPr>
        <w:t xml:space="preserve"> (2012). T</w:t>
      </w:r>
      <w:r w:rsidR="00F9309B">
        <w:rPr>
          <w:bCs/>
        </w:rPr>
        <w:t>hese are</w:t>
      </w:r>
      <w:r w:rsidR="002B4F6B">
        <w:rPr>
          <w:bCs/>
        </w:rPr>
        <w:t xml:space="preserve">: </w:t>
      </w:r>
      <w:r w:rsidR="00F31CFB">
        <w:rPr>
          <w:bCs/>
        </w:rPr>
        <w:t>‘</w:t>
      </w:r>
      <w:r w:rsidR="002B4F6B">
        <w:rPr>
          <w:bCs/>
        </w:rPr>
        <w:t>engagement, attitudes and b</w:t>
      </w:r>
      <w:r w:rsidR="002B4F6B" w:rsidRPr="0015488E">
        <w:rPr>
          <w:bCs/>
        </w:rPr>
        <w:t>ehaviours</w:t>
      </w:r>
      <w:r w:rsidR="002B4F6B">
        <w:rPr>
          <w:bCs/>
        </w:rPr>
        <w:t xml:space="preserve"> for sustainability</w:t>
      </w:r>
      <w:r w:rsidR="00F31CFB">
        <w:rPr>
          <w:bCs/>
        </w:rPr>
        <w:t>’</w:t>
      </w:r>
      <w:r w:rsidR="00A37F4D">
        <w:rPr>
          <w:bCs/>
        </w:rPr>
        <w:t>;</w:t>
      </w:r>
      <w:r w:rsidR="002B4F6B">
        <w:rPr>
          <w:bCs/>
        </w:rPr>
        <w:t xml:space="preserve"> </w:t>
      </w:r>
      <w:r w:rsidR="00F31CFB">
        <w:rPr>
          <w:bCs/>
        </w:rPr>
        <w:t>‘</w:t>
      </w:r>
      <w:r w:rsidR="00492A49">
        <w:rPr>
          <w:bCs/>
        </w:rPr>
        <w:t>additional benefits to individual</w:t>
      </w:r>
      <w:r w:rsidR="00C43A18">
        <w:rPr>
          <w:bCs/>
        </w:rPr>
        <w:t xml:space="preserve"> </w:t>
      </w:r>
      <w:r w:rsidR="002B4F6B">
        <w:rPr>
          <w:bCs/>
        </w:rPr>
        <w:t>p</w:t>
      </w:r>
      <w:r w:rsidR="002B4F6B" w:rsidRPr="0015488E">
        <w:rPr>
          <w:bCs/>
        </w:rPr>
        <w:t>articipants</w:t>
      </w:r>
      <w:r w:rsidR="00F31CFB">
        <w:rPr>
          <w:bCs/>
        </w:rPr>
        <w:t>’</w:t>
      </w:r>
      <w:r w:rsidR="005E2548">
        <w:rPr>
          <w:rStyle w:val="FootnoteReference"/>
          <w:bCs/>
        </w:rPr>
        <w:footnoteReference w:id="3"/>
      </w:r>
      <w:r w:rsidR="00A37F4D">
        <w:rPr>
          <w:bCs/>
        </w:rPr>
        <w:t xml:space="preserve">; </w:t>
      </w:r>
      <w:r w:rsidR="002B4F6B" w:rsidRPr="0015488E">
        <w:rPr>
          <w:bCs/>
        </w:rPr>
        <w:t>an</w:t>
      </w:r>
      <w:r w:rsidR="002B4F6B">
        <w:rPr>
          <w:bCs/>
        </w:rPr>
        <w:t xml:space="preserve">d </w:t>
      </w:r>
      <w:r w:rsidR="00F31CFB">
        <w:rPr>
          <w:bCs/>
        </w:rPr>
        <w:t>‘</w:t>
      </w:r>
      <w:r w:rsidR="002B4F6B">
        <w:rPr>
          <w:bCs/>
        </w:rPr>
        <w:t>benefits to the i</w:t>
      </w:r>
      <w:r w:rsidR="002B4F6B" w:rsidRPr="0015488E">
        <w:rPr>
          <w:bCs/>
        </w:rPr>
        <w:t>nstitution</w:t>
      </w:r>
      <w:r w:rsidR="00F31CFB">
        <w:rPr>
          <w:bCs/>
        </w:rPr>
        <w:t>’</w:t>
      </w:r>
      <w:r w:rsidR="002B4F6B">
        <w:rPr>
          <w:bCs/>
        </w:rPr>
        <w:t>.</w:t>
      </w:r>
    </w:p>
    <w:p w14:paraId="40EDB17D" w14:textId="77777777" w:rsidR="00F31CFB" w:rsidRDefault="00F31CFB" w:rsidP="0015488E">
      <w:pPr>
        <w:pStyle w:val="Newparagraph"/>
        <w:rPr>
          <w:bCs/>
        </w:rPr>
      </w:pPr>
    </w:p>
    <w:p w14:paraId="10444FE4" w14:textId="77777777" w:rsidR="0015488E" w:rsidRPr="004E5F5C" w:rsidRDefault="0015488E" w:rsidP="0015488E">
      <w:pPr>
        <w:pStyle w:val="Paragraph"/>
        <w:rPr>
          <w:rFonts w:cs="Arial"/>
          <w:b/>
          <w:bCs/>
          <w:kern w:val="32"/>
          <w:szCs w:val="32"/>
        </w:rPr>
      </w:pPr>
      <w:r w:rsidRPr="004E5F5C">
        <w:rPr>
          <w:rFonts w:cs="Arial"/>
          <w:b/>
          <w:bCs/>
          <w:kern w:val="32"/>
          <w:szCs w:val="32"/>
        </w:rPr>
        <w:t>Comparing the Literature about UCGS and Urban Community Gardens</w:t>
      </w:r>
    </w:p>
    <w:p w14:paraId="27B990B5" w14:textId="68B9BF4D" w:rsidR="00D529BB" w:rsidRDefault="002C7AAC" w:rsidP="00D529BB">
      <w:pPr>
        <w:pStyle w:val="Heading2"/>
      </w:pPr>
      <w:r>
        <w:t xml:space="preserve">Characteristics of </w:t>
      </w:r>
      <w:r w:rsidR="004E5F5C">
        <w:t xml:space="preserve">articles and </w:t>
      </w:r>
      <w:r w:rsidR="0085638E">
        <w:t>gardens researched</w:t>
      </w:r>
    </w:p>
    <w:p w14:paraId="14F1300C" w14:textId="63CB5AAC" w:rsidR="00D529BB" w:rsidRDefault="00831F1E" w:rsidP="00982CAF">
      <w:pPr>
        <w:pStyle w:val="Newparagraph"/>
      </w:pPr>
      <w:r>
        <w:t>There were twenty</w:t>
      </w:r>
      <w:r w:rsidR="004A36DF">
        <w:t>-two</w:t>
      </w:r>
      <w:r>
        <w:t xml:space="preserve"> articles reviewed, </w:t>
      </w:r>
      <w:r w:rsidR="00071C5A">
        <w:t>covering</w:t>
      </w:r>
      <w:r w:rsidR="001655E9">
        <w:t xml:space="preserve"> twenty-</w:t>
      </w:r>
      <w:r w:rsidR="004A36DF">
        <w:t>three</w:t>
      </w:r>
      <w:r>
        <w:t xml:space="preserve"> gardens (one of the articles reviewed wrote about two gardens). </w:t>
      </w:r>
      <w:r w:rsidR="006C0681">
        <w:t>The majority</w:t>
      </w:r>
      <w:r w:rsidR="001655E9">
        <w:t xml:space="preserve"> (81</w:t>
      </w:r>
      <w:r w:rsidR="00D529BB">
        <w:t xml:space="preserve">%) of the </w:t>
      </w:r>
      <w:r>
        <w:t xml:space="preserve">articles </w:t>
      </w:r>
      <w:r w:rsidR="00D529BB">
        <w:t>about UCGS were written by authors affiliated with institutions in the USA, much like those about urban community gardens (61%). The articles about UCGS were published in journals about horticulture</w:t>
      </w:r>
      <w:r w:rsidR="00B266AD">
        <w:t xml:space="preserve"> (</w:t>
      </w:r>
      <w:r w:rsidR="001655E9">
        <w:t>3</w:t>
      </w:r>
      <w:r w:rsidR="007447DB">
        <w:t>6</w:t>
      </w:r>
      <w:r w:rsidR="001655E9">
        <w:t>%</w:t>
      </w:r>
      <w:r w:rsidR="00B266AD">
        <w:t>)</w:t>
      </w:r>
      <w:r w:rsidR="00D529BB">
        <w:t>, education</w:t>
      </w:r>
      <w:r w:rsidR="00B266AD">
        <w:t xml:space="preserve"> (</w:t>
      </w:r>
      <w:r w:rsidR="007447DB">
        <w:t>36</w:t>
      </w:r>
      <w:r w:rsidR="001655E9">
        <w:t>%</w:t>
      </w:r>
      <w:r w:rsidR="00B266AD">
        <w:t>)</w:t>
      </w:r>
      <w:r w:rsidR="00D529BB">
        <w:t>, hea</w:t>
      </w:r>
      <w:r w:rsidR="00903BD8">
        <w:t>lth</w:t>
      </w:r>
      <w:r w:rsidR="007447DB">
        <w:t xml:space="preserve"> (14%</w:t>
      </w:r>
      <w:r w:rsidR="00B266AD">
        <w:t>)</w:t>
      </w:r>
      <w:r w:rsidR="00903BD8">
        <w:t>,</w:t>
      </w:r>
      <w:r w:rsidR="00D529BB">
        <w:t xml:space="preserve"> non-profit/social marketing</w:t>
      </w:r>
      <w:r w:rsidR="00B266AD">
        <w:t xml:space="preserve"> (</w:t>
      </w:r>
      <w:r w:rsidR="007447DB">
        <w:t>9%</w:t>
      </w:r>
      <w:r w:rsidR="00B266AD">
        <w:t>)</w:t>
      </w:r>
      <w:r w:rsidR="00903BD8">
        <w:t>, and sustainability</w:t>
      </w:r>
      <w:r w:rsidR="00B266AD">
        <w:t xml:space="preserve"> (</w:t>
      </w:r>
      <w:r w:rsidR="007447DB">
        <w:t>5%</w:t>
      </w:r>
      <w:r w:rsidR="00B266AD">
        <w:t>)</w:t>
      </w:r>
      <w:r w:rsidR="00F31CFB">
        <w:t>.</w:t>
      </w:r>
      <w:r w:rsidR="004A36DF">
        <w:t xml:space="preserve"> </w:t>
      </w:r>
      <w:r w:rsidR="00F31CFB">
        <w:t xml:space="preserve">The </w:t>
      </w:r>
      <w:r w:rsidR="004A36DF">
        <w:t xml:space="preserve">36% of the articles </w:t>
      </w:r>
      <w:r w:rsidR="00F31CFB">
        <w:t xml:space="preserve">in journals about horticulture were </w:t>
      </w:r>
      <w:r w:rsidR="004A36DF">
        <w:t xml:space="preserve">published in </w:t>
      </w:r>
      <w:r w:rsidR="00F31CFB">
        <w:t>a single journal, with several coming from a special issue</w:t>
      </w:r>
      <w:r w:rsidR="004A36DF">
        <w:t>. The types of journals publishing articles about urban community gardens were</w:t>
      </w:r>
      <w:r w:rsidR="00B266AD">
        <w:t xml:space="preserve"> “</w:t>
      </w:r>
      <w:r w:rsidR="00B266AD" w:rsidRPr="00B266AD">
        <w:t>geography (28%), environment and planning (24%), society and culture (23%), health (12%), education (9%), economics (3%) and conservation biology (1%)</w:t>
      </w:r>
      <w:r w:rsidR="00B266AD">
        <w:t xml:space="preserve">” </w:t>
      </w:r>
      <w:r w:rsidR="004A36DF">
        <w:t>journals</w:t>
      </w:r>
      <w:r w:rsidR="007447DB">
        <w:t xml:space="preserve"> </w:t>
      </w:r>
      <w:r w:rsidR="00B266AD">
        <w:t>(Guitart et al., 2012, p. 366)</w:t>
      </w:r>
      <w:r w:rsidR="004A36DF">
        <w:t>.</w:t>
      </w:r>
      <w:r w:rsidR="00C30BB5">
        <w:t xml:space="preserve"> </w:t>
      </w:r>
      <w:r w:rsidR="00D529BB">
        <w:t>All of the articles about UCGS were written since 1999, with most written between 2005 and 2012</w:t>
      </w:r>
      <w:r w:rsidR="00982CAF">
        <w:t>, while articles about urban community gardens reviewed by Guitart et al. (2012) were published between 1985 and 2011, with most being published since 2000</w:t>
      </w:r>
      <w:r w:rsidR="00D529BB">
        <w:t>.</w:t>
      </w:r>
      <w:r w:rsidR="007447DB">
        <w:t xml:space="preserve"> Only eight (</w:t>
      </w:r>
      <w:r w:rsidR="00C30BB5">
        <w:t>36</w:t>
      </w:r>
      <w:r w:rsidR="007447DB">
        <w:t>%) of the articles</w:t>
      </w:r>
      <w:r w:rsidR="00A77CC6">
        <w:t xml:space="preserve"> about UCGS</w:t>
      </w:r>
      <w:r w:rsidR="007447DB">
        <w:t xml:space="preserve"> reported the methods they used, seven of which use</w:t>
      </w:r>
      <w:r w:rsidR="00A77CC6">
        <w:t>d qualitative methodologies/</w:t>
      </w:r>
      <w:r w:rsidR="007447DB">
        <w:t>methods</w:t>
      </w:r>
      <w:r w:rsidR="004A36DF">
        <w:t>,</w:t>
      </w:r>
      <w:r w:rsidR="007447DB">
        <w:t xml:space="preserve"> including</w:t>
      </w:r>
      <w:r w:rsidR="007A3909">
        <w:t xml:space="preserve"> </w:t>
      </w:r>
      <w:r w:rsidR="007447DB">
        <w:t xml:space="preserve">case studies, Participatory Action Research, narrative evaluation, autoethnography, interviews, participant observation, and document reviews. The other study that described its methods was a mixed-methods experimental study using questionnaires. </w:t>
      </w:r>
      <w:r w:rsidR="00982CAF">
        <w:t xml:space="preserve">Most of the articles about urban community gardens used a qualitative approach or mixed methods (most using interviews, surveys, </w:t>
      </w:r>
      <w:r w:rsidR="00982CAF" w:rsidRPr="00982CAF">
        <w:t>text analysis, focus groups, case studies and participant observation</w:t>
      </w:r>
      <w:r w:rsidR="00982CAF">
        <w:t>), and the remaining five studies used quantitative data (Guitart et al. 2012).</w:t>
      </w:r>
    </w:p>
    <w:p w14:paraId="03CCE9FF" w14:textId="0EE04658" w:rsidR="007A3909" w:rsidRDefault="00D529BB" w:rsidP="007A3909">
      <w:pPr>
        <w:pStyle w:val="Newparagraph"/>
      </w:pPr>
      <w:r>
        <w:t>Most</w:t>
      </w:r>
      <w:r w:rsidR="00C30BB5">
        <w:t xml:space="preserve"> (78%)</w:t>
      </w:r>
      <w:r>
        <w:t xml:space="preserve"> of the</w:t>
      </w:r>
      <w:r w:rsidR="002F3404">
        <w:t xml:space="preserve"> </w:t>
      </w:r>
      <w:r w:rsidR="00700637">
        <w:t>UCGS</w:t>
      </w:r>
      <w:r>
        <w:t xml:space="preserve"> were located in the USA and </w:t>
      </w:r>
      <w:r w:rsidR="002B4F6B">
        <w:t>nearly half took the form of</w:t>
      </w:r>
      <w:r>
        <w:t xml:space="preserve"> food gardens</w:t>
      </w:r>
      <w:r w:rsidR="00C30BB5">
        <w:t xml:space="preserve"> (48%)</w:t>
      </w:r>
      <w:r>
        <w:t>, with a number of farms</w:t>
      </w:r>
      <w:r w:rsidR="00C30BB5">
        <w:t xml:space="preserve"> (13%)</w:t>
      </w:r>
      <w:r>
        <w:t>, C</w:t>
      </w:r>
      <w:r w:rsidR="00A91435">
        <w:t xml:space="preserve">ommunity </w:t>
      </w:r>
      <w:r>
        <w:t>S</w:t>
      </w:r>
      <w:r w:rsidR="00A91435">
        <w:t xml:space="preserve">upported </w:t>
      </w:r>
      <w:r>
        <w:t>A</w:t>
      </w:r>
      <w:r w:rsidR="00A91435">
        <w:t>griculture (a model of agriculture in which consumers share the economic risks with the producers by paying for their share of produce at the beginning of the season; sometimes consumers volunteer with the garden or farming tasks)</w:t>
      </w:r>
      <w:r w:rsidR="00C30BB5">
        <w:t xml:space="preserve"> (13%)</w:t>
      </w:r>
      <w:r>
        <w:t>, botanical gardens</w:t>
      </w:r>
      <w:r w:rsidR="00C30BB5">
        <w:t xml:space="preserve"> (13%), and a wildlife habitat garden, native plant garden, and allotment</w:t>
      </w:r>
      <w:r>
        <w:t xml:space="preserve">. </w:t>
      </w:r>
      <w:r w:rsidR="00D46574" w:rsidRPr="00D46574">
        <w:rPr>
          <w:bCs/>
        </w:rPr>
        <w:t xml:space="preserve">This mirrors the literature reviewed by Guitart et al. (2012) which included some larger-scale projects (Wade </w:t>
      </w:r>
      <w:r w:rsidR="005749A1">
        <w:rPr>
          <w:bCs/>
        </w:rPr>
        <w:t>1987</w:t>
      </w:r>
      <w:r w:rsidR="0085638E">
        <w:rPr>
          <w:bCs/>
        </w:rPr>
        <w:t>, Karaan and</w:t>
      </w:r>
      <w:r w:rsidR="00D46574" w:rsidRPr="00D46574">
        <w:rPr>
          <w:bCs/>
        </w:rPr>
        <w:t xml:space="preserve"> Mohamed 1998), projects involving restoration ecology/native ecosystem </w:t>
      </w:r>
      <w:r w:rsidR="0085638E">
        <w:rPr>
          <w:bCs/>
        </w:rPr>
        <w:t>regeneration (Stocker and</w:t>
      </w:r>
      <w:r w:rsidR="00D46574" w:rsidRPr="00D46574">
        <w:rPr>
          <w:bCs/>
        </w:rPr>
        <w:t xml:space="preserve"> Barnett 1998), and those run for commercial purposes (Flynn 2001)</w:t>
      </w:r>
      <w:r w:rsidR="00D46574">
        <w:rPr>
          <w:bCs/>
        </w:rPr>
        <w:t>.</w:t>
      </w:r>
      <w:r w:rsidR="00510F96">
        <w:rPr>
          <w:bCs/>
        </w:rPr>
        <w:t xml:space="preserve"> In the UCGS literature</w:t>
      </w:r>
      <w:r w:rsidR="00F8635E">
        <w:rPr>
          <w:bCs/>
        </w:rPr>
        <w:t>,</w:t>
      </w:r>
      <w:r w:rsidR="00D46574">
        <w:rPr>
          <w:bCs/>
        </w:rPr>
        <w:t xml:space="preserve"> </w:t>
      </w:r>
      <w:r w:rsidR="00510F96">
        <w:t>s</w:t>
      </w:r>
      <w:r>
        <w:t>tudents were the most common</w:t>
      </w:r>
      <w:r w:rsidR="00781A85">
        <w:t>ly reported</w:t>
      </w:r>
      <w:r>
        <w:t xml:space="preserve"> participants</w:t>
      </w:r>
      <w:r w:rsidR="00C30BB5">
        <w:t xml:space="preserve"> (reported by 87% of gardens)</w:t>
      </w:r>
      <w:r>
        <w:t>, followed by faculty</w:t>
      </w:r>
      <w:r w:rsidR="00DA3324">
        <w:t xml:space="preserve"> (academic staff)</w:t>
      </w:r>
      <w:r w:rsidR="00C30BB5">
        <w:t xml:space="preserve"> (56%)</w:t>
      </w:r>
      <w:r>
        <w:t>, paid interns or garden managers</w:t>
      </w:r>
      <w:r w:rsidR="00C30BB5">
        <w:t xml:space="preserve"> (35%)</w:t>
      </w:r>
      <w:r>
        <w:t>, community members</w:t>
      </w:r>
      <w:r w:rsidR="00C30BB5">
        <w:t xml:space="preserve"> (26%)</w:t>
      </w:r>
      <w:r>
        <w:t xml:space="preserve"> and organisations</w:t>
      </w:r>
      <w:r w:rsidR="00C30BB5">
        <w:t xml:space="preserve"> (21%)</w:t>
      </w:r>
      <w:r>
        <w:t xml:space="preserve">. Most </w:t>
      </w:r>
      <w:r w:rsidR="00C30BB5">
        <w:t>(74</w:t>
      </w:r>
      <w:r w:rsidR="00781A85">
        <w:t xml:space="preserve">%) </w:t>
      </w:r>
      <w:r>
        <w:t xml:space="preserve">of the </w:t>
      </w:r>
      <w:r w:rsidR="00700637">
        <w:t>UCGS</w:t>
      </w:r>
      <w:r>
        <w:t xml:space="preserve"> grew edible plants, but ornamental plants</w:t>
      </w:r>
      <w:r w:rsidR="00C30BB5">
        <w:t xml:space="preserve"> (22%)</w:t>
      </w:r>
      <w:r>
        <w:t>, native/endangered species</w:t>
      </w:r>
      <w:r w:rsidR="00C30BB5">
        <w:t xml:space="preserve"> (17%)</w:t>
      </w:r>
      <w:r>
        <w:t>, wildlife-habitat-enhancing plants</w:t>
      </w:r>
      <w:r w:rsidR="00C30BB5">
        <w:t xml:space="preserve"> (9%)</w:t>
      </w:r>
      <w:r>
        <w:t>, and medicinal plants</w:t>
      </w:r>
      <w:r w:rsidR="00C30BB5">
        <w:t xml:space="preserve"> (9%)</w:t>
      </w:r>
      <w:r>
        <w:t xml:space="preserve"> were also grown.</w:t>
      </w:r>
      <w:r w:rsidR="00700637">
        <w:t xml:space="preserve"> </w:t>
      </w:r>
      <w:r w:rsidR="00401B97">
        <w:t>Over a third</w:t>
      </w:r>
      <w:r w:rsidR="00903BD8">
        <w:t xml:space="preserve"> (</w:t>
      </w:r>
      <w:r w:rsidR="00401B97">
        <w:t>39</w:t>
      </w:r>
      <w:r w:rsidR="00700637">
        <w:t>%) of the UCGS were reported to sell produce, and it was most often sold to the campus community or through a campus</w:t>
      </w:r>
      <w:r w:rsidR="00903BD8">
        <w:t xml:space="preserve"> food outlet. </w:t>
      </w:r>
      <w:r w:rsidR="00401B97">
        <w:t>Over two-thirds</w:t>
      </w:r>
      <w:r w:rsidR="00903BD8">
        <w:t xml:space="preserve"> (68</w:t>
      </w:r>
      <w:r w:rsidR="00700637">
        <w:t>%</w:t>
      </w:r>
      <w:r w:rsidR="002B4F6B">
        <w:t>)</w:t>
      </w:r>
      <w:r w:rsidR="00700637">
        <w:t xml:space="preserve"> of the UCGS were used in the formal curriculum in a wide variety of disciplines, with the most common </w:t>
      </w:r>
      <w:r w:rsidR="00703D60">
        <w:t xml:space="preserve">ones </w:t>
      </w:r>
      <w:r w:rsidR="00700637">
        <w:t>being agriculture/horticulture, applied studies/projects, education, and environmental subjects/geography.</w:t>
      </w:r>
      <w:r w:rsidR="006C0681">
        <w:t xml:space="preserve"> </w:t>
      </w:r>
      <w:r w:rsidR="005E61C5">
        <w:t>Figure 1</w:t>
      </w:r>
      <w:r w:rsidR="00401B97">
        <w:t xml:space="preserve"> illustrates the number of UCGS embedded in the</w:t>
      </w:r>
      <w:r w:rsidR="00D46574">
        <w:t xml:space="preserve"> formal curriculum of different</w:t>
      </w:r>
      <w:r w:rsidR="00401B97">
        <w:t xml:space="preserve"> disciplinary areas.</w:t>
      </w:r>
      <w:r w:rsidR="0085638E">
        <w:t xml:space="preserve"> Types of participants and plants grown, as well as the number of gardens selling produce and embedded in educational curricula in the literature about urban community gardens was not reported by Giutart et al. (2012).</w:t>
      </w:r>
    </w:p>
    <w:p w14:paraId="67398080" w14:textId="77777777" w:rsidR="009316F9" w:rsidRDefault="009316F9" w:rsidP="009316F9">
      <w:pPr>
        <w:pStyle w:val="Heading2"/>
      </w:pPr>
      <w:r>
        <w:t>Benefits of UCGS and urban community gardens</w:t>
      </w:r>
    </w:p>
    <w:p w14:paraId="2F10AA79" w14:textId="3AEF3BEC" w:rsidR="004E09BF" w:rsidRDefault="00EE20E4" w:rsidP="00181061">
      <w:pPr>
        <w:pStyle w:val="Newparagraph"/>
        <w:rPr>
          <w:bCs/>
        </w:rPr>
      </w:pPr>
      <w:r>
        <w:rPr>
          <w:bCs/>
        </w:rPr>
        <w:t xml:space="preserve">Because the study of community gardens is an emerging </w:t>
      </w:r>
      <w:r w:rsidR="00DF14B8">
        <w:rPr>
          <w:bCs/>
        </w:rPr>
        <w:t>area</w:t>
      </w:r>
      <w:r>
        <w:rPr>
          <w:bCs/>
        </w:rPr>
        <w:t>, much of the research that has been done</w:t>
      </w:r>
      <w:r w:rsidR="000E4183">
        <w:rPr>
          <w:bCs/>
        </w:rPr>
        <w:t xml:space="preserve"> has</w:t>
      </w:r>
      <w:r>
        <w:rPr>
          <w:bCs/>
        </w:rPr>
        <w:t xml:space="preserve"> </w:t>
      </w:r>
      <w:r w:rsidR="000E4183">
        <w:rPr>
          <w:bCs/>
        </w:rPr>
        <w:t>explored</w:t>
      </w:r>
      <w:r>
        <w:rPr>
          <w:bCs/>
        </w:rPr>
        <w:t xml:space="preserve"> what the benefits of such projects are. We have </w:t>
      </w:r>
      <w:r w:rsidR="000E4183">
        <w:rPr>
          <w:bCs/>
        </w:rPr>
        <w:t>identified and</w:t>
      </w:r>
      <w:r>
        <w:rPr>
          <w:bCs/>
        </w:rPr>
        <w:t xml:space="preserve"> compared the </w:t>
      </w:r>
      <w:r w:rsidR="00510F96">
        <w:rPr>
          <w:bCs/>
        </w:rPr>
        <w:t xml:space="preserve">reported </w:t>
      </w:r>
      <w:r>
        <w:rPr>
          <w:bCs/>
        </w:rPr>
        <w:t xml:space="preserve">benefits of </w:t>
      </w:r>
      <w:r>
        <w:t xml:space="preserve">UCGS and urban community gardens in order to </w:t>
      </w:r>
      <w:r w:rsidR="000E4183">
        <w:t xml:space="preserve">evaluate their contributions to a sustainable environment and society. However, we also </w:t>
      </w:r>
      <w:r w:rsidR="00831F1E">
        <w:t>identified</w:t>
      </w:r>
      <w:r w:rsidR="000E4183">
        <w:t xml:space="preserve"> the potentially important benefits that are under-explored and </w:t>
      </w:r>
      <w:r w:rsidR="00D46574">
        <w:t>-</w:t>
      </w:r>
      <w:r w:rsidR="000E4183">
        <w:t xml:space="preserve">evaluated so </w:t>
      </w:r>
      <w:r w:rsidR="007F46AD">
        <w:t>further research can provide a more</w:t>
      </w:r>
      <w:r w:rsidR="000E4183">
        <w:t xml:space="preserve"> complete understanding of what UCGS</w:t>
      </w:r>
      <w:r w:rsidR="002E7E88">
        <w:t>,</w:t>
      </w:r>
      <w:r w:rsidR="000E4183">
        <w:t xml:space="preserve"> </w:t>
      </w:r>
      <w:r w:rsidR="00E15236">
        <w:t>a</w:t>
      </w:r>
      <w:r w:rsidR="00A91435">
        <w:t>nd community gardens in general</w:t>
      </w:r>
      <w:r w:rsidR="002E7E88">
        <w:t>,</w:t>
      </w:r>
      <w:r w:rsidR="00E15236">
        <w:t xml:space="preserve"> </w:t>
      </w:r>
      <w:r w:rsidR="000E4183">
        <w:t>have to offer a sustainable environment and society.</w:t>
      </w:r>
      <w:r>
        <w:rPr>
          <w:bCs/>
        </w:rPr>
        <w:t xml:space="preserve">  </w:t>
      </w:r>
      <w:r w:rsidR="003D56AA">
        <w:rPr>
          <w:bCs/>
        </w:rPr>
        <w:t>All the benefits of urban community gardens identified by Guitart et al. (2012) were discussed and/or demonstrated in the literature about UCGS.</w:t>
      </w:r>
      <w:r w:rsidR="000E4183">
        <w:rPr>
          <w:bCs/>
        </w:rPr>
        <w:t xml:space="preserve"> </w:t>
      </w:r>
      <w:r w:rsidR="0015488E" w:rsidRPr="0015488E">
        <w:rPr>
          <w:bCs/>
        </w:rPr>
        <w:t xml:space="preserve">The proportion of articles discussing each of these benefits in the bodies of literature about UCGS and urban community gardens are illustrated </w:t>
      </w:r>
      <w:r w:rsidR="003D56AA">
        <w:rPr>
          <w:bCs/>
        </w:rPr>
        <w:t>in F</w:t>
      </w:r>
      <w:r w:rsidR="004E09BF">
        <w:rPr>
          <w:bCs/>
        </w:rPr>
        <w:t>igure 2a and 2</w:t>
      </w:r>
      <w:r w:rsidR="007F46AD">
        <w:rPr>
          <w:bCs/>
        </w:rPr>
        <w:t>b</w:t>
      </w:r>
      <w:r w:rsidR="004E09BF">
        <w:rPr>
          <w:bCs/>
        </w:rPr>
        <w:t>.</w:t>
      </w:r>
    </w:p>
    <w:p w14:paraId="2403966D" w14:textId="2D68C1C5" w:rsidR="005B4A4C" w:rsidRPr="005B4A4C" w:rsidRDefault="001B5AA2" w:rsidP="00181061">
      <w:pPr>
        <w:pStyle w:val="Newparagraph"/>
        <w:rPr>
          <w:bCs/>
        </w:rPr>
      </w:pPr>
      <w:r>
        <w:rPr>
          <w:bCs/>
        </w:rPr>
        <w:t xml:space="preserve">Educational and social benefits, </w:t>
      </w:r>
      <w:r w:rsidR="00492A49">
        <w:rPr>
          <w:bCs/>
        </w:rPr>
        <w:t xml:space="preserve">additional </w:t>
      </w:r>
      <w:r>
        <w:rPr>
          <w:bCs/>
        </w:rPr>
        <w:t xml:space="preserve">benefits to </w:t>
      </w:r>
      <w:r w:rsidR="00492A49">
        <w:rPr>
          <w:bCs/>
        </w:rPr>
        <w:t xml:space="preserve">individual </w:t>
      </w:r>
      <w:r>
        <w:rPr>
          <w:bCs/>
        </w:rPr>
        <w:t xml:space="preserve">participants and to the university were the benefits </w:t>
      </w:r>
      <w:r w:rsidR="00D46574">
        <w:rPr>
          <w:bCs/>
        </w:rPr>
        <w:t xml:space="preserve">that were </w:t>
      </w:r>
      <w:r>
        <w:rPr>
          <w:bCs/>
        </w:rPr>
        <w:t xml:space="preserve">most discussed and demonstrated in articles about UCGS, while social benefits, access to fresh foods, health benefits, and economic benefits were discussed and demonstrated most in articles about urban community gardens. </w:t>
      </w:r>
      <w:r w:rsidR="005B4A4C">
        <w:rPr>
          <w:bCs/>
        </w:rPr>
        <w:t xml:space="preserve">The rest of this section </w:t>
      </w:r>
      <w:r>
        <w:rPr>
          <w:bCs/>
        </w:rPr>
        <w:t>expands</w:t>
      </w:r>
      <w:r w:rsidR="0082414E">
        <w:rPr>
          <w:bCs/>
        </w:rPr>
        <w:t xml:space="preserve"> on</w:t>
      </w:r>
      <w:r w:rsidR="005B4A4C">
        <w:rPr>
          <w:bCs/>
        </w:rPr>
        <w:t xml:space="preserve"> the social, economic, educational, environmental </w:t>
      </w:r>
      <w:r w:rsidR="005B4A4C" w:rsidRPr="005B4A4C">
        <w:rPr>
          <w:bCs/>
        </w:rPr>
        <w:t xml:space="preserve">sustainability, </w:t>
      </w:r>
      <w:r w:rsidR="005B4A4C">
        <w:rPr>
          <w:bCs/>
        </w:rPr>
        <w:t>and c</w:t>
      </w:r>
      <w:r w:rsidR="005B4A4C" w:rsidRPr="005B4A4C">
        <w:rPr>
          <w:bCs/>
        </w:rPr>
        <w:t>ultural heritage/development</w:t>
      </w:r>
      <w:r w:rsidR="00903BD8">
        <w:rPr>
          <w:bCs/>
        </w:rPr>
        <w:t xml:space="preserve"> benefits</w:t>
      </w:r>
      <w:r w:rsidR="005B4A4C">
        <w:rPr>
          <w:bCs/>
        </w:rPr>
        <w:t xml:space="preserve">, as well as </w:t>
      </w:r>
      <w:r w:rsidR="00492A49">
        <w:rPr>
          <w:bCs/>
        </w:rPr>
        <w:t xml:space="preserve">additional </w:t>
      </w:r>
      <w:r w:rsidR="005B4A4C">
        <w:rPr>
          <w:bCs/>
        </w:rPr>
        <w:t>benefits to the</w:t>
      </w:r>
      <w:r w:rsidR="00492A49">
        <w:rPr>
          <w:bCs/>
        </w:rPr>
        <w:t xml:space="preserve"> individual</w:t>
      </w:r>
      <w:r w:rsidR="005B4A4C">
        <w:rPr>
          <w:bCs/>
        </w:rPr>
        <w:t xml:space="preserve"> participants and </w:t>
      </w:r>
      <w:r w:rsidR="00492A49">
        <w:rPr>
          <w:bCs/>
        </w:rPr>
        <w:t xml:space="preserve">benefits to the </w:t>
      </w:r>
      <w:r w:rsidR="005B4A4C">
        <w:rPr>
          <w:bCs/>
        </w:rPr>
        <w:t>university, benefits associated with accessing fresh foods, and engagement, attitudes and behaviours for s</w:t>
      </w:r>
      <w:r w:rsidR="005B4A4C" w:rsidRPr="005B4A4C">
        <w:rPr>
          <w:bCs/>
        </w:rPr>
        <w:t>ustainability</w:t>
      </w:r>
      <w:r w:rsidR="005B4A4C">
        <w:rPr>
          <w:bCs/>
        </w:rPr>
        <w:t>.</w:t>
      </w:r>
      <w:r w:rsidR="00181061">
        <w:rPr>
          <w:bCs/>
        </w:rPr>
        <w:t xml:space="preserve"> </w:t>
      </w:r>
      <w:r w:rsidR="00426B59" w:rsidRPr="002F48A3">
        <w:rPr>
          <w:bCs/>
        </w:rPr>
        <w:t xml:space="preserve">Benefits </w:t>
      </w:r>
      <w:r w:rsidR="00426B59" w:rsidRPr="00181061">
        <w:rPr>
          <w:bCs/>
        </w:rPr>
        <w:t>to health, life satisfaction, environmental equity,</w:t>
      </w:r>
      <w:r w:rsidR="00EB6D10">
        <w:rPr>
          <w:bCs/>
        </w:rPr>
        <w:t xml:space="preserve"> reduced crime/</w:t>
      </w:r>
      <w:r w:rsidR="00EB6D10" w:rsidRPr="00181061">
        <w:rPr>
          <w:bCs/>
        </w:rPr>
        <w:t>increased safety</w:t>
      </w:r>
      <w:r w:rsidR="00426B59" w:rsidRPr="00181061">
        <w:rPr>
          <w:bCs/>
        </w:rPr>
        <w:t xml:space="preserve"> and biodiversity</w:t>
      </w:r>
      <w:r w:rsidR="00181061">
        <w:rPr>
          <w:bCs/>
        </w:rPr>
        <w:t xml:space="preserve"> are</w:t>
      </w:r>
      <w:r w:rsidR="0082414E">
        <w:rPr>
          <w:bCs/>
        </w:rPr>
        <w:t xml:space="preserve"> not discussed further</w:t>
      </w:r>
      <w:r w:rsidR="00181061">
        <w:rPr>
          <w:bCs/>
        </w:rPr>
        <w:t xml:space="preserve"> because the</w:t>
      </w:r>
      <w:r w:rsidR="0082414E">
        <w:rPr>
          <w:bCs/>
        </w:rPr>
        <w:t>ir coverage is very</w:t>
      </w:r>
      <w:r w:rsidR="00426B59">
        <w:rPr>
          <w:bCs/>
        </w:rPr>
        <w:t xml:space="preserve"> similar in articles </w:t>
      </w:r>
      <w:r w:rsidR="00426B59" w:rsidRPr="00181061">
        <w:rPr>
          <w:bCs/>
        </w:rPr>
        <w:t xml:space="preserve">about </w:t>
      </w:r>
      <w:r w:rsidR="0082414E">
        <w:rPr>
          <w:bCs/>
        </w:rPr>
        <w:t xml:space="preserve">both </w:t>
      </w:r>
      <w:r w:rsidR="00426B59" w:rsidRPr="00181061">
        <w:rPr>
          <w:bCs/>
        </w:rPr>
        <w:t>UCGS and urban community gardens,</w:t>
      </w:r>
      <w:r w:rsidR="007F46AD">
        <w:rPr>
          <w:bCs/>
        </w:rPr>
        <w:t xml:space="preserve"> and apart from health benefits</w:t>
      </w:r>
      <w:r w:rsidR="00426B59" w:rsidRPr="00181061">
        <w:rPr>
          <w:bCs/>
        </w:rPr>
        <w:t xml:space="preserve"> they were only reported by discussed and/or demonstrat</w:t>
      </w:r>
      <w:r w:rsidR="00EB6D10">
        <w:rPr>
          <w:bCs/>
        </w:rPr>
        <w:t>ed by one or two articles each.</w:t>
      </w:r>
    </w:p>
    <w:p w14:paraId="38AEAAF7" w14:textId="14F8D2F8" w:rsidR="0015488E" w:rsidRPr="0015488E" w:rsidRDefault="003D56AA" w:rsidP="0015488E">
      <w:pPr>
        <w:pStyle w:val="Newparagraph"/>
        <w:rPr>
          <w:bCs/>
        </w:rPr>
      </w:pPr>
      <w:r>
        <w:rPr>
          <w:bCs/>
          <w:i/>
        </w:rPr>
        <w:t>S</w:t>
      </w:r>
      <w:r w:rsidR="0015488E" w:rsidRPr="0015488E">
        <w:rPr>
          <w:bCs/>
          <w:i/>
        </w:rPr>
        <w:t xml:space="preserve">ocial </w:t>
      </w:r>
      <w:r w:rsidR="0015488E" w:rsidRPr="0015488E">
        <w:rPr>
          <w:bCs/>
        </w:rPr>
        <w:t xml:space="preserve">benefits </w:t>
      </w:r>
      <w:r>
        <w:rPr>
          <w:bCs/>
        </w:rPr>
        <w:t>were</w:t>
      </w:r>
      <w:r w:rsidR="002E71F5">
        <w:rPr>
          <w:bCs/>
        </w:rPr>
        <w:t xml:space="preserve"> </w:t>
      </w:r>
      <w:r w:rsidR="002E71F5" w:rsidRPr="00EA4A95">
        <w:rPr>
          <w:bCs/>
          <w:i/>
        </w:rPr>
        <w:t>demonstrated</w:t>
      </w:r>
      <w:r w:rsidR="002E71F5">
        <w:rPr>
          <w:bCs/>
        </w:rPr>
        <w:t xml:space="preserve"> in fourteen (68</w:t>
      </w:r>
      <w:r w:rsidR="0015488E" w:rsidRPr="0015488E">
        <w:rPr>
          <w:bCs/>
        </w:rPr>
        <w:t>%)</w:t>
      </w:r>
      <w:r>
        <w:rPr>
          <w:bCs/>
        </w:rPr>
        <w:t xml:space="preserve"> of the articles about UCGS</w:t>
      </w:r>
      <w:r w:rsidR="0015488E" w:rsidRPr="0015488E">
        <w:rPr>
          <w:bCs/>
        </w:rPr>
        <w:t xml:space="preserve">. The proportion of articles about UCGS with </w:t>
      </w:r>
      <w:r w:rsidR="0015488E" w:rsidRPr="00EA4A95">
        <w:rPr>
          <w:bCs/>
        </w:rPr>
        <w:t>demonstrated</w:t>
      </w:r>
      <w:r w:rsidR="0015488E" w:rsidRPr="0015488E">
        <w:rPr>
          <w:bCs/>
        </w:rPr>
        <w:t xml:space="preserve"> social benefits was more consistent with the amount of </w:t>
      </w:r>
      <w:r w:rsidR="00903BD8">
        <w:rPr>
          <w:bCs/>
        </w:rPr>
        <w:t>articles it was</w:t>
      </w:r>
      <w:r w:rsidR="00903BD8" w:rsidRPr="00EA4A95">
        <w:rPr>
          <w:bCs/>
        </w:rPr>
        <w:t xml:space="preserve"> </w:t>
      </w:r>
      <w:r w:rsidR="00903BD8" w:rsidRPr="00EA4A95">
        <w:rPr>
          <w:bCs/>
          <w:i/>
        </w:rPr>
        <w:t>discussed</w:t>
      </w:r>
      <w:r w:rsidR="00903BD8">
        <w:rPr>
          <w:bCs/>
        </w:rPr>
        <w:t xml:space="preserve"> in </w:t>
      </w:r>
      <w:r w:rsidR="00EA4A95">
        <w:rPr>
          <w:bCs/>
        </w:rPr>
        <w:t>(72</w:t>
      </w:r>
      <w:r w:rsidR="0015488E" w:rsidRPr="0015488E">
        <w:rPr>
          <w:bCs/>
        </w:rPr>
        <w:t xml:space="preserve">%), as compared to the articles about urban community gardens with 60% discussing, but only 38% demonstrating it. The social </w:t>
      </w:r>
      <w:r w:rsidR="00531D0E">
        <w:rPr>
          <w:bCs/>
        </w:rPr>
        <w:t>benefits</w:t>
      </w:r>
      <w:r w:rsidR="0015488E" w:rsidRPr="0015488E">
        <w:rPr>
          <w:bCs/>
        </w:rPr>
        <w:t xml:space="preserve"> </w:t>
      </w:r>
      <w:r w:rsidR="0065440E">
        <w:rPr>
          <w:bCs/>
        </w:rPr>
        <w:t xml:space="preserve">written about </w:t>
      </w:r>
      <w:r w:rsidR="00531D0E">
        <w:rPr>
          <w:bCs/>
        </w:rPr>
        <w:t xml:space="preserve">in the UCGS articles </w:t>
      </w:r>
      <w:r w:rsidR="0015488E" w:rsidRPr="0015488E">
        <w:rPr>
          <w:bCs/>
        </w:rPr>
        <w:t>included</w:t>
      </w:r>
      <w:r w:rsidR="00531D0E">
        <w:rPr>
          <w:bCs/>
        </w:rPr>
        <w:t>:</w:t>
      </w:r>
      <w:r w:rsidR="0015488E" w:rsidRPr="0015488E">
        <w:rPr>
          <w:bCs/>
        </w:rPr>
        <w:t xml:space="preserve"> increased interdisciplinary and faculty-stude</w:t>
      </w:r>
      <w:r w:rsidR="00030559">
        <w:rPr>
          <w:bCs/>
        </w:rPr>
        <w:t>nt interaction</w:t>
      </w:r>
      <w:r w:rsidR="005A1864">
        <w:rPr>
          <w:bCs/>
        </w:rPr>
        <w:t>,</w:t>
      </w:r>
      <w:r w:rsidR="0015488E" w:rsidRPr="0015488E">
        <w:rPr>
          <w:bCs/>
        </w:rPr>
        <w:t xml:space="preserve"> establishing a supportive ‘community’ around a specific issue (ie. sustainable food, health pr</w:t>
      </w:r>
      <w:r w:rsidR="005A1864">
        <w:rPr>
          <w:bCs/>
        </w:rPr>
        <w:t xml:space="preserve">omotion), </w:t>
      </w:r>
      <w:r w:rsidR="0015488E" w:rsidRPr="0015488E">
        <w:rPr>
          <w:bCs/>
        </w:rPr>
        <w:t>connecti</w:t>
      </w:r>
      <w:r w:rsidR="005A1864">
        <w:rPr>
          <w:bCs/>
        </w:rPr>
        <w:t>ng food consumers with growers,</w:t>
      </w:r>
      <w:r w:rsidR="0015488E" w:rsidRPr="0015488E">
        <w:rPr>
          <w:bCs/>
        </w:rPr>
        <w:t xml:space="preserve"> the sharing of ideas </w:t>
      </w:r>
      <w:r w:rsidR="005A1864">
        <w:rPr>
          <w:bCs/>
        </w:rPr>
        <w:t xml:space="preserve">and experiences, </w:t>
      </w:r>
      <w:r w:rsidR="0015488E" w:rsidRPr="0015488E">
        <w:rPr>
          <w:bCs/>
        </w:rPr>
        <w:t>cross-cultura</w:t>
      </w:r>
      <w:r w:rsidR="005A1864">
        <w:rPr>
          <w:bCs/>
        </w:rPr>
        <w:t>l communication,</w:t>
      </w:r>
      <w:r w:rsidR="0015488E" w:rsidRPr="0015488E">
        <w:rPr>
          <w:bCs/>
        </w:rPr>
        <w:t xml:space="preserve"> </w:t>
      </w:r>
      <w:r w:rsidR="00B93345">
        <w:rPr>
          <w:bCs/>
        </w:rPr>
        <w:t>fosteri</w:t>
      </w:r>
      <w:r w:rsidR="005A1864">
        <w:rPr>
          <w:bCs/>
        </w:rPr>
        <w:t>ng a sense of civic engagement</w:t>
      </w:r>
      <w:r w:rsidR="00EA4A95">
        <w:rPr>
          <w:bCs/>
        </w:rPr>
        <w:t>, and developing trust and caring among gardeners</w:t>
      </w:r>
      <w:r w:rsidR="0015488E" w:rsidRPr="0015488E">
        <w:rPr>
          <w:bCs/>
        </w:rPr>
        <w:t>. A number of the articles mentioned how the social interaction in the garden spurred action beyond the garden</w:t>
      </w:r>
      <w:r w:rsidR="00CC059C">
        <w:rPr>
          <w:bCs/>
        </w:rPr>
        <w:t>,</w:t>
      </w:r>
      <w:r w:rsidR="0015488E" w:rsidRPr="0015488E">
        <w:rPr>
          <w:bCs/>
        </w:rPr>
        <w:t xml:space="preserve"> such as participants</w:t>
      </w:r>
      <w:r w:rsidR="0065440E">
        <w:rPr>
          <w:bCs/>
        </w:rPr>
        <w:t xml:space="preserve"> going on to take</w:t>
      </w:r>
      <w:r w:rsidR="0015488E" w:rsidRPr="0015488E">
        <w:rPr>
          <w:bCs/>
        </w:rPr>
        <w:t xml:space="preserve"> courses </w:t>
      </w:r>
      <w:r w:rsidR="0065440E">
        <w:rPr>
          <w:bCs/>
        </w:rPr>
        <w:t>for their</w:t>
      </w:r>
      <w:r w:rsidR="0015488E" w:rsidRPr="0015488E">
        <w:rPr>
          <w:bCs/>
        </w:rPr>
        <w:t xml:space="preserve"> career development</w:t>
      </w:r>
      <w:r w:rsidR="0065440E">
        <w:rPr>
          <w:bCs/>
        </w:rPr>
        <w:t>,</w:t>
      </w:r>
      <w:r w:rsidR="0015488E" w:rsidRPr="0015488E">
        <w:rPr>
          <w:bCs/>
        </w:rPr>
        <w:t xml:space="preserve"> and supporting each o</w:t>
      </w:r>
      <w:r w:rsidR="00F673FA">
        <w:rPr>
          <w:bCs/>
        </w:rPr>
        <w:t>ther in cases of illness and death in the family</w:t>
      </w:r>
      <w:r w:rsidR="0015488E" w:rsidRPr="0015488E">
        <w:rPr>
          <w:bCs/>
        </w:rPr>
        <w:t>.</w:t>
      </w:r>
      <w:r w:rsidR="005A1864" w:rsidRPr="005A1864">
        <w:rPr>
          <w:bCs/>
        </w:rPr>
        <w:t xml:space="preserve"> </w:t>
      </w:r>
      <w:r w:rsidR="00835D35">
        <w:rPr>
          <w:bCs/>
        </w:rPr>
        <w:t>See Table 3</w:t>
      </w:r>
      <w:r w:rsidR="005A1864">
        <w:rPr>
          <w:bCs/>
        </w:rPr>
        <w:t xml:space="preserve"> for the articles that cite these benefits.</w:t>
      </w:r>
    </w:p>
    <w:p w14:paraId="1FE197A1" w14:textId="2F331FB8" w:rsidR="0015488E" w:rsidRPr="0015488E" w:rsidRDefault="0015488E" w:rsidP="0015488E">
      <w:pPr>
        <w:pStyle w:val="Newparagraph"/>
        <w:rPr>
          <w:bCs/>
        </w:rPr>
      </w:pPr>
      <w:r w:rsidRPr="0015488E">
        <w:rPr>
          <w:bCs/>
          <w:i/>
        </w:rPr>
        <w:t xml:space="preserve">Access to fresh food </w:t>
      </w:r>
      <w:r w:rsidR="002F3404">
        <w:rPr>
          <w:bCs/>
        </w:rPr>
        <w:t>was discussed</w:t>
      </w:r>
      <w:r w:rsidR="004031E9">
        <w:rPr>
          <w:bCs/>
        </w:rPr>
        <w:t xml:space="preserve"> </w:t>
      </w:r>
      <w:r w:rsidR="00CC059C">
        <w:rPr>
          <w:bCs/>
        </w:rPr>
        <w:t xml:space="preserve">in </w:t>
      </w:r>
      <w:r w:rsidR="00EA4A95">
        <w:rPr>
          <w:bCs/>
        </w:rPr>
        <w:t>ten (45</w:t>
      </w:r>
      <w:r w:rsidRPr="0015488E">
        <w:rPr>
          <w:bCs/>
        </w:rPr>
        <w:t>%</w:t>
      </w:r>
      <w:r w:rsidR="002F3404">
        <w:rPr>
          <w:bCs/>
        </w:rPr>
        <w:t>), and demonstrated in</w:t>
      </w:r>
      <w:r w:rsidR="00EA4A95">
        <w:rPr>
          <w:bCs/>
        </w:rPr>
        <w:t xml:space="preserve"> six (27</w:t>
      </w:r>
      <w:r w:rsidRPr="0015488E">
        <w:rPr>
          <w:bCs/>
        </w:rPr>
        <w:t>%) of the articles about UCGS. Several of the articles mentioned that the gardens collaborate</w:t>
      </w:r>
      <w:r w:rsidR="001B5AA2">
        <w:rPr>
          <w:bCs/>
        </w:rPr>
        <w:t>d</w:t>
      </w:r>
      <w:r w:rsidRPr="0015488E">
        <w:rPr>
          <w:bCs/>
        </w:rPr>
        <w:t xml:space="preserve"> with </w:t>
      </w:r>
      <w:r w:rsidR="002E0C75">
        <w:rPr>
          <w:bCs/>
        </w:rPr>
        <w:t xml:space="preserve">university </w:t>
      </w:r>
      <w:r w:rsidRPr="0015488E">
        <w:rPr>
          <w:bCs/>
        </w:rPr>
        <w:t>food services to s</w:t>
      </w:r>
      <w:r w:rsidR="00AA04ED">
        <w:rPr>
          <w:bCs/>
        </w:rPr>
        <w:t xml:space="preserve">erve the garden’s produce (Ross 2005, </w:t>
      </w:r>
      <w:r w:rsidR="002E7E88">
        <w:rPr>
          <w:bCs/>
        </w:rPr>
        <w:t>Biernbaum et al. 2006, Wharton and</w:t>
      </w:r>
      <w:r w:rsidR="00AA04ED">
        <w:rPr>
          <w:bCs/>
        </w:rPr>
        <w:t xml:space="preserve"> Harmon 2009, Kobayashi et al.</w:t>
      </w:r>
      <w:r w:rsidRPr="0015488E">
        <w:rPr>
          <w:bCs/>
        </w:rPr>
        <w:t xml:space="preserve"> 2010). One article mentioned that their CSA may contribute to </w:t>
      </w:r>
      <w:r w:rsidR="00CC059C">
        <w:rPr>
          <w:bCs/>
        </w:rPr>
        <w:t>an</w:t>
      </w:r>
      <w:r w:rsidRPr="0015488E">
        <w:rPr>
          <w:bCs/>
        </w:rPr>
        <w:t xml:space="preserve"> emergenc</w:t>
      </w:r>
      <w:r w:rsidR="002E7E88">
        <w:rPr>
          <w:bCs/>
        </w:rPr>
        <w:t>y food system (Wharton and</w:t>
      </w:r>
      <w:r w:rsidR="00AA04ED">
        <w:rPr>
          <w:bCs/>
        </w:rPr>
        <w:t xml:space="preserve"> Harmon</w:t>
      </w:r>
      <w:r w:rsidRPr="0015488E">
        <w:rPr>
          <w:bCs/>
        </w:rPr>
        <w:t xml:space="preserve"> 2009), while others mentioned that gardens can contribute to local fo</w:t>
      </w:r>
      <w:r w:rsidR="00AA04ED">
        <w:rPr>
          <w:bCs/>
        </w:rPr>
        <w:t>od production (Biernbaum et al.</w:t>
      </w:r>
      <w:r w:rsidRPr="0015488E">
        <w:rPr>
          <w:bCs/>
        </w:rPr>
        <w:t xml:space="preserve"> 2006), and growing and gathering traditional food (</w:t>
      </w:r>
      <w:r w:rsidR="002E7E88">
        <w:rPr>
          <w:bCs/>
        </w:rPr>
        <w:t>Mundel and</w:t>
      </w:r>
      <w:r w:rsidR="00AA04ED">
        <w:rPr>
          <w:bCs/>
        </w:rPr>
        <w:t xml:space="preserve"> Chapman</w:t>
      </w:r>
      <w:r w:rsidR="008D6947">
        <w:rPr>
          <w:bCs/>
        </w:rPr>
        <w:t xml:space="preserve"> 2010</w:t>
      </w:r>
      <w:r w:rsidRPr="0015488E">
        <w:rPr>
          <w:bCs/>
        </w:rPr>
        <w:t xml:space="preserve">). Guitart et al. (2012) didn’t look for access to fresh food as a discussed benefit in their review, but </w:t>
      </w:r>
      <w:r w:rsidR="008D6947">
        <w:rPr>
          <w:bCs/>
        </w:rPr>
        <w:t>they</w:t>
      </w:r>
      <w:r w:rsidRPr="0015488E">
        <w:rPr>
          <w:bCs/>
        </w:rPr>
        <w:t xml:space="preserve"> reported </w:t>
      </w:r>
      <w:r w:rsidR="008D6947">
        <w:rPr>
          <w:bCs/>
        </w:rPr>
        <w:t>it as a</w:t>
      </w:r>
      <w:r w:rsidR="008D6947" w:rsidRPr="0015488E">
        <w:rPr>
          <w:bCs/>
        </w:rPr>
        <w:t xml:space="preserve"> demonstrated</w:t>
      </w:r>
      <w:r w:rsidRPr="0015488E">
        <w:rPr>
          <w:bCs/>
        </w:rPr>
        <w:t xml:space="preserve"> benefit in 43% of the article</w:t>
      </w:r>
      <w:r w:rsidR="002E0C75">
        <w:rPr>
          <w:bCs/>
        </w:rPr>
        <w:t xml:space="preserve">s about urban community gardens. </w:t>
      </w:r>
      <w:r w:rsidR="00BC71DA">
        <w:rPr>
          <w:bCs/>
        </w:rPr>
        <w:t>This discrepancy</w:t>
      </w:r>
      <w:r w:rsidR="001B5AA2">
        <w:rPr>
          <w:bCs/>
        </w:rPr>
        <w:t xml:space="preserve"> between the number of UCGS and urban community gardens </w:t>
      </w:r>
      <w:r w:rsidR="00BC71DA">
        <w:rPr>
          <w:bCs/>
        </w:rPr>
        <w:t xml:space="preserve">demonstrating access to fresh food </w:t>
      </w:r>
      <w:r w:rsidRPr="0015488E">
        <w:rPr>
          <w:bCs/>
        </w:rPr>
        <w:t>may be because</w:t>
      </w:r>
      <w:r w:rsidR="00DF14B8">
        <w:rPr>
          <w:bCs/>
        </w:rPr>
        <w:t>,</w:t>
      </w:r>
      <w:r w:rsidR="002F3404">
        <w:rPr>
          <w:bCs/>
        </w:rPr>
        <w:t xml:space="preserve"> while</w:t>
      </w:r>
      <w:r w:rsidRPr="0015488E">
        <w:rPr>
          <w:bCs/>
        </w:rPr>
        <w:t xml:space="preserve"> a number of </w:t>
      </w:r>
      <w:r w:rsidR="002F3404">
        <w:rPr>
          <w:bCs/>
        </w:rPr>
        <w:t xml:space="preserve">the articles about UCGS implied </w:t>
      </w:r>
      <w:r w:rsidR="00181061">
        <w:rPr>
          <w:bCs/>
        </w:rPr>
        <w:t>(</w:t>
      </w:r>
      <w:r w:rsidR="002F3404">
        <w:rPr>
          <w:bCs/>
        </w:rPr>
        <w:t>but did not explicitly state</w:t>
      </w:r>
      <w:r w:rsidR="00181061">
        <w:rPr>
          <w:bCs/>
        </w:rPr>
        <w:t>)</w:t>
      </w:r>
      <w:r w:rsidRPr="0015488E">
        <w:rPr>
          <w:bCs/>
        </w:rPr>
        <w:t xml:space="preserve"> that access</w:t>
      </w:r>
      <w:r w:rsidR="002F3404">
        <w:rPr>
          <w:bCs/>
        </w:rPr>
        <w:t xml:space="preserve"> to fresh foods was a benefit, w</w:t>
      </w:r>
      <w:r w:rsidRPr="0015488E">
        <w:rPr>
          <w:bCs/>
        </w:rPr>
        <w:t xml:space="preserve">e chose not to count these articles as </w:t>
      </w:r>
      <w:r w:rsidR="008D6947">
        <w:rPr>
          <w:bCs/>
        </w:rPr>
        <w:t>demonstrating</w:t>
      </w:r>
      <w:r w:rsidRPr="0015488E">
        <w:rPr>
          <w:bCs/>
        </w:rPr>
        <w:t xml:space="preserve"> access to fresh foods. On the other hand, Guitart et al. (2012) wrote that they “assumed that [access to fresh foods] was a demonstrated benefit” (p. 386), indicating that articles that were not explicit about this benefit may have still </w:t>
      </w:r>
      <w:r w:rsidR="008D6947">
        <w:rPr>
          <w:bCs/>
        </w:rPr>
        <w:t>been counted, accounting for this</w:t>
      </w:r>
      <w:r w:rsidR="004031E9">
        <w:rPr>
          <w:bCs/>
        </w:rPr>
        <w:t xml:space="preserve"> discrepancy</w:t>
      </w:r>
      <w:r w:rsidR="00E15236">
        <w:rPr>
          <w:bCs/>
        </w:rPr>
        <w:t xml:space="preserve"> in the </w:t>
      </w:r>
      <w:r w:rsidR="00E15236" w:rsidRPr="00BC71DA">
        <w:rPr>
          <w:bCs/>
          <w:i/>
        </w:rPr>
        <w:t>demonstrated</w:t>
      </w:r>
      <w:r w:rsidR="00E15236">
        <w:rPr>
          <w:bCs/>
        </w:rPr>
        <w:t xml:space="preserve"> access to fresh food</w:t>
      </w:r>
      <w:r w:rsidR="004031E9">
        <w:rPr>
          <w:bCs/>
        </w:rPr>
        <w:t xml:space="preserve"> between the reviews.</w:t>
      </w:r>
    </w:p>
    <w:p w14:paraId="2C82C36C" w14:textId="12DF093A" w:rsidR="0015488E" w:rsidRPr="0015488E" w:rsidRDefault="0015488E" w:rsidP="0015488E">
      <w:pPr>
        <w:pStyle w:val="Newparagraph"/>
        <w:rPr>
          <w:bCs/>
        </w:rPr>
      </w:pPr>
      <w:r w:rsidRPr="0054795C">
        <w:rPr>
          <w:bCs/>
          <w:i/>
        </w:rPr>
        <w:t>Economic benefits</w:t>
      </w:r>
      <w:r w:rsidRPr="0054795C">
        <w:rPr>
          <w:bCs/>
        </w:rPr>
        <w:t xml:space="preserve"> were discussed in a greater proportion of articles about urban</w:t>
      </w:r>
      <w:r w:rsidRPr="0015488E">
        <w:rPr>
          <w:bCs/>
        </w:rPr>
        <w:t xml:space="preserve"> community gardens (42%)</w:t>
      </w:r>
      <w:r w:rsidR="00D84379">
        <w:rPr>
          <w:bCs/>
        </w:rPr>
        <w:t xml:space="preserve"> than in those about UCGS (27</w:t>
      </w:r>
      <w:r w:rsidR="008D6947">
        <w:rPr>
          <w:bCs/>
        </w:rPr>
        <w:t>%),</w:t>
      </w:r>
      <w:r w:rsidRPr="0015488E">
        <w:rPr>
          <w:bCs/>
        </w:rPr>
        <w:t xml:space="preserve"> </w:t>
      </w:r>
      <w:r w:rsidR="008D6947">
        <w:rPr>
          <w:bCs/>
        </w:rPr>
        <w:t>however they were demonstrated in a similar proportion</w:t>
      </w:r>
      <w:r w:rsidRPr="0015488E">
        <w:rPr>
          <w:bCs/>
        </w:rPr>
        <w:t xml:space="preserve"> (17% i</w:t>
      </w:r>
      <w:r w:rsidR="000C2BE1">
        <w:rPr>
          <w:bCs/>
        </w:rPr>
        <w:t>n urban community gardens and 14</w:t>
      </w:r>
      <w:r w:rsidRPr="0015488E">
        <w:rPr>
          <w:bCs/>
        </w:rPr>
        <w:t xml:space="preserve">% in UCGS). </w:t>
      </w:r>
      <w:r w:rsidR="002E0C75">
        <w:rPr>
          <w:bCs/>
        </w:rPr>
        <w:t xml:space="preserve">In their articles about UCGS, </w:t>
      </w:r>
      <w:r w:rsidRPr="0015488E">
        <w:rPr>
          <w:bCs/>
        </w:rPr>
        <w:t xml:space="preserve">Kobayashi et al. (2010) mentioned the use of a self-sustaining business model, and Wharton and Harmon (2009) said that their CSA distributed economic risk between the farmers and consumers. </w:t>
      </w:r>
      <w:r w:rsidRPr="00482994">
        <w:rPr>
          <w:bCs/>
        </w:rPr>
        <w:t>These economic benefits differ to the ones menti</w:t>
      </w:r>
      <w:r w:rsidR="00A3111E">
        <w:rPr>
          <w:bCs/>
        </w:rPr>
        <w:t xml:space="preserve">oned by Guitart et al. (2012), who described </w:t>
      </w:r>
      <w:r w:rsidRPr="0015488E">
        <w:rPr>
          <w:bCs/>
        </w:rPr>
        <w:t>economic benefits that were more participant-centred, such as indi</w:t>
      </w:r>
      <w:r w:rsidR="00FD7F95">
        <w:rPr>
          <w:bCs/>
        </w:rPr>
        <w:t>viduals saving or making money.</w:t>
      </w:r>
      <w:r w:rsidR="00BC71DA">
        <w:rPr>
          <w:bCs/>
        </w:rPr>
        <w:t xml:space="preserve"> These </w:t>
      </w:r>
      <w:r w:rsidR="00A3111E" w:rsidRPr="0015488E">
        <w:rPr>
          <w:bCs/>
        </w:rPr>
        <w:t>participant-centred</w:t>
      </w:r>
      <w:r w:rsidR="00A3111E">
        <w:rPr>
          <w:bCs/>
        </w:rPr>
        <w:t xml:space="preserve"> economic benefits </w:t>
      </w:r>
      <w:r w:rsidR="00BC71DA">
        <w:rPr>
          <w:bCs/>
        </w:rPr>
        <w:t>were not mentioned in the articles about UCGS.</w:t>
      </w:r>
    </w:p>
    <w:p w14:paraId="2F8FC819" w14:textId="26DE65EE" w:rsidR="0015488E" w:rsidRPr="0015488E" w:rsidRDefault="0015488E" w:rsidP="00A26C7C">
      <w:pPr>
        <w:pStyle w:val="Newparagraph"/>
        <w:tabs>
          <w:tab w:val="left" w:pos="3828"/>
        </w:tabs>
        <w:rPr>
          <w:bCs/>
        </w:rPr>
      </w:pPr>
      <w:r w:rsidRPr="0015488E">
        <w:rPr>
          <w:bCs/>
        </w:rPr>
        <w:t xml:space="preserve">Not unexpectedly, </w:t>
      </w:r>
      <w:r w:rsidRPr="0015488E">
        <w:rPr>
          <w:bCs/>
          <w:i/>
        </w:rPr>
        <w:t>education</w:t>
      </w:r>
      <w:r w:rsidR="0054795C">
        <w:rPr>
          <w:bCs/>
          <w:i/>
        </w:rPr>
        <w:t>al benefits</w:t>
      </w:r>
      <w:r w:rsidRPr="0015488E">
        <w:rPr>
          <w:bCs/>
        </w:rPr>
        <w:t xml:space="preserve"> w</w:t>
      </w:r>
      <w:r w:rsidR="0054795C">
        <w:rPr>
          <w:bCs/>
        </w:rPr>
        <w:t>ere</w:t>
      </w:r>
      <w:r w:rsidRPr="0015488E">
        <w:rPr>
          <w:bCs/>
        </w:rPr>
        <w:t xml:space="preserve"> found to be a key </w:t>
      </w:r>
      <w:r w:rsidR="00DF14B8">
        <w:rPr>
          <w:bCs/>
        </w:rPr>
        <w:t>outcome</w:t>
      </w:r>
      <w:r w:rsidRPr="0015488E">
        <w:rPr>
          <w:bCs/>
        </w:rPr>
        <w:t xml:space="preserve"> of UCGS. </w:t>
      </w:r>
      <w:r w:rsidR="0054795C">
        <w:rPr>
          <w:bCs/>
        </w:rPr>
        <w:t>These were</w:t>
      </w:r>
      <w:r w:rsidR="00181061">
        <w:rPr>
          <w:bCs/>
        </w:rPr>
        <w:t xml:space="preserve"> </w:t>
      </w:r>
      <w:r w:rsidRPr="0015488E">
        <w:rPr>
          <w:bCs/>
        </w:rPr>
        <w:t>discussed in all but one of the articles</w:t>
      </w:r>
      <w:r w:rsidR="00A26C7C">
        <w:rPr>
          <w:bCs/>
        </w:rPr>
        <w:t>, while</w:t>
      </w:r>
      <w:r w:rsidRPr="0015488E">
        <w:rPr>
          <w:bCs/>
        </w:rPr>
        <w:t xml:space="preserve"> fourt</w:t>
      </w:r>
      <w:r w:rsidR="00D84379">
        <w:rPr>
          <w:bCs/>
        </w:rPr>
        <w:t>een articles demonstrated it (73</w:t>
      </w:r>
      <w:r w:rsidRPr="0015488E">
        <w:rPr>
          <w:bCs/>
        </w:rPr>
        <w:t>%). This is in contrast to only 34% of articles about urban community gardens that discussed and 13% that demonstr</w:t>
      </w:r>
      <w:r w:rsidR="00770BD8">
        <w:rPr>
          <w:bCs/>
        </w:rPr>
        <w:t>ated educational benefits. S</w:t>
      </w:r>
      <w:r w:rsidRPr="0015488E">
        <w:rPr>
          <w:bCs/>
        </w:rPr>
        <w:t xml:space="preserve">ome of the different aspects of education mentioned </w:t>
      </w:r>
      <w:r w:rsidR="00A26C7C">
        <w:rPr>
          <w:bCs/>
        </w:rPr>
        <w:t>in the articles about UCGS were the development of skills</w:t>
      </w:r>
      <w:r w:rsidRPr="0015488E">
        <w:rPr>
          <w:bCs/>
        </w:rPr>
        <w:t xml:space="preserve">, inter-/multi-disciplinary education, </w:t>
      </w:r>
      <w:r w:rsidR="00CF47CA">
        <w:rPr>
          <w:bCs/>
        </w:rPr>
        <w:t xml:space="preserve">science, </w:t>
      </w:r>
      <w:r w:rsidRPr="0015488E">
        <w:rPr>
          <w:bCs/>
        </w:rPr>
        <w:t>sustainability</w:t>
      </w:r>
      <w:r w:rsidR="00CF47CA">
        <w:rPr>
          <w:bCs/>
        </w:rPr>
        <w:t>, and environmental</w:t>
      </w:r>
      <w:r w:rsidRPr="0015488E">
        <w:rPr>
          <w:bCs/>
        </w:rPr>
        <w:t xml:space="preserve"> education</w:t>
      </w:r>
      <w:r w:rsidR="00D55925">
        <w:rPr>
          <w:bCs/>
        </w:rPr>
        <w:t xml:space="preserve">, </w:t>
      </w:r>
      <w:r w:rsidRPr="0015488E">
        <w:rPr>
          <w:bCs/>
        </w:rPr>
        <w:t>and improved outcomes of academic work</w:t>
      </w:r>
      <w:r w:rsidR="00A3111E">
        <w:rPr>
          <w:bCs/>
        </w:rPr>
        <w:t xml:space="preserve"> (see Table </w:t>
      </w:r>
      <w:r w:rsidR="00835D35">
        <w:rPr>
          <w:bCs/>
        </w:rPr>
        <w:t>4</w:t>
      </w:r>
      <w:r w:rsidR="00A3111E">
        <w:rPr>
          <w:bCs/>
        </w:rPr>
        <w:t>)</w:t>
      </w:r>
      <w:r w:rsidRPr="0015488E">
        <w:rPr>
          <w:bCs/>
        </w:rPr>
        <w:t xml:space="preserve">.  Some articles </w:t>
      </w:r>
      <w:r w:rsidR="0090423D">
        <w:rPr>
          <w:bCs/>
        </w:rPr>
        <w:t>mentioned the role of the UCGS</w:t>
      </w:r>
      <w:r w:rsidRPr="0015488E">
        <w:rPr>
          <w:bCs/>
        </w:rPr>
        <w:t xml:space="preserve"> in </w:t>
      </w:r>
      <w:r w:rsidR="00CF47CA">
        <w:rPr>
          <w:bCs/>
        </w:rPr>
        <w:t xml:space="preserve">linking formal and informal learning, </w:t>
      </w:r>
      <w:r w:rsidRPr="0015488E">
        <w:rPr>
          <w:bCs/>
        </w:rPr>
        <w:t>changing participants’ attitudes towards ‘education</w:t>
      </w:r>
      <w:r w:rsidR="00CF47CA">
        <w:rPr>
          <w:bCs/>
        </w:rPr>
        <w:t>,</w:t>
      </w:r>
      <w:r w:rsidRPr="0015488E">
        <w:rPr>
          <w:bCs/>
        </w:rPr>
        <w:t>’ and increasing their agency in their own education through using more informal methods (such as experiential learning</w:t>
      </w:r>
      <w:r w:rsidR="0090423D">
        <w:rPr>
          <w:bCs/>
        </w:rPr>
        <w:t xml:space="preserve"> and using the garden as an outdoor classroom</w:t>
      </w:r>
      <w:r w:rsidRPr="0015488E">
        <w:rPr>
          <w:bCs/>
        </w:rPr>
        <w:t xml:space="preserve">), </w:t>
      </w:r>
      <w:r w:rsidR="00CF47CA">
        <w:rPr>
          <w:bCs/>
        </w:rPr>
        <w:t xml:space="preserve">thereby </w:t>
      </w:r>
      <w:r w:rsidRPr="0015488E">
        <w:rPr>
          <w:bCs/>
        </w:rPr>
        <w:t>enabling participants to take a more active role in their education</w:t>
      </w:r>
      <w:r w:rsidR="00D55925">
        <w:rPr>
          <w:bCs/>
        </w:rPr>
        <w:t>,</w:t>
      </w:r>
      <w:r w:rsidRPr="0015488E">
        <w:rPr>
          <w:bCs/>
        </w:rPr>
        <w:t xml:space="preserve"> in effect, ‘learning how to learn’. Many of these are educational approaches that are consistent with Education for </w:t>
      </w:r>
      <w:r w:rsidR="00492A49">
        <w:rPr>
          <w:bCs/>
        </w:rPr>
        <w:t>Sustainability (EfS</w:t>
      </w:r>
      <w:r w:rsidR="003120A8">
        <w:rPr>
          <w:bCs/>
        </w:rPr>
        <w:t>;</w:t>
      </w:r>
      <w:r w:rsidR="00492A49">
        <w:rPr>
          <w:bCs/>
        </w:rPr>
        <w:t xml:space="preserve"> also known as Education for Sustainable Development (ESD)</w:t>
      </w:r>
      <w:r w:rsidRPr="0015488E">
        <w:rPr>
          <w:bCs/>
        </w:rPr>
        <w:t>), “the process of equipping students with the knowledge and understanding, skills and attributes needed to work and live in a way that safeguards environmental, social and economic wellbeing, both in the present and for future gener</w:t>
      </w:r>
      <w:r w:rsidR="00AA04ED">
        <w:rPr>
          <w:bCs/>
        </w:rPr>
        <w:t>ations” (QAA</w:t>
      </w:r>
      <w:r w:rsidRPr="0015488E">
        <w:rPr>
          <w:bCs/>
        </w:rPr>
        <w:t xml:space="preserve"> 2014), and the Freirean tradition of critical pedagogy</w:t>
      </w:r>
      <w:r w:rsidR="00A26C7C">
        <w:rPr>
          <w:bCs/>
        </w:rPr>
        <w:t xml:space="preserve"> (</w:t>
      </w:r>
      <w:r w:rsidR="00770BD8">
        <w:rPr>
          <w:bCs/>
        </w:rPr>
        <w:t>which has</w:t>
      </w:r>
      <w:r w:rsidR="00A26C7C">
        <w:rPr>
          <w:bCs/>
        </w:rPr>
        <w:t xml:space="preserve"> had a strong influence on E</w:t>
      </w:r>
      <w:r w:rsidR="00492A49">
        <w:rPr>
          <w:bCs/>
        </w:rPr>
        <w:t>fS</w:t>
      </w:r>
      <w:r w:rsidR="00A26C7C">
        <w:rPr>
          <w:bCs/>
        </w:rPr>
        <w:t>)</w:t>
      </w:r>
      <w:r w:rsidRPr="0015488E">
        <w:rPr>
          <w:bCs/>
        </w:rPr>
        <w:t xml:space="preserve">, in which the </w:t>
      </w:r>
      <w:r w:rsidRPr="00AA04ED">
        <w:rPr>
          <w:bCs/>
        </w:rPr>
        <w:t>role of the teacher is a</w:t>
      </w:r>
      <w:r w:rsidR="00174B1A">
        <w:rPr>
          <w:bCs/>
        </w:rPr>
        <w:t>s</w:t>
      </w:r>
      <w:r w:rsidRPr="00AA04ED">
        <w:rPr>
          <w:bCs/>
        </w:rPr>
        <w:t xml:space="preserve"> facilitator, and the student is encouraged to think critically and take ownership of their learning (Freir</w:t>
      </w:r>
      <w:r w:rsidR="00AA04ED" w:rsidRPr="00AA04ED">
        <w:rPr>
          <w:bCs/>
        </w:rPr>
        <w:t>e</w:t>
      </w:r>
      <w:r w:rsidRPr="00AA04ED">
        <w:rPr>
          <w:bCs/>
        </w:rPr>
        <w:t xml:space="preserve"> 2000). </w:t>
      </w:r>
      <w:r w:rsidR="00A2216B" w:rsidRPr="00A3111E">
        <w:rPr>
          <w:bCs/>
        </w:rPr>
        <w:t xml:space="preserve">This highlights that there is a much under-used potential for greater educational benefits in </w:t>
      </w:r>
      <w:r w:rsidR="0009208A">
        <w:rPr>
          <w:bCs/>
        </w:rPr>
        <w:t xml:space="preserve">the informal learning spaces of </w:t>
      </w:r>
      <w:r w:rsidR="00A2216B" w:rsidRPr="00A3111E">
        <w:rPr>
          <w:bCs/>
        </w:rPr>
        <w:t xml:space="preserve">urban community gardens. It is also apparent that UCGS are beginning to play an increasing and important role in the </w:t>
      </w:r>
      <w:r w:rsidR="00492A49">
        <w:rPr>
          <w:bCs/>
        </w:rPr>
        <w:t>EfS</w:t>
      </w:r>
      <w:r w:rsidR="00A2216B" w:rsidRPr="00A3111E">
        <w:rPr>
          <w:bCs/>
        </w:rPr>
        <w:t xml:space="preserve"> agenda in universities</w:t>
      </w:r>
      <w:r w:rsidR="00A2216B">
        <w:rPr>
          <w:bCs/>
        </w:rPr>
        <w:t xml:space="preserve">. </w:t>
      </w:r>
      <w:r w:rsidRPr="00AA04ED">
        <w:rPr>
          <w:bCs/>
        </w:rPr>
        <w:t>Given that</w:t>
      </w:r>
      <w:r w:rsidR="00174B1A">
        <w:rPr>
          <w:bCs/>
        </w:rPr>
        <w:t xml:space="preserve"> education</w:t>
      </w:r>
      <w:r w:rsidRPr="00AA04ED">
        <w:rPr>
          <w:bCs/>
        </w:rPr>
        <w:t xml:space="preserve"> </w:t>
      </w:r>
      <w:r w:rsidR="00174B1A">
        <w:rPr>
          <w:bCs/>
        </w:rPr>
        <w:t xml:space="preserve">is </w:t>
      </w:r>
      <w:r w:rsidRPr="00AA04ED">
        <w:rPr>
          <w:bCs/>
        </w:rPr>
        <w:t>an international priority for moving towards a sustainable society</w:t>
      </w:r>
      <w:r w:rsidR="003120A8">
        <w:rPr>
          <w:bCs/>
        </w:rPr>
        <w:t xml:space="preserve"> </w:t>
      </w:r>
      <w:r w:rsidR="003120A8" w:rsidRPr="00AA04ED">
        <w:rPr>
          <w:bCs/>
        </w:rPr>
        <w:t>(UNCED 1992, Wals 2012)</w:t>
      </w:r>
      <w:r w:rsidRPr="00AA04ED">
        <w:rPr>
          <w:bCs/>
        </w:rPr>
        <w:t>, strategies are needed fo</w:t>
      </w:r>
      <w:r w:rsidR="00770BD8" w:rsidRPr="00AA04ED">
        <w:rPr>
          <w:bCs/>
        </w:rPr>
        <w:t xml:space="preserve">r embedding </w:t>
      </w:r>
      <w:r w:rsidR="00174B1A">
        <w:rPr>
          <w:bCs/>
        </w:rPr>
        <w:t xml:space="preserve">sustainability </w:t>
      </w:r>
      <w:r w:rsidR="00770BD8" w:rsidRPr="00AA04ED">
        <w:rPr>
          <w:bCs/>
        </w:rPr>
        <w:t>in Higher E</w:t>
      </w:r>
      <w:r w:rsidRPr="00AA04ED">
        <w:rPr>
          <w:bCs/>
        </w:rPr>
        <w:t>ducation</w:t>
      </w:r>
      <w:r w:rsidR="00770BD8" w:rsidRPr="00AA04ED">
        <w:rPr>
          <w:bCs/>
        </w:rPr>
        <w:t xml:space="preserve"> (HE)</w:t>
      </w:r>
      <w:r w:rsidR="00174B1A">
        <w:rPr>
          <w:bCs/>
        </w:rPr>
        <w:t xml:space="preserve">, and </w:t>
      </w:r>
      <w:r w:rsidR="00492A49">
        <w:rPr>
          <w:bCs/>
        </w:rPr>
        <w:t>EfS</w:t>
      </w:r>
      <w:r w:rsidR="00174B1A">
        <w:rPr>
          <w:bCs/>
        </w:rPr>
        <w:t xml:space="preserve"> outside of formal educational institutions</w:t>
      </w:r>
      <w:r w:rsidRPr="00AA04ED">
        <w:rPr>
          <w:bCs/>
        </w:rPr>
        <w:t>.</w:t>
      </w:r>
      <w:r w:rsidR="00A3111E">
        <w:rPr>
          <w:bCs/>
        </w:rPr>
        <w:t xml:space="preserve"> </w:t>
      </w:r>
      <w:r w:rsidRPr="00AA04ED">
        <w:rPr>
          <w:bCs/>
        </w:rPr>
        <w:t xml:space="preserve">UCGS </w:t>
      </w:r>
      <w:r w:rsidR="00174B1A">
        <w:rPr>
          <w:bCs/>
        </w:rPr>
        <w:t xml:space="preserve">and </w:t>
      </w:r>
      <w:r w:rsidR="003120A8">
        <w:rPr>
          <w:bCs/>
        </w:rPr>
        <w:t xml:space="preserve">other types of </w:t>
      </w:r>
      <w:r w:rsidR="00BC71DA">
        <w:rPr>
          <w:bCs/>
        </w:rPr>
        <w:t>c</w:t>
      </w:r>
      <w:r w:rsidR="00174B1A">
        <w:rPr>
          <w:bCs/>
        </w:rPr>
        <w:t xml:space="preserve">ommunity </w:t>
      </w:r>
      <w:r w:rsidR="00BC71DA">
        <w:rPr>
          <w:bCs/>
        </w:rPr>
        <w:t>g</w:t>
      </w:r>
      <w:r w:rsidR="00174B1A">
        <w:rPr>
          <w:bCs/>
        </w:rPr>
        <w:t>ardens can contribute to this activity</w:t>
      </w:r>
      <w:r w:rsidRPr="00AA04ED">
        <w:rPr>
          <w:bCs/>
        </w:rPr>
        <w:t>.</w:t>
      </w:r>
      <w:r w:rsidRPr="0015488E">
        <w:rPr>
          <w:bCs/>
        </w:rPr>
        <w:t xml:space="preserve"> </w:t>
      </w:r>
    </w:p>
    <w:p w14:paraId="39FC33F6" w14:textId="164DCC2A" w:rsidR="0015488E" w:rsidRPr="0015488E" w:rsidRDefault="0015488E" w:rsidP="0015488E">
      <w:pPr>
        <w:pStyle w:val="Newparagraph"/>
        <w:rPr>
          <w:bCs/>
        </w:rPr>
      </w:pPr>
      <w:r w:rsidRPr="0015488E">
        <w:rPr>
          <w:bCs/>
        </w:rPr>
        <w:t xml:space="preserve">Several articles also mentioned cultural aspects of education </w:t>
      </w:r>
      <w:r w:rsidR="0054795C">
        <w:rPr>
          <w:bCs/>
        </w:rPr>
        <w:t>related to</w:t>
      </w:r>
      <w:r w:rsidR="0054795C" w:rsidRPr="0015488E">
        <w:rPr>
          <w:bCs/>
        </w:rPr>
        <w:t xml:space="preserve"> </w:t>
      </w:r>
      <w:r w:rsidRPr="0015488E">
        <w:rPr>
          <w:bCs/>
        </w:rPr>
        <w:t>the UCGS. For example, Shan and Walter (2015) say that one of the gardens they investigated enabled learning that fostered “knowing, connecting, and hybrid knowledge production across cultures” (in their case, between ‘westerners’ and Chinese immigrants) (p. 19). Mundel and Chapman (2010</w:t>
      </w:r>
      <w:r w:rsidR="00F1040E">
        <w:rPr>
          <w:bCs/>
        </w:rPr>
        <w:t>, p.172</w:t>
      </w:r>
      <w:r w:rsidRPr="0015488E">
        <w:rPr>
          <w:bCs/>
        </w:rPr>
        <w:t>) also mentioned how non-aboriginal students participating in a garden used for aboriginal health promotion provided the students with insight into “challenges facing colonized people”.</w:t>
      </w:r>
      <w:r w:rsidR="0054795C">
        <w:rPr>
          <w:bCs/>
        </w:rPr>
        <w:t xml:space="preserve">  The importance of such cultural exchanges and learning will vary between gardens, but</w:t>
      </w:r>
      <w:r w:rsidR="00DF14B8">
        <w:rPr>
          <w:bCs/>
        </w:rPr>
        <w:t xml:space="preserve"> the</w:t>
      </w:r>
      <w:r w:rsidR="0054795C">
        <w:rPr>
          <w:bCs/>
        </w:rPr>
        <w:t xml:space="preserve"> </w:t>
      </w:r>
      <w:r w:rsidR="00CF47CA">
        <w:rPr>
          <w:bCs/>
        </w:rPr>
        <w:t xml:space="preserve">articles highlight </w:t>
      </w:r>
      <w:r w:rsidR="0054795C">
        <w:rPr>
          <w:bCs/>
        </w:rPr>
        <w:t>the potential of these spaces for cultural understanding.</w:t>
      </w:r>
      <w:r w:rsidR="00300625">
        <w:rPr>
          <w:bCs/>
        </w:rPr>
        <w:t xml:space="preserve"> </w:t>
      </w:r>
      <w:r w:rsidR="0009208A">
        <w:rPr>
          <w:bCs/>
        </w:rPr>
        <w:t>However, i</w:t>
      </w:r>
      <w:r w:rsidR="00300625">
        <w:rPr>
          <w:bCs/>
        </w:rPr>
        <w:t>t</w:t>
      </w:r>
      <w:r w:rsidR="00300625" w:rsidRPr="00300625">
        <w:rPr>
          <w:bCs/>
        </w:rPr>
        <w:t xml:space="preserve"> should</w:t>
      </w:r>
      <w:r w:rsidR="00300625">
        <w:rPr>
          <w:bCs/>
        </w:rPr>
        <w:t xml:space="preserve"> also</w:t>
      </w:r>
      <w:r w:rsidR="00300625" w:rsidRPr="00300625">
        <w:rPr>
          <w:bCs/>
        </w:rPr>
        <w:t xml:space="preserve"> be noted that gardens are</w:t>
      </w:r>
      <w:r w:rsidR="00174B1A">
        <w:rPr>
          <w:bCs/>
        </w:rPr>
        <w:t xml:space="preserve"> not</w:t>
      </w:r>
      <w:r w:rsidR="00300625" w:rsidRPr="00300625">
        <w:rPr>
          <w:bCs/>
        </w:rPr>
        <w:t xml:space="preserve"> </w:t>
      </w:r>
      <w:r w:rsidR="00300625" w:rsidRPr="004E09BF">
        <w:rPr>
          <w:bCs/>
          <w:i/>
        </w:rPr>
        <w:t>de facto</w:t>
      </w:r>
      <w:r w:rsidR="00300625" w:rsidRPr="00300625">
        <w:rPr>
          <w:bCs/>
        </w:rPr>
        <w:t xml:space="preserve"> intercultural educational spaces – cultural and racial tension</w:t>
      </w:r>
      <w:r w:rsidR="00300625">
        <w:rPr>
          <w:bCs/>
        </w:rPr>
        <w:t>s from other aspects of society</w:t>
      </w:r>
      <w:r w:rsidR="00300625" w:rsidRPr="00300625">
        <w:rPr>
          <w:bCs/>
        </w:rPr>
        <w:t xml:space="preserve"> can be replicated in the garden environment </w:t>
      </w:r>
      <w:r w:rsidR="00300625">
        <w:rPr>
          <w:bCs/>
        </w:rPr>
        <w:t>(</w:t>
      </w:r>
      <w:r w:rsidR="00F1040E">
        <w:rPr>
          <w:bCs/>
        </w:rPr>
        <w:t>Mundel and</w:t>
      </w:r>
      <w:r w:rsidR="00DF14B8">
        <w:rPr>
          <w:bCs/>
        </w:rPr>
        <w:t xml:space="preserve"> Chapman 2010</w:t>
      </w:r>
      <w:r w:rsidR="00300625">
        <w:rPr>
          <w:bCs/>
        </w:rPr>
        <w:t>)</w:t>
      </w:r>
      <w:r w:rsidR="00300625" w:rsidRPr="00300625">
        <w:rPr>
          <w:bCs/>
        </w:rPr>
        <w:t>.</w:t>
      </w:r>
    </w:p>
    <w:p w14:paraId="1B6225C8" w14:textId="6FEE0B99" w:rsidR="0015488E" w:rsidRPr="0015488E" w:rsidRDefault="0015488E" w:rsidP="005E51F4">
      <w:pPr>
        <w:pStyle w:val="Newparagraph"/>
        <w:rPr>
          <w:bCs/>
        </w:rPr>
      </w:pPr>
      <w:r w:rsidRPr="0015488E">
        <w:rPr>
          <w:bCs/>
          <w:i/>
        </w:rPr>
        <w:t>Environmental sustainability</w:t>
      </w:r>
      <w:r w:rsidRPr="0015488E">
        <w:rPr>
          <w:bCs/>
        </w:rPr>
        <w:t xml:space="preserve"> was a</w:t>
      </w:r>
      <w:r w:rsidR="000C2BE1">
        <w:rPr>
          <w:bCs/>
        </w:rPr>
        <w:t xml:space="preserve"> discussed benefit in </w:t>
      </w:r>
      <w:r w:rsidR="005E51F4">
        <w:rPr>
          <w:bCs/>
        </w:rPr>
        <w:t>twelve (55</w:t>
      </w:r>
      <w:r w:rsidRPr="0015488E">
        <w:rPr>
          <w:bCs/>
        </w:rPr>
        <w:t xml:space="preserve">%) of the articles about UCGS. This is much </w:t>
      </w:r>
      <w:r w:rsidR="0090423D">
        <w:rPr>
          <w:bCs/>
        </w:rPr>
        <w:t xml:space="preserve">more </w:t>
      </w:r>
      <w:r w:rsidRPr="0015488E">
        <w:rPr>
          <w:bCs/>
        </w:rPr>
        <w:t xml:space="preserve">than the 22% of articles </w:t>
      </w:r>
      <w:r w:rsidR="00E07454" w:rsidRPr="0015488E">
        <w:rPr>
          <w:bCs/>
        </w:rPr>
        <w:t xml:space="preserve">reported </w:t>
      </w:r>
      <w:r w:rsidR="00E07454">
        <w:rPr>
          <w:bCs/>
        </w:rPr>
        <w:t xml:space="preserve">to have </w:t>
      </w:r>
      <w:r w:rsidR="00E07454" w:rsidRPr="0015488E">
        <w:rPr>
          <w:bCs/>
        </w:rPr>
        <w:t xml:space="preserve">discussed environmental sustainability </w:t>
      </w:r>
      <w:r w:rsidR="00E07454">
        <w:rPr>
          <w:bCs/>
        </w:rPr>
        <w:t xml:space="preserve">in Guitart’s </w:t>
      </w:r>
      <w:r w:rsidR="00CA106E">
        <w:rPr>
          <w:bCs/>
        </w:rPr>
        <w:t xml:space="preserve">(2012) </w:t>
      </w:r>
      <w:r w:rsidR="00E07454">
        <w:rPr>
          <w:bCs/>
        </w:rPr>
        <w:t xml:space="preserve">study of </w:t>
      </w:r>
      <w:r w:rsidRPr="0015488E">
        <w:rPr>
          <w:bCs/>
        </w:rPr>
        <w:t>urban communi</w:t>
      </w:r>
      <w:r w:rsidR="00CA106E">
        <w:rPr>
          <w:bCs/>
        </w:rPr>
        <w:t>ty gardens</w:t>
      </w:r>
      <w:r w:rsidR="00BC71DA">
        <w:rPr>
          <w:bCs/>
        </w:rPr>
        <w:t xml:space="preserve">, an expected result given that the inclusion criteria for this review included sustainability (see Table 1 and </w:t>
      </w:r>
      <w:r w:rsidR="00835D35">
        <w:rPr>
          <w:bCs/>
        </w:rPr>
        <w:t>2</w:t>
      </w:r>
      <w:r w:rsidR="00BC71DA">
        <w:rPr>
          <w:bCs/>
        </w:rPr>
        <w:t>)</w:t>
      </w:r>
      <w:r w:rsidRPr="0015488E">
        <w:rPr>
          <w:bCs/>
        </w:rPr>
        <w:t xml:space="preserve">. However, </w:t>
      </w:r>
      <w:r w:rsidR="00CA106E">
        <w:rPr>
          <w:bCs/>
        </w:rPr>
        <w:t xml:space="preserve">the disparity in numbers </w:t>
      </w:r>
      <w:r w:rsidR="0009208A">
        <w:rPr>
          <w:bCs/>
        </w:rPr>
        <w:t xml:space="preserve">of </w:t>
      </w:r>
      <w:r w:rsidR="00CA106E">
        <w:rPr>
          <w:bCs/>
        </w:rPr>
        <w:t>discussed and demonstrated benefits in articles about urban community gardens is</w:t>
      </w:r>
      <w:r w:rsidRPr="0015488E">
        <w:rPr>
          <w:bCs/>
        </w:rPr>
        <w:t xml:space="preserve"> </w:t>
      </w:r>
      <w:r w:rsidR="000C2BE1">
        <w:rPr>
          <w:bCs/>
        </w:rPr>
        <w:t>consistent with the fact that 2</w:t>
      </w:r>
      <w:r w:rsidR="005E51F4">
        <w:rPr>
          <w:bCs/>
        </w:rPr>
        <w:t>7</w:t>
      </w:r>
      <w:r w:rsidRPr="0015488E">
        <w:rPr>
          <w:bCs/>
        </w:rPr>
        <w:t xml:space="preserve">% of articles about UCGS </w:t>
      </w:r>
      <w:r w:rsidR="005E51F4">
        <w:rPr>
          <w:bCs/>
        </w:rPr>
        <w:t xml:space="preserve">(elaborated on below) </w:t>
      </w:r>
      <w:r w:rsidRPr="0015488E">
        <w:rPr>
          <w:bCs/>
        </w:rPr>
        <w:t xml:space="preserve">and only 2% of articles about urban community gardens </w:t>
      </w:r>
      <w:r w:rsidRPr="005E51F4">
        <w:rPr>
          <w:bCs/>
        </w:rPr>
        <w:t>demonstrated</w:t>
      </w:r>
      <w:r w:rsidRPr="00DF14B8">
        <w:rPr>
          <w:bCs/>
          <w:i/>
        </w:rPr>
        <w:t xml:space="preserve"> </w:t>
      </w:r>
      <w:r w:rsidRPr="0015488E">
        <w:rPr>
          <w:bCs/>
        </w:rPr>
        <w:t>environmental su</w:t>
      </w:r>
      <w:r w:rsidR="00AA04ED">
        <w:rPr>
          <w:bCs/>
        </w:rPr>
        <w:t>stain</w:t>
      </w:r>
      <w:r w:rsidR="00F1040E">
        <w:rPr>
          <w:bCs/>
        </w:rPr>
        <w:t>ability (Stocker and</w:t>
      </w:r>
      <w:r w:rsidR="00CA106E">
        <w:rPr>
          <w:bCs/>
        </w:rPr>
        <w:t xml:space="preserve"> Barnett 1998;</w:t>
      </w:r>
      <w:r w:rsidR="00AA04ED">
        <w:rPr>
          <w:bCs/>
        </w:rPr>
        <w:t xml:space="preserve"> Holland</w:t>
      </w:r>
      <w:r w:rsidRPr="0015488E">
        <w:rPr>
          <w:bCs/>
        </w:rPr>
        <w:t xml:space="preserve"> 2004). The most commonly mentioned contribution to environmental sustainability in the articles about UCGS was the use of organic farming </w:t>
      </w:r>
      <w:r w:rsidR="003120A8">
        <w:rPr>
          <w:bCs/>
        </w:rPr>
        <w:t>or gardening methods, but other gardens</w:t>
      </w:r>
      <w:r w:rsidRPr="0015488E">
        <w:rPr>
          <w:bCs/>
        </w:rPr>
        <w:t xml:space="preserve"> were </w:t>
      </w:r>
      <w:r w:rsidR="003120A8">
        <w:rPr>
          <w:bCs/>
        </w:rPr>
        <w:t xml:space="preserve">improving </w:t>
      </w:r>
      <w:r w:rsidRPr="0015488E">
        <w:rPr>
          <w:bCs/>
        </w:rPr>
        <w:t>environmental conditions</w:t>
      </w:r>
      <w:r w:rsidR="00770BD8">
        <w:rPr>
          <w:bCs/>
        </w:rPr>
        <w:t xml:space="preserve"> in other ways</w:t>
      </w:r>
      <w:r w:rsidRPr="0015488E">
        <w:rPr>
          <w:bCs/>
        </w:rPr>
        <w:t>, such as through ecological restoration</w:t>
      </w:r>
      <w:r w:rsidR="00DE2BF3">
        <w:rPr>
          <w:bCs/>
        </w:rPr>
        <w:t xml:space="preserve"> (</w:t>
      </w:r>
      <w:r w:rsidR="00931F70">
        <w:rPr>
          <w:bCs/>
        </w:rPr>
        <w:t>Hock</w:t>
      </w:r>
      <w:r w:rsidR="00AA04ED">
        <w:rPr>
          <w:bCs/>
        </w:rPr>
        <w:t>enberry Meyer et al.</w:t>
      </w:r>
      <w:r w:rsidR="00931F70">
        <w:rPr>
          <w:bCs/>
        </w:rPr>
        <w:t xml:space="preserve"> 2010)</w:t>
      </w:r>
      <w:r w:rsidRPr="0015488E">
        <w:rPr>
          <w:bCs/>
        </w:rPr>
        <w:t>, bioremediation</w:t>
      </w:r>
      <w:r w:rsidR="00AA04ED">
        <w:rPr>
          <w:bCs/>
        </w:rPr>
        <w:t xml:space="preserve"> (Hockenberry Meyer et al.</w:t>
      </w:r>
      <w:r w:rsidR="00931F70">
        <w:rPr>
          <w:bCs/>
        </w:rPr>
        <w:t xml:space="preserve"> 2010)</w:t>
      </w:r>
      <w:r w:rsidRPr="0015488E">
        <w:rPr>
          <w:bCs/>
        </w:rPr>
        <w:t>, and growing endangered plant species</w:t>
      </w:r>
      <w:r w:rsidR="00F1040E">
        <w:rPr>
          <w:bCs/>
        </w:rPr>
        <w:t xml:space="preserve"> (Lewis and</w:t>
      </w:r>
      <w:r w:rsidR="00AA04ED">
        <w:rPr>
          <w:bCs/>
        </w:rPr>
        <w:t xml:space="preserve"> Affolter</w:t>
      </w:r>
      <w:r w:rsidR="00931F70">
        <w:rPr>
          <w:bCs/>
        </w:rPr>
        <w:t xml:space="preserve"> 1999)</w:t>
      </w:r>
      <w:r w:rsidRPr="0015488E">
        <w:rPr>
          <w:bCs/>
        </w:rPr>
        <w:t>.</w:t>
      </w:r>
      <w:r w:rsidR="00BC71DA" w:rsidRPr="0015488E">
        <w:rPr>
          <w:bCs/>
        </w:rPr>
        <w:t xml:space="preserve"> </w:t>
      </w:r>
    </w:p>
    <w:p w14:paraId="35109953" w14:textId="12242334" w:rsidR="00E30B17" w:rsidRDefault="0015488E" w:rsidP="003F3883">
      <w:pPr>
        <w:pStyle w:val="Newparagraph"/>
        <w:rPr>
          <w:bCs/>
        </w:rPr>
      </w:pPr>
      <w:r w:rsidRPr="0015488E">
        <w:rPr>
          <w:bCs/>
        </w:rPr>
        <w:t xml:space="preserve">One of the challenges faced while identifying the themes from the articles was determining what constitutes environmental sustainability in community gardens. We decided that environmental sustainability benefits </w:t>
      </w:r>
      <w:r w:rsidR="0081315B">
        <w:rPr>
          <w:bCs/>
        </w:rPr>
        <w:t>exclude</w:t>
      </w:r>
      <w:r w:rsidR="00770BD8">
        <w:rPr>
          <w:bCs/>
        </w:rPr>
        <w:t>d</w:t>
      </w:r>
      <w:r w:rsidRPr="0015488E">
        <w:rPr>
          <w:bCs/>
        </w:rPr>
        <w:t xml:space="preserve"> those that may have been caused by </w:t>
      </w:r>
      <w:r w:rsidR="00181061">
        <w:rPr>
          <w:bCs/>
        </w:rPr>
        <w:t xml:space="preserve">reported </w:t>
      </w:r>
      <w:r w:rsidRPr="0015488E">
        <w:rPr>
          <w:bCs/>
        </w:rPr>
        <w:t xml:space="preserve">dietary changes (ie. the displacement of unsustainable food products in participants’ or other benefactors’ diets by food </w:t>
      </w:r>
      <w:r w:rsidR="0081315B">
        <w:rPr>
          <w:bCs/>
        </w:rPr>
        <w:t xml:space="preserve">produced more sustainably in </w:t>
      </w:r>
      <w:r w:rsidRPr="0015488E">
        <w:rPr>
          <w:bCs/>
        </w:rPr>
        <w:t>the garden)</w:t>
      </w:r>
      <w:r w:rsidR="009E0B0E">
        <w:rPr>
          <w:bCs/>
        </w:rPr>
        <w:t xml:space="preserve"> because the links between </w:t>
      </w:r>
      <w:r w:rsidRPr="0015488E">
        <w:rPr>
          <w:bCs/>
        </w:rPr>
        <w:t>dietary changes and en</w:t>
      </w:r>
      <w:r w:rsidR="0081315B">
        <w:rPr>
          <w:bCs/>
        </w:rPr>
        <w:t>vironmental sustainability is too</w:t>
      </w:r>
      <w:r w:rsidRPr="0015488E">
        <w:rPr>
          <w:bCs/>
        </w:rPr>
        <w:t xml:space="preserve"> complex to know whether or not it actually has contributed to environmental sustainability</w:t>
      </w:r>
      <w:r w:rsidR="0081315B">
        <w:rPr>
          <w:bCs/>
        </w:rPr>
        <w:t xml:space="preserve"> without doing </w:t>
      </w:r>
      <w:r w:rsidR="009E0B0E">
        <w:rPr>
          <w:bCs/>
        </w:rPr>
        <w:t xml:space="preserve">a lifecycle analysis of the food. </w:t>
      </w:r>
      <w:r w:rsidR="00B432EE">
        <w:rPr>
          <w:bCs/>
        </w:rPr>
        <w:t>Although there is clearly potential for environmental sustainability benefits from community gardens, the literature is limited particularly in terms o</w:t>
      </w:r>
      <w:r w:rsidR="00E30B17">
        <w:rPr>
          <w:bCs/>
        </w:rPr>
        <w:t>f demonstrating these benefits</w:t>
      </w:r>
      <w:r w:rsidR="0009208A">
        <w:rPr>
          <w:bCs/>
        </w:rPr>
        <w:t xml:space="preserve">, probably because it can be difficult </w:t>
      </w:r>
      <w:r w:rsidR="0009208A" w:rsidRPr="004E09BF">
        <w:rPr>
          <w:bCs/>
        </w:rPr>
        <w:t>to</w:t>
      </w:r>
      <w:r w:rsidR="0009208A">
        <w:rPr>
          <w:bCs/>
        </w:rPr>
        <w:t xml:space="preserve"> demonstrate these benefits.</w:t>
      </w:r>
    </w:p>
    <w:p w14:paraId="62C4AD21" w14:textId="2B2CDD97" w:rsidR="0015488E" w:rsidRPr="0015488E" w:rsidRDefault="0015488E" w:rsidP="003F3883">
      <w:pPr>
        <w:pStyle w:val="Newparagraph"/>
        <w:rPr>
          <w:bCs/>
        </w:rPr>
      </w:pPr>
      <w:r w:rsidRPr="0015488E">
        <w:rPr>
          <w:bCs/>
        </w:rPr>
        <w:t xml:space="preserve">Guitart et al. (2012) </w:t>
      </w:r>
      <w:r w:rsidR="00B432EE">
        <w:rPr>
          <w:bCs/>
        </w:rPr>
        <w:t xml:space="preserve">suggest that two main questions need to be addressed </w:t>
      </w:r>
      <w:r w:rsidRPr="0015488E">
        <w:rPr>
          <w:bCs/>
        </w:rPr>
        <w:t xml:space="preserve">in order to establish whether </w:t>
      </w:r>
      <w:r w:rsidR="00F452E9">
        <w:rPr>
          <w:bCs/>
        </w:rPr>
        <w:t>food</w:t>
      </w:r>
      <w:r w:rsidR="00BC71DA">
        <w:rPr>
          <w:bCs/>
        </w:rPr>
        <w:t xml:space="preserve"> </w:t>
      </w:r>
      <w:r w:rsidR="00F452E9">
        <w:rPr>
          <w:bCs/>
        </w:rPr>
        <w:t xml:space="preserve">growing </w:t>
      </w:r>
      <w:r w:rsidRPr="0015488E">
        <w:rPr>
          <w:bCs/>
        </w:rPr>
        <w:t>projects can be considered ‘sustainable’</w:t>
      </w:r>
      <w:r w:rsidR="000D47A7">
        <w:rPr>
          <w:bCs/>
        </w:rPr>
        <w:t>.</w:t>
      </w:r>
      <w:r w:rsidR="009E0B0E">
        <w:rPr>
          <w:bCs/>
        </w:rPr>
        <w:t xml:space="preserve"> </w:t>
      </w:r>
      <w:r w:rsidR="000D47A7">
        <w:rPr>
          <w:bCs/>
        </w:rPr>
        <w:t>T</w:t>
      </w:r>
      <w:r w:rsidR="00B432EE">
        <w:rPr>
          <w:bCs/>
        </w:rPr>
        <w:t xml:space="preserve">hese are (1) </w:t>
      </w:r>
      <w:r w:rsidRPr="0015488E">
        <w:rPr>
          <w:bCs/>
        </w:rPr>
        <w:t xml:space="preserve">‘What do gardens grow?’ to explore agro-biodiversity, and </w:t>
      </w:r>
      <w:r w:rsidR="00B432EE">
        <w:rPr>
          <w:bCs/>
        </w:rPr>
        <w:t xml:space="preserve">(2) </w:t>
      </w:r>
      <w:r w:rsidRPr="0015488E">
        <w:rPr>
          <w:bCs/>
        </w:rPr>
        <w:t>‘How is the food grown?’ to explore “the sustainability of garde</w:t>
      </w:r>
      <w:r w:rsidR="00AA04ED">
        <w:rPr>
          <w:bCs/>
        </w:rPr>
        <w:t>ning practices” (Guitart et al.</w:t>
      </w:r>
      <w:r w:rsidRPr="0015488E">
        <w:rPr>
          <w:bCs/>
        </w:rPr>
        <w:t xml:space="preserve"> 2012, p. 369). </w:t>
      </w:r>
      <w:r w:rsidR="00412EB2">
        <w:rPr>
          <w:bCs/>
        </w:rPr>
        <w:t xml:space="preserve">Recently </w:t>
      </w:r>
      <w:r w:rsidRPr="0015488E">
        <w:rPr>
          <w:bCs/>
        </w:rPr>
        <w:t xml:space="preserve">there have been some innovative </w:t>
      </w:r>
      <w:r w:rsidR="00931F70">
        <w:rPr>
          <w:bCs/>
        </w:rPr>
        <w:t>attempts</w:t>
      </w:r>
      <w:r w:rsidR="0013034D">
        <w:rPr>
          <w:bCs/>
        </w:rPr>
        <w:t xml:space="preserve"> </w:t>
      </w:r>
      <w:r w:rsidRPr="0015488E">
        <w:rPr>
          <w:bCs/>
        </w:rPr>
        <w:t xml:space="preserve">to </w:t>
      </w:r>
      <w:r w:rsidR="004E09BF">
        <w:rPr>
          <w:bCs/>
        </w:rPr>
        <w:t>demonstrate</w:t>
      </w:r>
      <w:r w:rsidR="0009208A">
        <w:rPr>
          <w:bCs/>
        </w:rPr>
        <w:t xml:space="preserve"> the benefits in these</w:t>
      </w:r>
      <w:r w:rsidR="00B432EE">
        <w:rPr>
          <w:bCs/>
        </w:rPr>
        <w:t xml:space="preserve"> two areas</w:t>
      </w:r>
      <w:r w:rsidRPr="0015488E">
        <w:rPr>
          <w:bCs/>
        </w:rPr>
        <w:t xml:space="preserve">. </w:t>
      </w:r>
      <w:r w:rsidR="00B432EE">
        <w:rPr>
          <w:bCs/>
        </w:rPr>
        <w:t xml:space="preserve">For example, </w:t>
      </w:r>
      <w:r w:rsidRPr="0015488E">
        <w:rPr>
          <w:bCs/>
        </w:rPr>
        <w:t>Guitart et al. (2014, 2015) have assessed the agrobiodiversity in community gardens by ex</w:t>
      </w:r>
      <w:r w:rsidR="000D47A7">
        <w:rPr>
          <w:bCs/>
        </w:rPr>
        <w:t>ploring the types of food planted</w:t>
      </w:r>
      <w:r w:rsidRPr="0015488E">
        <w:rPr>
          <w:bCs/>
        </w:rPr>
        <w:t xml:space="preserve"> </w:t>
      </w:r>
      <w:r w:rsidR="009E0B0E">
        <w:rPr>
          <w:bCs/>
        </w:rPr>
        <w:t>using</w:t>
      </w:r>
      <w:r w:rsidRPr="0015488E">
        <w:rPr>
          <w:bCs/>
        </w:rPr>
        <w:t xml:space="preserve"> a colour-classification system, </w:t>
      </w:r>
      <w:r w:rsidR="000D47A7">
        <w:rPr>
          <w:bCs/>
        </w:rPr>
        <w:t>and have</w:t>
      </w:r>
      <w:r w:rsidRPr="0015488E">
        <w:rPr>
          <w:bCs/>
        </w:rPr>
        <w:t xml:space="preserve"> investigated gardening practices used in community gardens and their ecological integrity. Silva and Krasny (2014) have also suggested that open-access online tools for measuring impacts and outcomes of community gardens should be used</w:t>
      </w:r>
      <w:r w:rsidR="00B432EE">
        <w:rPr>
          <w:bCs/>
        </w:rPr>
        <w:t xml:space="preserve"> (such as </w:t>
      </w:r>
      <w:r w:rsidR="00B432EE" w:rsidRPr="0015488E">
        <w:rPr>
          <w:bCs/>
        </w:rPr>
        <w:t>Farming Concrete’s Data Collection Toolkit</w:t>
      </w:r>
      <w:r w:rsidR="00B432EE">
        <w:rPr>
          <w:bCs/>
        </w:rPr>
        <w:t xml:space="preserve"> (Design Trust for Public Space n.d)</w:t>
      </w:r>
      <w:r w:rsidRPr="0015488E">
        <w:rPr>
          <w:bCs/>
        </w:rPr>
        <w:t>, as well as</w:t>
      </w:r>
      <w:r w:rsidR="0013034D">
        <w:rPr>
          <w:bCs/>
        </w:rPr>
        <w:t xml:space="preserve"> </w:t>
      </w:r>
      <w:r w:rsidRPr="0015488E">
        <w:rPr>
          <w:bCs/>
        </w:rPr>
        <w:t>practitioner-researcher partnerships for more in depth investigations</w:t>
      </w:r>
      <w:r w:rsidR="00B432EE">
        <w:rPr>
          <w:bCs/>
        </w:rPr>
        <w:t xml:space="preserve"> into the environmental sustainability benefits of these gardens</w:t>
      </w:r>
      <w:r w:rsidR="009E0B0E">
        <w:rPr>
          <w:bCs/>
        </w:rPr>
        <w:t>.</w:t>
      </w:r>
    </w:p>
    <w:p w14:paraId="2E32B889" w14:textId="0C4DAE6A" w:rsidR="0015488E" w:rsidRPr="0015488E" w:rsidRDefault="0081315B" w:rsidP="0015488E">
      <w:pPr>
        <w:pStyle w:val="Newparagraph"/>
        <w:rPr>
          <w:bCs/>
        </w:rPr>
      </w:pPr>
      <w:r>
        <w:rPr>
          <w:bCs/>
          <w:i/>
        </w:rPr>
        <w:t>Cultural heritage/d</w:t>
      </w:r>
      <w:r w:rsidR="0015488E" w:rsidRPr="0015488E">
        <w:rPr>
          <w:bCs/>
          <w:i/>
        </w:rPr>
        <w:t>evelopment</w:t>
      </w:r>
      <w:r w:rsidR="0015488E" w:rsidRPr="0015488E">
        <w:rPr>
          <w:bCs/>
        </w:rPr>
        <w:t xml:space="preserve"> </w:t>
      </w:r>
      <w:r w:rsidR="00363434">
        <w:rPr>
          <w:bCs/>
        </w:rPr>
        <w:t xml:space="preserve">benefits </w:t>
      </w:r>
      <w:r w:rsidR="000C2BE1">
        <w:rPr>
          <w:bCs/>
        </w:rPr>
        <w:t>w</w:t>
      </w:r>
      <w:r w:rsidR="00363434">
        <w:rPr>
          <w:bCs/>
        </w:rPr>
        <w:t>ere</w:t>
      </w:r>
      <w:r w:rsidR="000C2BE1">
        <w:rPr>
          <w:bCs/>
        </w:rPr>
        <w:t xml:space="preserve"> discussed in </w:t>
      </w:r>
      <w:r w:rsidR="00412EB2">
        <w:rPr>
          <w:bCs/>
        </w:rPr>
        <w:t>six (27</w:t>
      </w:r>
      <w:r w:rsidR="0015488E" w:rsidRPr="0015488E">
        <w:rPr>
          <w:bCs/>
        </w:rPr>
        <w:t xml:space="preserve">%) articles about UCGS, </w:t>
      </w:r>
      <w:r w:rsidR="00452A30">
        <w:rPr>
          <w:bCs/>
        </w:rPr>
        <w:t xml:space="preserve">with </w:t>
      </w:r>
      <w:r w:rsidR="00412EB2">
        <w:rPr>
          <w:bCs/>
        </w:rPr>
        <w:t>five (23</w:t>
      </w:r>
      <w:r w:rsidR="0015488E" w:rsidRPr="0015488E">
        <w:rPr>
          <w:bCs/>
        </w:rPr>
        <w:t xml:space="preserve">%) demonstrating </w:t>
      </w:r>
      <w:r w:rsidR="00363434">
        <w:rPr>
          <w:bCs/>
        </w:rPr>
        <w:t>these</w:t>
      </w:r>
      <w:r w:rsidR="0015488E" w:rsidRPr="0015488E">
        <w:rPr>
          <w:bCs/>
        </w:rPr>
        <w:t>. Cultural heritage benefits</w:t>
      </w:r>
      <w:r w:rsidR="00DF14B8">
        <w:rPr>
          <w:rStyle w:val="FootnoteReference"/>
          <w:bCs/>
        </w:rPr>
        <w:footnoteReference w:id="4"/>
      </w:r>
      <w:r w:rsidR="0015488E" w:rsidRPr="0015488E">
        <w:rPr>
          <w:bCs/>
        </w:rPr>
        <w:t xml:space="preserve"> were discussed in 18% of the articles about urban community gardens and demonstrated in 7%.</w:t>
      </w:r>
      <w:r w:rsidR="00E30B17">
        <w:rPr>
          <w:bCs/>
        </w:rPr>
        <w:t xml:space="preserve"> The term ‘cultural heritage’ implies “</w:t>
      </w:r>
      <w:r w:rsidR="00E30B17" w:rsidRPr="0015488E">
        <w:rPr>
          <w:bCs/>
        </w:rPr>
        <w:t>racial and ethnic boundaries</w:t>
      </w:r>
      <w:r w:rsidR="000D7D32">
        <w:rPr>
          <w:bCs/>
        </w:rPr>
        <w:t xml:space="preserve"> [are frozen]</w:t>
      </w:r>
      <w:r w:rsidR="00E30B17" w:rsidRPr="0015488E">
        <w:rPr>
          <w:bCs/>
        </w:rPr>
        <w:t xml:space="preserve"> in time” (</w:t>
      </w:r>
      <w:r w:rsidR="00F1040E">
        <w:rPr>
          <w:bCs/>
        </w:rPr>
        <w:t>Shan and</w:t>
      </w:r>
      <w:r w:rsidR="00E30B17">
        <w:rPr>
          <w:bCs/>
        </w:rPr>
        <w:t xml:space="preserve"> Walter, 2015, </w:t>
      </w:r>
      <w:r w:rsidR="000D7D32">
        <w:rPr>
          <w:bCs/>
        </w:rPr>
        <w:t>p. 2), whereas, in reality, culture is dynamic and changing. We chose to adapt Guitart et al.’s (2012)</w:t>
      </w:r>
      <w:r w:rsidR="00E30B17">
        <w:rPr>
          <w:bCs/>
        </w:rPr>
        <w:t xml:space="preserve"> </w:t>
      </w:r>
      <w:r w:rsidR="000D7D32">
        <w:rPr>
          <w:bCs/>
        </w:rPr>
        <w:t>category, calling it c</w:t>
      </w:r>
      <w:r w:rsidR="000D7D32" w:rsidRPr="000D7D32">
        <w:rPr>
          <w:bCs/>
        </w:rPr>
        <w:t>ultural heritage/development</w:t>
      </w:r>
      <w:r w:rsidR="000D7D32">
        <w:rPr>
          <w:bCs/>
        </w:rPr>
        <w:t xml:space="preserve"> to account for ongoing changes in culture.</w:t>
      </w:r>
    </w:p>
    <w:p w14:paraId="6ADE28AC" w14:textId="071BF3AB" w:rsidR="0015488E" w:rsidRPr="0015488E" w:rsidRDefault="0015488E" w:rsidP="0015488E">
      <w:pPr>
        <w:pStyle w:val="Newparagraph"/>
        <w:rPr>
          <w:bCs/>
        </w:rPr>
      </w:pPr>
      <w:r w:rsidRPr="0015488E">
        <w:rPr>
          <w:bCs/>
        </w:rPr>
        <w:t xml:space="preserve">Some of the benefits associated with cultural heritage/development in UCGS </w:t>
      </w:r>
      <w:r w:rsidR="00023E0D">
        <w:rPr>
          <w:bCs/>
        </w:rPr>
        <w:t>included</w:t>
      </w:r>
      <w:r w:rsidR="00023E0D" w:rsidRPr="0015488E">
        <w:rPr>
          <w:bCs/>
        </w:rPr>
        <w:t xml:space="preserve"> </w:t>
      </w:r>
      <w:r w:rsidRPr="0015488E">
        <w:rPr>
          <w:bCs/>
        </w:rPr>
        <w:t>using traditional methods and techniques of growing, cooking and eating associated with a particular culture and</w:t>
      </w:r>
      <w:r w:rsidR="00452A30">
        <w:rPr>
          <w:bCs/>
        </w:rPr>
        <w:t>/or time</w:t>
      </w:r>
      <w:r w:rsidR="00F1040E">
        <w:rPr>
          <w:bCs/>
        </w:rPr>
        <w:t xml:space="preserve"> period (Lewis and Affolter 1999, Mundel and</w:t>
      </w:r>
      <w:r w:rsidR="00AA04ED">
        <w:rPr>
          <w:bCs/>
        </w:rPr>
        <w:t xml:space="preserve"> Chapman</w:t>
      </w:r>
      <w:r w:rsidRPr="0015488E">
        <w:rPr>
          <w:bCs/>
        </w:rPr>
        <w:t xml:space="preserve"> 2010), accessing culturally ap</w:t>
      </w:r>
      <w:r w:rsidR="00AA04ED">
        <w:rPr>
          <w:bCs/>
        </w:rPr>
        <w:t xml:space="preserve">propriate food </w:t>
      </w:r>
      <w:r w:rsidR="009E0B0E">
        <w:rPr>
          <w:bCs/>
        </w:rPr>
        <w:t xml:space="preserve">not available in supermarkets </w:t>
      </w:r>
      <w:r w:rsidR="00AA04ED">
        <w:rPr>
          <w:bCs/>
        </w:rPr>
        <w:t>(Somerset et al.</w:t>
      </w:r>
      <w:r w:rsidRPr="0015488E">
        <w:rPr>
          <w:bCs/>
        </w:rPr>
        <w:t xml:space="preserve"> 2010), re-establishing and developing traditions and </w:t>
      </w:r>
      <w:r w:rsidR="00AA04ED">
        <w:rPr>
          <w:bCs/>
        </w:rPr>
        <w:t>identities</w:t>
      </w:r>
      <w:r w:rsidR="00DF14B8">
        <w:rPr>
          <w:bCs/>
        </w:rPr>
        <w:t xml:space="preserve"> of migrants</w:t>
      </w:r>
      <w:r w:rsidR="00F1040E">
        <w:rPr>
          <w:bCs/>
        </w:rPr>
        <w:t xml:space="preserve"> (Shan and</w:t>
      </w:r>
      <w:r w:rsidR="00AA04ED">
        <w:rPr>
          <w:bCs/>
        </w:rPr>
        <w:t xml:space="preserve"> Walter</w:t>
      </w:r>
      <w:r w:rsidRPr="0015488E">
        <w:rPr>
          <w:bCs/>
        </w:rPr>
        <w:t xml:space="preserve"> 2015), sharing</w:t>
      </w:r>
      <w:r w:rsidR="00AA04ED">
        <w:rPr>
          <w:bCs/>
        </w:rPr>
        <w:t xml:space="preserve"> memories and stories</w:t>
      </w:r>
      <w:r w:rsidR="00DF14B8">
        <w:rPr>
          <w:bCs/>
        </w:rPr>
        <w:t xml:space="preserve"> of Aboriginal people</w:t>
      </w:r>
      <w:r w:rsidR="00AA04ED">
        <w:rPr>
          <w:bCs/>
        </w:rPr>
        <w:t xml:space="preserve"> (Phillips</w:t>
      </w:r>
      <w:r w:rsidRPr="0015488E">
        <w:rPr>
          <w:bCs/>
        </w:rPr>
        <w:t xml:space="preserve"> 2011), and reducing</w:t>
      </w:r>
      <w:r w:rsidR="00AA04ED">
        <w:rPr>
          <w:bCs/>
        </w:rPr>
        <w:t xml:space="preserve"> ethnic tension</w:t>
      </w:r>
      <w:r w:rsidR="000D7D32">
        <w:rPr>
          <w:bCs/>
        </w:rPr>
        <w:t>s</w:t>
      </w:r>
      <w:r w:rsidR="00AA04ED">
        <w:rPr>
          <w:bCs/>
        </w:rPr>
        <w:t xml:space="preserve"> (Hoffman et al.</w:t>
      </w:r>
      <w:r w:rsidRPr="0015488E">
        <w:rPr>
          <w:bCs/>
        </w:rPr>
        <w:t xml:space="preserve"> 2007</w:t>
      </w:r>
      <w:r w:rsidR="00DF14B8">
        <w:rPr>
          <w:bCs/>
        </w:rPr>
        <w:t>, Datta 2016</w:t>
      </w:r>
      <w:r w:rsidRPr="0015488E">
        <w:rPr>
          <w:bCs/>
        </w:rPr>
        <w:t>). Guitart et al. (2012</w:t>
      </w:r>
      <w:r w:rsidR="00F1040E">
        <w:rPr>
          <w:bCs/>
        </w:rPr>
        <w:t xml:space="preserve">, </w:t>
      </w:r>
      <w:r w:rsidR="00F1040E" w:rsidRPr="0015488E">
        <w:rPr>
          <w:bCs/>
        </w:rPr>
        <w:t>p. 368</w:t>
      </w:r>
      <w:r w:rsidRPr="0015488E">
        <w:rPr>
          <w:bCs/>
        </w:rPr>
        <w:t xml:space="preserve">) found that most of the research about urban community gardens was about gardens in “low income earning areas with different cultural backgrounds in industrial cities in the USA”. </w:t>
      </w:r>
      <w:r w:rsidR="000D7D32">
        <w:rPr>
          <w:bCs/>
        </w:rPr>
        <w:t>There was much less written about the class of the participants in the literature about UCGS</w:t>
      </w:r>
      <w:r w:rsidR="000D7D32" w:rsidRPr="000D7D32">
        <w:rPr>
          <w:bCs/>
        </w:rPr>
        <w:t xml:space="preserve"> </w:t>
      </w:r>
      <w:r w:rsidR="000D7D32">
        <w:rPr>
          <w:bCs/>
        </w:rPr>
        <w:t>(likely due in large part to the fact that</w:t>
      </w:r>
      <w:r w:rsidR="000D7D32" w:rsidRPr="0015488E">
        <w:rPr>
          <w:bCs/>
        </w:rPr>
        <w:t xml:space="preserve"> most of the gardens are l</w:t>
      </w:r>
      <w:r w:rsidR="000D7D32">
        <w:rPr>
          <w:bCs/>
        </w:rPr>
        <w:t xml:space="preserve">ocated on university campuses), though </w:t>
      </w:r>
      <w:r w:rsidR="00DF14B8">
        <w:rPr>
          <w:bCs/>
        </w:rPr>
        <w:t xml:space="preserve">seven </w:t>
      </w:r>
      <w:r w:rsidR="000D7D32">
        <w:rPr>
          <w:bCs/>
        </w:rPr>
        <w:t>articles mentioned involving participants of varying cultural backgrounds.</w:t>
      </w:r>
    </w:p>
    <w:p w14:paraId="67CB4492" w14:textId="41258BE5" w:rsidR="0015488E" w:rsidRPr="0015488E" w:rsidRDefault="00954012" w:rsidP="0015488E">
      <w:pPr>
        <w:pStyle w:val="Newparagraph"/>
        <w:rPr>
          <w:bCs/>
        </w:rPr>
      </w:pPr>
      <w:r>
        <w:rPr>
          <w:bCs/>
          <w:i/>
        </w:rPr>
        <w:t>Additional individual b</w:t>
      </w:r>
      <w:r w:rsidR="0015488E" w:rsidRPr="003A53FD">
        <w:rPr>
          <w:bCs/>
          <w:i/>
        </w:rPr>
        <w:t>enefits to participants</w:t>
      </w:r>
      <w:r w:rsidR="000C2BE1" w:rsidRPr="003A53FD">
        <w:rPr>
          <w:bCs/>
        </w:rPr>
        <w:t xml:space="preserve"> were discussed</w:t>
      </w:r>
      <w:r w:rsidR="000C2BE1">
        <w:rPr>
          <w:bCs/>
        </w:rPr>
        <w:t xml:space="preserve"> in </w:t>
      </w:r>
      <w:r w:rsidR="00C657D8">
        <w:rPr>
          <w:bCs/>
        </w:rPr>
        <w:t xml:space="preserve">thirteen </w:t>
      </w:r>
      <w:r w:rsidR="000C2BE1">
        <w:rPr>
          <w:bCs/>
        </w:rPr>
        <w:t>(</w:t>
      </w:r>
      <w:r w:rsidR="00C657D8">
        <w:rPr>
          <w:bCs/>
        </w:rPr>
        <w:t>59</w:t>
      </w:r>
      <w:r w:rsidR="0015488E" w:rsidRPr="0015488E">
        <w:rPr>
          <w:bCs/>
        </w:rPr>
        <w:t>%) articles about UCGS, an</w:t>
      </w:r>
      <w:r w:rsidR="00C657D8">
        <w:rPr>
          <w:bCs/>
        </w:rPr>
        <w:t>d were demonstrated in nine (41</w:t>
      </w:r>
      <w:r w:rsidR="0015488E" w:rsidRPr="0015488E">
        <w:rPr>
          <w:bCs/>
        </w:rPr>
        <w:t>%). These benefits</w:t>
      </w:r>
      <w:r>
        <w:rPr>
          <w:bCs/>
        </w:rPr>
        <w:t xml:space="preserve"> were those that were of benefit to an individual</w:t>
      </w:r>
      <w:r w:rsidR="00E8536F">
        <w:rPr>
          <w:bCs/>
        </w:rPr>
        <w:t xml:space="preserve"> and were additional to those included in Guitart et al’s. (2012) study.  The benefits cited</w:t>
      </w:r>
      <w:r w:rsidR="0015488E" w:rsidRPr="0015488E">
        <w:rPr>
          <w:bCs/>
        </w:rPr>
        <w:t xml:space="preserve"> included s</w:t>
      </w:r>
      <w:r w:rsidR="00C01B13">
        <w:rPr>
          <w:bCs/>
        </w:rPr>
        <w:t>kill development</w:t>
      </w:r>
      <w:r w:rsidR="0015488E" w:rsidRPr="0015488E">
        <w:rPr>
          <w:bCs/>
        </w:rPr>
        <w:t>, professional developmen</w:t>
      </w:r>
      <w:r w:rsidR="00C01B13">
        <w:rPr>
          <w:bCs/>
        </w:rPr>
        <w:t>t and mentoring</w:t>
      </w:r>
      <w:r w:rsidR="0015488E" w:rsidRPr="0015488E">
        <w:rPr>
          <w:bCs/>
        </w:rPr>
        <w:t>, decreased food s</w:t>
      </w:r>
      <w:r w:rsidR="00C01B13">
        <w:rPr>
          <w:bCs/>
        </w:rPr>
        <w:t>hopping trips</w:t>
      </w:r>
      <w:r w:rsidR="0015488E" w:rsidRPr="0015488E">
        <w:rPr>
          <w:bCs/>
        </w:rPr>
        <w:t>, the enjoyment of contact with nature an</w:t>
      </w:r>
      <w:r w:rsidR="00C01B13">
        <w:rPr>
          <w:bCs/>
        </w:rPr>
        <w:t>d food growing</w:t>
      </w:r>
      <w:r w:rsidR="00A756BC">
        <w:rPr>
          <w:bCs/>
        </w:rPr>
        <w:t xml:space="preserve">, </w:t>
      </w:r>
      <w:r w:rsidR="00C01B13">
        <w:rPr>
          <w:bCs/>
        </w:rPr>
        <w:t>academic improvement</w:t>
      </w:r>
      <w:r w:rsidR="0015488E" w:rsidRPr="0015488E">
        <w:rPr>
          <w:bCs/>
        </w:rPr>
        <w:t xml:space="preserve">, and developing </w:t>
      </w:r>
      <w:r w:rsidR="00C01B13">
        <w:rPr>
          <w:bCs/>
        </w:rPr>
        <w:t>a sense of place</w:t>
      </w:r>
      <w:r w:rsidR="00835D35">
        <w:rPr>
          <w:bCs/>
        </w:rPr>
        <w:t xml:space="preserve"> (see Table 5)</w:t>
      </w:r>
      <w:r w:rsidR="0015488E" w:rsidRPr="0015488E">
        <w:rPr>
          <w:bCs/>
        </w:rPr>
        <w:t>.</w:t>
      </w:r>
      <w:r w:rsidR="001147B8">
        <w:rPr>
          <w:bCs/>
        </w:rPr>
        <w:t xml:space="preserve"> </w:t>
      </w:r>
      <w:r w:rsidR="00E8536F">
        <w:rPr>
          <w:bCs/>
        </w:rPr>
        <w:t xml:space="preserve">Although </w:t>
      </w:r>
      <w:r w:rsidR="001147B8">
        <w:rPr>
          <w:bCs/>
        </w:rPr>
        <w:t xml:space="preserve">Guitart et al. (2012) </w:t>
      </w:r>
      <w:r w:rsidR="00E32217">
        <w:rPr>
          <w:bCs/>
        </w:rPr>
        <w:t xml:space="preserve">did not </w:t>
      </w:r>
      <w:r w:rsidR="00E8536F">
        <w:rPr>
          <w:bCs/>
        </w:rPr>
        <w:t xml:space="preserve">include these benefits explicitly, </w:t>
      </w:r>
      <w:r w:rsidR="006F38EC">
        <w:rPr>
          <w:bCs/>
        </w:rPr>
        <w:t>they may have characterized some similar benefits as those associated with</w:t>
      </w:r>
      <w:r w:rsidR="001147B8">
        <w:rPr>
          <w:bCs/>
        </w:rPr>
        <w:t xml:space="preserve"> ‘life satisfaction’.</w:t>
      </w:r>
    </w:p>
    <w:p w14:paraId="7C127911" w14:textId="731DF5D8" w:rsidR="0015488E" w:rsidRPr="0015488E" w:rsidRDefault="001147B8" w:rsidP="00F52034">
      <w:pPr>
        <w:pStyle w:val="Newparagraph"/>
        <w:rPr>
          <w:bCs/>
        </w:rPr>
      </w:pPr>
      <w:r>
        <w:rPr>
          <w:bCs/>
        </w:rPr>
        <w:t>Thirteen</w:t>
      </w:r>
      <w:r w:rsidR="00C643CF">
        <w:rPr>
          <w:bCs/>
        </w:rPr>
        <w:t xml:space="preserve"> (59</w:t>
      </w:r>
      <w:r w:rsidR="0015488E" w:rsidRPr="0015488E">
        <w:rPr>
          <w:bCs/>
        </w:rPr>
        <w:t xml:space="preserve">%) of the articles about UCGS discussed </w:t>
      </w:r>
      <w:r w:rsidR="0015488E" w:rsidRPr="0015488E">
        <w:rPr>
          <w:bCs/>
          <w:i/>
        </w:rPr>
        <w:t>benefits to the university</w:t>
      </w:r>
      <w:r>
        <w:rPr>
          <w:bCs/>
        </w:rPr>
        <w:t xml:space="preserve">, and </w:t>
      </w:r>
      <w:r w:rsidR="00C643CF">
        <w:rPr>
          <w:bCs/>
        </w:rPr>
        <w:t xml:space="preserve">the same number </w:t>
      </w:r>
      <w:r w:rsidR="0015488E" w:rsidRPr="0015488E">
        <w:rPr>
          <w:bCs/>
        </w:rPr>
        <w:t xml:space="preserve">of these also demonstrated the benefits. </w:t>
      </w:r>
      <w:r w:rsidR="00A117B0">
        <w:rPr>
          <w:bCs/>
        </w:rPr>
        <w:t>T</w:t>
      </w:r>
      <w:r w:rsidR="0015488E" w:rsidRPr="0015488E">
        <w:rPr>
          <w:bCs/>
        </w:rPr>
        <w:t>hese</w:t>
      </w:r>
      <w:r w:rsidR="0013034D">
        <w:rPr>
          <w:bCs/>
        </w:rPr>
        <w:t xml:space="preserve"> benefits</w:t>
      </w:r>
      <w:r w:rsidR="0015488E" w:rsidRPr="0015488E">
        <w:rPr>
          <w:bCs/>
        </w:rPr>
        <w:t xml:space="preserve"> included research out</w:t>
      </w:r>
      <w:r w:rsidR="00F52034">
        <w:rPr>
          <w:bCs/>
        </w:rPr>
        <w:t>puts (wh</w:t>
      </w:r>
      <w:r w:rsidR="00C643CF">
        <w:rPr>
          <w:bCs/>
        </w:rPr>
        <w:t>ich were mentioned in eleven (50</w:t>
      </w:r>
      <w:r w:rsidR="0013034D">
        <w:rPr>
          <w:bCs/>
        </w:rPr>
        <w:t>%)</w:t>
      </w:r>
      <w:r w:rsidR="0015488E" w:rsidRPr="0015488E">
        <w:rPr>
          <w:bCs/>
        </w:rPr>
        <w:t xml:space="preserve"> of the articles). Other benefits included increasing student engagement/involvement with </w:t>
      </w:r>
      <w:r w:rsidR="00F1040E">
        <w:rPr>
          <w:bCs/>
        </w:rPr>
        <w:t>the university (Apul and</w:t>
      </w:r>
      <w:r w:rsidR="00A756BC">
        <w:rPr>
          <w:bCs/>
        </w:rPr>
        <w:t xml:space="preserve"> Philpott</w:t>
      </w:r>
      <w:r w:rsidR="0015488E" w:rsidRPr="0015488E">
        <w:rPr>
          <w:bCs/>
        </w:rPr>
        <w:t xml:space="preserve"> 2011), outreach (such as inviting people or groups from the community on the campus to see the food growing </w:t>
      </w:r>
      <w:r w:rsidR="003F3883">
        <w:rPr>
          <w:bCs/>
        </w:rPr>
        <w:t>in</w:t>
      </w:r>
      <w:r w:rsidR="003F3883" w:rsidRPr="0015488E">
        <w:rPr>
          <w:bCs/>
        </w:rPr>
        <w:t>it</w:t>
      </w:r>
      <w:r w:rsidR="003F3883">
        <w:rPr>
          <w:bCs/>
        </w:rPr>
        <w:t>i</w:t>
      </w:r>
      <w:r w:rsidR="003F3883" w:rsidRPr="0015488E">
        <w:rPr>
          <w:bCs/>
        </w:rPr>
        <w:t>ative</w:t>
      </w:r>
      <w:r w:rsidR="00A756BC">
        <w:rPr>
          <w:bCs/>
        </w:rPr>
        <w:t>) (Falk et al. 2005,</w:t>
      </w:r>
      <w:r w:rsidR="00A756BC" w:rsidRPr="0015488E">
        <w:rPr>
          <w:bCs/>
        </w:rPr>
        <w:t xml:space="preserve"> </w:t>
      </w:r>
      <w:r w:rsidR="00A756BC">
        <w:rPr>
          <w:bCs/>
        </w:rPr>
        <w:t>Biernbaum et al.</w:t>
      </w:r>
      <w:r w:rsidR="00A756BC" w:rsidRPr="0015488E">
        <w:rPr>
          <w:bCs/>
        </w:rPr>
        <w:t xml:space="preserve"> 2006</w:t>
      </w:r>
      <w:r w:rsidR="00A756BC">
        <w:rPr>
          <w:bCs/>
        </w:rPr>
        <w:t>, Markhart</w:t>
      </w:r>
      <w:r w:rsidR="00A756BC" w:rsidRPr="0015488E">
        <w:rPr>
          <w:bCs/>
        </w:rPr>
        <w:t xml:space="preserve"> 2006</w:t>
      </w:r>
      <w:r w:rsidR="00F1040E">
        <w:rPr>
          <w:bCs/>
        </w:rPr>
        <w:t>, McKinne and</w:t>
      </w:r>
      <w:r w:rsidR="00A756BC">
        <w:rPr>
          <w:bCs/>
        </w:rPr>
        <w:t xml:space="preserve"> Halfacre</w:t>
      </w:r>
      <w:r w:rsidR="00A756BC" w:rsidRPr="0015488E">
        <w:rPr>
          <w:bCs/>
        </w:rPr>
        <w:t xml:space="preserve"> 2008</w:t>
      </w:r>
      <w:r w:rsidR="00F1040E">
        <w:rPr>
          <w:bCs/>
        </w:rPr>
        <w:t>, Wharton and</w:t>
      </w:r>
      <w:r w:rsidR="00A756BC">
        <w:rPr>
          <w:bCs/>
        </w:rPr>
        <w:t xml:space="preserve"> Harmon</w:t>
      </w:r>
      <w:r w:rsidR="0015488E" w:rsidRPr="0015488E">
        <w:rPr>
          <w:bCs/>
        </w:rPr>
        <w:t xml:space="preserve"> 2009, So</w:t>
      </w:r>
      <w:r w:rsidR="00A756BC">
        <w:rPr>
          <w:bCs/>
        </w:rPr>
        <w:t>merset e</w:t>
      </w:r>
      <w:r w:rsidR="00F1040E">
        <w:rPr>
          <w:bCs/>
        </w:rPr>
        <w:t>t al. 2010), teaching (McKinne and</w:t>
      </w:r>
      <w:r w:rsidR="00A756BC">
        <w:rPr>
          <w:bCs/>
        </w:rPr>
        <w:t xml:space="preserve"> Halfacre</w:t>
      </w:r>
      <w:r w:rsidR="0015488E" w:rsidRPr="0015488E">
        <w:rPr>
          <w:bCs/>
        </w:rPr>
        <w:t xml:space="preserve"> 2008), and improved appearanc</w:t>
      </w:r>
      <w:r w:rsidR="00A756BC">
        <w:rPr>
          <w:bCs/>
        </w:rPr>
        <w:t>e of the campus (Hoffman et al.</w:t>
      </w:r>
      <w:r w:rsidR="0015488E" w:rsidRPr="0015488E">
        <w:rPr>
          <w:bCs/>
        </w:rPr>
        <w:t xml:space="preserve"> 2007). </w:t>
      </w:r>
      <w:r w:rsidR="00581E14">
        <w:rPr>
          <w:bCs/>
        </w:rPr>
        <w:t xml:space="preserve">Though </w:t>
      </w:r>
      <w:r w:rsidR="0015488E" w:rsidRPr="0015488E">
        <w:rPr>
          <w:bCs/>
        </w:rPr>
        <w:t>Guitart et al</w:t>
      </w:r>
      <w:r w:rsidR="008E54D4">
        <w:rPr>
          <w:bCs/>
        </w:rPr>
        <w:t>’s</w:t>
      </w:r>
      <w:r w:rsidR="0015488E" w:rsidRPr="0015488E">
        <w:rPr>
          <w:bCs/>
        </w:rPr>
        <w:t xml:space="preserve">. (2012) </w:t>
      </w:r>
      <w:r w:rsidR="008E54D4">
        <w:rPr>
          <w:bCs/>
        </w:rPr>
        <w:t xml:space="preserve">research </w:t>
      </w:r>
      <w:r w:rsidR="00C643CF">
        <w:rPr>
          <w:bCs/>
        </w:rPr>
        <w:t xml:space="preserve">involved </w:t>
      </w:r>
      <w:r w:rsidR="00581E14">
        <w:rPr>
          <w:bCs/>
        </w:rPr>
        <w:t xml:space="preserve">several </w:t>
      </w:r>
      <w:r w:rsidR="008E54D4">
        <w:rPr>
          <w:bCs/>
        </w:rPr>
        <w:t xml:space="preserve">university-based projects or projects aligned with </w:t>
      </w:r>
      <w:r w:rsidR="009E0B0E">
        <w:rPr>
          <w:bCs/>
        </w:rPr>
        <w:t>universities</w:t>
      </w:r>
      <w:r w:rsidR="00581E14">
        <w:rPr>
          <w:bCs/>
        </w:rPr>
        <w:t>, they</w:t>
      </w:r>
      <w:r w:rsidR="00C643CF">
        <w:rPr>
          <w:bCs/>
        </w:rPr>
        <w:t xml:space="preserve"> made up a very small proportion of the articles reviewed</w:t>
      </w:r>
      <w:r w:rsidR="008E54D4">
        <w:rPr>
          <w:bCs/>
        </w:rPr>
        <w:t xml:space="preserve">, and therefore </w:t>
      </w:r>
      <w:r w:rsidR="00C643CF">
        <w:rPr>
          <w:bCs/>
        </w:rPr>
        <w:t>they did not identify this category of benefits.</w:t>
      </w:r>
    </w:p>
    <w:p w14:paraId="6BBB6DD2" w14:textId="1B91ABE4" w:rsidR="00E73D58" w:rsidRDefault="00426B59" w:rsidP="00426B59">
      <w:pPr>
        <w:pStyle w:val="Newparagraph"/>
        <w:rPr>
          <w:bCs/>
        </w:rPr>
      </w:pPr>
      <w:r w:rsidRPr="00241D73">
        <w:rPr>
          <w:bCs/>
          <w:i/>
        </w:rPr>
        <w:t>Engagement, attitudes and b</w:t>
      </w:r>
      <w:r w:rsidR="0015488E" w:rsidRPr="00241D73">
        <w:rPr>
          <w:bCs/>
          <w:i/>
        </w:rPr>
        <w:t>ehaviours</w:t>
      </w:r>
      <w:r w:rsidR="000A6AF6" w:rsidRPr="00241D73">
        <w:rPr>
          <w:bCs/>
          <w:i/>
        </w:rPr>
        <w:t xml:space="preserve"> </w:t>
      </w:r>
      <w:r w:rsidR="0013034D" w:rsidRPr="00241D73">
        <w:rPr>
          <w:bCs/>
          <w:i/>
        </w:rPr>
        <w:t xml:space="preserve">for </w:t>
      </w:r>
      <w:r w:rsidRPr="00241D73">
        <w:rPr>
          <w:bCs/>
          <w:i/>
        </w:rPr>
        <w:t>s</w:t>
      </w:r>
      <w:r w:rsidR="000A6AF6" w:rsidRPr="00241D73">
        <w:rPr>
          <w:bCs/>
          <w:i/>
        </w:rPr>
        <w:t>ustainability</w:t>
      </w:r>
      <w:r>
        <w:rPr>
          <w:bCs/>
        </w:rPr>
        <w:t xml:space="preserve"> were</w:t>
      </w:r>
      <w:r w:rsidR="000A6AF6">
        <w:rPr>
          <w:bCs/>
        </w:rPr>
        <w:t xml:space="preserve"> </w:t>
      </w:r>
      <w:r w:rsidR="00C643CF">
        <w:rPr>
          <w:bCs/>
        </w:rPr>
        <w:t>discussed in eleven (50%) and demonstrated in six (27</w:t>
      </w:r>
      <w:r w:rsidR="00902059">
        <w:rPr>
          <w:bCs/>
        </w:rPr>
        <w:t>%)</w:t>
      </w:r>
      <w:r>
        <w:rPr>
          <w:bCs/>
        </w:rPr>
        <w:t xml:space="preserve"> </w:t>
      </w:r>
      <w:r w:rsidR="008E54D4">
        <w:rPr>
          <w:bCs/>
        </w:rPr>
        <w:t xml:space="preserve">UCGS </w:t>
      </w:r>
      <w:r>
        <w:rPr>
          <w:bCs/>
        </w:rPr>
        <w:t>articles</w:t>
      </w:r>
      <w:r w:rsidR="00902059">
        <w:rPr>
          <w:bCs/>
        </w:rPr>
        <w:t xml:space="preserve">. </w:t>
      </w:r>
      <w:r>
        <w:rPr>
          <w:bCs/>
        </w:rPr>
        <w:t>They</w:t>
      </w:r>
      <w:r w:rsidR="00902059">
        <w:rPr>
          <w:bCs/>
        </w:rPr>
        <w:t xml:space="preserve"> mentioned how volunteering in a garden can deepen the participants’ relationship with food and th</w:t>
      </w:r>
      <w:r w:rsidR="00F1040E">
        <w:rPr>
          <w:bCs/>
        </w:rPr>
        <w:t>e environment (Wharton and</w:t>
      </w:r>
      <w:r w:rsidR="00A756BC">
        <w:rPr>
          <w:bCs/>
        </w:rPr>
        <w:t xml:space="preserve"> Harmon 2</w:t>
      </w:r>
      <w:r w:rsidR="00F1040E">
        <w:rPr>
          <w:bCs/>
        </w:rPr>
        <w:t>009, Wills et al. 2009, Mundel and</w:t>
      </w:r>
      <w:r w:rsidR="00A756BC">
        <w:rPr>
          <w:bCs/>
        </w:rPr>
        <w:t xml:space="preserve"> Chapman 2010, Phillips</w:t>
      </w:r>
      <w:r w:rsidR="00902059">
        <w:rPr>
          <w:bCs/>
        </w:rPr>
        <w:t xml:space="preserve"> 2011). </w:t>
      </w:r>
      <w:r w:rsidR="0013034D">
        <w:rPr>
          <w:bCs/>
        </w:rPr>
        <w:t>They</w:t>
      </w:r>
      <w:r w:rsidR="00902059">
        <w:rPr>
          <w:bCs/>
        </w:rPr>
        <w:t xml:space="preserve"> also mentioned that the gardening can also promote an</w:t>
      </w:r>
      <w:r w:rsidR="00A756BC">
        <w:rPr>
          <w:bCs/>
        </w:rPr>
        <w:t xml:space="preserve"> interest </w:t>
      </w:r>
      <w:r w:rsidR="00C769AF">
        <w:rPr>
          <w:bCs/>
        </w:rPr>
        <w:t xml:space="preserve">in </w:t>
      </w:r>
      <w:r w:rsidR="00A756BC">
        <w:rPr>
          <w:bCs/>
        </w:rPr>
        <w:t>(Wagner &amp; Fones</w:t>
      </w:r>
      <w:r w:rsidR="00902059">
        <w:rPr>
          <w:bCs/>
        </w:rPr>
        <w:t xml:space="preserve"> 1999), a sense of responsibility</w:t>
      </w:r>
      <w:r w:rsidR="00B93345">
        <w:rPr>
          <w:bCs/>
        </w:rPr>
        <w:t xml:space="preserve"> </w:t>
      </w:r>
      <w:r w:rsidR="00C769AF">
        <w:rPr>
          <w:bCs/>
        </w:rPr>
        <w:t xml:space="preserve">for </w:t>
      </w:r>
      <w:r w:rsidR="00B93345">
        <w:rPr>
          <w:bCs/>
        </w:rPr>
        <w:t>(Johnston et al. 2012)</w:t>
      </w:r>
      <w:r w:rsidR="00902059">
        <w:rPr>
          <w:bCs/>
        </w:rPr>
        <w:t>, and even a “dedication for fighting</w:t>
      </w:r>
      <w:r w:rsidR="00581E14">
        <w:rPr>
          <w:bCs/>
        </w:rPr>
        <w:t xml:space="preserve"> for</w:t>
      </w:r>
      <w:r w:rsidR="00DF72B9">
        <w:rPr>
          <w:bCs/>
        </w:rPr>
        <w:t>”</w:t>
      </w:r>
      <w:r w:rsidR="00902059">
        <w:rPr>
          <w:bCs/>
        </w:rPr>
        <w:t xml:space="preserve"> the </w:t>
      </w:r>
      <w:r w:rsidR="00A756BC">
        <w:rPr>
          <w:bCs/>
        </w:rPr>
        <w:t>natural world</w:t>
      </w:r>
      <w:r w:rsidR="00DF72B9">
        <w:rPr>
          <w:bCs/>
        </w:rPr>
        <w:t xml:space="preserve"> </w:t>
      </w:r>
      <w:r w:rsidR="00A756BC">
        <w:rPr>
          <w:bCs/>
        </w:rPr>
        <w:t>(Apul &amp; Philpott</w:t>
      </w:r>
      <w:r w:rsidR="00902059">
        <w:rPr>
          <w:bCs/>
        </w:rPr>
        <w:t xml:space="preserve"> 2011, p.70).</w:t>
      </w:r>
      <w:r w:rsidR="001C1A44">
        <w:rPr>
          <w:bCs/>
        </w:rPr>
        <w:t xml:space="preserve"> </w:t>
      </w:r>
      <w:r w:rsidR="00B7519F">
        <w:rPr>
          <w:bCs/>
        </w:rPr>
        <w:t>These</w:t>
      </w:r>
      <w:r w:rsidR="001C1A44">
        <w:rPr>
          <w:bCs/>
        </w:rPr>
        <w:t xml:space="preserve"> weren’t reported by Guitart et al. (2012)</w:t>
      </w:r>
      <w:r w:rsidR="00B7519F">
        <w:rPr>
          <w:bCs/>
        </w:rPr>
        <w:t xml:space="preserve">, possibly because </w:t>
      </w:r>
      <w:r w:rsidR="00C769AF">
        <w:rPr>
          <w:bCs/>
        </w:rPr>
        <w:t>Guitart</w:t>
      </w:r>
      <w:r w:rsidR="00581E14">
        <w:rPr>
          <w:bCs/>
        </w:rPr>
        <w:t xml:space="preserve"> and her </w:t>
      </w:r>
      <w:r w:rsidR="000D47A7">
        <w:rPr>
          <w:bCs/>
        </w:rPr>
        <w:t>colleagues</w:t>
      </w:r>
      <w:r w:rsidR="00C769AF">
        <w:rPr>
          <w:bCs/>
        </w:rPr>
        <w:t xml:space="preserve"> did not include sustainability </w:t>
      </w:r>
      <w:r w:rsidR="00581E14">
        <w:rPr>
          <w:bCs/>
        </w:rPr>
        <w:t xml:space="preserve">explicitly </w:t>
      </w:r>
      <w:r w:rsidR="004E09BF">
        <w:rPr>
          <w:bCs/>
        </w:rPr>
        <w:t>as an inclusion criterion</w:t>
      </w:r>
      <w:r w:rsidR="00B7519F">
        <w:rPr>
          <w:bCs/>
        </w:rPr>
        <w:t xml:space="preserve">. </w:t>
      </w:r>
      <w:r w:rsidR="00D00C13">
        <w:rPr>
          <w:bCs/>
        </w:rPr>
        <w:t>It is also possible that these benefits may have been written</w:t>
      </w:r>
      <w:r w:rsidR="00C769AF">
        <w:rPr>
          <w:bCs/>
        </w:rPr>
        <w:t xml:space="preserve"> in the articles reviewed by </w:t>
      </w:r>
      <w:r w:rsidR="00581E14">
        <w:rPr>
          <w:bCs/>
        </w:rPr>
        <w:t>Guitart et al. (2012)</w:t>
      </w:r>
      <w:r w:rsidR="00C769AF">
        <w:rPr>
          <w:bCs/>
        </w:rPr>
        <w:t xml:space="preserve">, but were </w:t>
      </w:r>
      <w:r w:rsidR="00D00C13">
        <w:rPr>
          <w:bCs/>
        </w:rPr>
        <w:t>included within one of the other categories of b</w:t>
      </w:r>
      <w:r w:rsidR="00581E14">
        <w:rPr>
          <w:bCs/>
        </w:rPr>
        <w:t xml:space="preserve">enefits. This latter suggestion </w:t>
      </w:r>
      <w:r w:rsidR="00D00C13">
        <w:rPr>
          <w:bCs/>
        </w:rPr>
        <w:t>seems likely since</w:t>
      </w:r>
      <w:r w:rsidR="00B7519F">
        <w:rPr>
          <w:bCs/>
        </w:rPr>
        <w:t xml:space="preserve"> two of the UCGS articles mentioning </w:t>
      </w:r>
      <w:r w:rsidR="00C769AF">
        <w:rPr>
          <w:bCs/>
        </w:rPr>
        <w:t>engagement,</w:t>
      </w:r>
      <w:r w:rsidR="00581E14">
        <w:rPr>
          <w:bCs/>
        </w:rPr>
        <w:t xml:space="preserve"> </w:t>
      </w:r>
      <w:r w:rsidR="00C769AF">
        <w:rPr>
          <w:bCs/>
        </w:rPr>
        <w:t xml:space="preserve">attitudes and behaviour towards sustainability </w:t>
      </w:r>
      <w:r w:rsidR="00B7519F">
        <w:rPr>
          <w:bCs/>
        </w:rPr>
        <w:t>(Wills et al. 2009,</w:t>
      </w:r>
      <w:r w:rsidR="00B7519F" w:rsidRPr="00B7519F">
        <w:rPr>
          <w:bCs/>
        </w:rPr>
        <w:t xml:space="preserve"> </w:t>
      </w:r>
      <w:r w:rsidR="00F1040E">
        <w:rPr>
          <w:bCs/>
        </w:rPr>
        <w:t>Mundel and</w:t>
      </w:r>
      <w:r w:rsidR="00B7519F">
        <w:rPr>
          <w:bCs/>
        </w:rPr>
        <w:t xml:space="preserve"> Chapman 2012) were also reviewed by Guitart et al. (2012)</w:t>
      </w:r>
      <w:r w:rsidR="00D00C13">
        <w:rPr>
          <w:bCs/>
        </w:rPr>
        <w:t>. Attitudes and behaviours for sustainability will be discussed further in the following section about literature gaps.</w:t>
      </w:r>
    </w:p>
    <w:p w14:paraId="667F1379" w14:textId="77777777" w:rsidR="00A6149C" w:rsidRDefault="00A6149C" w:rsidP="00426B59">
      <w:pPr>
        <w:pStyle w:val="Newparagraph"/>
        <w:rPr>
          <w:bCs/>
        </w:rPr>
      </w:pPr>
    </w:p>
    <w:p w14:paraId="36C5AA77" w14:textId="408DAD01" w:rsidR="00A6149C" w:rsidRDefault="00A6149C" w:rsidP="00A6149C">
      <w:pPr>
        <w:pStyle w:val="Newparagraph"/>
        <w:rPr>
          <w:bCs/>
        </w:rPr>
      </w:pPr>
      <w:r>
        <w:rPr>
          <w:bCs/>
        </w:rPr>
        <w:t>Many</w:t>
      </w:r>
      <w:r w:rsidR="0015488E" w:rsidRPr="0015488E">
        <w:rPr>
          <w:bCs/>
        </w:rPr>
        <w:t xml:space="preserve"> </w:t>
      </w:r>
      <w:r w:rsidR="008B27A2">
        <w:rPr>
          <w:bCs/>
        </w:rPr>
        <w:t>of the</w:t>
      </w:r>
      <w:r w:rsidR="0015488E" w:rsidRPr="0015488E">
        <w:rPr>
          <w:bCs/>
        </w:rPr>
        <w:t xml:space="preserve"> benefits produced by urban community gardens </w:t>
      </w:r>
      <w:r w:rsidR="00457FB5">
        <w:rPr>
          <w:bCs/>
        </w:rPr>
        <w:t xml:space="preserve">that Guitart et al. (2012) identified </w:t>
      </w:r>
      <w:r w:rsidR="0015488E" w:rsidRPr="0015488E">
        <w:rPr>
          <w:bCs/>
        </w:rPr>
        <w:t>align with those identified in this review of UCGS</w:t>
      </w:r>
      <w:r w:rsidR="00C769AF">
        <w:rPr>
          <w:bCs/>
        </w:rPr>
        <w:t>. However, there were</w:t>
      </w:r>
      <w:r w:rsidR="007A2267">
        <w:rPr>
          <w:bCs/>
        </w:rPr>
        <w:t xml:space="preserve"> different emphases </w:t>
      </w:r>
      <w:r w:rsidR="00C769AF">
        <w:rPr>
          <w:bCs/>
        </w:rPr>
        <w:t>between the two areas of literature</w:t>
      </w:r>
      <w:r w:rsidR="00581E14">
        <w:rPr>
          <w:bCs/>
        </w:rPr>
        <w:t xml:space="preserve"> </w:t>
      </w:r>
      <w:r w:rsidR="007A2267">
        <w:rPr>
          <w:bCs/>
        </w:rPr>
        <w:t>on which</w:t>
      </w:r>
      <w:r w:rsidR="00A3111E">
        <w:rPr>
          <w:bCs/>
        </w:rPr>
        <w:t xml:space="preserve"> benefits were</w:t>
      </w:r>
      <w:r w:rsidR="007A2267">
        <w:rPr>
          <w:bCs/>
        </w:rPr>
        <w:t xml:space="preserve"> important</w:t>
      </w:r>
      <w:r w:rsidR="00C769AF">
        <w:rPr>
          <w:bCs/>
        </w:rPr>
        <w:t>, and additional benefits identified in the UCGS literature</w:t>
      </w:r>
      <w:r w:rsidR="00FA5044">
        <w:rPr>
          <w:bCs/>
        </w:rPr>
        <w:t>.</w:t>
      </w:r>
      <w:r w:rsidR="0061479C">
        <w:rPr>
          <w:bCs/>
        </w:rPr>
        <w:t xml:space="preserve"> </w:t>
      </w:r>
      <w:r w:rsidR="00581E14">
        <w:rPr>
          <w:bCs/>
        </w:rPr>
        <w:t>An example of the former was that educational benefits were</w:t>
      </w:r>
      <w:r w:rsidR="0061479C">
        <w:rPr>
          <w:bCs/>
        </w:rPr>
        <w:t xml:space="preserve"> unsurprisingly more appar</w:t>
      </w:r>
      <w:r w:rsidR="00A3111E">
        <w:rPr>
          <w:bCs/>
        </w:rPr>
        <w:t xml:space="preserve">ent in the literature on UCGS. </w:t>
      </w:r>
      <w:r w:rsidR="0061479C">
        <w:rPr>
          <w:bCs/>
        </w:rPr>
        <w:t>The similarity in the range of benefits</w:t>
      </w:r>
      <w:r>
        <w:rPr>
          <w:bCs/>
        </w:rPr>
        <w:t xml:space="preserve"> identified in both reviews</w:t>
      </w:r>
      <w:r w:rsidR="0061479C">
        <w:rPr>
          <w:bCs/>
        </w:rPr>
        <w:t xml:space="preserve"> suggests that these might provide a useful framework in reviewing the efficacy of </w:t>
      </w:r>
      <w:r w:rsidR="00334072">
        <w:rPr>
          <w:bCs/>
        </w:rPr>
        <w:t>community gardening</w:t>
      </w:r>
      <w:r w:rsidR="0061479C">
        <w:rPr>
          <w:bCs/>
        </w:rPr>
        <w:t xml:space="preserve"> projects</w:t>
      </w:r>
      <w:r w:rsidR="00334072">
        <w:rPr>
          <w:bCs/>
        </w:rPr>
        <w:t xml:space="preserve"> in a range of different settings</w:t>
      </w:r>
      <w:r w:rsidR="00581E14">
        <w:rPr>
          <w:bCs/>
        </w:rPr>
        <w:t xml:space="preserve">. </w:t>
      </w:r>
      <w:r w:rsidR="00D00C13">
        <w:rPr>
          <w:bCs/>
        </w:rPr>
        <w:t>This could be supported by the</w:t>
      </w:r>
      <w:r w:rsidR="0061479C">
        <w:rPr>
          <w:bCs/>
        </w:rPr>
        <w:t xml:space="preserve"> development of tools</w:t>
      </w:r>
      <w:r w:rsidR="000D47A7">
        <w:rPr>
          <w:bCs/>
        </w:rPr>
        <w:t xml:space="preserve"> (such as </w:t>
      </w:r>
      <w:r w:rsidR="000D47A7">
        <w:t>Farming Concrete’s (2014) Data Collection Toolkit)</w:t>
      </w:r>
      <w:r w:rsidR="0061479C">
        <w:rPr>
          <w:bCs/>
        </w:rPr>
        <w:t xml:space="preserve"> to measure and track </w:t>
      </w:r>
      <w:r>
        <w:t>food production, as well as environmental, social, health, and economic benefits</w:t>
      </w:r>
      <w:r w:rsidR="000D47A7">
        <w:rPr>
          <w:bCs/>
        </w:rPr>
        <w:t xml:space="preserve"> in farms and gardens</w:t>
      </w:r>
      <w:r>
        <w:rPr>
          <w:bCs/>
        </w:rPr>
        <w:t>.</w:t>
      </w:r>
    </w:p>
    <w:p w14:paraId="1E2FC02B" w14:textId="77777777" w:rsidR="0015488E" w:rsidRPr="0015488E" w:rsidRDefault="0015488E" w:rsidP="0015488E">
      <w:pPr>
        <w:pStyle w:val="Paragraph"/>
        <w:rPr>
          <w:rFonts w:cs="Arial"/>
          <w:b/>
          <w:bCs/>
          <w:kern w:val="32"/>
          <w:szCs w:val="32"/>
        </w:rPr>
      </w:pPr>
      <w:r>
        <w:rPr>
          <w:rFonts w:cs="Arial"/>
          <w:b/>
          <w:bCs/>
          <w:kern w:val="32"/>
          <w:szCs w:val="32"/>
        </w:rPr>
        <w:t>Literature Gaps</w:t>
      </w:r>
    </w:p>
    <w:p w14:paraId="28EBEF97" w14:textId="03A4AABC" w:rsidR="0083294B" w:rsidRDefault="00A6149C" w:rsidP="000D47A7">
      <w:pPr>
        <w:pStyle w:val="Newparagraph"/>
        <w:rPr>
          <w:bCs/>
        </w:rPr>
      </w:pPr>
      <w:r>
        <w:rPr>
          <w:bCs/>
        </w:rPr>
        <w:t>This</w:t>
      </w:r>
      <w:r w:rsidR="00D00C13">
        <w:rPr>
          <w:bCs/>
        </w:rPr>
        <w:t xml:space="preserve"> review of </w:t>
      </w:r>
      <w:r w:rsidR="009F3873">
        <w:rPr>
          <w:bCs/>
        </w:rPr>
        <w:t xml:space="preserve">the literature of </w:t>
      </w:r>
      <w:r w:rsidR="00D00C13">
        <w:rPr>
          <w:bCs/>
        </w:rPr>
        <w:t>U</w:t>
      </w:r>
      <w:r w:rsidR="009F3873">
        <w:rPr>
          <w:bCs/>
        </w:rPr>
        <w:t xml:space="preserve">niversity </w:t>
      </w:r>
      <w:r w:rsidR="00D00C13">
        <w:rPr>
          <w:bCs/>
        </w:rPr>
        <w:t>C</w:t>
      </w:r>
      <w:r w:rsidR="009F3873">
        <w:rPr>
          <w:bCs/>
        </w:rPr>
        <w:t xml:space="preserve">ommunity </w:t>
      </w:r>
      <w:r w:rsidR="00D00C13">
        <w:rPr>
          <w:bCs/>
        </w:rPr>
        <w:t>G</w:t>
      </w:r>
      <w:r w:rsidR="009F3873">
        <w:rPr>
          <w:bCs/>
        </w:rPr>
        <w:t xml:space="preserve">ardens for </w:t>
      </w:r>
      <w:r w:rsidR="00D00C13">
        <w:rPr>
          <w:bCs/>
        </w:rPr>
        <w:t>S</w:t>
      </w:r>
      <w:r w:rsidR="009F3873">
        <w:rPr>
          <w:bCs/>
        </w:rPr>
        <w:t>ustainability</w:t>
      </w:r>
      <w:r w:rsidR="00D00C13">
        <w:rPr>
          <w:bCs/>
        </w:rPr>
        <w:t xml:space="preserve"> and </w:t>
      </w:r>
      <w:r w:rsidR="000D47A7">
        <w:rPr>
          <w:bCs/>
        </w:rPr>
        <w:t xml:space="preserve">its </w:t>
      </w:r>
      <w:r w:rsidR="00D00C13">
        <w:rPr>
          <w:bCs/>
        </w:rPr>
        <w:t>comparison</w:t>
      </w:r>
      <w:r w:rsidR="005106C0">
        <w:rPr>
          <w:bCs/>
        </w:rPr>
        <w:t xml:space="preserve"> to </w:t>
      </w:r>
      <w:r w:rsidR="003E5A63">
        <w:rPr>
          <w:bCs/>
        </w:rPr>
        <w:t>Guitart et al’s. (2012)</w:t>
      </w:r>
      <w:r w:rsidR="005106C0">
        <w:rPr>
          <w:bCs/>
        </w:rPr>
        <w:t xml:space="preserve"> review of </w:t>
      </w:r>
      <w:r>
        <w:rPr>
          <w:bCs/>
        </w:rPr>
        <w:t xml:space="preserve">urban community gardens </w:t>
      </w:r>
      <w:r w:rsidR="005106C0">
        <w:rPr>
          <w:bCs/>
        </w:rPr>
        <w:t>has highlighted the discussed and demonstrate</w:t>
      </w:r>
      <w:r w:rsidR="00F1040E">
        <w:rPr>
          <w:bCs/>
        </w:rPr>
        <w:t>d benefits of these initiatives</w:t>
      </w:r>
      <w:r w:rsidR="00F1040E" w:rsidRPr="00F1040E">
        <w:rPr>
          <w:bCs/>
        </w:rPr>
        <w:t xml:space="preserve"> </w:t>
      </w:r>
      <w:r w:rsidR="00F1040E">
        <w:rPr>
          <w:bCs/>
        </w:rPr>
        <w:t>and has alluded to some of the gaps in the literature.</w:t>
      </w:r>
      <w:r w:rsidR="005106C0">
        <w:rPr>
          <w:bCs/>
        </w:rPr>
        <w:t xml:space="preserve"> </w:t>
      </w:r>
      <w:r w:rsidR="00F1040E">
        <w:rPr>
          <w:bCs/>
        </w:rPr>
        <w:t>Some of these are that the research in this field is heavily US-centric, and approached mainly using qualitative approaches.</w:t>
      </w:r>
      <w:r w:rsidR="003E5A63">
        <w:rPr>
          <w:bCs/>
        </w:rPr>
        <w:t xml:space="preserve"> </w:t>
      </w:r>
      <w:r w:rsidR="005106C0">
        <w:rPr>
          <w:bCs/>
        </w:rPr>
        <w:t>This therefore means that literature may not fully represent the breadth of experiences of these community garden initiatives, and does not maximise on the learning possible from differ</w:t>
      </w:r>
      <w:r>
        <w:rPr>
          <w:bCs/>
        </w:rPr>
        <w:t xml:space="preserve">ent disciplinary perspectives. </w:t>
      </w:r>
      <w:r w:rsidR="00F1040E">
        <w:rPr>
          <w:bCs/>
        </w:rPr>
        <w:t>However, t</w:t>
      </w:r>
      <w:r w:rsidR="005106C0">
        <w:rPr>
          <w:bCs/>
        </w:rPr>
        <w:t xml:space="preserve">here are also </w:t>
      </w:r>
      <w:r w:rsidR="007A2267">
        <w:rPr>
          <w:bCs/>
        </w:rPr>
        <w:t xml:space="preserve">key gaps </w:t>
      </w:r>
      <w:r w:rsidR="005106C0">
        <w:rPr>
          <w:bCs/>
        </w:rPr>
        <w:t>in the literature relating to</w:t>
      </w:r>
      <w:r w:rsidR="007A2267">
        <w:rPr>
          <w:bCs/>
        </w:rPr>
        <w:t xml:space="preserve">: </w:t>
      </w:r>
      <w:r w:rsidR="005106C0">
        <w:rPr>
          <w:bCs/>
        </w:rPr>
        <w:t xml:space="preserve">(1) </w:t>
      </w:r>
      <w:r w:rsidR="0083294B">
        <w:rPr>
          <w:bCs/>
        </w:rPr>
        <w:t xml:space="preserve">a lack of examples of ‘failure’ of community gardens, </w:t>
      </w:r>
      <w:r w:rsidR="005106C0">
        <w:rPr>
          <w:bCs/>
        </w:rPr>
        <w:t>(2)</w:t>
      </w:r>
      <w:r w:rsidR="00E129E8">
        <w:rPr>
          <w:bCs/>
        </w:rPr>
        <w:t xml:space="preserve"> under-exploration of participant transience in community gardens and </w:t>
      </w:r>
      <w:r w:rsidR="005106C0">
        <w:rPr>
          <w:bCs/>
        </w:rPr>
        <w:t xml:space="preserve">(3) </w:t>
      </w:r>
      <w:r w:rsidR="00E129E8">
        <w:rPr>
          <w:bCs/>
        </w:rPr>
        <w:t xml:space="preserve">how UCGS </w:t>
      </w:r>
      <w:r>
        <w:rPr>
          <w:bCs/>
        </w:rPr>
        <w:t xml:space="preserve">and urban community gardens </w:t>
      </w:r>
      <w:r w:rsidR="00E129E8">
        <w:rPr>
          <w:bCs/>
        </w:rPr>
        <w:t xml:space="preserve">contribute to changes in </w:t>
      </w:r>
      <w:r w:rsidR="007A2267">
        <w:rPr>
          <w:bCs/>
        </w:rPr>
        <w:t xml:space="preserve">sustainability </w:t>
      </w:r>
      <w:r w:rsidR="00E129E8">
        <w:rPr>
          <w:bCs/>
        </w:rPr>
        <w:t>attitudes and behaviours.</w:t>
      </w:r>
      <w:r w:rsidR="00F1040E">
        <w:rPr>
          <w:bCs/>
        </w:rPr>
        <w:t xml:space="preserve"> These will be expanded upon in this section.</w:t>
      </w:r>
    </w:p>
    <w:p w14:paraId="7E532FA5" w14:textId="6AB5332D" w:rsidR="0015488E" w:rsidRPr="0015488E" w:rsidRDefault="005106C0" w:rsidP="0015488E">
      <w:pPr>
        <w:pStyle w:val="Paragraph"/>
        <w:rPr>
          <w:rFonts w:cs="Arial"/>
          <w:b/>
          <w:bCs/>
          <w:kern w:val="32"/>
          <w:szCs w:val="32"/>
        </w:rPr>
      </w:pPr>
      <w:r>
        <w:rPr>
          <w:rFonts w:cs="Arial"/>
          <w:b/>
          <w:bCs/>
          <w:i/>
          <w:iCs/>
          <w:szCs w:val="28"/>
        </w:rPr>
        <w:t>‘</w:t>
      </w:r>
      <w:r w:rsidR="0015488E">
        <w:rPr>
          <w:rFonts w:cs="Arial"/>
          <w:b/>
          <w:bCs/>
          <w:i/>
          <w:iCs/>
          <w:szCs w:val="28"/>
        </w:rPr>
        <w:t>Failure</w:t>
      </w:r>
      <w:r>
        <w:rPr>
          <w:rFonts w:cs="Arial"/>
          <w:b/>
          <w:bCs/>
          <w:i/>
          <w:iCs/>
          <w:szCs w:val="28"/>
        </w:rPr>
        <w:t>’ in Community Gardens</w:t>
      </w:r>
    </w:p>
    <w:p w14:paraId="3E07B6E7" w14:textId="4E571BF6" w:rsidR="00784F3A" w:rsidRDefault="00784F3A" w:rsidP="000D47A7">
      <w:pPr>
        <w:ind w:firstLine="720"/>
      </w:pPr>
      <w:r>
        <w:t xml:space="preserve">Failure of </w:t>
      </w:r>
      <w:r w:rsidR="003E5A63">
        <w:t>community gardening projects is</w:t>
      </w:r>
      <w:r>
        <w:t xml:space="preserve"> under-explored in the literature. </w:t>
      </w:r>
      <w:r w:rsidRPr="003F368B">
        <w:rPr>
          <w:bCs/>
        </w:rPr>
        <w:t>In the literature review of urban community gardens by Guitart et al. (2012</w:t>
      </w:r>
      <w:r w:rsidR="00F1040E">
        <w:rPr>
          <w:bCs/>
        </w:rPr>
        <w:t xml:space="preserve">, </w:t>
      </w:r>
      <w:r w:rsidR="00F1040E" w:rsidRPr="003F368B">
        <w:rPr>
          <w:bCs/>
        </w:rPr>
        <w:t>p. 368</w:t>
      </w:r>
      <w:r w:rsidRPr="003F368B">
        <w:rPr>
          <w:bCs/>
        </w:rPr>
        <w:t>), only five in eighty-seven papers described negative outcomes and these “were all related to insecure land tenure and gardens being demolish</w:t>
      </w:r>
      <w:r w:rsidR="00F1040E">
        <w:rPr>
          <w:bCs/>
        </w:rPr>
        <w:t>ed for future development”</w:t>
      </w:r>
      <w:r w:rsidRPr="003F368B">
        <w:rPr>
          <w:bCs/>
        </w:rPr>
        <w:t xml:space="preserve">. There were also some mixed and neutral outcomes, but the overwhelming majority of articles described positive outcomes (Guitart et al. 2012). Similarly, only positive cases </w:t>
      </w:r>
      <w:r w:rsidR="005F7161">
        <w:rPr>
          <w:bCs/>
        </w:rPr>
        <w:t xml:space="preserve">were discussed in the </w:t>
      </w:r>
      <w:r w:rsidRPr="003F368B">
        <w:rPr>
          <w:bCs/>
        </w:rPr>
        <w:t xml:space="preserve">UCGS </w:t>
      </w:r>
      <w:r w:rsidR="003E5A63">
        <w:rPr>
          <w:bCs/>
        </w:rPr>
        <w:t>literature.</w:t>
      </w:r>
    </w:p>
    <w:p w14:paraId="3F21FF98" w14:textId="517CEC38" w:rsidR="000D47A7" w:rsidRDefault="00784F3A" w:rsidP="000D47A7">
      <w:pPr>
        <w:ind w:firstLine="720"/>
        <w:rPr>
          <w:bCs/>
        </w:rPr>
      </w:pPr>
      <w:r>
        <w:t>It</w:t>
      </w:r>
      <w:r w:rsidR="005F7161">
        <w:t xml:space="preserve"> is</w:t>
      </w:r>
      <w:r>
        <w:t xml:space="preserve"> important to study failure because when we only study positive examples, we can misunderstand what is genuinely making them successful (Denrell 2003). </w:t>
      </w:r>
      <w:r w:rsidRPr="003F368B">
        <w:rPr>
          <w:bCs/>
        </w:rPr>
        <w:t>This is because commonalit</w:t>
      </w:r>
      <w:r w:rsidR="00F1040E">
        <w:rPr>
          <w:bCs/>
        </w:rPr>
        <w:t>ies between successful cases can be</w:t>
      </w:r>
      <w:r w:rsidRPr="003F368B">
        <w:rPr>
          <w:bCs/>
        </w:rPr>
        <w:t xml:space="preserve"> </w:t>
      </w:r>
      <w:r w:rsidR="005F7161">
        <w:rPr>
          <w:bCs/>
        </w:rPr>
        <w:t>assumed</w:t>
      </w:r>
      <w:r w:rsidR="005F7161" w:rsidRPr="003F368B">
        <w:rPr>
          <w:bCs/>
        </w:rPr>
        <w:t xml:space="preserve"> </w:t>
      </w:r>
      <w:r w:rsidR="000D47A7">
        <w:rPr>
          <w:bCs/>
        </w:rPr>
        <w:t>to contribute to their success</w:t>
      </w:r>
      <w:r w:rsidRPr="003F368B">
        <w:rPr>
          <w:bCs/>
        </w:rPr>
        <w:t xml:space="preserve"> when in reality they may be coincidental, and those commonalities may equally feature in examples of failure. </w:t>
      </w:r>
      <w:r>
        <w:t>Only through exploring both positive and negative examples can we see what factors contribute to success.</w:t>
      </w:r>
    </w:p>
    <w:p w14:paraId="386C6EE8" w14:textId="5561DCC0" w:rsidR="00784F3A" w:rsidRPr="000D47A7" w:rsidRDefault="00784F3A" w:rsidP="000D47A7">
      <w:pPr>
        <w:ind w:firstLine="720"/>
        <w:rPr>
          <w:bCs/>
        </w:rPr>
      </w:pPr>
      <w:r>
        <w:t xml:space="preserve">Publication bias against papers with negative outcomes is a well-documented, however unresolved, phenomenon </w:t>
      </w:r>
      <w:r w:rsidR="00E96AD3">
        <w:t>in</w:t>
      </w:r>
      <w:r w:rsidR="00B05B6F">
        <w:t xml:space="preserve"> medical</w:t>
      </w:r>
      <w:r>
        <w:t xml:space="preserve"> (</w:t>
      </w:r>
      <w:r w:rsidR="005C17B0">
        <w:t>Easterbrook et al. 1991</w:t>
      </w:r>
      <w:r w:rsidR="00B05B6F">
        <w:t>) and social sciences (Franco et al. 2014)</w:t>
      </w:r>
      <w:r w:rsidR="00E96AD3">
        <w:t xml:space="preserve">. It is clearly an issue in community gardening literature as well, </w:t>
      </w:r>
      <w:r>
        <w:t>as demonstrated by the lack of discussion of failed projects in the</w:t>
      </w:r>
      <w:r w:rsidR="00E96AD3">
        <w:t xml:space="preserve"> papers included in this review</w:t>
      </w:r>
      <w:r w:rsidR="000C3F35">
        <w:t>,</w:t>
      </w:r>
      <w:r>
        <w:t xml:space="preserve"> even though there are many failed community garden projects in both urban and university settings. Some of the reasons this </w:t>
      </w:r>
      <w:r w:rsidR="000C3F35">
        <w:t>may have</w:t>
      </w:r>
      <w:r>
        <w:t xml:space="preserve"> taken place are </w:t>
      </w:r>
      <w:r w:rsidR="003E5A63">
        <w:t>“reviewer or editor preferences</w:t>
      </w:r>
      <w:r>
        <w:t xml:space="preserve">” and authors’ anticipation of “the rejection of negative outcomes” (Easterbrook et al. 1991, Lee et al. 2012, p. 10). To reviewers, editors and authors, positive examples may be perceived as more useful to know about so they can be replicated. Furthermore, authors may prefer to write about their successes rather than their failures for promotional purposes, or because they are more likely to write about projects they have positive feelings about. On the other hand, researchers interested </w:t>
      </w:r>
      <w:r w:rsidR="00F1040E">
        <w:t>in studying examples of failure</w:t>
      </w:r>
      <w:r>
        <w:t xml:space="preserve"> may struggle to find information about failed projects because the projects may have collapsed before they came to fruition making it difficult to identify individuals involved, or people associated with the project may not want to revisit their failures.</w:t>
      </w:r>
    </w:p>
    <w:p w14:paraId="32E78164" w14:textId="77777777" w:rsidR="00784F3A" w:rsidRDefault="00784F3A" w:rsidP="000D47A7">
      <w:pPr>
        <w:ind w:firstLine="720"/>
      </w:pPr>
      <w:r>
        <w:t>There is also a time-lag associated with publishing negative or statistically insignificant findings because researchers may prioritise their positive findings (Ioannidis, 1998). Even though results may eventually be published, delays can also force researchers and practitioners to rely on positive findings for up-to-date information.</w:t>
      </w:r>
    </w:p>
    <w:p w14:paraId="765B9B43" w14:textId="78D62F84" w:rsidR="00784F3A" w:rsidRPr="003F368B" w:rsidRDefault="00784F3A" w:rsidP="004E09BF">
      <w:pPr>
        <w:ind w:firstLine="720"/>
        <w:rPr>
          <w:bCs/>
        </w:rPr>
      </w:pPr>
      <w:r>
        <w:t xml:space="preserve">This being said, researchers need to be careful not to focus on ‘good’ or ‘bad’ dichotomies. Rather it is more productive </w:t>
      </w:r>
      <w:r w:rsidR="00F51B4B">
        <w:t xml:space="preserve">to </w:t>
      </w:r>
      <w:r w:rsidRPr="0015488E">
        <w:rPr>
          <w:bCs/>
        </w:rPr>
        <w:t>critically probe the cases and problematize practice in order to contribute to nuanced and transformative understandings</w:t>
      </w:r>
      <w:r>
        <w:rPr>
          <w:bCs/>
        </w:rPr>
        <w:t xml:space="preserve">. </w:t>
      </w:r>
      <w:r w:rsidRPr="0015488E">
        <w:rPr>
          <w:bCs/>
        </w:rPr>
        <w:t>Corcoran et al. (2004</w:t>
      </w:r>
      <w:r>
        <w:rPr>
          <w:bCs/>
        </w:rPr>
        <w:t>) have</w:t>
      </w:r>
      <w:r w:rsidRPr="0015488E">
        <w:rPr>
          <w:bCs/>
        </w:rPr>
        <w:t xml:space="preserve"> argued that many case studies published about sustainability in </w:t>
      </w:r>
      <w:r>
        <w:rPr>
          <w:bCs/>
        </w:rPr>
        <w:t>HE</w:t>
      </w:r>
      <w:r w:rsidRPr="0015488E">
        <w:rPr>
          <w:bCs/>
        </w:rPr>
        <w:t xml:space="preserve"> are written as success stories (or as they call them, ‘make-your-case-studies’) and have a “‘policing function’ that identifies good </w:t>
      </w:r>
      <w:r>
        <w:rPr>
          <w:bCs/>
        </w:rPr>
        <w:t>[cases] from bad” (Cocoran et al.</w:t>
      </w:r>
      <w:r w:rsidRPr="0015488E">
        <w:rPr>
          <w:bCs/>
        </w:rPr>
        <w:t xml:space="preserve"> 2004, p. 18).</w:t>
      </w:r>
      <w:r>
        <w:rPr>
          <w:bCs/>
        </w:rPr>
        <w:t xml:space="preserve"> </w:t>
      </w:r>
      <w:r w:rsidRPr="003F368B">
        <w:rPr>
          <w:bCs/>
        </w:rPr>
        <w:t xml:space="preserve">Literature about </w:t>
      </w:r>
      <w:r w:rsidR="004E09BF">
        <w:rPr>
          <w:bCs/>
        </w:rPr>
        <w:t>community gardening</w:t>
      </w:r>
      <w:r w:rsidR="00974195">
        <w:rPr>
          <w:bCs/>
        </w:rPr>
        <w:t xml:space="preserve"> and UCGS </w:t>
      </w:r>
      <w:r w:rsidRPr="003F368B">
        <w:rPr>
          <w:bCs/>
        </w:rPr>
        <w:t>is at risk of falling into this trap. In order for research about community gardens</w:t>
      </w:r>
      <w:r>
        <w:rPr>
          <w:bCs/>
        </w:rPr>
        <w:t xml:space="preserve"> to </w:t>
      </w:r>
      <w:r w:rsidRPr="003F368B">
        <w:rPr>
          <w:bCs/>
        </w:rPr>
        <w:t>contribute to new knowledge that can improve the efficacy of these initiatives, the gap in the literature about ‘failure’ needs to be addressed.</w:t>
      </w:r>
    </w:p>
    <w:p w14:paraId="21B01810" w14:textId="77777777" w:rsidR="0015488E" w:rsidRPr="0015488E" w:rsidRDefault="0015488E" w:rsidP="0015488E">
      <w:pPr>
        <w:pStyle w:val="Paragraph"/>
        <w:rPr>
          <w:rFonts w:cs="Arial"/>
          <w:b/>
          <w:bCs/>
          <w:kern w:val="32"/>
          <w:szCs w:val="32"/>
        </w:rPr>
      </w:pPr>
      <w:r>
        <w:rPr>
          <w:rFonts w:cs="Arial"/>
          <w:b/>
          <w:bCs/>
          <w:i/>
          <w:iCs/>
          <w:szCs w:val="28"/>
        </w:rPr>
        <w:t>Participant Transience</w:t>
      </w:r>
    </w:p>
    <w:p w14:paraId="75ED6A4D" w14:textId="64376581" w:rsidR="003A53C1" w:rsidRDefault="0015488E" w:rsidP="00653B84">
      <w:pPr>
        <w:pStyle w:val="Newparagraph"/>
        <w:rPr>
          <w:bCs/>
        </w:rPr>
      </w:pPr>
      <w:r w:rsidRPr="0015488E">
        <w:rPr>
          <w:bCs/>
        </w:rPr>
        <w:t xml:space="preserve">As the most commonly reported participants of UCGS </w:t>
      </w:r>
      <w:r w:rsidR="0091550D">
        <w:rPr>
          <w:bCs/>
        </w:rPr>
        <w:t xml:space="preserve">are </w:t>
      </w:r>
      <w:r w:rsidRPr="0015488E">
        <w:rPr>
          <w:bCs/>
        </w:rPr>
        <w:t>students</w:t>
      </w:r>
      <w:r w:rsidR="00D61474">
        <w:rPr>
          <w:bCs/>
        </w:rPr>
        <w:t>, participant transience is a key part of understanding UCGS management</w:t>
      </w:r>
      <w:r w:rsidRPr="0015488E">
        <w:rPr>
          <w:bCs/>
        </w:rPr>
        <w:t xml:space="preserve">. </w:t>
      </w:r>
      <w:r w:rsidR="0091550D">
        <w:rPr>
          <w:bCs/>
        </w:rPr>
        <w:t xml:space="preserve">UCGS projects </w:t>
      </w:r>
      <w:r w:rsidR="004E7495">
        <w:rPr>
          <w:bCs/>
        </w:rPr>
        <w:t>experience two primary</w:t>
      </w:r>
      <w:r w:rsidR="003E5A63">
        <w:rPr>
          <w:bCs/>
        </w:rPr>
        <w:t xml:space="preserve"> participant transience issues.</w:t>
      </w:r>
      <w:r w:rsidR="004E7495">
        <w:rPr>
          <w:bCs/>
        </w:rPr>
        <w:t xml:space="preserve"> Firstly, </w:t>
      </w:r>
      <w:r w:rsidR="003E5A63">
        <w:rPr>
          <w:bCs/>
        </w:rPr>
        <w:t>students are usually only present at the university during term time (missing the most labour intensive and a</w:t>
      </w:r>
      <w:r w:rsidR="000C3F35">
        <w:rPr>
          <w:bCs/>
        </w:rPr>
        <w:t>griculturally productive season</w:t>
      </w:r>
      <w:r w:rsidR="003E5A63">
        <w:rPr>
          <w:bCs/>
        </w:rPr>
        <w:t xml:space="preserve"> for food growing),</w:t>
      </w:r>
      <w:r w:rsidR="0091550D">
        <w:rPr>
          <w:bCs/>
        </w:rPr>
        <w:t xml:space="preserve"> and </w:t>
      </w:r>
      <w:r w:rsidR="004E7495">
        <w:rPr>
          <w:bCs/>
        </w:rPr>
        <w:t>secondly</w:t>
      </w:r>
      <w:r w:rsidR="003E5A63">
        <w:rPr>
          <w:bCs/>
        </w:rPr>
        <w:t>,</w:t>
      </w:r>
      <w:r w:rsidR="004E7495">
        <w:rPr>
          <w:bCs/>
        </w:rPr>
        <w:t xml:space="preserve"> </w:t>
      </w:r>
      <w:r w:rsidR="0091550D">
        <w:rPr>
          <w:bCs/>
        </w:rPr>
        <w:t xml:space="preserve">students are </w:t>
      </w:r>
      <w:r w:rsidR="000C3F35">
        <w:rPr>
          <w:bCs/>
        </w:rPr>
        <w:t>only</w:t>
      </w:r>
      <w:r w:rsidR="004E7495">
        <w:rPr>
          <w:bCs/>
        </w:rPr>
        <w:t xml:space="preserve"> </w:t>
      </w:r>
      <w:r w:rsidR="0091550D">
        <w:rPr>
          <w:bCs/>
        </w:rPr>
        <w:t>at the university for a limited number of years, with the number depending on their program</w:t>
      </w:r>
      <w:r w:rsidR="003E5A63">
        <w:rPr>
          <w:bCs/>
        </w:rPr>
        <w:t xml:space="preserve">me of study. </w:t>
      </w:r>
      <w:r w:rsidRPr="0015488E">
        <w:rPr>
          <w:bCs/>
        </w:rPr>
        <w:t>This has significant bearing on how the gardens are maintained because students are usually only at university for</w:t>
      </w:r>
      <w:r w:rsidR="0090578A">
        <w:rPr>
          <w:bCs/>
        </w:rPr>
        <w:t xml:space="preserve"> the less agriculturally productive</w:t>
      </w:r>
      <w:r w:rsidRPr="0015488E">
        <w:rPr>
          <w:bCs/>
        </w:rPr>
        <w:t xml:space="preserve"> part of the year, but gardens need to be tended year-round. </w:t>
      </w:r>
      <w:r w:rsidR="0090578A">
        <w:t>M</w:t>
      </w:r>
      <w:r w:rsidR="00653B84" w:rsidRPr="00653B84">
        <w:t xml:space="preserve">aintaining volunteer interest </w:t>
      </w:r>
      <w:r w:rsidR="0090578A">
        <w:t xml:space="preserve">in community gardens can be a challenge, </w:t>
      </w:r>
      <w:r w:rsidR="00653B84" w:rsidRPr="00653B84">
        <w:t xml:space="preserve">given that the fruits of labour in the garden often come weeks, months, or even years after the effort.  </w:t>
      </w:r>
      <w:r w:rsidR="0090578A">
        <w:t>In the case of UCGS, i</w:t>
      </w:r>
      <w:r w:rsidR="00653B84" w:rsidRPr="00653B84">
        <w:t xml:space="preserve">nvolvement of key individuals and organisations </w:t>
      </w:r>
      <w:r w:rsidR="0090578A">
        <w:t xml:space="preserve">(ie. estate and grounds staff) </w:t>
      </w:r>
      <w:r w:rsidR="00653B84" w:rsidRPr="00653B84">
        <w:t xml:space="preserve">can also be a challenge because volunteers who are only involved in the short term may not know who the best people or groups are to help with projects in the garden. For example, summer caretaker presence and community interest may be difficult to </w:t>
      </w:r>
      <w:r w:rsidR="00D61474">
        <w:t xml:space="preserve">establish and </w:t>
      </w:r>
      <w:r w:rsidR="00653B84" w:rsidRPr="00653B84">
        <w:t xml:space="preserve">maintain when student volunteers don’t know appropriate staff, postgraduate students, or community members </w:t>
      </w:r>
      <w:r w:rsidR="00F1040E">
        <w:t>to approach (McKinne and</w:t>
      </w:r>
      <w:r w:rsidR="0029602A">
        <w:t xml:space="preserve"> Halfacre</w:t>
      </w:r>
      <w:r w:rsidR="00653B84" w:rsidRPr="00653B84">
        <w:t xml:space="preserve"> 2008). Knowledge management (creating, using, sharing, and retaining information effectively) is also a challenge associated with participant transience and is important for contributing to organisational learning (the integration of new knowledge to improve an organisation) (Ragsdel</w:t>
      </w:r>
      <w:r w:rsidR="0029602A">
        <w:t>l 2007,</w:t>
      </w:r>
      <w:r w:rsidR="00653B84" w:rsidRPr="00653B84">
        <w:t xml:space="preserve"> 2013)</w:t>
      </w:r>
      <w:r w:rsidR="00974195">
        <w:t>, and may be important just to keep an initiative going</w:t>
      </w:r>
      <w:r w:rsidR="00653B84" w:rsidRPr="00653B84">
        <w:t>.</w:t>
      </w:r>
      <w:r w:rsidR="00653B84">
        <w:rPr>
          <w:bCs/>
        </w:rPr>
        <w:t xml:space="preserve"> </w:t>
      </w:r>
      <w:r w:rsidR="003A53C1">
        <w:rPr>
          <w:bCs/>
        </w:rPr>
        <w:t xml:space="preserve">This is particularly important for community gardens, given </w:t>
      </w:r>
      <w:r w:rsidR="004E09BF">
        <w:rPr>
          <w:bCs/>
        </w:rPr>
        <w:t xml:space="preserve">that gardening </w:t>
      </w:r>
      <w:r w:rsidR="003A53C1">
        <w:rPr>
          <w:bCs/>
        </w:rPr>
        <w:t>is such a knowledge-intensive activity</w:t>
      </w:r>
      <w:r w:rsidR="00AC7F43">
        <w:rPr>
          <w:bCs/>
        </w:rPr>
        <w:t xml:space="preserve"> (Brush 2007)</w:t>
      </w:r>
      <w:r w:rsidR="003A53C1">
        <w:rPr>
          <w:bCs/>
        </w:rPr>
        <w:t xml:space="preserve">. </w:t>
      </w:r>
    </w:p>
    <w:p w14:paraId="7B97DFBF" w14:textId="48FF3B21" w:rsidR="00653B84" w:rsidRDefault="003A53C1" w:rsidP="00653B84">
      <w:pPr>
        <w:pStyle w:val="Newparagraph"/>
        <w:rPr>
          <w:bCs/>
        </w:rPr>
      </w:pPr>
      <w:r w:rsidRPr="003A53C1">
        <w:rPr>
          <w:bCs/>
          <w:lang w:val="en-US"/>
        </w:rPr>
        <w:t xml:space="preserve">Adrangi (2013) also found that students can also unintentionally neglect work by other local groups on similar projects (such as by initiating new projects (like community gardens, food bank donations, etc.) without realizing such projects </w:t>
      </w:r>
      <w:r w:rsidR="000C3F35">
        <w:rPr>
          <w:bCs/>
          <w:lang w:val="en-US"/>
        </w:rPr>
        <w:t>have already been lobbied for or run by/in affiliation with the university</w:t>
      </w:r>
      <w:r w:rsidR="00974195">
        <w:rPr>
          <w:bCs/>
          <w:lang w:val="en-US"/>
        </w:rPr>
        <w:t xml:space="preserve"> or within the </w:t>
      </w:r>
      <w:r w:rsidR="004E09BF">
        <w:rPr>
          <w:bCs/>
          <w:lang w:val="en-US"/>
        </w:rPr>
        <w:t>l</w:t>
      </w:r>
      <w:r w:rsidR="00974195">
        <w:rPr>
          <w:bCs/>
          <w:lang w:val="en-US"/>
        </w:rPr>
        <w:t>ocal community</w:t>
      </w:r>
      <w:r w:rsidRPr="003A53C1">
        <w:rPr>
          <w:bCs/>
          <w:lang w:val="en-US"/>
        </w:rPr>
        <w:t>), and duplicating efforts thereby creating tensions between non-students and students. However, this neglect of existing work also deprives students and their projects of “a pool of knowledge and mentors, exposure to new ways of doing things and experiences, pooled human and material resources, and staying power that of</w:t>
      </w:r>
      <w:r w:rsidR="005749A1">
        <w:rPr>
          <w:bCs/>
          <w:lang w:val="en-US"/>
        </w:rPr>
        <w:t>ten exceeds” their own (Adrangi</w:t>
      </w:r>
      <w:r w:rsidRPr="003A53C1">
        <w:rPr>
          <w:bCs/>
          <w:lang w:val="en-US"/>
        </w:rPr>
        <w:t xml:space="preserve"> 2013).</w:t>
      </w:r>
    </w:p>
    <w:p w14:paraId="502F790D" w14:textId="494F4635" w:rsidR="00634414" w:rsidRPr="00203BB8" w:rsidRDefault="00203BB8" w:rsidP="002442E2">
      <w:pPr>
        <w:pStyle w:val="Newparagraph"/>
      </w:pPr>
      <w:r w:rsidRPr="00203BB8">
        <w:rPr>
          <w:bCs/>
        </w:rPr>
        <w:t xml:space="preserve">While participant transience </w:t>
      </w:r>
      <w:r w:rsidR="002442E2">
        <w:rPr>
          <w:bCs/>
        </w:rPr>
        <w:t xml:space="preserve">is clearly </w:t>
      </w:r>
      <w:r w:rsidRPr="00203BB8">
        <w:rPr>
          <w:bCs/>
        </w:rPr>
        <w:t>a defining factor of UCGS, it is an issue that has</w:t>
      </w:r>
      <w:r w:rsidR="00974195">
        <w:rPr>
          <w:bCs/>
        </w:rPr>
        <w:t xml:space="preserve"> not</w:t>
      </w:r>
      <w:r w:rsidRPr="00203BB8">
        <w:rPr>
          <w:bCs/>
        </w:rPr>
        <w:t xml:space="preserve"> been adequately explored.</w:t>
      </w:r>
      <w:r w:rsidR="00C334FA">
        <w:rPr>
          <w:bCs/>
        </w:rPr>
        <w:t xml:space="preserve"> And indeed, while participant transience is </w:t>
      </w:r>
      <w:r w:rsidR="003E5A63">
        <w:rPr>
          <w:bCs/>
        </w:rPr>
        <w:t>a key challenge</w:t>
      </w:r>
      <w:r w:rsidR="00C334FA">
        <w:rPr>
          <w:bCs/>
        </w:rPr>
        <w:t xml:space="preserve"> in UCGS</w:t>
      </w:r>
      <w:r w:rsidR="0091550D">
        <w:rPr>
          <w:bCs/>
        </w:rPr>
        <w:t xml:space="preserve"> settings</w:t>
      </w:r>
      <w:r w:rsidR="00C334FA">
        <w:rPr>
          <w:bCs/>
        </w:rPr>
        <w:t>, it is also a challenge faced by other community gardens</w:t>
      </w:r>
      <w:r w:rsidR="00E96AD3">
        <w:rPr>
          <w:bCs/>
        </w:rPr>
        <w:t xml:space="preserve">, given that </w:t>
      </w:r>
      <w:r w:rsidR="00E96AD3" w:rsidRPr="004E09BF">
        <w:rPr>
          <w:bCs/>
          <w:i/>
        </w:rPr>
        <w:t>ad hoc</w:t>
      </w:r>
      <w:r w:rsidR="00E96AD3" w:rsidRPr="00E96AD3">
        <w:rPr>
          <w:bCs/>
        </w:rPr>
        <w:t>, one-time, and seasonal volunteering is on the rise</w:t>
      </w:r>
      <w:r w:rsidR="00E96AD3">
        <w:rPr>
          <w:bCs/>
        </w:rPr>
        <w:t xml:space="preserve"> (MacDuff 2005)</w:t>
      </w:r>
      <w:r w:rsidR="00C334FA" w:rsidRPr="00E96AD3">
        <w:rPr>
          <w:bCs/>
        </w:rPr>
        <w:t>.</w:t>
      </w:r>
      <w:r w:rsidRPr="00E96AD3">
        <w:rPr>
          <w:bCs/>
        </w:rPr>
        <w:t xml:space="preserve"> </w:t>
      </w:r>
      <w:r w:rsidR="00653B84" w:rsidRPr="00E96AD3">
        <w:t>Understanding</w:t>
      </w:r>
      <w:r w:rsidR="00653B84" w:rsidRPr="00203BB8">
        <w:t xml:space="preserve"> p</w:t>
      </w:r>
      <w:r w:rsidR="00634414" w:rsidRPr="00203BB8">
        <w:t>articipant transience and its relationship to</w:t>
      </w:r>
      <w:r w:rsidR="00974195">
        <w:t xml:space="preserve"> project </w:t>
      </w:r>
      <w:r w:rsidR="004E09BF">
        <w:t>continuity</w:t>
      </w:r>
      <w:r w:rsidR="00974195">
        <w:t xml:space="preserve"> and</w:t>
      </w:r>
      <w:r w:rsidR="00634414" w:rsidRPr="00203BB8">
        <w:t xml:space="preserve"> environmental and socia</w:t>
      </w:r>
      <w:r w:rsidR="002442E2">
        <w:t>l outcomes is important given</w:t>
      </w:r>
      <w:r w:rsidR="00634414" w:rsidRPr="00203BB8">
        <w:t xml:space="preserve"> the increasing number of </w:t>
      </w:r>
      <w:r w:rsidR="00C334FA">
        <w:t xml:space="preserve">community gardens </w:t>
      </w:r>
      <w:r w:rsidR="00634414" w:rsidRPr="00203BB8">
        <w:t>and amount of resourcing for these projects</w:t>
      </w:r>
      <w:r w:rsidR="002442E2">
        <w:t>. A better understanding of participant transience could also help</w:t>
      </w:r>
      <w:r w:rsidR="00634414" w:rsidRPr="00203BB8">
        <w:t xml:space="preserve"> sustainability</w:t>
      </w:r>
      <w:r w:rsidR="00712CD2">
        <w:t xml:space="preserve"> and community</w:t>
      </w:r>
      <w:r w:rsidR="00634414" w:rsidRPr="00203BB8">
        <w:t xml:space="preserve"> pro</w:t>
      </w:r>
      <w:r w:rsidR="007A2267">
        <w:t>jects with large volunteer bases</w:t>
      </w:r>
      <w:r w:rsidR="00C334FA">
        <w:t xml:space="preserve"> outside of university settings</w:t>
      </w:r>
      <w:r w:rsidR="00FD4730">
        <w:t xml:space="preserve"> </w:t>
      </w:r>
      <w:r w:rsidR="00712CD2">
        <w:t xml:space="preserve">to </w:t>
      </w:r>
      <w:r w:rsidR="00634414" w:rsidRPr="00203BB8">
        <w:t xml:space="preserve">learn </w:t>
      </w:r>
      <w:r w:rsidR="00F62176">
        <w:t>how to improve their projects.</w:t>
      </w:r>
    </w:p>
    <w:p w14:paraId="4843BA38" w14:textId="77777777" w:rsidR="0015488E" w:rsidRPr="0015488E" w:rsidRDefault="0015488E" w:rsidP="0015488E">
      <w:pPr>
        <w:pStyle w:val="Paragraph"/>
        <w:rPr>
          <w:rFonts w:cs="Arial"/>
          <w:b/>
          <w:bCs/>
          <w:kern w:val="32"/>
          <w:szCs w:val="32"/>
        </w:rPr>
      </w:pPr>
      <w:r>
        <w:rPr>
          <w:rFonts w:cs="Arial"/>
          <w:b/>
          <w:bCs/>
          <w:i/>
          <w:iCs/>
          <w:szCs w:val="28"/>
        </w:rPr>
        <w:t>Attitude and Behaviour Change</w:t>
      </w:r>
    </w:p>
    <w:p w14:paraId="7CA7A988" w14:textId="087819D6" w:rsidR="00320EE8" w:rsidRDefault="00320EE8" w:rsidP="00C30568">
      <w:pPr>
        <w:pStyle w:val="Newparagraph"/>
        <w:rPr>
          <w:bCs/>
        </w:rPr>
      </w:pPr>
      <w:r>
        <w:rPr>
          <w:bCs/>
        </w:rPr>
        <w:t>Guitart et al. (2012) did not identify attitude or behaviour change as a benefit of community garden projects (</w:t>
      </w:r>
      <w:r w:rsidR="0013026B">
        <w:rPr>
          <w:bCs/>
        </w:rPr>
        <w:t>although this may</w:t>
      </w:r>
      <w:r w:rsidR="003E5A63">
        <w:rPr>
          <w:bCs/>
        </w:rPr>
        <w:t>b</w:t>
      </w:r>
      <w:r w:rsidR="0013026B">
        <w:rPr>
          <w:bCs/>
        </w:rPr>
        <w:t>e be included implicitly</w:t>
      </w:r>
      <w:r>
        <w:rPr>
          <w:bCs/>
        </w:rPr>
        <w:t xml:space="preserve"> under the ‘social benefits’ category). However, a variety of studies have been conducted about how community gardens impact attitude and/or behaviour change with regard to the </w:t>
      </w:r>
      <w:r w:rsidR="00497D75">
        <w:rPr>
          <w:bCs/>
        </w:rPr>
        <w:t>environment</w:t>
      </w:r>
      <w:r>
        <w:rPr>
          <w:bCs/>
        </w:rPr>
        <w:t xml:space="preserve"> and participants’ food choices (</w:t>
      </w:r>
      <w:r w:rsidR="00F1040E">
        <w:rPr>
          <w:bCs/>
        </w:rPr>
        <w:t>Somerset and</w:t>
      </w:r>
      <w:r w:rsidR="006E2EE8">
        <w:rPr>
          <w:bCs/>
        </w:rPr>
        <w:t xml:space="preserve"> Markwell 2009, Turner 2011</w:t>
      </w:r>
      <w:r>
        <w:rPr>
          <w:bCs/>
        </w:rPr>
        <w:t>). The results are mixed</w:t>
      </w:r>
      <w:r w:rsidR="003C53A4">
        <w:rPr>
          <w:bCs/>
        </w:rPr>
        <w:t>, and the reason may be, as Middlemiss (2011) found, that different participants may be affected in different ways. She found that “t</w:t>
      </w:r>
      <w:r w:rsidR="003C53A4" w:rsidRPr="003C53A4">
        <w:rPr>
          <w:bCs/>
        </w:rPr>
        <w:t>hose who are new to sustainability and who are actively involved in cohesive groups, which are specifically targeting their lifestyles, are more likely to report substantial changes</w:t>
      </w:r>
      <w:r w:rsidR="003C53A4">
        <w:rPr>
          <w:bCs/>
        </w:rPr>
        <w:t xml:space="preserve">” in sustainable lifestyle behaviours than those with histories of engagement in sustainable lifestyles or behaviours (Middlemiss, 2011, p. 265). Therefore the capacity of growing projects to contribute to </w:t>
      </w:r>
      <w:r w:rsidR="0013026B">
        <w:rPr>
          <w:bCs/>
        </w:rPr>
        <w:t xml:space="preserve">enhancing </w:t>
      </w:r>
      <w:r w:rsidR="003C53A4">
        <w:rPr>
          <w:bCs/>
        </w:rPr>
        <w:t>pro-environmental behaviour is contingent on (1) recruiting participants not already active in sustainability or environmentalism, and (2)</w:t>
      </w:r>
      <w:r w:rsidR="00D05FFD">
        <w:rPr>
          <w:bCs/>
        </w:rPr>
        <w:t xml:space="preserve"> the cohesiveness, as well as the</w:t>
      </w:r>
      <w:r w:rsidR="00497D75">
        <w:rPr>
          <w:bCs/>
        </w:rPr>
        <w:t xml:space="preserve"> </w:t>
      </w:r>
      <w:r w:rsidR="00D05FFD">
        <w:rPr>
          <w:bCs/>
        </w:rPr>
        <w:t>beliefs, behaviours and attitudes of the group.</w:t>
      </w:r>
    </w:p>
    <w:p w14:paraId="63750F56" w14:textId="577581D9" w:rsidR="00497D75" w:rsidRDefault="00497D75" w:rsidP="00C30568">
      <w:pPr>
        <w:pStyle w:val="Newparagraph"/>
        <w:rPr>
          <w:bCs/>
        </w:rPr>
      </w:pPr>
      <w:r>
        <w:rPr>
          <w:bCs/>
        </w:rPr>
        <w:t>The implications of this for UCGS are related to the transience of their participants. Because UCGS experience such high turnover</w:t>
      </w:r>
      <w:r w:rsidR="00974195">
        <w:rPr>
          <w:bCs/>
        </w:rPr>
        <w:t xml:space="preserve"> of participants</w:t>
      </w:r>
      <w:r>
        <w:rPr>
          <w:bCs/>
        </w:rPr>
        <w:t xml:space="preserve">, </w:t>
      </w:r>
      <w:r w:rsidR="0013026B">
        <w:rPr>
          <w:bCs/>
        </w:rPr>
        <w:t xml:space="preserve">a need for </w:t>
      </w:r>
      <w:r>
        <w:rPr>
          <w:bCs/>
        </w:rPr>
        <w:t>ongoing recruitment is one of their central features. This could result in engaging many participants without a history of sustainability or environmental engagement who would be more prone to attitude or behaviour change. However, the high turnover could also impact the cohesiveness of the group, providing fewer opportunities for social learning.</w:t>
      </w:r>
      <w:r w:rsidR="00030B18">
        <w:rPr>
          <w:bCs/>
        </w:rPr>
        <w:t xml:space="preserve">  It </w:t>
      </w:r>
      <w:r w:rsidR="004E09BF">
        <w:rPr>
          <w:bCs/>
        </w:rPr>
        <w:t>could</w:t>
      </w:r>
      <w:r w:rsidR="00030B18">
        <w:rPr>
          <w:bCs/>
        </w:rPr>
        <w:t xml:space="preserve"> also be difficult to engage those who are not already interested in sustainability.</w:t>
      </w:r>
    </w:p>
    <w:p w14:paraId="020657CC" w14:textId="2DE79AD9" w:rsidR="00B762AF" w:rsidRDefault="0015488E" w:rsidP="00C30568">
      <w:pPr>
        <w:pStyle w:val="Newparagraph"/>
        <w:rPr>
          <w:bCs/>
        </w:rPr>
      </w:pPr>
      <w:r w:rsidRPr="0015488E">
        <w:rPr>
          <w:bCs/>
        </w:rPr>
        <w:t xml:space="preserve">Several of the </w:t>
      </w:r>
      <w:r w:rsidR="000C3F35">
        <w:rPr>
          <w:bCs/>
        </w:rPr>
        <w:t xml:space="preserve">food growing </w:t>
      </w:r>
      <w:r w:rsidRPr="0015488E">
        <w:rPr>
          <w:bCs/>
        </w:rPr>
        <w:t xml:space="preserve">UCGS in the reviewed articles aimed </w:t>
      </w:r>
      <w:r w:rsidR="007A2267">
        <w:rPr>
          <w:bCs/>
        </w:rPr>
        <w:t xml:space="preserve">to </w:t>
      </w:r>
      <w:r w:rsidRPr="0015488E">
        <w:rPr>
          <w:bCs/>
        </w:rPr>
        <w:t>enable participants to develop healthy, ethical, and eco-friendly attitudes and behaviours towards food. For example, Wharton and Harmon (2009</w:t>
      </w:r>
      <w:r w:rsidR="00F1040E">
        <w:rPr>
          <w:bCs/>
        </w:rPr>
        <w:t>, p. 114</w:t>
      </w:r>
      <w:r w:rsidRPr="0015488E">
        <w:rPr>
          <w:bCs/>
        </w:rPr>
        <w:t>) said that CSA membership “allows members to deepen their relationship and involvement with food” by decreasing “the number of shopping trips to more conventional</w:t>
      </w:r>
      <w:r w:rsidR="00536B53">
        <w:rPr>
          <w:bCs/>
        </w:rPr>
        <w:t xml:space="preserve"> venues such as the supermarket</w:t>
      </w:r>
      <w:r w:rsidR="00F1040E">
        <w:rPr>
          <w:bCs/>
        </w:rPr>
        <w:t>.</w:t>
      </w:r>
      <w:r w:rsidRPr="0015488E">
        <w:rPr>
          <w:bCs/>
        </w:rPr>
        <w:t xml:space="preserve">” Members may also change their </w:t>
      </w:r>
      <w:r w:rsidR="002A6C3F">
        <w:rPr>
          <w:bCs/>
        </w:rPr>
        <w:t>food</w:t>
      </w:r>
      <w:r w:rsidR="002442E2">
        <w:rPr>
          <w:bCs/>
        </w:rPr>
        <w:t xml:space="preserve"> </w:t>
      </w:r>
      <w:r w:rsidRPr="0015488E">
        <w:rPr>
          <w:bCs/>
        </w:rPr>
        <w:t>behaviours</w:t>
      </w:r>
      <w:r w:rsidR="002442E2">
        <w:rPr>
          <w:bCs/>
        </w:rPr>
        <w:t xml:space="preserve"> (such</w:t>
      </w:r>
      <w:r w:rsidRPr="0015488E">
        <w:rPr>
          <w:bCs/>
        </w:rPr>
        <w:t xml:space="preserve"> </w:t>
      </w:r>
      <w:r w:rsidR="002442E2">
        <w:rPr>
          <w:bCs/>
        </w:rPr>
        <w:t xml:space="preserve">as choosing to eat together </w:t>
      </w:r>
      <w:r w:rsidR="00536B53">
        <w:rPr>
          <w:bCs/>
        </w:rPr>
        <w:t xml:space="preserve">as a family or </w:t>
      </w:r>
      <w:r w:rsidR="00536B53" w:rsidRPr="0015488E">
        <w:rPr>
          <w:bCs/>
        </w:rPr>
        <w:t>experiment</w:t>
      </w:r>
      <w:r w:rsidR="00536B53">
        <w:rPr>
          <w:bCs/>
        </w:rPr>
        <w:t>ing</w:t>
      </w:r>
      <w:r w:rsidR="00536B53" w:rsidRPr="0015488E">
        <w:rPr>
          <w:bCs/>
        </w:rPr>
        <w:t xml:space="preserve"> </w:t>
      </w:r>
      <w:r w:rsidR="00536B53">
        <w:rPr>
          <w:bCs/>
        </w:rPr>
        <w:t>“</w:t>
      </w:r>
      <w:r w:rsidR="00F1040E">
        <w:rPr>
          <w:bCs/>
        </w:rPr>
        <w:t>with the art of composting”</w:t>
      </w:r>
      <w:r w:rsidR="00536B53">
        <w:rPr>
          <w:bCs/>
        </w:rPr>
        <w:t xml:space="preserve">) </w:t>
      </w:r>
      <w:r w:rsidRPr="0015488E">
        <w:rPr>
          <w:bCs/>
        </w:rPr>
        <w:t xml:space="preserve">because of the lack of pre-sliced, -washed, and -packaged foods provided to </w:t>
      </w:r>
      <w:r w:rsidR="00293F2C" w:rsidRPr="0015488E">
        <w:rPr>
          <w:bCs/>
        </w:rPr>
        <w:t>them</w:t>
      </w:r>
      <w:r w:rsidR="00293F2C">
        <w:rPr>
          <w:bCs/>
        </w:rPr>
        <w:t xml:space="preserve"> </w:t>
      </w:r>
      <w:r w:rsidR="00293F2C" w:rsidRPr="0015488E">
        <w:rPr>
          <w:bCs/>
        </w:rPr>
        <w:t>(</w:t>
      </w:r>
      <w:r w:rsidR="00F1040E">
        <w:rPr>
          <w:bCs/>
        </w:rPr>
        <w:t>Wharton and</w:t>
      </w:r>
      <w:r w:rsidRPr="0015488E">
        <w:rPr>
          <w:bCs/>
        </w:rPr>
        <w:t xml:space="preserve"> Harmon, 2009</w:t>
      </w:r>
      <w:r w:rsidR="00F1040E">
        <w:rPr>
          <w:bCs/>
        </w:rPr>
        <w:t xml:space="preserve">, </w:t>
      </w:r>
      <w:r w:rsidR="00F1040E" w:rsidRPr="0015488E">
        <w:rPr>
          <w:bCs/>
        </w:rPr>
        <w:t>p. 114</w:t>
      </w:r>
      <w:r w:rsidRPr="0015488E">
        <w:rPr>
          <w:bCs/>
        </w:rPr>
        <w:t xml:space="preserve">). </w:t>
      </w:r>
      <w:r w:rsidR="00293F2C">
        <w:rPr>
          <w:bCs/>
        </w:rPr>
        <w:t>In</w:t>
      </w:r>
      <w:r w:rsidRPr="0015488E">
        <w:rPr>
          <w:bCs/>
        </w:rPr>
        <w:t xml:space="preserve"> a number of the articles, the aim to change attitudes and behaviou</w:t>
      </w:r>
      <w:r w:rsidR="00355F62">
        <w:rPr>
          <w:bCs/>
        </w:rPr>
        <w:t>r related to sustainable food was</w:t>
      </w:r>
      <w:r w:rsidR="000C3F35">
        <w:rPr>
          <w:bCs/>
        </w:rPr>
        <w:t xml:space="preserve"> implicit</w:t>
      </w:r>
      <w:r w:rsidRPr="0015488E">
        <w:rPr>
          <w:bCs/>
        </w:rPr>
        <w:t xml:space="preserve"> – for example, several of the reviewed articles </w:t>
      </w:r>
      <w:r w:rsidR="00F1040E">
        <w:rPr>
          <w:bCs/>
        </w:rPr>
        <w:t>(Falk et al. 2005, Parr and Van Horn 2006, Wharton and</w:t>
      </w:r>
      <w:r w:rsidR="005749A1">
        <w:rPr>
          <w:bCs/>
        </w:rPr>
        <w:t xml:space="preserve"> Harmon</w:t>
      </w:r>
      <w:r w:rsidR="005749A1" w:rsidRPr="0015488E">
        <w:rPr>
          <w:bCs/>
        </w:rPr>
        <w:t xml:space="preserve"> 2009</w:t>
      </w:r>
      <w:r w:rsidR="005749A1">
        <w:rPr>
          <w:bCs/>
        </w:rPr>
        <w:t xml:space="preserve">, Datta 2016) </w:t>
      </w:r>
      <w:r w:rsidRPr="0015488E">
        <w:rPr>
          <w:bCs/>
        </w:rPr>
        <w:t>said the UCGSs they wrote about aimed to provide educational opportunities abou</w:t>
      </w:r>
      <w:r w:rsidR="00536B53">
        <w:rPr>
          <w:bCs/>
        </w:rPr>
        <w:t>t sustainable food systems, and</w:t>
      </w:r>
      <w:r w:rsidRPr="0015488E">
        <w:rPr>
          <w:bCs/>
        </w:rPr>
        <w:t xml:space="preserve"> such education may lead to changes in sustainable food attitudes and behaviours (such as by engaging “st</w:t>
      </w:r>
      <w:r w:rsidR="0029602A">
        <w:rPr>
          <w:bCs/>
        </w:rPr>
        <w:t>udents as consum</w:t>
      </w:r>
      <w:r w:rsidR="005749A1">
        <w:rPr>
          <w:bCs/>
        </w:rPr>
        <w:t>ers” (Kobayashi</w:t>
      </w:r>
      <w:r w:rsidR="00F1040E">
        <w:rPr>
          <w:bCs/>
        </w:rPr>
        <w:t xml:space="preserve"> et al.</w:t>
      </w:r>
      <w:r w:rsidR="005749A1">
        <w:rPr>
          <w:bCs/>
        </w:rPr>
        <w:t xml:space="preserve"> 2010, p. 503))</w:t>
      </w:r>
      <w:r w:rsidR="00E30B17">
        <w:rPr>
          <w:bCs/>
        </w:rPr>
        <w:t>.</w:t>
      </w:r>
    </w:p>
    <w:p w14:paraId="6860130F" w14:textId="63314ABB" w:rsidR="00B762AF" w:rsidRDefault="00B762AF" w:rsidP="00B762AF">
      <w:pPr>
        <w:pStyle w:val="Newparagraph"/>
        <w:rPr>
          <w:bCs/>
        </w:rPr>
      </w:pPr>
      <w:r>
        <w:rPr>
          <w:bCs/>
        </w:rPr>
        <w:t>It has been theorised that there are particular windows of time</w:t>
      </w:r>
      <w:r w:rsidRPr="0015488E">
        <w:rPr>
          <w:bCs/>
        </w:rPr>
        <w:t xml:space="preserve"> </w:t>
      </w:r>
      <w:r>
        <w:rPr>
          <w:bCs/>
        </w:rPr>
        <w:t xml:space="preserve">(sometimes called ‘life-course transitions’ (Elder 1998, </w:t>
      </w:r>
      <w:r w:rsidRPr="00A25F67">
        <w:rPr>
          <w:bCs/>
        </w:rPr>
        <w:t>Schäfer</w:t>
      </w:r>
      <w:r>
        <w:rPr>
          <w:bCs/>
        </w:rPr>
        <w:t xml:space="preserve"> et al. 2011)) </w:t>
      </w:r>
      <w:r w:rsidRPr="0015488E">
        <w:rPr>
          <w:bCs/>
        </w:rPr>
        <w:t xml:space="preserve">in a person’s life </w:t>
      </w:r>
      <w:r w:rsidR="0087227A">
        <w:rPr>
          <w:bCs/>
        </w:rPr>
        <w:t xml:space="preserve">when </w:t>
      </w:r>
      <w:r>
        <w:rPr>
          <w:bCs/>
        </w:rPr>
        <w:t>they</w:t>
      </w:r>
      <w:r w:rsidRPr="0015488E">
        <w:rPr>
          <w:bCs/>
        </w:rPr>
        <w:t xml:space="preserve"> can be particularly able to make changes to</w:t>
      </w:r>
      <w:r>
        <w:rPr>
          <w:bCs/>
        </w:rPr>
        <w:t xml:space="preserve"> otherwise inflexible</w:t>
      </w:r>
      <w:r w:rsidRPr="0015488E">
        <w:rPr>
          <w:bCs/>
        </w:rPr>
        <w:t xml:space="preserve"> habits</w:t>
      </w:r>
      <w:r w:rsidR="000C3F35">
        <w:rPr>
          <w:bCs/>
        </w:rPr>
        <w:t xml:space="preserve"> (Verplanken et al. 2008)</w:t>
      </w:r>
      <w:r w:rsidR="0087227A">
        <w:rPr>
          <w:bCs/>
        </w:rPr>
        <w:t>. An example of one of these windows is when young people move</w:t>
      </w:r>
      <w:r w:rsidRPr="0015488E">
        <w:rPr>
          <w:bCs/>
        </w:rPr>
        <w:t xml:space="preserve"> from the</w:t>
      </w:r>
      <w:r w:rsidR="0087227A">
        <w:rPr>
          <w:bCs/>
        </w:rPr>
        <w:t>ir</w:t>
      </w:r>
      <w:r w:rsidRPr="0015488E">
        <w:rPr>
          <w:bCs/>
        </w:rPr>
        <w:t xml:space="preserve"> parental home </w:t>
      </w:r>
      <w:r w:rsidR="0087227A">
        <w:rPr>
          <w:bCs/>
        </w:rPr>
        <w:t>and begin</w:t>
      </w:r>
      <w:r w:rsidR="00FD4730">
        <w:rPr>
          <w:bCs/>
        </w:rPr>
        <w:t xml:space="preserve"> </w:t>
      </w:r>
      <w:r w:rsidR="00CC6E17">
        <w:rPr>
          <w:bCs/>
        </w:rPr>
        <w:t>shopping for and cooki</w:t>
      </w:r>
      <w:r w:rsidR="00355F62">
        <w:rPr>
          <w:bCs/>
        </w:rPr>
        <w:t xml:space="preserve">ng their </w:t>
      </w:r>
      <w:r w:rsidR="00E30B17">
        <w:rPr>
          <w:bCs/>
        </w:rPr>
        <w:t>food independently</w:t>
      </w:r>
      <w:r w:rsidR="00E30B17" w:rsidRPr="00E30B17">
        <w:rPr>
          <w:bCs/>
        </w:rPr>
        <w:t xml:space="preserve"> </w:t>
      </w:r>
      <w:r w:rsidR="00E30B17" w:rsidRPr="0015488E">
        <w:rPr>
          <w:bCs/>
        </w:rPr>
        <w:t>for the first time</w:t>
      </w:r>
      <w:r w:rsidR="0087227A">
        <w:rPr>
          <w:bCs/>
        </w:rPr>
        <w:t>.</w:t>
      </w:r>
      <w:r>
        <w:rPr>
          <w:bCs/>
        </w:rPr>
        <w:t xml:space="preserve"> This</w:t>
      </w:r>
      <w:r w:rsidR="0087227A">
        <w:rPr>
          <w:bCs/>
        </w:rPr>
        <w:t xml:space="preserve"> notion</w:t>
      </w:r>
      <w:r>
        <w:rPr>
          <w:bCs/>
        </w:rPr>
        <w:t xml:space="preserve"> has been</w:t>
      </w:r>
      <w:r w:rsidRPr="0015488E">
        <w:rPr>
          <w:bCs/>
        </w:rPr>
        <w:t xml:space="preserve"> used to justify a variety of univers</w:t>
      </w:r>
      <w:r>
        <w:rPr>
          <w:bCs/>
        </w:rPr>
        <w:t>ity sustainability initiatives</w:t>
      </w:r>
      <w:r w:rsidR="00FD4730">
        <w:rPr>
          <w:bCs/>
        </w:rPr>
        <w:t>, including</w:t>
      </w:r>
      <w:r w:rsidR="0087227A">
        <w:rPr>
          <w:bCs/>
        </w:rPr>
        <w:t xml:space="preserve"> </w:t>
      </w:r>
      <w:r>
        <w:rPr>
          <w:bCs/>
        </w:rPr>
        <w:t xml:space="preserve">a </w:t>
      </w:r>
      <w:r w:rsidR="00030B18">
        <w:rPr>
          <w:bCs/>
        </w:rPr>
        <w:t xml:space="preserve">national </w:t>
      </w:r>
      <w:r>
        <w:rPr>
          <w:bCs/>
        </w:rPr>
        <w:t>food growing initiative</w:t>
      </w:r>
      <w:r w:rsidR="004E09BF">
        <w:rPr>
          <w:bCs/>
        </w:rPr>
        <w:t xml:space="preserve"> for Further and Higher E</w:t>
      </w:r>
      <w:r w:rsidR="00030B18">
        <w:rPr>
          <w:bCs/>
        </w:rPr>
        <w:t xml:space="preserve">ducation </w:t>
      </w:r>
      <w:r>
        <w:rPr>
          <w:bCs/>
        </w:rPr>
        <w:t xml:space="preserve"> </w:t>
      </w:r>
      <w:r w:rsidR="004E09BF">
        <w:rPr>
          <w:bCs/>
        </w:rPr>
        <w:t>Institutions</w:t>
      </w:r>
      <w:r w:rsidR="00030B18">
        <w:rPr>
          <w:bCs/>
        </w:rPr>
        <w:t xml:space="preserve"> run by the National Union of Students in the UK, </w:t>
      </w:r>
      <w:r w:rsidR="00FD4730">
        <w:rPr>
          <w:bCs/>
        </w:rPr>
        <w:t>called</w:t>
      </w:r>
      <w:r>
        <w:rPr>
          <w:bCs/>
        </w:rPr>
        <w:t xml:space="preserve"> Student Eats,</w:t>
      </w:r>
      <w:r w:rsidRPr="0015488E">
        <w:rPr>
          <w:bCs/>
        </w:rPr>
        <w:t xml:space="preserve"> </w:t>
      </w:r>
      <w:r>
        <w:rPr>
          <w:bCs/>
        </w:rPr>
        <w:t>which aims to facilitate these changes</w:t>
      </w:r>
      <w:r w:rsidRPr="0015488E">
        <w:rPr>
          <w:bCs/>
        </w:rPr>
        <w:t xml:space="preserve"> around sustainable food by s</w:t>
      </w:r>
      <w:r>
        <w:rPr>
          <w:bCs/>
        </w:rPr>
        <w:t xml:space="preserve">etting up community gardens </w:t>
      </w:r>
      <w:r w:rsidR="004E09BF">
        <w:rPr>
          <w:bCs/>
        </w:rPr>
        <w:t>these institutions</w:t>
      </w:r>
      <w:r w:rsidR="00E30B17">
        <w:rPr>
          <w:bCs/>
        </w:rPr>
        <w:t>.</w:t>
      </w:r>
    </w:p>
    <w:p w14:paraId="3531CF8B" w14:textId="67C8A7BD" w:rsidR="00A25F67" w:rsidRDefault="00C30568" w:rsidP="0015488E">
      <w:pPr>
        <w:pStyle w:val="Newparagraph"/>
        <w:rPr>
          <w:bCs/>
        </w:rPr>
      </w:pPr>
      <w:r>
        <w:rPr>
          <w:bCs/>
        </w:rPr>
        <w:t>There is also evidence</w:t>
      </w:r>
      <w:r w:rsidR="0015488E" w:rsidRPr="0015488E">
        <w:rPr>
          <w:bCs/>
        </w:rPr>
        <w:t xml:space="preserve"> that volunteering in a university community garden can improve self-esteem an</w:t>
      </w:r>
      <w:r w:rsidR="00E50D59">
        <w:rPr>
          <w:bCs/>
        </w:rPr>
        <w:t xml:space="preserve">d self-efficacy </w:t>
      </w:r>
      <w:r w:rsidR="0087227A">
        <w:rPr>
          <w:bCs/>
        </w:rPr>
        <w:t>(</w:t>
      </w:r>
      <w:r w:rsidR="0087227A" w:rsidRPr="0015488E">
        <w:t>the belief in one’s capabilities to take action on a</w:t>
      </w:r>
      <w:r w:rsidR="0087227A">
        <w:t xml:space="preserve"> given problem</w:t>
      </w:r>
      <w:r w:rsidR="0087227A">
        <w:rPr>
          <w:bCs/>
        </w:rPr>
        <w:t>)</w:t>
      </w:r>
      <w:r w:rsidR="001F2B02">
        <w:rPr>
          <w:bCs/>
        </w:rPr>
        <w:t xml:space="preserve"> </w:t>
      </w:r>
      <w:r w:rsidR="00F1040E">
        <w:rPr>
          <w:bCs/>
        </w:rPr>
        <w:t>(Pierce and</w:t>
      </w:r>
      <w:r w:rsidR="00E50D59">
        <w:rPr>
          <w:bCs/>
        </w:rPr>
        <w:t xml:space="preserve"> Seals 2006,</w:t>
      </w:r>
      <w:r w:rsidR="0015488E" w:rsidRPr="0015488E">
        <w:rPr>
          <w:bCs/>
        </w:rPr>
        <w:t xml:space="preserve"> Hoff</w:t>
      </w:r>
      <w:r w:rsidR="00E50D59">
        <w:rPr>
          <w:bCs/>
        </w:rPr>
        <w:t>man et al. 2007, Teig et al. 2009, Evans et al.</w:t>
      </w:r>
      <w:r w:rsidR="0015488E" w:rsidRPr="0015488E">
        <w:rPr>
          <w:bCs/>
        </w:rPr>
        <w:t xml:space="preserve"> 2012). Given that a lack of self-efficacy </w:t>
      </w:r>
      <w:r w:rsidR="00CC6E17">
        <w:rPr>
          <w:bCs/>
        </w:rPr>
        <w:t>has been shown to be</w:t>
      </w:r>
      <w:r w:rsidR="00CC6E17" w:rsidRPr="0015488E">
        <w:rPr>
          <w:bCs/>
        </w:rPr>
        <w:t xml:space="preserve"> </w:t>
      </w:r>
      <w:r w:rsidR="0015488E" w:rsidRPr="0015488E">
        <w:rPr>
          <w:bCs/>
        </w:rPr>
        <w:t xml:space="preserve">a barrier to changing </w:t>
      </w:r>
      <w:r w:rsidR="00CC6E17">
        <w:rPr>
          <w:bCs/>
        </w:rPr>
        <w:t>sustainability</w:t>
      </w:r>
      <w:r w:rsidR="0015488E" w:rsidRPr="0015488E">
        <w:rPr>
          <w:bCs/>
        </w:rPr>
        <w:t>-related behaviour</w:t>
      </w:r>
      <w:r w:rsidR="00CC6E17">
        <w:rPr>
          <w:bCs/>
        </w:rPr>
        <w:t xml:space="preserve">s </w:t>
      </w:r>
      <w:r w:rsidR="008F4E7E">
        <w:rPr>
          <w:bCs/>
        </w:rPr>
        <w:t>(</w:t>
      </w:r>
      <w:r w:rsidR="00CC6E17">
        <w:rPr>
          <w:bCs/>
        </w:rPr>
        <w:t>such as recycling</w:t>
      </w:r>
      <w:r w:rsidR="008F4E7E">
        <w:rPr>
          <w:bCs/>
        </w:rPr>
        <w:t>)</w:t>
      </w:r>
      <w:r w:rsidR="0015488E" w:rsidRPr="0015488E">
        <w:rPr>
          <w:bCs/>
        </w:rPr>
        <w:t xml:space="preserve">, it may be possible that this is also the same for ethical and eco-friendly food behaviours – which community gardens could address. This is echoed by DeLind (2006) who suggests that </w:t>
      </w:r>
      <w:r w:rsidR="00A25F67">
        <w:rPr>
          <w:bCs/>
        </w:rPr>
        <w:t xml:space="preserve">local </w:t>
      </w:r>
      <w:r w:rsidR="0015488E" w:rsidRPr="0015488E">
        <w:rPr>
          <w:bCs/>
        </w:rPr>
        <w:t xml:space="preserve">initiatives </w:t>
      </w:r>
      <w:r w:rsidR="00A25F67">
        <w:rPr>
          <w:bCs/>
        </w:rPr>
        <w:t xml:space="preserve">that can connect to people emotionally, sensually, and expressively, </w:t>
      </w:r>
      <w:r w:rsidR="0015488E" w:rsidRPr="0015488E">
        <w:rPr>
          <w:bCs/>
        </w:rPr>
        <w:t>like community gardens</w:t>
      </w:r>
      <w:r w:rsidR="00A25F67">
        <w:rPr>
          <w:bCs/>
        </w:rPr>
        <w:t>,</w:t>
      </w:r>
      <w:r w:rsidR="0015488E" w:rsidRPr="0015488E">
        <w:rPr>
          <w:bCs/>
        </w:rPr>
        <w:t xml:space="preserve"> “may best promote long-term attitudinal and behavioural change in relati</w:t>
      </w:r>
      <w:r w:rsidR="00E50D59">
        <w:rPr>
          <w:bCs/>
        </w:rPr>
        <w:t>on to food” (Turner</w:t>
      </w:r>
      <w:r w:rsidR="0015488E" w:rsidRPr="0015488E">
        <w:rPr>
          <w:bCs/>
        </w:rPr>
        <w:t xml:space="preserve"> 20</w:t>
      </w:r>
      <w:r w:rsidR="00247ADF">
        <w:rPr>
          <w:bCs/>
        </w:rPr>
        <w:t>11, p. 513).</w:t>
      </w:r>
      <w:r w:rsidR="00A25F67">
        <w:rPr>
          <w:bCs/>
        </w:rPr>
        <w:t xml:space="preserve"> </w:t>
      </w:r>
      <w:r w:rsidR="00030B18">
        <w:rPr>
          <w:bCs/>
        </w:rPr>
        <w:t>Improved self-efficacy through food growing projects may also increase self-efficacy in other areas of a person’s life, increasing their ability to make wider, positive changes for themselves</w:t>
      </w:r>
      <w:r w:rsidR="00F1040E">
        <w:rPr>
          <w:bCs/>
        </w:rPr>
        <w:t>,</w:t>
      </w:r>
      <w:r w:rsidR="00030B18">
        <w:rPr>
          <w:bCs/>
        </w:rPr>
        <w:t xml:space="preserve"> their communities</w:t>
      </w:r>
      <w:r w:rsidR="00F1040E">
        <w:rPr>
          <w:bCs/>
        </w:rPr>
        <w:t>,</w:t>
      </w:r>
      <w:r w:rsidR="00030B18">
        <w:rPr>
          <w:bCs/>
        </w:rPr>
        <w:t xml:space="preserve"> and </w:t>
      </w:r>
      <w:r w:rsidR="00F1040E">
        <w:rPr>
          <w:bCs/>
        </w:rPr>
        <w:t xml:space="preserve">the </w:t>
      </w:r>
      <w:r w:rsidR="00030B18">
        <w:rPr>
          <w:bCs/>
        </w:rPr>
        <w:t>environment.</w:t>
      </w:r>
    </w:p>
    <w:p w14:paraId="7011BF35" w14:textId="08EAD2A5" w:rsidR="00EE3C08" w:rsidRDefault="0015488E" w:rsidP="00EE3C08">
      <w:pPr>
        <w:pStyle w:val="Newparagraph"/>
        <w:rPr>
          <w:bCs/>
        </w:rPr>
      </w:pPr>
      <w:r w:rsidRPr="0015488E">
        <w:rPr>
          <w:bCs/>
        </w:rPr>
        <w:t>However, there are a variety of other mitigating factors</w:t>
      </w:r>
      <w:r w:rsidR="00A46BF2">
        <w:rPr>
          <w:bCs/>
        </w:rPr>
        <w:t xml:space="preserve"> influencing pro-environmental behaviours</w:t>
      </w:r>
      <w:r w:rsidRPr="0015488E">
        <w:rPr>
          <w:bCs/>
        </w:rPr>
        <w:t xml:space="preserve"> that have yet to be considered. Firstly, the impact of pro-environmental behaviour change initiatives needs to be </w:t>
      </w:r>
      <w:r w:rsidR="00C30568" w:rsidRPr="0015488E">
        <w:rPr>
          <w:bCs/>
        </w:rPr>
        <w:t>reflected</w:t>
      </w:r>
      <w:r w:rsidRPr="0015488E">
        <w:rPr>
          <w:bCs/>
        </w:rPr>
        <w:t xml:space="preserve"> </w:t>
      </w:r>
      <w:r w:rsidR="00C30568">
        <w:rPr>
          <w:bCs/>
        </w:rPr>
        <w:t xml:space="preserve">on </w:t>
      </w:r>
      <w:r w:rsidRPr="0015488E">
        <w:rPr>
          <w:bCs/>
        </w:rPr>
        <w:t>in relation to infrastructural factors</w:t>
      </w:r>
      <w:r w:rsidR="00C30568">
        <w:rPr>
          <w:bCs/>
        </w:rPr>
        <w:t xml:space="preserve"> and barriers</w:t>
      </w:r>
      <w:r w:rsidRPr="0015488E">
        <w:rPr>
          <w:bCs/>
        </w:rPr>
        <w:t xml:space="preserve"> (in the case of sustainable food habits, whether there are growing spaces, food waste and composting facilities, good access to markets and shops with sustainable food options, etc.). </w:t>
      </w:r>
      <w:r w:rsidR="00EE3C08">
        <w:rPr>
          <w:bCs/>
        </w:rPr>
        <w:t xml:space="preserve">This also ties in with ethical considerations behind </w:t>
      </w:r>
      <w:r w:rsidR="00EE3C08" w:rsidRPr="0015488E">
        <w:rPr>
          <w:bCs/>
        </w:rPr>
        <w:t>attempting to address student’s attitudes and behaviours related to sustainable food. While it may seem commendable, it is also paternalistic in assuming that the participants are</w:t>
      </w:r>
      <w:r w:rsidR="00030B18">
        <w:rPr>
          <w:bCs/>
        </w:rPr>
        <w:t xml:space="preserve"> not</w:t>
      </w:r>
      <w:r w:rsidR="00EE3C08" w:rsidRPr="0015488E">
        <w:rPr>
          <w:bCs/>
        </w:rPr>
        <w:t xml:space="preserve"> already conscious of their attitudes and have</w:t>
      </w:r>
      <w:r w:rsidR="00030B18">
        <w:rPr>
          <w:bCs/>
        </w:rPr>
        <w:t xml:space="preserve"> not</w:t>
      </w:r>
      <w:r w:rsidR="00EE3C08" w:rsidRPr="0015488E">
        <w:rPr>
          <w:bCs/>
        </w:rPr>
        <w:t xml:space="preserve"> </w:t>
      </w:r>
      <w:r w:rsidR="00EE3C08">
        <w:rPr>
          <w:bCs/>
        </w:rPr>
        <w:t xml:space="preserve">already </w:t>
      </w:r>
      <w:r w:rsidR="00EE3C08" w:rsidRPr="0015488E">
        <w:rPr>
          <w:bCs/>
        </w:rPr>
        <w:t xml:space="preserve">attempted to address their </w:t>
      </w:r>
      <w:r w:rsidR="00EE3C08">
        <w:rPr>
          <w:bCs/>
        </w:rPr>
        <w:t xml:space="preserve">unsustainable </w:t>
      </w:r>
      <w:r w:rsidR="00EE3C08" w:rsidRPr="0015488E">
        <w:rPr>
          <w:bCs/>
        </w:rPr>
        <w:t>behaviours</w:t>
      </w:r>
      <w:r w:rsidR="00EE3C08">
        <w:rPr>
          <w:bCs/>
        </w:rPr>
        <w:t xml:space="preserve">, which may be prevented by </w:t>
      </w:r>
      <w:r w:rsidR="00EE3C08" w:rsidRPr="0015488E">
        <w:rPr>
          <w:bCs/>
        </w:rPr>
        <w:t>mitigating factors and infrastructural barriers</w:t>
      </w:r>
      <w:r w:rsidR="00EE3C08">
        <w:rPr>
          <w:bCs/>
        </w:rPr>
        <w:t>.</w:t>
      </w:r>
      <w:r w:rsidR="00EE3C08" w:rsidRPr="0015488E">
        <w:rPr>
          <w:bCs/>
        </w:rPr>
        <w:t xml:space="preserve"> </w:t>
      </w:r>
    </w:p>
    <w:p w14:paraId="37C4B2A1" w14:textId="1FBC7C93" w:rsidR="0087227A" w:rsidRPr="0015488E" w:rsidRDefault="0015488E" w:rsidP="00EE3C08">
      <w:pPr>
        <w:pStyle w:val="Newparagraph"/>
        <w:rPr>
          <w:bCs/>
        </w:rPr>
      </w:pPr>
      <w:r w:rsidRPr="0015488E">
        <w:rPr>
          <w:bCs/>
        </w:rPr>
        <w:t xml:space="preserve">Secondly, while students may develop </w:t>
      </w:r>
      <w:r w:rsidR="00C30568">
        <w:rPr>
          <w:bCs/>
        </w:rPr>
        <w:t xml:space="preserve">sustainable </w:t>
      </w:r>
      <w:r w:rsidRPr="0015488E">
        <w:rPr>
          <w:bCs/>
        </w:rPr>
        <w:t>habits while at university, the change from student life to working life may actually be another ‘moment of change’. This ‘moment of change’ could ‘undo’ all the habits developed at university, so it is equally as important to study how partaking in initiatives like UCGSs impact behaviours beyond their participants</w:t>
      </w:r>
      <w:r w:rsidR="00CC6E17">
        <w:rPr>
          <w:bCs/>
        </w:rPr>
        <w:t>’</w:t>
      </w:r>
      <w:r w:rsidRPr="0015488E">
        <w:rPr>
          <w:bCs/>
        </w:rPr>
        <w:t xml:space="preserve"> time at university to understand the longevit</w:t>
      </w:r>
      <w:r w:rsidR="00EE3C08">
        <w:rPr>
          <w:bCs/>
        </w:rPr>
        <w:t xml:space="preserve">y of the initiatives’ impacts. </w:t>
      </w:r>
      <w:r w:rsidR="0087227A" w:rsidRPr="0015488E">
        <w:rPr>
          <w:bCs/>
        </w:rPr>
        <w:t xml:space="preserve">Thompson et al. (2011) </w:t>
      </w:r>
      <w:r w:rsidR="00EE3C08">
        <w:rPr>
          <w:bCs/>
        </w:rPr>
        <w:t xml:space="preserve">have </w:t>
      </w:r>
      <w:r w:rsidR="0087227A" w:rsidRPr="0015488E">
        <w:rPr>
          <w:bCs/>
        </w:rPr>
        <w:t>conducted a limited number of interviews which explored the potential for university-based sustainability initiatives to contribute to behaviour change</w:t>
      </w:r>
      <w:r w:rsidR="00EE3C08">
        <w:rPr>
          <w:bCs/>
        </w:rPr>
        <w:t xml:space="preserve"> and</w:t>
      </w:r>
      <w:r w:rsidR="0087227A" w:rsidRPr="0015488E">
        <w:rPr>
          <w:bCs/>
        </w:rPr>
        <w:t xml:space="preserve"> found that while there are already many existing behaviour change initiatives in universities throughout the UK and tha</w:t>
      </w:r>
      <w:r w:rsidR="0087227A">
        <w:rPr>
          <w:bCs/>
        </w:rPr>
        <w:t xml:space="preserve">t they have a lot of potential </w:t>
      </w:r>
      <w:r w:rsidR="0087227A" w:rsidRPr="0015488E">
        <w:rPr>
          <w:bCs/>
        </w:rPr>
        <w:t xml:space="preserve">given that </w:t>
      </w:r>
      <w:r w:rsidR="0087227A">
        <w:rPr>
          <w:bCs/>
        </w:rPr>
        <w:t>students are a captive audience</w:t>
      </w:r>
      <w:r w:rsidR="0087227A" w:rsidRPr="0015488E">
        <w:rPr>
          <w:bCs/>
        </w:rPr>
        <w:t>, there is little evidence of the impact these actually have on behaviour change.</w:t>
      </w:r>
      <w:r w:rsidR="0087227A">
        <w:rPr>
          <w:bCs/>
        </w:rPr>
        <w:t xml:space="preserve">  This therefore is an area requiring significant further research.</w:t>
      </w:r>
      <w:r w:rsidR="00355F62">
        <w:rPr>
          <w:bCs/>
        </w:rPr>
        <w:t xml:space="preserve"> </w:t>
      </w:r>
      <w:r w:rsidR="00355F62" w:rsidRPr="0015488E">
        <w:rPr>
          <w:bCs/>
        </w:rPr>
        <w:t>Longitudinal studies spanning pre-uni</w:t>
      </w:r>
      <w:r w:rsidR="00355F62">
        <w:rPr>
          <w:bCs/>
        </w:rPr>
        <w:t>versity to post-university life</w:t>
      </w:r>
      <w:r w:rsidR="00355F62" w:rsidRPr="0015488E">
        <w:rPr>
          <w:bCs/>
        </w:rPr>
        <w:t xml:space="preserve"> would be p</w:t>
      </w:r>
      <w:r w:rsidR="00355F62">
        <w:rPr>
          <w:bCs/>
        </w:rPr>
        <w:t>articularly appropriate for understanding the impact of UCGS beyond the university, as has been done in other studies o</w:t>
      </w:r>
      <w:r w:rsidR="00BC71DA">
        <w:rPr>
          <w:bCs/>
        </w:rPr>
        <w:t>n</w:t>
      </w:r>
      <w:r w:rsidR="00355F62">
        <w:rPr>
          <w:bCs/>
        </w:rPr>
        <w:t xml:space="preserve"> life course transitions (Elder 1998).</w:t>
      </w:r>
    </w:p>
    <w:p w14:paraId="6EF64A7C" w14:textId="28772CA8" w:rsidR="0015488E" w:rsidRDefault="0015488E" w:rsidP="00E30B17">
      <w:pPr>
        <w:pStyle w:val="Newparagraph"/>
        <w:rPr>
          <w:bCs/>
        </w:rPr>
      </w:pPr>
    </w:p>
    <w:p w14:paraId="1E94068B" w14:textId="77777777" w:rsidR="0015488E" w:rsidRPr="0015488E" w:rsidRDefault="0015488E" w:rsidP="0015488E">
      <w:pPr>
        <w:pStyle w:val="Paragraph"/>
        <w:rPr>
          <w:rFonts w:cs="Arial"/>
          <w:b/>
          <w:bCs/>
          <w:kern w:val="32"/>
          <w:szCs w:val="32"/>
        </w:rPr>
      </w:pPr>
      <w:r>
        <w:rPr>
          <w:rFonts w:cs="Arial"/>
          <w:b/>
          <w:bCs/>
          <w:kern w:val="32"/>
          <w:szCs w:val="32"/>
        </w:rPr>
        <w:t>Conclusion</w:t>
      </w:r>
    </w:p>
    <w:p w14:paraId="2FCBC376" w14:textId="4612A695" w:rsidR="005069E6" w:rsidRDefault="00000A96" w:rsidP="00E30B17">
      <w:pPr>
        <w:ind w:firstLine="720"/>
        <w:rPr>
          <w:bCs/>
        </w:rPr>
      </w:pPr>
      <w:r>
        <w:rPr>
          <w:bCs/>
        </w:rPr>
        <w:t xml:space="preserve">UCGS and </w:t>
      </w:r>
      <w:r w:rsidR="00E30B17">
        <w:rPr>
          <w:bCs/>
        </w:rPr>
        <w:t>urban community garden</w:t>
      </w:r>
      <w:r w:rsidR="00F47ED9">
        <w:rPr>
          <w:bCs/>
        </w:rPr>
        <w:t xml:space="preserve"> literature </w:t>
      </w:r>
      <w:r>
        <w:rPr>
          <w:bCs/>
        </w:rPr>
        <w:t xml:space="preserve">are </w:t>
      </w:r>
      <w:r w:rsidR="00F47ED9">
        <w:rPr>
          <w:bCs/>
        </w:rPr>
        <w:t>similar</w:t>
      </w:r>
      <w:r w:rsidR="00F47ED9" w:rsidRPr="00CB052F">
        <w:rPr>
          <w:bCs/>
        </w:rPr>
        <w:t xml:space="preserve"> in terms of the geographical scope of the authorship and gardens they investigate</w:t>
      </w:r>
      <w:r w:rsidR="00826D44">
        <w:rPr>
          <w:bCs/>
        </w:rPr>
        <w:t>d (US</w:t>
      </w:r>
      <w:r w:rsidR="00F47ED9">
        <w:rPr>
          <w:bCs/>
        </w:rPr>
        <w:t xml:space="preserve">A-centric), and the majority of the types of benefits reported to result from the gardens. </w:t>
      </w:r>
      <w:r w:rsidR="00E30B17">
        <w:rPr>
          <w:bCs/>
        </w:rPr>
        <w:t>The benefits</w:t>
      </w:r>
      <w:r>
        <w:rPr>
          <w:bCs/>
        </w:rPr>
        <w:t xml:space="preserve"> reported </w:t>
      </w:r>
      <w:r w:rsidR="00E30B17">
        <w:rPr>
          <w:bCs/>
        </w:rPr>
        <w:t xml:space="preserve">most frequently </w:t>
      </w:r>
      <w:r>
        <w:rPr>
          <w:bCs/>
        </w:rPr>
        <w:t xml:space="preserve">for both urban community gardens and UCGS include social, </w:t>
      </w:r>
      <w:r w:rsidR="00B55C1D">
        <w:rPr>
          <w:bCs/>
        </w:rPr>
        <w:t>educational, economic, and health</w:t>
      </w:r>
      <w:r>
        <w:rPr>
          <w:bCs/>
        </w:rPr>
        <w:t xml:space="preserve">, as well as benefits associated with accessing fresh food.  </w:t>
      </w:r>
      <w:r w:rsidR="00F47ED9">
        <w:rPr>
          <w:bCs/>
        </w:rPr>
        <w:t xml:space="preserve">They depart in terms </w:t>
      </w:r>
      <w:r w:rsidR="008150EA">
        <w:rPr>
          <w:bCs/>
        </w:rPr>
        <w:t>of</w:t>
      </w:r>
      <w:r w:rsidR="00F47ED9">
        <w:rPr>
          <w:bCs/>
        </w:rPr>
        <w:t xml:space="preserve"> their focus on educational benefits (with a much higher proportion articles about UCGS discussing and demonstrating them),</w:t>
      </w:r>
      <w:r w:rsidR="00826D44">
        <w:rPr>
          <w:bCs/>
        </w:rPr>
        <w:t xml:space="preserve"> </w:t>
      </w:r>
      <w:r w:rsidR="00F47ED9">
        <w:rPr>
          <w:bCs/>
        </w:rPr>
        <w:t xml:space="preserve">and the proportion of articles citing environmental sustainability benefits (with </w:t>
      </w:r>
      <w:r w:rsidR="00826D44">
        <w:rPr>
          <w:bCs/>
        </w:rPr>
        <w:t>a</w:t>
      </w:r>
      <w:r w:rsidR="00F47ED9">
        <w:rPr>
          <w:bCs/>
        </w:rPr>
        <w:t xml:space="preserve"> higher proportion articles about UCGS </w:t>
      </w:r>
      <w:r w:rsidR="00AE12D3">
        <w:rPr>
          <w:bCs/>
        </w:rPr>
        <w:t xml:space="preserve">both discussing and </w:t>
      </w:r>
      <w:r w:rsidR="00F47ED9">
        <w:rPr>
          <w:bCs/>
        </w:rPr>
        <w:t xml:space="preserve">demonstrating them). Based on this, we have suggested that </w:t>
      </w:r>
      <w:r w:rsidR="00F47ED9" w:rsidRPr="00961024">
        <w:rPr>
          <w:bCs/>
        </w:rPr>
        <w:t>community gardens are being used</w:t>
      </w:r>
      <w:r w:rsidR="00527300">
        <w:rPr>
          <w:bCs/>
        </w:rPr>
        <w:t>,</w:t>
      </w:r>
      <w:r w:rsidR="00F47ED9" w:rsidRPr="00961024">
        <w:rPr>
          <w:bCs/>
        </w:rPr>
        <w:t xml:space="preserve"> and likely have an increasing potential to be used</w:t>
      </w:r>
      <w:r w:rsidR="00527300">
        <w:rPr>
          <w:bCs/>
        </w:rPr>
        <w:t>,</w:t>
      </w:r>
      <w:r w:rsidR="00F47ED9" w:rsidRPr="00961024">
        <w:rPr>
          <w:bCs/>
        </w:rPr>
        <w:t xml:space="preserve"> as a tool for </w:t>
      </w:r>
      <w:r w:rsidR="00492A49">
        <w:rPr>
          <w:bCs/>
        </w:rPr>
        <w:t>EfS</w:t>
      </w:r>
      <w:r w:rsidR="00341E6C">
        <w:rPr>
          <w:bCs/>
        </w:rPr>
        <w:t xml:space="preserve"> </w:t>
      </w:r>
      <w:r>
        <w:rPr>
          <w:bCs/>
        </w:rPr>
        <w:t>at</w:t>
      </w:r>
      <w:r w:rsidR="00F47ED9" w:rsidRPr="00961024">
        <w:rPr>
          <w:bCs/>
        </w:rPr>
        <w:t xml:space="preserve"> universities</w:t>
      </w:r>
      <w:r>
        <w:rPr>
          <w:bCs/>
        </w:rPr>
        <w:t xml:space="preserve"> and in communities</w:t>
      </w:r>
      <w:r w:rsidR="00527300">
        <w:rPr>
          <w:bCs/>
        </w:rPr>
        <w:t>. T</w:t>
      </w:r>
      <w:r w:rsidR="00F47ED9" w:rsidRPr="00961024">
        <w:rPr>
          <w:bCs/>
        </w:rPr>
        <w:t xml:space="preserve">here is </w:t>
      </w:r>
      <w:r w:rsidR="00527300">
        <w:rPr>
          <w:bCs/>
        </w:rPr>
        <w:t xml:space="preserve">also </w:t>
      </w:r>
      <w:r w:rsidR="00F47ED9" w:rsidRPr="00961024">
        <w:rPr>
          <w:bCs/>
        </w:rPr>
        <w:t>a need for further research into the impact of community gardens o</w:t>
      </w:r>
      <w:r w:rsidR="00F47ED9">
        <w:rPr>
          <w:bCs/>
        </w:rPr>
        <w:t>n environmental sustainability to find o</w:t>
      </w:r>
      <w:r w:rsidR="00826D44">
        <w:rPr>
          <w:bCs/>
        </w:rPr>
        <w:t>ut more about th</w:t>
      </w:r>
      <w:r>
        <w:rPr>
          <w:bCs/>
        </w:rPr>
        <w:t>is</w:t>
      </w:r>
      <w:r w:rsidR="00826D44">
        <w:rPr>
          <w:bCs/>
        </w:rPr>
        <w:t xml:space="preserve"> relationship</w:t>
      </w:r>
      <w:r w:rsidR="00F47ED9">
        <w:rPr>
          <w:bCs/>
        </w:rPr>
        <w:t xml:space="preserve">. </w:t>
      </w:r>
    </w:p>
    <w:p w14:paraId="58927C67" w14:textId="04BC7D35" w:rsidR="005069E6" w:rsidRDefault="00F47ED9" w:rsidP="00BC71DA">
      <w:pPr>
        <w:ind w:firstLine="720"/>
        <w:rPr>
          <w:bCs/>
        </w:rPr>
      </w:pPr>
      <w:r>
        <w:rPr>
          <w:bCs/>
        </w:rPr>
        <w:t xml:space="preserve">We have also argued that there are three key literature gaps </w:t>
      </w:r>
      <w:r w:rsidR="008150EA">
        <w:rPr>
          <w:bCs/>
        </w:rPr>
        <w:t xml:space="preserve">in literature about community gardens </w:t>
      </w:r>
      <w:r>
        <w:rPr>
          <w:bCs/>
        </w:rPr>
        <w:t>that need to be addressed. Without a better understanding of failed cases of community gardens we cannot</w:t>
      </w:r>
      <w:r w:rsidRPr="003E4A11">
        <w:rPr>
          <w:bCs/>
        </w:rPr>
        <w:t xml:space="preserve"> substantiate claims ab</w:t>
      </w:r>
      <w:r>
        <w:rPr>
          <w:bCs/>
        </w:rPr>
        <w:t xml:space="preserve">out effective management and </w:t>
      </w:r>
      <w:r w:rsidRPr="003E4A11">
        <w:rPr>
          <w:bCs/>
        </w:rPr>
        <w:t>contribute to new knowledge</w:t>
      </w:r>
      <w:r w:rsidR="00000A96">
        <w:rPr>
          <w:bCs/>
        </w:rPr>
        <w:t xml:space="preserve"> that can input into the efficacy of these initiatives</w:t>
      </w:r>
      <w:r>
        <w:rPr>
          <w:bCs/>
        </w:rPr>
        <w:t>. We also need to better understand participant transience in community gardens</w:t>
      </w:r>
      <w:r w:rsidR="008150EA">
        <w:rPr>
          <w:bCs/>
        </w:rPr>
        <w:t xml:space="preserve"> (particularly UCGS)</w:t>
      </w:r>
      <w:r>
        <w:rPr>
          <w:bCs/>
        </w:rPr>
        <w:t xml:space="preserve"> to</w:t>
      </w:r>
      <w:r w:rsidRPr="003E4A11">
        <w:rPr>
          <w:bCs/>
        </w:rPr>
        <w:t xml:space="preserve"> help sustainability proje</w:t>
      </w:r>
      <w:r>
        <w:rPr>
          <w:bCs/>
        </w:rPr>
        <w:t xml:space="preserve">cts with large volunteer bases </w:t>
      </w:r>
      <w:r w:rsidRPr="003E4A11">
        <w:rPr>
          <w:bCs/>
        </w:rPr>
        <w:t xml:space="preserve">learn </w:t>
      </w:r>
      <w:r>
        <w:rPr>
          <w:bCs/>
        </w:rPr>
        <w:t>how to cope with</w:t>
      </w:r>
      <w:r w:rsidR="00030B18">
        <w:rPr>
          <w:bCs/>
        </w:rPr>
        <w:t xml:space="preserve"> the</w:t>
      </w:r>
      <w:r>
        <w:rPr>
          <w:bCs/>
        </w:rPr>
        <w:t xml:space="preserve"> challenges participant transience poses.</w:t>
      </w:r>
      <w:r w:rsidRPr="000B0D5F">
        <w:rPr>
          <w:bCs/>
        </w:rPr>
        <w:t xml:space="preserve"> </w:t>
      </w:r>
      <w:r>
        <w:rPr>
          <w:bCs/>
        </w:rPr>
        <w:t xml:space="preserve">Finally, given that some articles suggest that participating in UCGS can contribute to changes in attitudes/behaviours with regards to sustainability, research is needed </w:t>
      </w:r>
      <w:r w:rsidR="00821577">
        <w:rPr>
          <w:bCs/>
        </w:rPr>
        <w:t xml:space="preserve">to </w:t>
      </w:r>
      <w:r>
        <w:rPr>
          <w:bCs/>
        </w:rPr>
        <w:t>explore this phenomenon in more depth, particularly in terms of the mechanisms which facilitate or hinder these changes, and whether these changes extend beyond university life</w:t>
      </w:r>
      <w:r w:rsidR="00000A96">
        <w:rPr>
          <w:bCs/>
        </w:rPr>
        <w:t xml:space="preserve"> or the time spent working on a community garden initiative</w:t>
      </w:r>
      <w:r>
        <w:rPr>
          <w:bCs/>
        </w:rPr>
        <w:t xml:space="preserve">. By addressing these gaps we will have better understanding of how community gardening can contribute </w:t>
      </w:r>
      <w:r w:rsidR="008150EA">
        <w:rPr>
          <w:bCs/>
        </w:rPr>
        <w:t>to a more sustainable future</w:t>
      </w:r>
      <w:r>
        <w:rPr>
          <w:bCs/>
        </w:rPr>
        <w:t xml:space="preserve"> and can begin to make these potential contributions a reality.</w:t>
      </w:r>
    </w:p>
    <w:p w14:paraId="152B197A" w14:textId="5B3E17DC" w:rsidR="00D50A52" w:rsidRPr="00D50A52" w:rsidRDefault="00D50A52" w:rsidP="00D50A52">
      <w:pPr>
        <w:pStyle w:val="Paragraph"/>
        <w:rPr>
          <w:rFonts w:cs="Arial"/>
          <w:bCs/>
          <w:kern w:val="32"/>
          <w:szCs w:val="32"/>
        </w:rPr>
      </w:pPr>
      <w:r>
        <w:rPr>
          <w:rFonts w:cs="Arial"/>
          <w:bCs/>
          <w:kern w:val="32"/>
          <w:szCs w:val="32"/>
        </w:rPr>
        <w:t xml:space="preserve">Word Count: </w:t>
      </w:r>
      <w:r w:rsidR="00F1040E">
        <w:rPr>
          <w:rFonts w:cs="Arial"/>
          <w:bCs/>
          <w:kern w:val="32"/>
          <w:szCs w:val="32"/>
        </w:rPr>
        <w:t>7408</w:t>
      </w:r>
    </w:p>
    <w:p w14:paraId="5B86395D" w14:textId="77777777" w:rsidR="005069E6" w:rsidRDefault="005069E6">
      <w:pPr>
        <w:spacing w:line="240" w:lineRule="auto"/>
      </w:pPr>
      <w:r>
        <w:br w:type="page"/>
      </w:r>
    </w:p>
    <w:p w14:paraId="0B408523" w14:textId="283057B7" w:rsidR="00320EE8" w:rsidRPr="00726D09" w:rsidRDefault="00726D09" w:rsidP="00726D09">
      <w:pPr>
        <w:pStyle w:val="Paragraph"/>
        <w:rPr>
          <w:rFonts w:cs="Arial"/>
          <w:b/>
          <w:bCs/>
          <w:kern w:val="32"/>
          <w:szCs w:val="32"/>
        </w:rPr>
      </w:pPr>
      <w:r>
        <w:rPr>
          <w:rFonts w:cs="Arial"/>
          <w:b/>
          <w:bCs/>
          <w:kern w:val="32"/>
          <w:szCs w:val="32"/>
        </w:rPr>
        <w:t>References</w:t>
      </w:r>
    </w:p>
    <w:p w14:paraId="6A94E1A1" w14:textId="77777777" w:rsidR="00D43BF4" w:rsidRPr="00D43BF4" w:rsidRDefault="00D43BF4" w:rsidP="00D43BF4">
      <w:pPr>
        <w:pStyle w:val="Tabletitle"/>
      </w:pPr>
      <w:r>
        <w:t>Adrangi, M., 2013</w:t>
      </w:r>
      <w:r w:rsidRPr="00D43BF4">
        <w:t xml:space="preserve">. From Campus to Community: Challenges and Opportunities of University-Based Activism. </w:t>
      </w:r>
      <w:r w:rsidRPr="00D43BF4">
        <w:rPr>
          <w:i/>
        </w:rPr>
        <w:t>Canadian Dimension</w:t>
      </w:r>
      <w:r w:rsidRPr="00D43BF4">
        <w:t>, 47(1), 33-35.</w:t>
      </w:r>
    </w:p>
    <w:p w14:paraId="6FDEDE11" w14:textId="77777777" w:rsidR="00D43BF4" w:rsidRPr="00D43BF4" w:rsidRDefault="00D43BF4" w:rsidP="00D43BF4">
      <w:pPr>
        <w:pStyle w:val="Tabletitle"/>
      </w:pPr>
      <w:r w:rsidRPr="00D43BF4">
        <w:t>Apul, D</w:t>
      </w:r>
      <w:r>
        <w:t>. S., and Philpott, S. M., 2011</w:t>
      </w:r>
      <w:r w:rsidRPr="00D43BF4">
        <w:t xml:space="preserve">. Use of Outdoor Living Spaces and Fink’s Taxonomy of Significant Learning in Sustainability Engineering Education. </w:t>
      </w:r>
      <w:r w:rsidRPr="00D43BF4">
        <w:rPr>
          <w:i/>
        </w:rPr>
        <w:t>Journal of Professional Issues in Engineering Education and Practice</w:t>
      </w:r>
      <w:r w:rsidR="00CA09E7">
        <w:t xml:space="preserve">, 137(2), 69–77. </w:t>
      </w:r>
      <w:r w:rsidRPr="00D43BF4">
        <w:t>*</w:t>
      </w:r>
    </w:p>
    <w:p w14:paraId="53FA3885" w14:textId="77777777" w:rsidR="00D43BF4" w:rsidRPr="00D43BF4" w:rsidRDefault="00D43BF4" w:rsidP="00D43BF4">
      <w:pPr>
        <w:pStyle w:val="Tabletitle"/>
      </w:pPr>
      <w:r>
        <w:t>Babich, R. and Smith, S., 2010</w:t>
      </w:r>
      <w:r w:rsidRPr="00D43BF4">
        <w:t xml:space="preserve">. 'Cradle to Grave': An Analysis of Sustainable Food Systems in a University Setting. </w:t>
      </w:r>
      <w:r w:rsidRPr="00D43BF4">
        <w:rPr>
          <w:i/>
        </w:rPr>
        <w:t>Journal of Culinary Science &amp; Technology</w:t>
      </w:r>
      <w:r w:rsidRPr="00D43BF4">
        <w:t xml:space="preserve">, 8(4), 180-190. </w:t>
      </w:r>
    </w:p>
    <w:p w14:paraId="41573A61" w14:textId="77777777" w:rsidR="00D43BF4" w:rsidRPr="00D43BF4" w:rsidRDefault="004B34F1" w:rsidP="00D43BF4">
      <w:pPr>
        <w:pStyle w:val="Tabletitle"/>
      </w:pPr>
      <w:r>
        <w:t xml:space="preserve">Bacon, C. M. et al., </w:t>
      </w:r>
      <w:r w:rsidR="00D43BF4">
        <w:t>2010</w:t>
      </w:r>
      <w:r w:rsidR="00D43BF4" w:rsidRPr="00D43BF4">
        <w:t xml:space="preserve">. The creation of an integrated sustainability curriculum and student praxis projects. </w:t>
      </w:r>
      <w:r w:rsidR="00D43BF4" w:rsidRPr="00D43BF4">
        <w:rPr>
          <w:i/>
        </w:rPr>
        <w:t>International Journal of Sustainability in Higher Education</w:t>
      </w:r>
      <w:r w:rsidR="00D43BF4" w:rsidRPr="00D43BF4">
        <w:t xml:space="preserve">, 12(2), 193-208. </w:t>
      </w:r>
    </w:p>
    <w:p w14:paraId="4A6782F0" w14:textId="77777777" w:rsidR="00D43BF4" w:rsidRPr="00D43BF4" w:rsidRDefault="00D43BF4" w:rsidP="00D43BF4">
      <w:pPr>
        <w:pStyle w:val="Tabletitle"/>
      </w:pPr>
      <w:r>
        <w:t>Baldwin, S. and Chung, K., 2007</w:t>
      </w:r>
      <w:r w:rsidRPr="00D43BF4">
        <w:t xml:space="preserve">. Sustainable Disposal of Edible Food Byproducts at University Research Farms. </w:t>
      </w:r>
      <w:r w:rsidRPr="00D43BF4">
        <w:rPr>
          <w:i/>
        </w:rPr>
        <w:t>International Journal of Sustainability in Higher Education</w:t>
      </w:r>
      <w:r w:rsidRPr="00D43BF4">
        <w:t xml:space="preserve">, 8(1), 69-85. </w:t>
      </w:r>
    </w:p>
    <w:p w14:paraId="00171A04" w14:textId="77777777" w:rsidR="00D43BF4" w:rsidRPr="00D43BF4" w:rsidRDefault="00D43BF4" w:rsidP="00D43BF4">
      <w:pPr>
        <w:pStyle w:val="Tabletitle"/>
      </w:pPr>
      <w:r w:rsidRPr="00D43BF4">
        <w:t>Barlett, P. F.</w:t>
      </w:r>
      <w:r>
        <w:t>, 2011</w:t>
      </w:r>
      <w:r w:rsidRPr="00D43BF4">
        <w:t xml:space="preserve">. Campus sustainable food projects: critique and engagement. </w:t>
      </w:r>
      <w:r w:rsidRPr="00D43BF4">
        <w:rPr>
          <w:i/>
        </w:rPr>
        <w:t>American Anthropologist</w:t>
      </w:r>
      <w:r w:rsidRPr="00D43BF4">
        <w:t xml:space="preserve">, 113(1), 101-115. </w:t>
      </w:r>
    </w:p>
    <w:p w14:paraId="114DC35A" w14:textId="77777777" w:rsidR="00D43BF4" w:rsidRPr="00D43BF4" w:rsidRDefault="00D43BF4" w:rsidP="00D43BF4">
      <w:pPr>
        <w:pStyle w:val="Tabletitle"/>
      </w:pPr>
      <w:r w:rsidRPr="00D43BF4">
        <w:t>Barton, S. S.</w:t>
      </w:r>
      <w:r>
        <w:t>, Pinco, R. S., and Carter, L., 2010</w:t>
      </w:r>
      <w:r w:rsidRPr="00D43BF4">
        <w:t xml:space="preserve">. Implementing Sustainable Practices on Campus through Student Independent Study. </w:t>
      </w:r>
      <w:r w:rsidRPr="00D43BF4">
        <w:rPr>
          <w:i/>
        </w:rPr>
        <w:t>HortTechnology</w:t>
      </w:r>
      <w:r w:rsidRPr="00D43BF4">
        <w:t xml:space="preserve">, 20(3), 495-498. </w:t>
      </w:r>
      <w:r w:rsidRPr="00D43BF4">
        <w:rPr>
          <w:b/>
        </w:rPr>
        <w:t>*</w:t>
      </w:r>
    </w:p>
    <w:p w14:paraId="55A1A0F2" w14:textId="3FFF6A9E" w:rsidR="00D43BF4" w:rsidRPr="00D43BF4" w:rsidRDefault="00D43BF4" w:rsidP="00D43BF4">
      <w:pPr>
        <w:pStyle w:val="Tabletitle"/>
      </w:pPr>
      <w:r w:rsidRPr="00D43BF4">
        <w:t>B</w:t>
      </w:r>
      <w:r w:rsidR="0083647A">
        <w:t>iernbaum, J. A., Ngouajio, M., and</w:t>
      </w:r>
      <w:r w:rsidRPr="00D43BF4">
        <w:t xml:space="preserve"> </w:t>
      </w:r>
      <w:r>
        <w:t>Thorp, L., 2006</w:t>
      </w:r>
      <w:r w:rsidRPr="00D43BF4">
        <w:t xml:space="preserve">. Development of a year-round student organic farm and organic farming curriculum at Michigan State University. </w:t>
      </w:r>
      <w:r w:rsidRPr="00D43BF4">
        <w:rPr>
          <w:i/>
        </w:rPr>
        <w:t>HortTechnology</w:t>
      </w:r>
      <w:r w:rsidRPr="00D43BF4">
        <w:t xml:space="preserve">, 16(3), 432-436. </w:t>
      </w:r>
      <w:r w:rsidRPr="00D43BF4">
        <w:rPr>
          <w:b/>
        </w:rPr>
        <w:t>*</w:t>
      </w:r>
      <w:r w:rsidRPr="00D43BF4">
        <w:t xml:space="preserve"> </w:t>
      </w:r>
    </w:p>
    <w:p w14:paraId="647093F9" w14:textId="2ADCBF1B" w:rsidR="00AC7F43" w:rsidRPr="00AC7F43" w:rsidRDefault="00AC7F43" w:rsidP="00AC7F43">
      <w:pPr>
        <w:pStyle w:val="Tabletitle"/>
      </w:pPr>
      <w:r>
        <w:t>Brush, S. B., 2007</w:t>
      </w:r>
      <w:r w:rsidRPr="00AC7F43">
        <w:t xml:space="preserve">. Farmers’ rights and protection of traditional agricultural knowledge. </w:t>
      </w:r>
      <w:r w:rsidRPr="00AC7F43">
        <w:rPr>
          <w:i/>
        </w:rPr>
        <w:t>World Development</w:t>
      </w:r>
      <w:r w:rsidRPr="00AC7F43">
        <w:t>, 35(9), 1499-1514.</w:t>
      </w:r>
    </w:p>
    <w:p w14:paraId="34A842B3" w14:textId="0663FF30" w:rsidR="00D43BF4" w:rsidRPr="00D43BF4" w:rsidRDefault="00D43BF4" w:rsidP="00D43BF4">
      <w:pPr>
        <w:pStyle w:val="Tabletitle"/>
      </w:pPr>
      <w:r>
        <w:t>Byers, R. D., 1999</w:t>
      </w:r>
      <w:r w:rsidRPr="00D43BF4">
        <w:t xml:space="preserve">. Reaching out: A university botanical garden builds long-distance relationships. </w:t>
      </w:r>
      <w:r w:rsidRPr="00D43BF4">
        <w:rPr>
          <w:i/>
        </w:rPr>
        <w:t>HortTechnology</w:t>
      </w:r>
      <w:r w:rsidRPr="00D43BF4">
        <w:t>, 9(4), 573-576.</w:t>
      </w:r>
    </w:p>
    <w:p w14:paraId="29AAD332" w14:textId="4E357C0B" w:rsidR="00D43BF4" w:rsidRPr="00D43BF4" w:rsidRDefault="00D43BF4" w:rsidP="00D43BF4">
      <w:pPr>
        <w:pStyle w:val="Tabletitle"/>
      </w:pPr>
      <w:r w:rsidRPr="00D43BF4">
        <w:t>C</w:t>
      </w:r>
      <w:r w:rsidR="0083647A">
        <w:t>ocorran, P. B., Walker, K. E., and</w:t>
      </w:r>
      <w:r w:rsidRPr="00D43BF4">
        <w:t xml:space="preserve"> Wals, A. E.</w:t>
      </w:r>
      <w:r>
        <w:t xml:space="preserve"> J., 2004</w:t>
      </w:r>
      <w:r w:rsidRPr="00D43BF4">
        <w:t xml:space="preserve">. Case studies, make-your-case studies, and case stories: a critique of case-study methodology in sustainability in higher education. </w:t>
      </w:r>
      <w:r w:rsidRPr="00D43BF4">
        <w:rPr>
          <w:i/>
        </w:rPr>
        <w:t>Environmental Education Research</w:t>
      </w:r>
      <w:r w:rsidRPr="00D43BF4">
        <w:t xml:space="preserve">, 10(1), 7-21. </w:t>
      </w:r>
    </w:p>
    <w:p w14:paraId="1974E5C1" w14:textId="77777777" w:rsidR="00D43BF4" w:rsidRPr="00D43BF4" w:rsidRDefault="004B34F1" w:rsidP="00D43BF4">
      <w:pPr>
        <w:pStyle w:val="Tabletitle"/>
      </w:pPr>
      <w:r>
        <w:t>Cohen, N., 2010</w:t>
      </w:r>
      <w:r w:rsidR="00D43BF4" w:rsidRPr="00D43BF4">
        <w:t xml:space="preserve">.  Designing the Sustainable Foodshed: A Cross-Disciplinary Undergraduate Environmental Studies Course. </w:t>
      </w:r>
      <w:r w:rsidR="00D43BF4" w:rsidRPr="00D43BF4">
        <w:rPr>
          <w:i/>
        </w:rPr>
        <w:t>Innovative Higher Education</w:t>
      </w:r>
      <w:r w:rsidR="00D43BF4" w:rsidRPr="00D43BF4">
        <w:t xml:space="preserve">, 35(1), 51-60. </w:t>
      </w:r>
    </w:p>
    <w:p w14:paraId="458F5512" w14:textId="71DAE55D" w:rsidR="00726D09" w:rsidRDefault="00726D09" w:rsidP="00D43BF4">
      <w:pPr>
        <w:pStyle w:val="Tabletitle"/>
      </w:pPr>
      <w:r w:rsidRPr="00726D09">
        <w:t xml:space="preserve">Datta, R., 2016. Community garden: A bridging program between formal and informal learning. </w:t>
      </w:r>
      <w:r w:rsidRPr="00726D09">
        <w:rPr>
          <w:i/>
        </w:rPr>
        <w:t>Cogent Education</w:t>
      </w:r>
      <w:r>
        <w:t xml:space="preserve">, 3(1), 1-14. </w:t>
      </w:r>
      <w:r w:rsidRPr="00726D09">
        <w:rPr>
          <w:b/>
        </w:rPr>
        <w:t>*</w:t>
      </w:r>
    </w:p>
    <w:p w14:paraId="349EE69E" w14:textId="26BF771F" w:rsidR="00D43BF4" w:rsidRPr="00D43BF4" w:rsidRDefault="004B34F1" w:rsidP="00D43BF4">
      <w:pPr>
        <w:pStyle w:val="Tabletitle"/>
      </w:pPr>
      <w:r>
        <w:t>Delate, K., 2006</w:t>
      </w:r>
      <w:r w:rsidR="00D43BF4" w:rsidRPr="00D43BF4">
        <w:t xml:space="preserve">. Incorporating organic and agroecological approaches into the university curricula: The Iowa State University graduate program in sustainable agriculture. </w:t>
      </w:r>
      <w:r w:rsidR="00D43BF4" w:rsidRPr="00D43BF4">
        <w:rPr>
          <w:i/>
        </w:rPr>
        <w:t>HortTechnology</w:t>
      </w:r>
      <w:r w:rsidR="00D43BF4" w:rsidRPr="00D43BF4">
        <w:t>, 16(3), 445-448.</w:t>
      </w:r>
    </w:p>
    <w:p w14:paraId="4F021C81" w14:textId="77777777" w:rsidR="00D43BF4" w:rsidRPr="00D43BF4" w:rsidRDefault="004B34F1" w:rsidP="00D43BF4">
      <w:pPr>
        <w:pStyle w:val="Tabletitle"/>
      </w:pPr>
      <w:r>
        <w:t>Delind, L. B., 2006</w:t>
      </w:r>
      <w:r w:rsidR="00D43BF4" w:rsidRPr="00D43BF4">
        <w:t xml:space="preserve">. Of bodies, place, and culture: Re-situating local food. </w:t>
      </w:r>
      <w:r w:rsidR="00D43BF4" w:rsidRPr="00D43BF4">
        <w:rPr>
          <w:i/>
          <w:iCs/>
        </w:rPr>
        <w:t>Journal of Agricultural and Environmental Ethics</w:t>
      </w:r>
      <w:r w:rsidR="00D43BF4" w:rsidRPr="00D43BF4">
        <w:t>, </w:t>
      </w:r>
      <w:r w:rsidR="00D43BF4" w:rsidRPr="00D43BF4">
        <w:rPr>
          <w:i/>
          <w:iCs/>
        </w:rPr>
        <w:t>19</w:t>
      </w:r>
      <w:r w:rsidR="00D43BF4" w:rsidRPr="00D43BF4">
        <w:t xml:space="preserve">(2), 121-146. </w:t>
      </w:r>
    </w:p>
    <w:p w14:paraId="1F0C6A4A" w14:textId="77777777" w:rsidR="00D43BF4" w:rsidRPr="00D43BF4" w:rsidRDefault="004B34F1" w:rsidP="00D43BF4">
      <w:pPr>
        <w:pStyle w:val="Tabletitle"/>
      </w:pPr>
      <w:r>
        <w:t>Denrell, J., 2003</w:t>
      </w:r>
      <w:r w:rsidR="00D43BF4" w:rsidRPr="00D43BF4">
        <w:t xml:space="preserve">. Vicarious learning, undersampling of failure, and the myths of management. </w:t>
      </w:r>
      <w:r w:rsidR="00D43BF4" w:rsidRPr="00D43BF4">
        <w:rPr>
          <w:i/>
        </w:rPr>
        <w:t>Organization Science</w:t>
      </w:r>
      <w:r w:rsidR="00D43BF4" w:rsidRPr="00D43BF4">
        <w:t>, 14(3), 227-243.</w:t>
      </w:r>
    </w:p>
    <w:p w14:paraId="3A56622A" w14:textId="77777777" w:rsidR="00D43BF4" w:rsidRPr="00D43BF4" w:rsidRDefault="004B34F1" w:rsidP="00D43BF4">
      <w:pPr>
        <w:pStyle w:val="Tabletitle"/>
      </w:pPr>
      <w:r>
        <w:t>Design Trust for Public Space, n.d</w:t>
      </w:r>
      <w:r w:rsidR="00D43BF4" w:rsidRPr="00D43BF4">
        <w:t xml:space="preserve">. </w:t>
      </w:r>
      <w:r w:rsidR="00D43BF4" w:rsidRPr="00D43BF4">
        <w:rPr>
          <w:i/>
        </w:rPr>
        <w:t>Data Collection Toolkit, Farming Concrete BARN</w:t>
      </w:r>
      <w:r>
        <w:rPr>
          <w:i/>
        </w:rPr>
        <w:t xml:space="preserve"> </w:t>
      </w:r>
      <w:r>
        <w:t>[online]</w:t>
      </w:r>
      <w:r w:rsidR="00D43BF4" w:rsidRPr="00D43BF4">
        <w:t xml:space="preserve">. </w:t>
      </w:r>
      <w:r>
        <w:t xml:space="preserve">Available </w:t>
      </w:r>
      <w:r w:rsidR="00D43BF4" w:rsidRPr="00D43BF4">
        <w:t>from</w:t>
      </w:r>
      <w:r>
        <w:t>:</w:t>
      </w:r>
      <w:r w:rsidR="00D43BF4" w:rsidRPr="00D43BF4">
        <w:t xml:space="preserve"> http://farmingconcrete.org/barn/data-collection-toolkit/</w:t>
      </w:r>
      <w:r>
        <w:t xml:space="preserve"> [Accessed 1 May 2015]</w:t>
      </w:r>
    </w:p>
    <w:p w14:paraId="1F00B176" w14:textId="62E80355" w:rsidR="00D43BF4" w:rsidRPr="00D43BF4" w:rsidRDefault="0083647A" w:rsidP="00D43BF4">
      <w:pPr>
        <w:pStyle w:val="Tabletitle"/>
      </w:pPr>
      <w:r>
        <w:t>Doyle, R., and</w:t>
      </w:r>
      <w:r w:rsidR="004B34F1">
        <w:t xml:space="preserve"> Krasny, M., 2003</w:t>
      </w:r>
      <w:r w:rsidR="00D43BF4" w:rsidRPr="00D43BF4">
        <w:t xml:space="preserve">. Participatory rural appraisal as an approach to environmental education in urban community gardens. </w:t>
      </w:r>
      <w:r w:rsidR="00D43BF4" w:rsidRPr="00D43BF4">
        <w:rPr>
          <w:i/>
        </w:rPr>
        <w:t>Environmental Education Research</w:t>
      </w:r>
      <w:r w:rsidR="00D43BF4" w:rsidRPr="00D43BF4">
        <w:t xml:space="preserve">, 9(1), 91-115. </w:t>
      </w:r>
    </w:p>
    <w:p w14:paraId="78A4CB4A" w14:textId="1637F1D4" w:rsidR="00D43BF4" w:rsidRPr="00D43BF4" w:rsidRDefault="004B34F1" w:rsidP="00D43BF4">
      <w:pPr>
        <w:pStyle w:val="Tabletitle"/>
      </w:pPr>
      <w:r>
        <w:t>Draper, C.,</w:t>
      </w:r>
      <w:r w:rsidR="0083647A">
        <w:t xml:space="preserve"> and</w:t>
      </w:r>
      <w:r>
        <w:t xml:space="preserve"> Freedman, D., 2010</w:t>
      </w:r>
      <w:r w:rsidR="00D43BF4" w:rsidRPr="00D43BF4">
        <w:t xml:space="preserve">. Review and analysis of the benefits, purposes, and motivations associated with community gardening in the United States. </w:t>
      </w:r>
      <w:r w:rsidR="00D43BF4" w:rsidRPr="00D43BF4">
        <w:rPr>
          <w:i/>
        </w:rPr>
        <w:t>Journal of Community Practice</w:t>
      </w:r>
      <w:r w:rsidR="00D43BF4" w:rsidRPr="00D43BF4">
        <w:t xml:space="preserve">, 18(4), 458-492. </w:t>
      </w:r>
    </w:p>
    <w:p w14:paraId="6517C466" w14:textId="18316949" w:rsidR="00D43BF4" w:rsidRPr="00D43BF4" w:rsidRDefault="004B34F1" w:rsidP="00D43BF4">
      <w:pPr>
        <w:pStyle w:val="Tabletitle"/>
      </w:pPr>
      <w:r>
        <w:t>Easterbrook, P.J. et al., 1991</w:t>
      </w:r>
      <w:r w:rsidR="00D43BF4" w:rsidRPr="00D43BF4">
        <w:t xml:space="preserve">. Publication bias in clinical research. </w:t>
      </w:r>
      <w:r w:rsidR="00D43BF4" w:rsidRPr="00D43BF4">
        <w:rPr>
          <w:i/>
        </w:rPr>
        <w:t>Lancet</w:t>
      </w:r>
      <w:r w:rsidR="00D43BF4" w:rsidRPr="00D43BF4">
        <w:t>, 337(8746),</w:t>
      </w:r>
      <w:r w:rsidR="008B5BBD">
        <w:t xml:space="preserve"> 867-</w:t>
      </w:r>
      <w:r w:rsidR="00D43BF4" w:rsidRPr="00D43BF4">
        <w:t>872.</w:t>
      </w:r>
    </w:p>
    <w:p w14:paraId="5BD67A42" w14:textId="7ED66217" w:rsidR="00D43BF4" w:rsidRPr="00D43BF4" w:rsidRDefault="004B34F1" w:rsidP="00D43BF4">
      <w:pPr>
        <w:pStyle w:val="Tabletitle"/>
      </w:pPr>
      <w:r>
        <w:t>Elder, G. H., 1998</w:t>
      </w:r>
      <w:r w:rsidR="00D43BF4" w:rsidRPr="00D43BF4">
        <w:t xml:space="preserve">. The Life Course as Developmental Theory. </w:t>
      </w:r>
      <w:r w:rsidR="00D43BF4" w:rsidRPr="00D43BF4">
        <w:rPr>
          <w:i/>
        </w:rPr>
        <w:t>Child Development</w:t>
      </w:r>
      <w:r w:rsidR="008B5BBD">
        <w:t>, 69(1), 1-</w:t>
      </w:r>
      <w:r w:rsidR="00D43BF4" w:rsidRPr="00D43BF4">
        <w:t xml:space="preserve">12. </w:t>
      </w:r>
    </w:p>
    <w:p w14:paraId="4E1D23D2" w14:textId="77777777" w:rsidR="00D43BF4" w:rsidRPr="00D43BF4" w:rsidRDefault="004B34F1" w:rsidP="00D43BF4">
      <w:pPr>
        <w:pStyle w:val="Tabletitle"/>
      </w:pPr>
      <w:r>
        <w:t>Evans, A. et al., 2012</w:t>
      </w:r>
      <w:r w:rsidR="00D43BF4" w:rsidRPr="00D43BF4">
        <w:t xml:space="preserve">. Exposure to Multiple Components of a Garden-Based Intervention for Middle School Students Increases Fruit and Vegetable Consumption. </w:t>
      </w:r>
      <w:r w:rsidR="00D43BF4" w:rsidRPr="00D43BF4">
        <w:rPr>
          <w:i/>
        </w:rPr>
        <w:t>Health Promotion Practice</w:t>
      </w:r>
      <w:r w:rsidR="00D43BF4" w:rsidRPr="00D43BF4">
        <w:t xml:space="preserve">, 13(5), 608-616. </w:t>
      </w:r>
    </w:p>
    <w:p w14:paraId="4EF41411" w14:textId="77777777" w:rsidR="00D43BF4" w:rsidRPr="00D43BF4" w:rsidRDefault="004B34F1" w:rsidP="00D43BF4">
      <w:pPr>
        <w:pStyle w:val="Tabletitle"/>
      </w:pPr>
      <w:r>
        <w:t>Evers, A., and Hodgson, N. L., 2011</w:t>
      </w:r>
      <w:r w:rsidR="00D43BF4" w:rsidRPr="00D43BF4">
        <w:t xml:space="preserve">. Food choices and local food access among Perth’s community gardeners. </w:t>
      </w:r>
      <w:r w:rsidR="00D43BF4" w:rsidRPr="00D43BF4">
        <w:rPr>
          <w:i/>
        </w:rPr>
        <w:t>Local Environment</w:t>
      </w:r>
      <w:r w:rsidR="00D43BF4" w:rsidRPr="00D43BF4">
        <w:t xml:space="preserve">, 16(6), 585-602. </w:t>
      </w:r>
    </w:p>
    <w:p w14:paraId="04B2B5C8" w14:textId="77777777" w:rsidR="00D43BF4" w:rsidRPr="00D43BF4" w:rsidRDefault="00D43BF4" w:rsidP="00D43BF4">
      <w:pPr>
        <w:pStyle w:val="Tabletitle"/>
      </w:pPr>
      <w:r w:rsidRPr="00D43BF4">
        <w:t xml:space="preserve">Falk, C. </w:t>
      </w:r>
      <w:r w:rsidR="004B34F1">
        <w:t>L., Pao, P., and Cramer, C. S., 2005</w:t>
      </w:r>
      <w:r w:rsidRPr="00D43BF4">
        <w:t xml:space="preserve">. Teaching Diversified Organic Crop Production Using the Community Supported Agriculture Farming System Model. </w:t>
      </w:r>
      <w:r w:rsidRPr="00D43BF4">
        <w:rPr>
          <w:i/>
        </w:rPr>
        <w:t>Journal of Natural Resource Life Science Education</w:t>
      </w:r>
      <w:r w:rsidRPr="00D43BF4">
        <w:t xml:space="preserve">, 34, 8-12. </w:t>
      </w:r>
      <w:r w:rsidRPr="004B34F1">
        <w:rPr>
          <w:b/>
        </w:rPr>
        <w:t>*</w:t>
      </w:r>
    </w:p>
    <w:p w14:paraId="56F478D2" w14:textId="0B0F5642" w:rsidR="00D43BF4" w:rsidRPr="00D43BF4" w:rsidRDefault="00D43BF4" w:rsidP="00D43BF4">
      <w:pPr>
        <w:pStyle w:val="Tabletitle"/>
      </w:pPr>
      <w:r w:rsidRPr="00D43BF4">
        <w:t>Ferguson, J. J., Lamb, E.</w:t>
      </w:r>
      <w:r w:rsidR="00D22AE8">
        <w:t>, and</w:t>
      </w:r>
      <w:r w:rsidR="004B34F1">
        <w:t xml:space="preserve"> Swisher, M., 2006</w:t>
      </w:r>
      <w:r w:rsidRPr="00D43BF4">
        <w:t xml:space="preserve">. Developing an interdisciplinary organic and sustainable agriculture curriculum at the University of Florida. </w:t>
      </w:r>
      <w:r w:rsidRPr="00D43BF4">
        <w:rPr>
          <w:i/>
        </w:rPr>
        <w:t>HortTechnology</w:t>
      </w:r>
      <w:r w:rsidRPr="00D43BF4">
        <w:t>, 16(3), 436-438.</w:t>
      </w:r>
    </w:p>
    <w:p w14:paraId="1013BD24" w14:textId="745F9A5E" w:rsidR="00D46574" w:rsidRDefault="00D43BF4" w:rsidP="00D43BF4">
      <w:pPr>
        <w:pStyle w:val="Tabletitle"/>
      </w:pPr>
      <w:r w:rsidRPr="00D43BF4">
        <w:t xml:space="preserve">Fleith de Medeiros, J., Duarte Ribeiro, J. </w:t>
      </w:r>
      <w:r w:rsidR="00D22AE8">
        <w:t>L., and</w:t>
      </w:r>
      <w:r w:rsidR="004B34F1">
        <w:t xml:space="preserve"> Nogueira Cortimiglia, M., 2013</w:t>
      </w:r>
      <w:r w:rsidRPr="00D43BF4">
        <w:t xml:space="preserve">. Success factors for environmentally sustainable product innovation: a systematic literature review. </w:t>
      </w:r>
      <w:r w:rsidRPr="00D43BF4">
        <w:rPr>
          <w:i/>
        </w:rPr>
        <w:t>Journal of Cleaner Production</w:t>
      </w:r>
      <w:r w:rsidR="00D46574">
        <w:t>, 65, 76-86.</w:t>
      </w:r>
    </w:p>
    <w:p w14:paraId="7BCBEED8" w14:textId="23A94A20" w:rsidR="00D43BF4" w:rsidRPr="00D43BF4" w:rsidRDefault="00D46574" w:rsidP="00D43BF4">
      <w:pPr>
        <w:pStyle w:val="Tabletitle"/>
      </w:pPr>
      <w:r>
        <w:t>Flynn, K. C., 2001</w:t>
      </w:r>
      <w:r w:rsidRPr="00D46574">
        <w:t>. Urban agriculture in Mwanza, Tanzania. </w:t>
      </w:r>
      <w:r w:rsidRPr="00D46574">
        <w:rPr>
          <w:i/>
          <w:iCs/>
        </w:rPr>
        <w:t>Africa</w:t>
      </w:r>
      <w:r w:rsidRPr="00D46574">
        <w:t>, </w:t>
      </w:r>
      <w:r w:rsidRPr="00D46574">
        <w:rPr>
          <w:i/>
          <w:iCs/>
        </w:rPr>
        <w:t>71</w:t>
      </w:r>
      <w:r w:rsidRPr="00D46574">
        <w:t>(04), 666-691.</w:t>
      </w:r>
    </w:p>
    <w:p w14:paraId="0BBCCCF9" w14:textId="45A6DA24" w:rsidR="00D43BF4" w:rsidRPr="00D43BF4" w:rsidRDefault="00E96AD3" w:rsidP="00D43BF4">
      <w:pPr>
        <w:pStyle w:val="Tabletitle"/>
      </w:pPr>
      <w:r w:rsidRPr="00E96AD3">
        <w:t xml:space="preserve">Franco, A., </w:t>
      </w:r>
      <w:r w:rsidR="00D22AE8">
        <w:t>Malhotra, N., and</w:t>
      </w:r>
      <w:r>
        <w:t xml:space="preserve"> Simonovits, G., 2014</w:t>
      </w:r>
      <w:r w:rsidRPr="00E96AD3">
        <w:t>. Publication bias in the social sciences: Unlocking the file drawer. </w:t>
      </w:r>
      <w:r w:rsidRPr="00E96AD3">
        <w:rPr>
          <w:i/>
          <w:iCs/>
        </w:rPr>
        <w:t>Science</w:t>
      </w:r>
      <w:r w:rsidRPr="00E96AD3">
        <w:t>, </w:t>
      </w:r>
      <w:r w:rsidRPr="00E96AD3">
        <w:rPr>
          <w:iCs/>
        </w:rPr>
        <w:t>345</w:t>
      </w:r>
      <w:r w:rsidRPr="00E96AD3">
        <w:t>(6203), 1502</w:t>
      </w:r>
      <w:r>
        <w:t>-1505.</w:t>
      </w:r>
    </w:p>
    <w:p w14:paraId="651032E3" w14:textId="77777777" w:rsidR="00D43BF4" w:rsidRPr="00D43BF4" w:rsidRDefault="004B34F1" w:rsidP="00D43BF4">
      <w:pPr>
        <w:pStyle w:val="Tabletitle"/>
      </w:pPr>
      <w:r>
        <w:t>Freire, P., 2000</w:t>
      </w:r>
      <w:r w:rsidR="00D43BF4" w:rsidRPr="00D43BF4">
        <w:t xml:space="preserve">. </w:t>
      </w:r>
      <w:r w:rsidR="00D43BF4" w:rsidRPr="00D43BF4">
        <w:rPr>
          <w:i/>
        </w:rPr>
        <w:t>Pedagogy of the Oppressed</w:t>
      </w:r>
      <w:r w:rsidR="00D43BF4" w:rsidRPr="00D43BF4">
        <w:t>. New York: Continuum.</w:t>
      </w:r>
    </w:p>
    <w:p w14:paraId="397D24C7" w14:textId="2C3904BD" w:rsidR="00D43BF4" w:rsidRPr="00D43BF4" w:rsidRDefault="00D43BF4" w:rsidP="00D43BF4">
      <w:pPr>
        <w:pStyle w:val="Tabletitle"/>
      </w:pPr>
      <w:r w:rsidRPr="00D43BF4">
        <w:t>Garg, A.</w:t>
      </w:r>
      <w:r w:rsidR="00D22AE8">
        <w:t xml:space="preserve"> X., Hackam, D., and</w:t>
      </w:r>
      <w:r w:rsidR="004B34F1">
        <w:t xml:space="preserve"> Tonelli, M., 2008</w:t>
      </w:r>
      <w:r w:rsidRPr="00D43BF4">
        <w:t>. Systematic Review and Meta-analysis: When One Study Is Just not Enough. C</w:t>
      </w:r>
      <w:r w:rsidRPr="00D43BF4">
        <w:rPr>
          <w:i/>
        </w:rPr>
        <w:t>linical Journal of the American Society of Nephrology</w:t>
      </w:r>
      <w:r w:rsidRPr="00D43BF4">
        <w:t xml:space="preserve">, 3(1), 253-260. </w:t>
      </w:r>
    </w:p>
    <w:p w14:paraId="30D8D692" w14:textId="30C1BB04" w:rsidR="00D43BF4" w:rsidRPr="00D43BF4" w:rsidRDefault="00D43BF4" w:rsidP="00D43BF4">
      <w:pPr>
        <w:pStyle w:val="Tabletitle"/>
        <w:rPr>
          <w:b/>
        </w:rPr>
      </w:pPr>
      <w:r w:rsidRPr="00D43BF4">
        <w:t>Guitart, D. A., By</w:t>
      </w:r>
      <w:r w:rsidR="00D22AE8">
        <w:t>rne, J. A., and</w:t>
      </w:r>
      <w:r w:rsidR="00CA09E7">
        <w:t xml:space="preserve"> Pickering, C. M., 2015</w:t>
      </w:r>
      <w:r w:rsidRPr="00D43BF4">
        <w:t>. Greener growing: assessing the influence of gardening practices on the ecological viability of community gardens in South East Queensland, Australia. </w:t>
      </w:r>
      <w:r w:rsidRPr="00D43BF4">
        <w:rPr>
          <w:i/>
          <w:iCs/>
        </w:rPr>
        <w:t>Journal of Environmental Planning and Management</w:t>
      </w:r>
      <w:r w:rsidRPr="00D43BF4">
        <w:t>, </w:t>
      </w:r>
      <w:r w:rsidRPr="00D43BF4">
        <w:rPr>
          <w:i/>
          <w:iCs/>
        </w:rPr>
        <w:t>58</w:t>
      </w:r>
      <w:r w:rsidRPr="00D43BF4">
        <w:t xml:space="preserve">(2), 189-212. </w:t>
      </w:r>
    </w:p>
    <w:p w14:paraId="09AC622E" w14:textId="77777777" w:rsidR="00D43BF4" w:rsidRPr="00D43BF4" w:rsidRDefault="00D43BF4" w:rsidP="00D43BF4">
      <w:pPr>
        <w:pStyle w:val="Tabletitle"/>
      </w:pPr>
      <w:r w:rsidRPr="00D43BF4">
        <w:t>Guitart, D.</w:t>
      </w:r>
      <w:r w:rsidR="00CA09E7">
        <w:t>, Pickering, C., and Byrne, J., 2012</w:t>
      </w:r>
      <w:r w:rsidRPr="00D43BF4">
        <w:t xml:space="preserve">. Past results and future directions in urban community gardens research. </w:t>
      </w:r>
      <w:r w:rsidRPr="00D43BF4">
        <w:rPr>
          <w:i/>
        </w:rPr>
        <w:t>Urban Forestry &amp; Urban Greening</w:t>
      </w:r>
      <w:r w:rsidRPr="00D43BF4">
        <w:t xml:space="preserve">, 11, 364-373. </w:t>
      </w:r>
    </w:p>
    <w:p w14:paraId="353F2899" w14:textId="6403E15A" w:rsidR="00D43BF4" w:rsidRPr="00D43BF4" w:rsidRDefault="00D43BF4" w:rsidP="00D43BF4">
      <w:pPr>
        <w:pStyle w:val="Tabletitle"/>
      </w:pPr>
      <w:r w:rsidRPr="00D43BF4">
        <w:t>Guitart, D. A., Pi</w:t>
      </w:r>
      <w:r w:rsidR="00D22AE8">
        <w:t>ckering, C. M., and</w:t>
      </w:r>
      <w:r w:rsidR="00CA09E7">
        <w:t xml:space="preserve"> Byrne, J. A., 2014</w:t>
      </w:r>
      <w:r w:rsidRPr="00D43BF4">
        <w:t>. Color me healthy: Food diversity in school community gardens in two rapidly urbanising Australian cities. </w:t>
      </w:r>
      <w:r w:rsidRPr="00D43BF4">
        <w:rPr>
          <w:i/>
          <w:iCs/>
        </w:rPr>
        <w:t>Health &amp; place</w:t>
      </w:r>
      <w:r w:rsidRPr="00D43BF4">
        <w:t>, </w:t>
      </w:r>
      <w:r w:rsidRPr="00D43BF4">
        <w:rPr>
          <w:i/>
          <w:iCs/>
        </w:rPr>
        <w:t>26</w:t>
      </w:r>
      <w:r w:rsidRPr="00D43BF4">
        <w:t xml:space="preserve">, 110-117. </w:t>
      </w:r>
    </w:p>
    <w:p w14:paraId="53053DAA" w14:textId="77777777" w:rsidR="00D43BF4" w:rsidRPr="00D43BF4" w:rsidRDefault="00D43BF4" w:rsidP="00D43BF4">
      <w:pPr>
        <w:pStyle w:val="Tabletitle"/>
      </w:pPr>
      <w:r w:rsidRPr="00D43BF4">
        <w:t>Hami</w:t>
      </w:r>
      <w:r w:rsidR="00CA09E7">
        <w:t>lton, S. L., 1999</w:t>
      </w:r>
      <w:r w:rsidRPr="00D43BF4">
        <w:t>. The roles of the University of Tennessee gardens in a public horticulture teaching program.</w:t>
      </w:r>
      <w:r w:rsidRPr="00D43BF4">
        <w:rPr>
          <w:i/>
        </w:rPr>
        <w:t xml:space="preserve"> HortTechnology</w:t>
      </w:r>
      <w:r w:rsidRPr="00D43BF4">
        <w:t>, 9(4), 552-556.</w:t>
      </w:r>
    </w:p>
    <w:p w14:paraId="37069C96" w14:textId="77777777" w:rsidR="00D43BF4" w:rsidRPr="00D43BF4" w:rsidRDefault="00CA09E7" w:rsidP="00D43BF4">
      <w:pPr>
        <w:pStyle w:val="Tabletitle"/>
      </w:pPr>
      <w:r>
        <w:t>Haynes, C., &amp; Trexler, C. J., 2003</w:t>
      </w:r>
      <w:r w:rsidR="00D43BF4" w:rsidRPr="00D43BF4">
        <w:t xml:space="preserve">. The perceptions and needs of volunteers at a university-affiliated public garden. </w:t>
      </w:r>
      <w:r w:rsidR="00D43BF4" w:rsidRPr="00D43BF4">
        <w:rPr>
          <w:i/>
        </w:rPr>
        <w:t>HortTechnology</w:t>
      </w:r>
      <w:r w:rsidR="00D43BF4" w:rsidRPr="00D43BF4">
        <w:t>, 13(3), 552-556.</w:t>
      </w:r>
    </w:p>
    <w:p w14:paraId="13B1E8A8" w14:textId="77777777" w:rsidR="00D43BF4" w:rsidRPr="00D43BF4" w:rsidRDefault="00D43BF4" w:rsidP="00D43BF4">
      <w:pPr>
        <w:pStyle w:val="Tabletitle"/>
      </w:pPr>
      <w:r w:rsidRPr="00D43BF4">
        <w:t xml:space="preserve">Hockenberry Meyer, M. </w:t>
      </w:r>
      <w:r w:rsidR="00CA09E7">
        <w:t>et al., 2010</w:t>
      </w:r>
      <w:r w:rsidRPr="00D43BF4">
        <w:t xml:space="preserve">. Public Gardens: Fulﬁlling the University’s Research Mission. </w:t>
      </w:r>
      <w:r w:rsidRPr="00D43BF4">
        <w:rPr>
          <w:i/>
        </w:rPr>
        <w:t>HortTechnology</w:t>
      </w:r>
      <w:r w:rsidRPr="00D43BF4">
        <w:t xml:space="preserve">, 20(3), 522-527. </w:t>
      </w:r>
      <w:r w:rsidRPr="00CA09E7">
        <w:rPr>
          <w:b/>
        </w:rPr>
        <w:t>*</w:t>
      </w:r>
    </w:p>
    <w:p w14:paraId="2B37376B" w14:textId="17A8633C" w:rsidR="00D43BF4" w:rsidRPr="00D43BF4" w:rsidRDefault="00D43BF4" w:rsidP="00D43BF4">
      <w:pPr>
        <w:pStyle w:val="Tabletitle"/>
      </w:pPr>
      <w:r w:rsidRPr="00D43BF4">
        <w:t>Hoffman, A. J., K</w:t>
      </w:r>
      <w:r w:rsidR="00D22AE8">
        <w:t>night, L. F. M., and</w:t>
      </w:r>
      <w:r w:rsidR="00CA09E7">
        <w:t xml:space="preserve"> Wallach, J., 2007</w:t>
      </w:r>
      <w:r w:rsidRPr="00D43BF4">
        <w:t xml:space="preserve">. Gardening Activities, Education, and Self-Esteem Learning Outside the Classroom. </w:t>
      </w:r>
      <w:r w:rsidRPr="00D43BF4">
        <w:rPr>
          <w:i/>
        </w:rPr>
        <w:t>Urban Education</w:t>
      </w:r>
      <w:r w:rsidRPr="00D43BF4">
        <w:t xml:space="preserve">, 42(5), 403-411. </w:t>
      </w:r>
      <w:r w:rsidRPr="00CA09E7">
        <w:rPr>
          <w:b/>
        </w:rPr>
        <w:t>*</w:t>
      </w:r>
    </w:p>
    <w:p w14:paraId="0055DB2B" w14:textId="77777777" w:rsidR="00D43BF4" w:rsidRPr="00D43BF4" w:rsidRDefault="00CA09E7" w:rsidP="00D43BF4">
      <w:pPr>
        <w:pStyle w:val="Tabletitle"/>
      </w:pPr>
      <w:r>
        <w:t>Holland, L., 2004</w:t>
      </w:r>
      <w:r w:rsidR="00D43BF4" w:rsidRPr="00D43BF4">
        <w:t xml:space="preserve">. Diversity and connections in community gardens: a contribution to local sustainability. </w:t>
      </w:r>
      <w:r w:rsidR="00D43BF4" w:rsidRPr="00D43BF4">
        <w:rPr>
          <w:i/>
        </w:rPr>
        <w:t>Local Environment</w:t>
      </w:r>
      <w:r>
        <w:t>, 9(3), 285-305.</w:t>
      </w:r>
    </w:p>
    <w:p w14:paraId="41F027B9" w14:textId="77777777" w:rsidR="00D43BF4" w:rsidRPr="00D43BF4" w:rsidRDefault="00D44E07" w:rsidP="00D43BF4">
      <w:pPr>
        <w:pStyle w:val="Tabletitle"/>
      </w:pPr>
      <w:r>
        <w:t>Ioannidis, J. P. A., 1998</w:t>
      </w:r>
      <w:r w:rsidR="00D43BF4" w:rsidRPr="00D43BF4">
        <w:t xml:space="preserve">. Effect of the statistical significance of results on the time to completion and publication of randomized efficacy trials. </w:t>
      </w:r>
      <w:r w:rsidR="00D43BF4" w:rsidRPr="00D43BF4">
        <w:rPr>
          <w:i/>
        </w:rPr>
        <w:t>Journal of the American Medical Association</w:t>
      </w:r>
      <w:r w:rsidR="00D43BF4" w:rsidRPr="00D43BF4">
        <w:t>, 279, 281–286.</w:t>
      </w:r>
    </w:p>
    <w:p w14:paraId="6D3D7B01" w14:textId="77777777" w:rsidR="00B847D6" w:rsidRDefault="00D44E07" w:rsidP="00B847D6">
      <w:pPr>
        <w:pStyle w:val="Tabletitle"/>
      </w:pPr>
      <w:r>
        <w:t>Johnston, L. et al., 2012</w:t>
      </w:r>
      <w:r w:rsidR="00D43BF4" w:rsidRPr="00D43BF4">
        <w:t xml:space="preserve">. Looking at Sustainability through a Different LENS. </w:t>
      </w:r>
      <w:r w:rsidR="00D43BF4" w:rsidRPr="00D43BF4">
        <w:rPr>
          <w:i/>
        </w:rPr>
        <w:t>Sustainability: The Journal of Record</w:t>
      </w:r>
      <w:r w:rsidR="00D43BF4" w:rsidRPr="00D43BF4">
        <w:t xml:space="preserve">, 5(4), 244-247. </w:t>
      </w:r>
      <w:r w:rsidR="00D43BF4" w:rsidRPr="00D44E07">
        <w:rPr>
          <w:b/>
        </w:rPr>
        <w:t>*</w:t>
      </w:r>
      <w:r w:rsidR="00B847D6" w:rsidRPr="00B847D6">
        <w:t xml:space="preserve"> </w:t>
      </w:r>
    </w:p>
    <w:p w14:paraId="3530B6C7" w14:textId="0E4AC6D6" w:rsidR="00D43BF4" w:rsidRPr="00B847D6" w:rsidRDefault="00B847D6" w:rsidP="00B847D6">
      <w:pPr>
        <w:pStyle w:val="Tabletitle"/>
      </w:pPr>
      <w:r w:rsidRPr="00B847D6">
        <w:t xml:space="preserve">Karaan, A., </w:t>
      </w:r>
      <w:r>
        <w:t xml:space="preserve">and </w:t>
      </w:r>
      <w:r w:rsidRPr="00B847D6">
        <w:t xml:space="preserve">Mohamed, N., 1998. The performance and support of food gardens in some townships of the Cape Metropolitan area: an evaluation of Abalimi Bezekhaya. </w:t>
      </w:r>
      <w:r w:rsidRPr="00B847D6">
        <w:rPr>
          <w:i/>
        </w:rPr>
        <w:t>Development Southern Africa</w:t>
      </w:r>
      <w:r w:rsidRPr="00B847D6">
        <w:t xml:space="preserve"> 15, 67–83.</w:t>
      </w:r>
    </w:p>
    <w:p w14:paraId="6893EE2A" w14:textId="77777777" w:rsidR="00D43BF4" w:rsidRPr="00D43BF4" w:rsidRDefault="00D43BF4" w:rsidP="00D43BF4">
      <w:pPr>
        <w:pStyle w:val="Tabletitle"/>
      </w:pPr>
      <w:r w:rsidRPr="00D43BF4">
        <w:t>Kingsley, J. Y., Townsend</w:t>
      </w:r>
      <w:r w:rsidR="00D44E07">
        <w:t>, M., and Henderson-Wilson, C., 2009</w:t>
      </w:r>
      <w:r w:rsidRPr="00D43BF4">
        <w:t xml:space="preserve">. Cultivating health and wellbeing: members perceptions of the health benefits of a Port Melbourne community garden. </w:t>
      </w:r>
      <w:r w:rsidRPr="00D43BF4">
        <w:rPr>
          <w:i/>
        </w:rPr>
        <w:t>Leisure Studies</w:t>
      </w:r>
      <w:r w:rsidRPr="00D43BF4">
        <w:t xml:space="preserve">, 28(2), 207-219. </w:t>
      </w:r>
    </w:p>
    <w:p w14:paraId="30755C31" w14:textId="77777777" w:rsidR="00D43BF4" w:rsidRPr="00D43BF4" w:rsidRDefault="00D43BF4" w:rsidP="00D43BF4">
      <w:pPr>
        <w:pStyle w:val="Tabletitle"/>
      </w:pPr>
      <w:r w:rsidRPr="00D43BF4">
        <w:t>Kobayashi, K. D., Radovic</w:t>
      </w:r>
      <w:r w:rsidR="00D44E07">
        <w:t>h, T. J. K., and Moreno, B. E., 2010</w:t>
      </w:r>
      <w:r w:rsidRPr="00D43BF4">
        <w:t xml:space="preserve">. A Tropical Perspective on Environmental Sustainability in Horticultural Education. </w:t>
      </w:r>
      <w:r w:rsidRPr="00D43BF4">
        <w:rPr>
          <w:i/>
        </w:rPr>
        <w:t>HortTechnology</w:t>
      </w:r>
      <w:r w:rsidRPr="00D43BF4">
        <w:t xml:space="preserve">, 20(3), 503-508. </w:t>
      </w:r>
      <w:r w:rsidRPr="00D44E07">
        <w:rPr>
          <w:b/>
        </w:rPr>
        <w:t>*</w:t>
      </w:r>
    </w:p>
    <w:p w14:paraId="215E8870" w14:textId="702B93D8" w:rsidR="00D43BF4" w:rsidRPr="00D43BF4" w:rsidRDefault="00D44E07" w:rsidP="00D43BF4">
      <w:pPr>
        <w:pStyle w:val="Tabletitle"/>
      </w:pPr>
      <w:r>
        <w:t>Lee, C. J. et al., 2012</w:t>
      </w:r>
      <w:r w:rsidR="00D43BF4" w:rsidRPr="00D43BF4">
        <w:t xml:space="preserve">. Bias in peer review. </w:t>
      </w:r>
      <w:r w:rsidR="00D43BF4" w:rsidRPr="00D43BF4">
        <w:rPr>
          <w:i/>
        </w:rPr>
        <w:t>Journal of the American Society for Information Science and Technology</w:t>
      </w:r>
      <w:r>
        <w:t>, 64(1), 2-17.</w:t>
      </w:r>
    </w:p>
    <w:p w14:paraId="42A4F2D9" w14:textId="77777777" w:rsidR="00D43BF4" w:rsidRPr="00D43BF4" w:rsidRDefault="00D43BF4" w:rsidP="00D43BF4">
      <w:pPr>
        <w:pStyle w:val="Tabletitle"/>
      </w:pPr>
      <w:r w:rsidRPr="00D43BF4">
        <w:t>Le</w:t>
      </w:r>
      <w:r w:rsidR="00D44E07">
        <w:t>wis, A. J. and Affolter, J. M., 1999</w:t>
      </w:r>
      <w:r w:rsidRPr="00D43BF4">
        <w:t xml:space="preserve">. The State Botanical Garden of Georgia: A Living Laboratory for Student Education. </w:t>
      </w:r>
      <w:r w:rsidRPr="00D43BF4">
        <w:rPr>
          <w:i/>
        </w:rPr>
        <w:t>HortTechnology</w:t>
      </w:r>
      <w:r w:rsidRPr="00D43BF4">
        <w:t xml:space="preserve">, 9(4), 570-572. </w:t>
      </w:r>
      <w:r w:rsidRPr="00D44E07">
        <w:rPr>
          <w:b/>
        </w:rPr>
        <w:t>*</w:t>
      </w:r>
    </w:p>
    <w:p w14:paraId="03B9CCF3" w14:textId="14F43865" w:rsidR="00E96AD3" w:rsidRDefault="00D22AE8" w:rsidP="00D43BF4">
      <w:pPr>
        <w:pStyle w:val="Tabletitle"/>
        <w:rPr>
          <w:rFonts w:ascii="Georgia" w:hAnsi="Georgia"/>
          <w:color w:val="333333"/>
          <w:shd w:val="clear" w:color="auto" w:fill="F7FBFE"/>
        </w:rPr>
      </w:pPr>
      <w:r>
        <w:t>Lund, M., and</w:t>
      </w:r>
      <w:r w:rsidR="00D44E07">
        <w:t xml:space="preserve"> Orth, G., 2010</w:t>
      </w:r>
      <w:r w:rsidR="00D43BF4" w:rsidRPr="00D43BF4">
        <w:t xml:space="preserve">. From the White House to Our House: The Story of an Honors College Vegetable Garden. </w:t>
      </w:r>
      <w:r w:rsidR="00D43BF4" w:rsidRPr="00D43BF4">
        <w:rPr>
          <w:i/>
        </w:rPr>
        <w:t>Honors in Practice</w:t>
      </w:r>
      <w:r w:rsidR="00D43BF4" w:rsidRPr="00D43BF4">
        <w:t>, 6, p. 177-188.</w:t>
      </w:r>
    </w:p>
    <w:p w14:paraId="4D055795" w14:textId="6D0FD1E6" w:rsidR="00D43BF4" w:rsidRPr="00D43BF4" w:rsidRDefault="00E96AD3" w:rsidP="00D43BF4">
      <w:pPr>
        <w:pStyle w:val="Tabletitle"/>
      </w:pPr>
      <w:r>
        <w:t>Macduff, N., 2005</w:t>
      </w:r>
      <w:r w:rsidRPr="00E96AD3">
        <w:t>. Societal changes and the rise of the episodic volunteer. </w:t>
      </w:r>
      <w:r w:rsidRPr="00E96AD3">
        <w:rPr>
          <w:i/>
          <w:iCs/>
        </w:rPr>
        <w:t>Emerging Areas of Volunteering,</w:t>
      </w:r>
      <w:r w:rsidRPr="00E96AD3">
        <w:t> </w:t>
      </w:r>
      <w:r w:rsidRPr="00E96AD3">
        <w:rPr>
          <w:i/>
          <w:iCs/>
        </w:rPr>
        <w:t>1</w:t>
      </w:r>
      <w:r w:rsidRPr="00E96AD3">
        <w:t>, 49–61.</w:t>
      </w:r>
    </w:p>
    <w:p w14:paraId="60FDC66B" w14:textId="77777777" w:rsidR="00D43BF4" w:rsidRPr="00D43BF4" w:rsidRDefault="00D44E07" w:rsidP="00D43BF4">
      <w:pPr>
        <w:pStyle w:val="Tabletitle"/>
      </w:pPr>
      <w:r>
        <w:t>Markhart, A. H., 2006</w:t>
      </w:r>
      <w:r w:rsidR="00D43BF4" w:rsidRPr="00D43BF4">
        <w:t xml:space="preserve">. Organic educational opportunities at the University of Minnesota: The role of a student-run organic farm. </w:t>
      </w:r>
      <w:r w:rsidR="00D43BF4" w:rsidRPr="00D43BF4">
        <w:rPr>
          <w:i/>
        </w:rPr>
        <w:t>HortTechnology</w:t>
      </w:r>
      <w:r w:rsidR="00D43BF4" w:rsidRPr="00D43BF4">
        <w:t xml:space="preserve">, 16(3), 443-445. </w:t>
      </w:r>
      <w:r w:rsidR="00D43BF4" w:rsidRPr="00D44E07">
        <w:rPr>
          <w:i/>
        </w:rPr>
        <w:t>*</w:t>
      </w:r>
    </w:p>
    <w:p w14:paraId="49B4508B" w14:textId="77777777" w:rsidR="005749A1" w:rsidRDefault="00D43BF4" w:rsidP="00D43BF4">
      <w:pPr>
        <w:pStyle w:val="Tabletitle"/>
        <w:rPr>
          <w:b/>
        </w:rPr>
      </w:pPr>
      <w:r w:rsidRPr="00D43BF4">
        <w:t>McKi</w:t>
      </w:r>
      <w:r w:rsidR="00D44E07">
        <w:t>nne, K. L. and Halfacre, A. C., 2008</w:t>
      </w:r>
      <w:r w:rsidRPr="00D43BF4">
        <w:t xml:space="preserve">. "Growing" a campus native species garden: sustaining volunteer-driven sustainability. </w:t>
      </w:r>
      <w:r w:rsidRPr="00D43BF4">
        <w:rPr>
          <w:i/>
        </w:rPr>
        <w:t>International Journal of Sustainability in Higher Education</w:t>
      </w:r>
      <w:r w:rsidRPr="00D43BF4">
        <w:t xml:space="preserve">, 9(2), 147-156. </w:t>
      </w:r>
      <w:r w:rsidRPr="00D44E07">
        <w:rPr>
          <w:b/>
        </w:rPr>
        <w:t>*</w:t>
      </w:r>
    </w:p>
    <w:p w14:paraId="7E245F4E" w14:textId="6CE67B3F" w:rsidR="00D43BF4" w:rsidRPr="005749A1" w:rsidRDefault="005749A1" w:rsidP="00D43BF4">
      <w:pPr>
        <w:pStyle w:val="Tabletitle"/>
      </w:pPr>
      <w:r>
        <w:t>Middlemiss, L., 2011</w:t>
      </w:r>
      <w:r w:rsidRPr="005749A1">
        <w:t xml:space="preserve">. The effects of community-based action for sustainability on participants' lifestyles. </w:t>
      </w:r>
      <w:r w:rsidRPr="005749A1">
        <w:rPr>
          <w:i/>
        </w:rPr>
        <w:t>Local Environment</w:t>
      </w:r>
      <w:r w:rsidRPr="005749A1">
        <w:t>, 16(3), 265-280.</w:t>
      </w:r>
    </w:p>
    <w:p w14:paraId="7E5597F2" w14:textId="41EB485C" w:rsidR="00283B30" w:rsidRDefault="00D22AE8" w:rsidP="00D43BF4">
      <w:pPr>
        <w:pStyle w:val="Tabletitle"/>
      </w:pPr>
      <w:r>
        <w:t>Mundel, E., and</w:t>
      </w:r>
      <w:r w:rsidR="00D44E07">
        <w:t xml:space="preserve"> Chapman, G. E., 2010</w:t>
      </w:r>
      <w:r w:rsidR="00D43BF4" w:rsidRPr="00D43BF4">
        <w:t>. A decolonizing approach to health promotion in Canada: the case of the Urban Aboriginal Community Kitchen Garden Project. </w:t>
      </w:r>
      <w:r w:rsidR="00D43BF4" w:rsidRPr="00D43BF4">
        <w:rPr>
          <w:i/>
          <w:iCs/>
        </w:rPr>
        <w:t>Health Promotion International</w:t>
      </w:r>
      <w:r w:rsidR="00D43BF4" w:rsidRPr="00D43BF4">
        <w:t>, </w:t>
      </w:r>
      <w:r w:rsidR="00D43BF4" w:rsidRPr="00D43BF4">
        <w:rPr>
          <w:i/>
          <w:iCs/>
        </w:rPr>
        <w:t>25</w:t>
      </w:r>
      <w:r w:rsidR="00D43BF4" w:rsidRPr="00D43BF4">
        <w:t xml:space="preserve">(2), 166-173. </w:t>
      </w:r>
      <w:r w:rsidR="00D43BF4" w:rsidRPr="00D44E07">
        <w:rPr>
          <w:b/>
        </w:rPr>
        <w:t>*</w:t>
      </w:r>
      <w:r w:rsidR="00283B30" w:rsidRPr="00283B30">
        <w:t xml:space="preserve"> </w:t>
      </w:r>
    </w:p>
    <w:p w14:paraId="34B3098A" w14:textId="77777777" w:rsidR="00D43BF4" w:rsidRPr="00283B30" w:rsidRDefault="00283B30" w:rsidP="00D43BF4">
      <w:pPr>
        <w:pStyle w:val="Tabletitle"/>
      </w:pPr>
      <w:r>
        <w:t>Nell, W. et al. 2000</w:t>
      </w:r>
      <w:r w:rsidRPr="00283B30">
        <w:t xml:space="preserve">. A creative multidisciplinary approach towards the development of food gardening. </w:t>
      </w:r>
      <w:r w:rsidRPr="00283B30">
        <w:rPr>
          <w:i/>
        </w:rPr>
        <w:t>Development Southern Africa</w:t>
      </w:r>
      <w:r w:rsidRPr="00283B30">
        <w:t>, 17(5), 807-819.</w:t>
      </w:r>
    </w:p>
    <w:p w14:paraId="329EE0CA" w14:textId="77777777" w:rsidR="00D43BF4" w:rsidRPr="00D43BF4" w:rsidRDefault="00D44E07" w:rsidP="00D43BF4">
      <w:pPr>
        <w:pStyle w:val="Tabletitle"/>
      </w:pPr>
      <w:r>
        <w:t>Olsen, S. et al., 1999</w:t>
      </w:r>
      <w:r w:rsidR="00D43BF4" w:rsidRPr="00D43BF4">
        <w:t xml:space="preserve">. The Utah Botanical Gardens: An educational resource for the university and the community. </w:t>
      </w:r>
      <w:r w:rsidR="00D43BF4" w:rsidRPr="00D43BF4">
        <w:rPr>
          <w:i/>
        </w:rPr>
        <w:t>HortTechnology</w:t>
      </w:r>
      <w:r w:rsidR="00D43BF4" w:rsidRPr="00D43BF4">
        <w:t>, 9(4), 562-565.</w:t>
      </w:r>
    </w:p>
    <w:p w14:paraId="142276AF" w14:textId="4E7B0A21" w:rsidR="00D43BF4" w:rsidRPr="00D43BF4" w:rsidRDefault="00D22AE8" w:rsidP="00D43BF4">
      <w:pPr>
        <w:pStyle w:val="Tabletitle"/>
      </w:pPr>
      <w:r>
        <w:t>Parr, D. M., and</w:t>
      </w:r>
      <w:r w:rsidR="00D44E07">
        <w:t xml:space="preserve"> Van Horn, M., 2006</w:t>
      </w:r>
      <w:r w:rsidR="00D43BF4" w:rsidRPr="00D43BF4">
        <w:t xml:space="preserve">. Development of organic and sustainable agricultural education at the University of California, Davis: A closer look at practice and theory. </w:t>
      </w:r>
      <w:r w:rsidR="00D43BF4" w:rsidRPr="00D43BF4">
        <w:rPr>
          <w:i/>
        </w:rPr>
        <w:t>HortTechnology</w:t>
      </w:r>
      <w:r w:rsidR="00D43BF4" w:rsidRPr="00D43BF4">
        <w:t xml:space="preserve">, 16(3), 426-431. </w:t>
      </w:r>
      <w:r w:rsidR="00D43BF4" w:rsidRPr="00D44E07">
        <w:rPr>
          <w:b/>
        </w:rPr>
        <w:t>*</w:t>
      </w:r>
    </w:p>
    <w:p w14:paraId="092FCE20" w14:textId="77777777" w:rsidR="00D43BF4" w:rsidRPr="00D43BF4" w:rsidRDefault="00D44E07" w:rsidP="00D43BF4">
      <w:pPr>
        <w:pStyle w:val="Tabletitle"/>
      </w:pPr>
      <w:r>
        <w:t>Petticrew, M., and Roberts, H., 2006</w:t>
      </w:r>
      <w:r w:rsidR="00D43BF4" w:rsidRPr="00D43BF4">
        <w:t xml:space="preserve">. </w:t>
      </w:r>
      <w:r w:rsidR="00D43BF4" w:rsidRPr="00D43BF4">
        <w:rPr>
          <w:i/>
        </w:rPr>
        <w:t>Systematic Reviews in the Social Sciences: A Practical Guide</w:t>
      </w:r>
      <w:r w:rsidR="00D43BF4" w:rsidRPr="00D43BF4">
        <w:t>. Malden, MA: Blackwell.</w:t>
      </w:r>
    </w:p>
    <w:p w14:paraId="0A035E19" w14:textId="77777777" w:rsidR="00D43BF4" w:rsidRPr="00D43BF4" w:rsidRDefault="00D44E07" w:rsidP="00D43BF4">
      <w:pPr>
        <w:pStyle w:val="Tabletitle"/>
      </w:pPr>
      <w:r>
        <w:t>Phillips, J., 2011</w:t>
      </w:r>
      <w:r w:rsidR="00D43BF4" w:rsidRPr="00D43BF4">
        <w:t xml:space="preserve">. Building on Tradition--Tribal Colleges Can Lead the Way to Food Sovereignty. </w:t>
      </w:r>
      <w:r w:rsidR="00D43BF4" w:rsidRPr="00D43BF4">
        <w:rPr>
          <w:i/>
        </w:rPr>
        <w:t>Tribal College Journal of American Indian Higher Education</w:t>
      </w:r>
      <w:r w:rsidR="00D43BF4" w:rsidRPr="00D43BF4">
        <w:t xml:space="preserve">, 22(3), 15-20. </w:t>
      </w:r>
      <w:r w:rsidR="00D43BF4" w:rsidRPr="00D44E07">
        <w:rPr>
          <w:b/>
        </w:rPr>
        <w:t>*</w:t>
      </w:r>
    </w:p>
    <w:p w14:paraId="3E3D8899" w14:textId="1D61D373" w:rsidR="00D43BF4" w:rsidRPr="00D43BF4" w:rsidRDefault="00D22AE8" w:rsidP="00D43BF4">
      <w:pPr>
        <w:pStyle w:val="Tabletitle"/>
      </w:pPr>
      <w:r>
        <w:t>Pierce, C. A., and</w:t>
      </w:r>
      <w:r w:rsidR="00D44E07">
        <w:t xml:space="preserve"> Seals, L. M., 2006</w:t>
      </w:r>
      <w:r w:rsidR="00D43BF4" w:rsidRPr="00D43BF4">
        <w:t xml:space="preserve">. The Importance of Community Gardening for Homeless Women: A Pilot Study. </w:t>
      </w:r>
      <w:r w:rsidR="00D43BF4" w:rsidRPr="00D43BF4">
        <w:rPr>
          <w:i/>
        </w:rPr>
        <w:t>Journal of Therapeutic Horticulture</w:t>
      </w:r>
      <w:r w:rsidR="00D43BF4" w:rsidRPr="00D43BF4">
        <w:t>, 17</w:t>
      </w:r>
      <w:r w:rsidR="008B5BBD">
        <w:t xml:space="preserve">, </w:t>
      </w:r>
      <w:r w:rsidR="00D43BF4" w:rsidRPr="00D43BF4">
        <w:t>20-26.</w:t>
      </w:r>
    </w:p>
    <w:p w14:paraId="0AEDCD72" w14:textId="77777777" w:rsidR="00D43BF4" w:rsidRPr="00D43BF4" w:rsidRDefault="00D44E07" w:rsidP="00D43BF4">
      <w:pPr>
        <w:pStyle w:val="Tabletitle"/>
      </w:pPr>
      <w:r>
        <w:t>Pudup, M., 2008</w:t>
      </w:r>
      <w:r w:rsidR="00D43BF4" w:rsidRPr="00D43BF4">
        <w:t xml:space="preserve">. It takes a garden: Cultivating citizen-subjects in organized gardening projects. </w:t>
      </w:r>
      <w:r w:rsidR="00D43BF4" w:rsidRPr="00D43BF4">
        <w:rPr>
          <w:i/>
        </w:rPr>
        <w:t>Geoforum</w:t>
      </w:r>
      <w:r>
        <w:t>, 39(3), 1228-1240.</w:t>
      </w:r>
    </w:p>
    <w:p w14:paraId="5FEF3334" w14:textId="06C3E387" w:rsidR="00D43BF4" w:rsidRPr="00D43BF4" w:rsidRDefault="00D44E07" w:rsidP="00D43BF4">
      <w:pPr>
        <w:pStyle w:val="Tabletitle"/>
      </w:pPr>
      <w:r>
        <w:t>Quality Assurance Agency (QAA), 2014</w:t>
      </w:r>
      <w:r w:rsidR="00D43BF4" w:rsidRPr="00D43BF4">
        <w:t xml:space="preserve">. </w:t>
      </w:r>
      <w:r w:rsidR="00D43BF4" w:rsidRPr="00D43BF4">
        <w:rPr>
          <w:i/>
        </w:rPr>
        <w:t>Education for sustainable development: Guidance for UK higher education provider</w:t>
      </w:r>
      <w:r w:rsidR="00CE20FB">
        <w:rPr>
          <w:i/>
        </w:rPr>
        <w:t>s</w:t>
      </w:r>
      <w:r w:rsidR="00CE20FB">
        <w:t>.</w:t>
      </w:r>
    </w:p>
    <w:p w14:paraId="768C32D8" w14:textId="678EAD89" w:rsidR="00D43BF4" w:rsidRPr="00D43BF4" w:rsidRDefault="007715D9" w:rsidP="00D43BF4">
      <w:pPr>
        <w:pStyle w:val="Tabletitle"/>
      </w:pPr>
      <w:r>
        <w:t>Ragsdell, G., 2007</w:t>
      </w:r>
      <w:r w:rsidR="00D43BF4" w:rsidRPr="00D43BF4">
        <w:t>. Inhibitors and Enhancers to Knowledge Sharing: Lessons from the Voluntary Sector.</w:t>
      </w:r>
      <w:r w:rsidR="00D43BF4" w:rsidRPr="007715D9">
        <w:rPr>
          <w:i/>
        </w:rPr>
        <w:t xml:space="preserve"> In</w:t>
      </w:r>
      <w:r w:rsidR="00D43BF4" w:rsidRPr="00D43BF4">
        <w:t xml:space="preserve"> Reminyi, D. (Ed.) </w:t>
      </w:r>
      <w:r w:rsidR="00D43BF4" w:rsidRPr="00D43BF4">
        <w:rPr>
          <w:i/>
        </w:rPr>
        <w:t>Proceedings of the 4th International Conference on Intellectual Capital, Knowledge Management and Organisational Learning</w:t>
      </w:r>
      <w:r>
        <w:t>,</w:t>
      </w:r>
      <w:r w:rsidR="00D43BF4" w:rsidRPr="00D43BF4">
        <w:t xml:space="preserve"> </w:t>
      </w:r>
      <w:r>
        <w:t>Stellenbosch, South Africa,</w:t>
      </w:r>
      <w:r w:rsidRPr="007715D9">
        <w:t xml:space="preserve"> </w:t>
      </w:r>
      <w:r>
        <w:t>349-356</w:t>
      </w:r>
      <w:r w:rsidRPr="00D43BF4">
        <w:t>.</w:t>
      </w:r>
      <w:r w:rsidR="00582CEE">
        <w:t xml:space="preserve"> </w:t>
      </w:r>
    </w:p>
    <w:p w14:paraId="7B878A51" w14:textId="197AAD37" w:rsidR="00D43BF4" w:rsidRPr="00D43BF4" w:rsidRDefault="007715D9" w:rsidP="00D43BF4">
      <w:pPr>
        <w:pStyle w:val="Tabletitle"/>
      </w:pPr>
      <w:r>
        <w:t>Ragsdell, G., 2013</w:t>
      </w:r>
      <w:r w:rsidR="00D43BF4" w:rsidRPr="00D43BF4">
        <w:t xml:space="preserve">. Voluntary Sector Organisations: Untapped Sources of Lessons for Knowledge Management. </w:t>
      </w:r>
      <w:r w:rsidR="00D43BF4" w:rsidRPr="007715D9">
        <w:rPr>
          <w:i/>
        </w:rPr>
        <w:t>In</w:t>
      </w:r>
      <w:r w:rsidR="00D43BF4" w:rsidRPr="00D43BF4">
        <w:t xml:space="preserve"> Green, A. (Ed.) </w:t>
      </w:r>
      <w:r w:rsidR="00D43BF4" w:rsidRPr="00D43BF4">
        <w:rPr>
          <w:i/>
        </w:rPr>
        <w:t>Proceedings of the 10th International Conference on Intellectual Capital, Knowledge Management and Organisational Learning</w:t>
      </w:r>
      <w:r>
        <w:t>, Washington, USA, 349-354.</w:t>
      </w:r>
    </w:p>
    <w:p w14:paraId="3189D176" w14:textId="77777777" w:rsidR="00D43BF4" w:rsidRPr="00D43BF4" w:rsidRDefault="00D43BF4" w:rsidP="00D43BF4">
      <w:pPr>
        <w:pStyle w:val="Tabletitle"/>
      </w:pPr>
      <w:r w:rsidRPr="00D43BF4">
        <w:t xml:space="preserve">Rojas, </w:t>
      </w:r>
      <w:r w:rsidR="007715D9">
        <w:t>A., Richer, L., and Wagner, J., 2007</w:t>
      </w:r>
      <w:r w:rsidRPr="00D43BF4">
        <w:t xml:space="preserve">. University of British Columbia Food System Project: Towards Sustainable and Secure Campus Food Systems. </w:t>
      </w:r>
      <w:r w:rsidRPr="00D43BF4">
        <w:rPr>
          <w:i/>
        </w:rPr>
        <w:t>EcoHealth</w:t>
      </w:r>
      <w:r w:rsidR="007715D9">
        <w:t>, 4(1), 86-94.</w:t>
      </w:r>
    </w:p>
    <w:p w14:paraId="0F35752F" w14:textId="77777777" w:rsidR="00D43BF4" w:rsidRPr="00D43BF4" w:rsidRDefault="007715D9" w:rsidP="00D43BF4">
      <w:pPr>
        <w:pStyle w:val="Tabletitle"/>
      </w:pPr>
      <w:r>
        <w:t>Ross, N. J., 2005</w:t>
      </w:r>
      <w:r w:rsidR="00D43BF4" w:rsidRPr="00D43BF4">
        <w:t xml:space="preserve">. Bringing You Fresh Food from Local Farms and Our Garden: A College Class Designs a Program to Meet Peer and Institutional Needs. </w:t>
      </w:r>
      <w:r w:rsidR="00D43BF4" w:rsidRPr="00D43BF4">
        <w:rPr>
          <w:i/>
        </w:rPr>
        <w:t>Journal of Nutrition Education Behavior</w:t>
      </w:r>
      <w:r w:rsidR="00D43BF4" w:rsidRPr="00D43BF4">
        <w:t xml:space="preserve">, 37(2), 102-103. </w:t>
      </w:r>
      <w:r w:rsidR="00D43BF4" w:rsidRPr="007715D9">
        <w:rPr>
          <w:b/>
        </w:rPr>
        <w:t>*</w:t>
      </w:r>
    </w:p>
    <w:p w14:paraId="10DD5356" w14:textId="737FA998" w:rsidR="00D43BF4" w:rsidRPr="00D43BF4" w:rsidRDefault="00D22AE8" w:rsidP="00D43BF4">
      <w:pPr>
        <w:pStyle w:val="Tabletitle"/>
      </w:pPr>
      <w:r>
        <w:t>Roubanis, J. L., and</w:t>
      </w:r>
      <w:r w:rsidR="007715D9">
        <w:t xml:space="preserve"> Landis, W., 2007</w:t>
      </w:r>
      <w:r w:rsidR="00D43BF4" w:rsidRPr="00D43BF4">
        <w:t>. Community gardening project: Meredith College students explore sustainability, organics. </w:t>
      </w:r>
      <w:r w:rsidR="00D43BF4" w:rsidRPr="00D43BF4">
        <w:rPr>
          <w:i/>
          <w:iCs/>
        </w:rPr>
        <w:t>Journal of Family and Consumer Sciences</w:t>
      </w:r>
      <w:r w:rsidR="00D43BF4" w:rsidRPr="007715D9">
        <w:t>, </w:t>
      </w:r>
      <w:r w:rsidR="00D43BF4" w:rsidRPr="007715D9">
        <w:rPr>
          <w:iCs/>
        </w:rPr>
        <w:t>99</w:t>
      </w:r>
      <w:r w:rsidR="00D43BF4" w:rsidRPr="007715D9">
        <w:t>(</w:t>
      </w:r>
      <w:r w:rsidR="00D43BF4" w:rsidRPr="00D43BF4">
        <w:t xml:space="preserve">3), 55-56. </w:t>
      </w:r>
      <w:r w:rsidR="00D43BF4" w:rsidRPr="007715D9">
        <w:rPr>
          <w:b/>
        </w:rPr>
        <w:t>*</w:t>
      </w:r>
    </w:p>
    <w:p w14:paraId="15D2B3C1" w14:textId="12738749" w:rsidR="00D43BF4" w:rsidRPr="00D43BF4" w:rsidRDefault="00D43BF4" w:rsidP="00D43BF4">
      <w:pPr>
        <w:pStyle w:val="Tabletitle"/>
      </w:pPr>
      <w:r w:rsidRPr="00D43BF4">
        <w:t>Schäfer, M., J</w:t>
      </w:r>
      <w:r w:rsidR="00D22AE8">
        <w:t>aeger-Erben, M., and</w:t>
      </w:r>
      <w:r w:rsidR="007715D9">
        <w:t xml:space="preserve"> Bamberg, S., 2012</w:t>
      </w:r>
      <w:r w:rsidRPr="00D43BF4">
        <w:t xml:space="preserve">. Life events as windows of opportunity for changing towards sustainable consumption patterns?. </w:t>
      </w:r>
      <w:r w:rsidRPr="00D43BF4">
        <w:rPr>
          <w:i/>
        </w:rPr>
        <w:t>Journal of Consumer Policy</w:t>
      </w:r>
      <w:r w:rsidR="007715D9">
        <w:t>, 35(1), 65-84.</w:t>
      </w:r>
    </w:p>
    <w:p w14:paraId="4F46BEB7" w14:textId="77777777" w:rsidR="00D43BF4" w:rsidRPr="00D43BF4" w:rsidRDefault="005B2F05" w:rsidP="00D43BF4">
      <w:pPr>
        <w:pStyle w:val="Tabletitle"/>
      </w:pPr>
      <w:r>
        <w:t>Schroeder, M. S. et al., 2006</w:t>
      </w:r>
      <w:r w:rsidR="00D43BF4" w:rsidRPr="00D43BF4">
        <w:t xml:space="preserve">. Interdisciplinary and multilevel approach to organic and sustainable agriculture education at North Carolina State University. </w:t>
      </w:r>
      <w:r w:rsidR="00D43BF4" w:rsidRPr="00D43BF4">
        <w:rPr>
          <w:i/>
        </w:rPr>
        <w:t>HortTechnology</w:t>
      </w:r>
      <w:r w:rsidR="00D43BF4" w:rsidRPr="00D43BF4">
        <w:t>, 16(3), 418-426.</w:t>
      </w:r>
    </w:p>
    <w:p w14:paraId="680F56E2" w14:textId="231825CF" w:rsidR="00D43BF4" w:rsidRPr="00D43BF4" w:rsidRDefault="00D22AE8" w:rsidP="00D43BF4">
      <w:pPr>
        <w:pStyle w:val="Tabletitle"/>
      </w:pPr>
      <w:r>
        <w:t>Shan, H., and</w:t>
      </w:r>
      <w:r w:rsidR="005B2F05">
        <w:t xml:space="preserve"> Walter, P., 2015</w:t>
      </w:r>
      <w:r w:rsidR="00D43BF4" w:rsidRPr="00D43BF4">
        <w:t>. Growing Everyday Multiculturalism Practice-Based Learning of Chinese Immigrants Through Community Gardens in Canada. </w:t>
      </w:r>
      <w:r w:rsidR="00D43BF4" w:rsidRPr="00D43BF4">
        <w:rPr>
          <w:i/>
          <w:iCs/>
        </w:rPr>
        <w:t>Adult Education Quarterly</w:t>
      </w:r>
      <w:r w:rsidR="00D43BF4" w:rsidRPr="00D43BF4">
        <w:t xml:space="preserve">, 65(1), 1-16. </w:t>
      </w:r>
      <w:r w:rsidR="00D43BF4" w:rsidRPr="005B2F05">
        <w:rPr>
          <w:b/>
        </w:rPr>
        <w:t>*</w:t>
      </w:r>
    </w:p>
    <w:p w14:paraId="2F85053A" w14:textId="77777777" w:rsidR="00D43BF4" w:rsidRPr="00D43BF4" w:rsidRDefault="00D43BF4" w:rsidP="00D43BF4">
      <w:pPr>
        <w:pStyle w:val="Tabletitle"/>
      </w:pPr>
      <w:r w:rsidRPr="00D43BF4">
        <w:t>Sharp, L.</w:t>
      </w:r>
      <w:r w:rsidR="005B2F05">
        <w:t>, 2002</w:t>
      </w:r>
      <w:r w:rsidRPr="00D43BF4">
        <w:t xml:space="preserve">. Green campuses: the road from little victories to systemic transformation. </w:t>
      </w:r>
      <w:r w:rsidRPr="00D43BF4">
        <w:rPr>
          <w:i/>
        </w:rPr>
        <w:t>International Journal of Sustainability in Higher Education</w:t>
      </w:r>
      <w:r w:rsidR="005B2F05">
        <w:t>, 3(2), 128 – 145.</w:t>
      </w:r>
    </w:p>
    <w:p w14:paraId="765A1C1D" w14:textId="3FBDC8C5" w:rsidR="006E2EE8" w:rsidRDefault="00D22AE8" w:rsidP="006E2EE8">
      <w:pPr>
        <w:pStyle w:val="Tabletitle"/>
      </w:pPr>
      <w:r>
        <w:t>Silva, P., and</w:t>
      </w:r>
      <w:r w:rsidR="005B2F05">
        <w:t xml:space="preserve"> Krasny, M. E., 2014</w:t>
      </w:r>
      <w:r w:rsidR="00D43BF4" w:rsidRPr="00D43BF4">
        <w:t>. Parsing participation: models of engagement for outcomes monitoring in urban stewardship. </w:t>
      </w:r>
      <w:r w:rsidR="00D43BF4" w:rsidRPr="00D43BF4">
        <w:rPr>
          <w:i/>
          <w:iCs/>
        </w:rPr>
        <w:t>Local Environment</w:t>
      </w:r>
      <w:r w:rsidR="00FD0186">
        <w:t>, 21(2), 157-165.</w:t>
      </w:r>
    </w:p>
    <w:p w14:paraId="210A7A7B" w14:textId="68CAA60C" w:rsidR="006E2EE8" w:rsidRPr="006E2EE8" w:rsidRDefault="006E2EE8" w:rsidP="006E2EE8">
      <w:pPr>
        <w:pStyle w:val="Tabletitle"/>
      </w:pPr>
      <w:r w:rsidRPr="006E2EE8">
        <w:t>Somerset, S. and Markwell, K., 2009. Impact of a school-based food garden on attitudes and identification skills regarding vegetables and fruit: a 12-month intervention trial. </w:t>
      </w:r>
      <w:r w:rsidR="00CE20FB">
        <w:rPr>
          <w:i/>
          <w:iCs/>
        </w:rPr>
        <w:t>Public Health N</w:t>
      </w:r>
      <w:r w:rsidRPr="006E2EE8">
        <w:rPr>
          <w:i/>
          <w:iCs/>
        </w:rPr>
        <w:t>utrition</w:t>
      </w:r>
      <w:r w:rsidRPr="006E2EE8">
        <w:t>, </w:t>
      </w:r>
      <w:r w:rsidRPr="00CE20FB">
        <w:rPr>
          <w:iCs/>
        </w:rPr>
        <w:t>12</w:t>
      </w:r>
      <w:r w:rsidR="00CE20FB">
        <w:t>(2), p</w:t>
      </w:r>
      <w:r w:rsidRPr="006E2EE8">
        <w:t>.214-221.</w:t>
      </w:r>
    </w:p>
    <w:p w14:paraId="62B7F5CA" w14:textId="4A713EFD" w:rsidR="00D43BF4" w:rsidRPr="00D43BF4" w:rsidRDefault="00D43BF4" w:rsidP="00D43BF4">
      <w:pPr>
        <w:pStyle w:val="Tabletitle"/>
      </w:pPr>
      <w:r w:rsidRPr="00D43BF4">
        <w:t>Somerset S., Harris</w:t>
      </w:r>
      <w:r w:rsidR="005B2F05">
        <w:t>, N., Wenham, K., and Rowe, F., 2010</w:t>
      </w:r>
      <w:r w:rsidRPr="00D43BF4">
        <w:t>. A campus-based community garden to enhance economic, social and health promotion opportunities for African immigrants.</w:t>
      </w:r>
      <w:r w:rsidR="005B2F05">
        <w:rPr>
          <w:i/>
        </w:rPr>
        <w:t xml:space="preserve"> In</w:t>
      </w:r>
      <w:r w:rsidR="005B2F05">
        <w:t xml:space="preserve"> Russell-Bennett, R. &amp; Rundle-Thiele, S.</w:t>
      </w:r>
      <w:r w:rsidR="00732195">
        <w:t>, ed.</w:t>
      </w:r>
      <w:r w:rsidRPr="00D43BF4">
        <w:t xml:space="preserve"> </w:t>
      </w:r>
      <w:r w:rsidRPr="00D43BF4">
        <w:rPr>
          <w:i/>
        </w:rPr>
        <w:t>2010 International Nonprofit &amp; Social Marketing Conference (INSM) Conference Proceedings</w:t>
      </w:r>
      <w:r w:rsidR="00CE20FB">
        <w:rPr>
          <w:i/>
        </w:rPr>
        <w:t>.</w:t>
      </w:r>
      <w:r w:rsidRPr="005B2F05">
        <w:rPr>
          <w:b/>
        </w:rPr>
        <w:t>*</w:t>
      </w:r>
    </w:p>
    <w:p w14:paraId="465D3AAC" w14:textId="77777777" w:rsidR="00D43BF4" w:rsidRPr="00D43BF4" w:rsidRDefault="00D43BF4" w:rsidP="00D43BF4">
      <w:pPr>
        <w:pStyle w:val="Tabletitle"/>
      </w:pPr>
      <w:r w:rsidRPr="00D43BF4">
        <w:t>Stephens, M</w:t>
      </w:r>
      <w:r w:rsidR="00732195">
        <w:t>. et al., 2006</w:t>
      </w:r>
      <w:r w:rsidRPr="00D43BF4">
        <w:t xml:space="preserve">. Endowment strategies for the University of Delaware Botanic Garden through case study analysis. </w:t>
      </w:r>
      <w:r w:rsidRPr="00D43BF4">
        <w:rPr>
          <w:i/>
        </w:rPr>
        <w:t>HortTechnology</w:t>
      </w:r>
      <w:r w:rsidRPr="00D43BF4">
        <w:t>, 16(4), 570-578.</w:t>
      </w:r>
    </w:p>
    <w:p w14:paraId="24A59704" w14:textId="77777777" w:rsidR="00B847D6" w:rsidRDefault="00283B30" w:rsidP="00D43BF4">
      <w:pPr>
        <w:pStyle w:val="Tabletitle"/>
      </w:pPr>
      <w:r>
        <w:t>Stimart, D. P. 1999</w:t>
      </w:r>
      <w:r w:rsidRPr="00283B30">
        <w:t>. Development and integration of an instructional garden in education at the University of Wisconsin-Madison. </w:t>
      </w:r>
      <w:r w:rsidRPr="00283B30">
        <w:rPr>
          <w:i/>
          <w:iCs/>
        </w:rPr>
        <w:t>HortTechnology</w:t>
      </w:r>
      <w:r w:rsidRPr="00283B30">
        <w:t>, </w:t>
      </w:r>
      <w:r w:rsidRPr="00283B30">
        <w:rPr>
          <w:i/>
          <w:iCs/>
        </w:rPr>
        <w:t>9</w:t>
      </w:r>
      <w:r w:rsidR="00B847D6">
        <w:t>(4), 557-561.</w:t>
      </w:r>
    </w:p>
    <w:p w14:paraId="01A0AEBB" w14:textId="1D92203A" w:rsidR="00D43BF4" w:rsidRPr="00D43BF4" w:rsidRDefault="00833A3F" w:rsidP="00D43BF4">
      <w:pPr>
        <w:pStyle w:val="Tabletitle"/>
      </w:pPr>
      <w:r>
        <w:t xml:space="preserve">Stocker, L., </w:t>
      </w:r>
      <w:r w:rsidR="00B847D6">
        <w:t xml:space="preserve">and </w:t>
      </w:r>
      <w:r>
        <w:t>Barnett, K., 1998</w:t>
      </w:r>
      <w:r w:rsidR="00D43BF4" w:rsidRPr="00D43BF4">
        <w:t xml:space="preserve">. The significance and praxis of community-based sustainability projects: community gardens in Western Australia. </w:t>
      </w:r>
      <w:r w:rsidR="00D43BF4" w:rsidRPr="00D43BF4">
        <w:rPr>
          <w:i/>
        </w:rPr>
        <w:t>Local Environment</w:t>
      </w:r>
      <w:r w:rsidR="00CE20FB">
        <w:t>, 3(2) 179-</w:t>
      </w:r>
      <w:r>
        <w:t>189.</w:t>
      </w:r>
    </w:p>
    <w:p w14:paraId="0C5BF209" w14:textId="77777777" w:rsidR="00D43BF4" w:rsidRPr="00D43BF4" w:rsidRDefault="00833A3F" w:rsidP="00D43BF4">
      <w:pPr>
        <w:pStyle w:val="Tabletitle"/>
      </w:pPr>
      <w:r>
        <w:t>Teig, E. et al., 2009</w:t>
      </w:r>
      <w:r w:rsidR="00D43BF4" w:rsidRPr="00D43BF4">
        <w:t xml:space="preserve">. Collective efficacy in Denver, Colorado: Strengthening neighborhoods and health through community gardens. </w:t>
      </w:r>
      <w:r w:rsidR="00D43BF4" w:rsidRPr="00D43BF4">
        <w:rPr>
          <w:i/>
        </w:rPr>
        <w:t>Health &amp; Place</w:t>
      </w:r>
      <w:r w:rsidR="00D43BF4" w:rsidRPr="00D43BF4">
        <w:t xml:space="preserve">, 15(4), 1115-1122. </w:t>
      </w:r>
    </w:p>
    <w:p w14:paraId="3E60FC4B" w14:textId="77777777" w:rsidR="00D43BF4" w:rsidRPr="00D43BF4" w:rsidRDefault="00D43BF4" w:rsidP="00D43BF4">
      <w:pPr>
        <w:pStyle w:val="Tabletitle"/>
      </w:pPr>
      <w:r w:rsidRPr="00D43BF4">
        <w:t xml:space="preserve">Terstappen, V., </w:t>
      </w:r>
      <w:r w:rsidR="00833A3F">
        <w:t>Hanson, L., and McLaughlin, D., 2013</w:t>
      </w:r>
      <w:r w:rsidRPr="00D43BF4">
        <w:t xml:space="preserve">. Gender, health, labor, and inequities: a review of the fair and alternative trade literature. </w:t>
      </w:r>
      <w:r w:rsidRPr="00D43BF4">
        <w:rPr>
          <w:i/>
        </w:rPr>
        <w:t>Agriculture and Human Values</w:t>
      </w:r>
      <w:r w:rsidRPr="00D43BF4">
        <w:t xml:space="preserve">, 30(1), 21-39. </w:t>
      </w:r>
    </w:p>
    <w:p w14:paraId="29BB90FE" w14:textId="401E0A32" w:rsidR="00D43BF4" w:rsidRPr="00D43BF4" w:rsidRDefault="007D4F23" w:rsidP="00D43BF4">
      <w:pPr>
        <w:pStyle w:val="Tabletitle"/>
      </w:pPr>
      <w:r>
        <w:t>Thompson, S. et al., 2011</w:t>
      </w:r>
      <w:r w:rsidR="00D43BF4" w:rsidRPr="00D43BF4">
        <w:t xml:space="preserve">. </w:t>
      </w:r>
      <w:r w:rsidR="00D43BF4" w:rsidRPr="00D43BF4">
        <w:rPr>
          <w:i/>
        </w:rPr>
        <w:t>‘Moments of change’ as opportunities for influencing behaviour: A report to the Department for Environment, Food and Rural Affairs</w:t>
      </w:r>
      <w:r w:rsidR="00D43BF4" w:rsidRPr="00D43BF4">
        <w:t>. nef (the new economics foundation). London</w:t>
      </w:r>
      <w:r>
        <w:t>: Defra</w:t>
      </w:r>
      <w:r w:rsidR="00CE20FB">
        <w:t>.</w:t>
      </w:r>
    </w:p>
    <w:p w14:paraId="1BB623DC" w14:textId="77777777" w:rsidR="00D43BF4" w:rsidRPr="00D43BF4" w:rsidRDefault="007F154D" w:rsidP="00D43BF4">
      <w:pPr>
        <w:pStyle w:val="Tabletitle"/>
      </w:pPr>
      <w:r>
        <w:t>Turner, B., 2011</w:t>
      </w:r>
      <w:r w:rsidR="00D43BF4" w:rsidRPr="00D43BF4">
        <w:t>. Embodied connections: sustainability, food systems and community gardens. </w:t>
      </w:r>
      <w:r w:rsidR="00D43BF4" w:rsidRPr="00D43BF4">
        <w:rPr>
          <w:i/>
          <w:iCs/>
        </w:rPr>
        <w:t>Local Environment</w:t>
      </w:r>
      <w:r w:rsidR="00D43BF4" w:rsidRPr="00D43BF4">
        <w:t>, </w:t>
      </w:r>
      <w:r w:rsidR="00D43BF4" w:rsidRPr="00D43BF4">
        <w:rPr>
          <w:iCs/>
        </w:rPr>
        <w:t>16</w:t>
      </w:r>
      <w:r w:rsidR="00D43BF4" w:rsidRPr="00D43BF4">
        <w:t xml:space="preserve">(6), 509-522. </w:t>
      </w:r>
    </w:p>
    <w:p w14:paraId="2ECDA97B" w14:textId="2B5BE1BC" w:rsidR="004B531C" w:rsidRDefault="00D43BF4" w:rsidP="004B531C">
      <w:pPr>
        <w:pStyle w:val="Tabletitle"/>
      </w:pPr>
      <w:r w:rsidRPr="00D43BF4">
        <w:t>United Nations Conference on Environment and Development (UNCED</w:t>
      </w:r>
      <w:r w:rsidR="007D4F23">
        <w:t>), 1992</w:t>
      </w:r>
      <w:r w:rsidRPr="00D43BF4">
        <w:t xml:space="preserve">. </w:t>
      </w:r>
      <w:r w:rsidRPr="00D43BF4">
        <w:rPr>
          <w:i/>
        </w:rPr>
        <w:t>Agenda 21, Rio Declaration, Forest Principles</w:t>
      </w:r>
      <w:r w:rsidR="00CE20FB">
        <w:t>. New York: United Nations.</w:t>
      </w:r>
    </w:p>
    <w:p w14:paraId="1DC1BD1E" w14:textId="70D62277" w:rsidR="00D43BF4" w:rsidRPr="00D43BF4" w:rsidRDefault="00D43BF4" w:rsidP="00D43BF4">
      <w:pPr>
        <w:pStyle w:val="Tabletitle"/>
      </w:pPr>
      <w:r w:rsidRPr="00D43BF4">
        <w:t>van</w:t>
      </w:r>
      <w:r w:rsidR="007F154D">
        <w:t xml:space="preserve"> N</w:t>
      </w:r>
      <w:r w:rsidR="00D22AE8">
        <w:t>iekerk, E., and</w:t>
      </w:r>
      <w:r w:rsidR="007F154D">
        <w:t xml:space="preserve"> Barnard, J. G., 2011</w:t>
      </w:r>
      <w:r w:rsidRPr="00D43BF4">
        <w:t xml:space="preserve">. Health and lifestyle practices among female students in a South African University setting. </w:t>
      </w:r>
      <w:r w:rsidRPr="00D43BF4">
        <w:rPr>
          <w:i/>
        </w:rPr>
        <w:t>College Student Journal</w:t>
      </w:r>
      <w:r w:rsidRPr="00D43BF4">
        <w:t>, 45(3), 649-666.</w:t>
      </w:r>
    </w:p>
    <w:p w14:paraId="55580393" w14:textId="77777777" w:rsidR="00364F82" w:rsidRDefault="00D43BF4" w:rsidP="00B847D6">
      <w:pPr>
        <w:pStyle w:val="Tabletitle"/>
      </w:pPr>
      <w:r w:rsidRPr="00D43BF4">
        <w:t>V</w:t>
      </w:r>
      <w:r w:rsidR="00D22AE8">
        <w:t>anDerZanden, A. M., and</w:t>
      </w:r>
      <w:r w:rsidR="007F154D">
        <w:t xml:space="preserve"> Cook, T., 1999</w:t>
      </w:r>
      <w:r w:rsidRPr="00D43BF4">
        <w:t xml:space="preserve">. A multifunctional horticulture teaching garden at Oregon State University. </w:t>
      </w:r>
      <w:r w:rsidRPr="00D43BF4">
        <w:rPr>
          <w:i/>
        </w:rPr>
        <w:t>HortTechnology</w:t>
      </w:r>
      <w:r w:rsidRPr="00D43BF4">
        <w:t>, 9(4), 549-551.</w:t>
      </w:r>
      <w:r w:rsidR="00B847D6" w:rsidRPr="00B847D6">
        <w:t xml:space="preserve"> </w:t>
      </w:r>
    </w:p>
    <w:p w14:paraId="5F04C022" w14:textId="596FF629" w:rsidR="00B847D6" w:rsidRDefault="00364F82" w:rsidP="00B847D6">
      <w:pPr>
        <w:pStyle w:val="Tabletitle"/>
      </w:pPr>
      <w:r w:rsidRPr="00364F82">
        <w:t>Verplank</w:t>
      </w:r>
      <w:r>
        <w:t>en, B., et al</w:t>
      </w:r>
      <w:r w:rsidRPr="00364F82">
        <w:t xml:space="preserve">. (2008). Context change and travel mode choice: Combining the habit discontinuity and self-activation hypotheses. </w:t>
      </w:r>
      <w:r w:rsidRPr="00364F82">
        <w:rPr>
          <w:i/>
        </w:rPr>
        <w:t>Journal of Environmental Psychology</w:t>
      </w:r>
      <w:r w:rsidRPr="00364F82">
        <w:t>, 28(2), 121-127.</w:t>
      </w:r>
    </w:p>
    <w:p w14:paraId="2C80F9F2" w14:textId="7ADF86DA" w:rsidR="00D43BF4" w:rsidRPr="00D43BF4" w:rsidRDefault="00B847D6" w:rsidP="00B847D6">
      <w:pPr>
        <w:pStyle w:val="Tabletitle"/>
      </w:pPr>
      <w:r>
        <w:t xml:space="preserve">Wade, I., 1987. Community food production in cities of the developing nations. </w:t>
      </w:r>
      <w:r w:rsidRPr="00B847D6">
        <w:rPr>
          <w:i/>
        </w:rPr>
        <w:t>Food &amp; Nutrition Bulletin</w:t>
      </w:r>
      <w:r>
        <w:t>, 9, 29–36.</w:t>
      </w:r>
    </w:p>
    <w:p w14:paraId="6B018EC8" w14:textId="77777777" w:rsidR="00D43BF4" w:rsidRPr="00D43BF4" w:rsidRDefault="00D43BF4" w:rsidP="00D43BF4">
      <w:pPr>
        <w:pStyle w:val="Tabletitle"/>
      </w:pPr>
      <w:r w:rsidRPr="00D43BF4">
        <w:t>Wagner</w:t>
      </w:r>
      <w:r w:rsidR="007F154D">
        <w:t>, L. K., and Fones, S. K., 1999</w:t>
      </w:r>
      <w:r w:rsidRPr="00D43BF4">
        <w:t xml:space="preserve">. Enhancing Science Education Experiences through Garden Explorations: An Inquiry-based Learning Opportunity at the South Carolina Botanical Garden. </w:t>
      </w:r>
      <w:r w:rsidRPr="00D43BF4">
        <w:rPr>
          <w:i/>
        </w:rPr>
        <w:t>HortTechnology</w:t>
      </w:r>
      <w:r w:rsidRPr="00D43BF4">
        <w:t xml:space="preserve">, 9(4), 566-569. </w:t>
      </w:r>
      <w:r w:rsidRPr="007F154D">
        <w:rPr>
          <w:b/>
        </w:rPr>
        <w:t>*</w:t>
      </w:r>
    </w:p>
    <w:p w14:paraId="71D45747" w14:textId="77777777" w:rsidR="00D43BF4" w:rsidRPr="00D43BF4" w:rsidRDefault="007F154D" w:rsidP="00D43BF4">
      <w:pPr>
        <w:pStyle w:val="Tabletitle"/>
      </w:pPr>
      <w:r>
        <w:t>Wals, A. E. J., 2012</w:t>
      </w:r>
      <w:r w:rsidR="00D43BF4" w:rsidRPr="00D43BF4">
        <w:t xml:space="preserve">. </w:t>
      </w:r>
      <w:r w:rsidR="00D43BF4" w:rsidRPr="00D43BF4">
        <w:rPr>
          <w:i/>
        </w:rPr>
        <w:t>Shaping the Education of Tomorrow 2012: Full-length Report on the UN Decade of Education for Sustainable Development</w:t>
      </w:r>
      <w:r w:rsidR="00D43BF4" w:rsidRPr="00D43BF4">
        <w:t xml:space="preserve">. United Nations Educational, Scientific and Cultural Organization: France. </w:t>
      </w:r>
      <w:r>
        <w:t xml:space="preserve">Available </w:t>
      </w:r>
      <w:r w:rsidR="00D43BF4" w:rsidRPr="00D43BF4">
        <w:t xml:space="preserve">from http://www.desd.org/UNESCO%20report.pdf </w:t>
      </w:r>
      <w:r>
        <w:t xml:space="preserve"> [Accessed on 20 May 2015]</w:t>
      </w:r>
    </w:p>
    <w:p w14:paraId="5BE503EA" w14:textId="77777777" w:rsidR="00D43BF4" w:rsidRPr="00D43BF4" w:rsidRDefault="00D43BF4" w:rsidP="00D43BF4">
      <w:pPr>
        <w:pStyle w:val="Tabletitle"/>
      </w:pPr>
      <w:r w:rsidRPr="00D43BF4">
        <w:t>Wharton, C. and Ha</w:t>
      </w:r>
      <w:r w:rsidR="007F154D">
        <w:t>rmon A., 2009</w:t>
      </w:r>
      <w:r w:rsidRPr="00D43BF4">
        <w:t xml:space="preserve">. University Engagement Through Local Food Enterprise: Community Supported Agriculture on Campus. </w:t>
      </w:r>
      <w:r w:rsidRPr="00D43BF4">
        <w:rPr>
          <w:i/>
        </w:rPr>
        <w:t>Journal of Hunger and Environmental Nutrition</w:t>
      </w:r>
      <w:r w:rsidRPr="00D43BF4">
        <w:t xml:space="preserve">, 4(2), 112-128. </w:t>
      </w:r>
      <w:r w:rsidRPr="007F154D">
        <w:rPr>
          <w:b/>
        </w:rPr>
        <w:t>*</w:t>
      </w:r>
    </w:p>
    <w:p w14:paraId="3BDE4FCD" w14:textId="7D47A3DE" w:rsidR="00AC7F43" w:rsidRDefault="00D43BF4" w:rsidP="00AC7F43">
      <w:pPr>
        <w:pStyle w:val="Tabletitle"/>
        <w:rPr>
          <w:b/>
        </w:rPr>
      </w:pPr>
      <w:r w:rsidRPr="00D43BF4">
        <w:t>Wills, J.</w:t>
      </w:r>
      <w:r w:rsidR="00D22AE8">
        <w:t>, Chinemana, F., and</w:t>
      </w:r>
      <w:r w:rsidR="007F154D">
        <w:t xml:space="preserve"> Rudolph, M., 2010</w:t>
      </w:r>
      <w:r w:rsidRPr="00D43BF4">
        <w:t xml:space="preserve">. Growing or connecting? An urban food garden in Johannesburg. </w:t>
      </w:r>
      <w:r w:rsidRPr="00D43BF4">
        <w:rPr>
          <w:i/>
        </w:rPr>
        <w:t>Health Promotion International</w:t>
      </w:r>
      <w:r w:rsidRPr="00D43BF4">
        <w:t xml:space="preserve">, 25(1), 33-41. </w:t>
      </w:r>
      <w:r w:rsidRPr="007F154D">
        <w:rPr>
          <w:b/>
        </w:rPr>
        <w:t>*</w:t>
      </w:r>
    </w:p>
    <w:p w14:paraId="6462D9F1" w14:textId="77777777" w:rsidR="0088551A" w:rsidRPr="0088551A" w:rsidRDefault="0088551A" w:rsidP="0088551A"/>
    <w:p w14:paraId="535FCEEA" w14:textId="6B9E90F0" w:rsidR="00E66188" w:rsidRDefault="005B3FBA" w:rsidP="003565D4">
      <w:pPr>
        <w:pStyle w:val="Tabletitle"/>
      </w:pPr>
      <w:r>
        <w:br w:type="page"/>
      </w:r>
      <w:r w:rsidR="004E56A8">
        <w:t xml:space="preserve">Table 1. </w:t>
      </w:r>
      <w:r w:rsidR="00FB30DE">
        <w:t>Criteria for the University Community Ga</w:t>
      </w:r>
      <w:r w:rsidR="00F52034">
        <w:t xml:space="preserve">rdens for Sustainability (UCGS) </w:t>
      </w:r>
      <w:r w:rsidR="00FB30DE">
        <w:t>written about in articles to be included in the critical systematic literature review.</w:t>
      </w:r>
    </w:p>
    <w:p w14:paraId="1D91D3F5" w14:textId="7742CF4B" w:rsidR="00FE4713" w:rsidRDefault="00492A49" w:rsidP="0080308E">
      <w:pPr>
        <w:pStyle w:val="Figurecaption"/>
      </w:pPr>
      <w:r>
        <w:t>Table 2</w:t>
      </w:r>
      <w:r w:rsidR="004E56A8">
        <w:t>.</w:t>
      </w:r>
      <w:r w:rsidR="001E79A3">
        <w:t xml:space="preserve"> </w:t>
      </w:r>
      <w:r>
        <w:t xml:space="preserve">The differences and similarities between the inclusion criteria for this review about </w:t>
      </w:r>
      <w:r w:rsidR="001E79A3">
        <w:t>University Community Gardens for Sustainability (UCGS) and Guitart et al.’s (2012) inclusion criteria for their review of urban community gardens.</w:t>
      </w:r>
    </w:p>
    <w:p w14:paraId="51527297" w14:textId="6E316FF8" w:rsidR="00C2388B" w:rsidRPr="00C2388B" w:rsidRDefault="00FD0186" w:rsidP="00C2388B">
      <w:pPr>
        <w:pStyle w:val="Figurecaption"/>
      </w:pPr>
      <w:r>
        <w:t>Figure 1</w:t>
      </w:r>
      <w:r w:rsidR="00FB30DE">
        <w:t xml:space="preserve">. </w:t>
      </w:r>
      <w:r w:rsidR="00C2388B" w:rsidRPr="00C2388B">
        <w:rPr>
          <w:bCs/>
        </w:rPr>
        <w:t>Number of University Community Gardens for Sustainability (UCGS) in the reviewed articles embedded in formal curricula of different disciplinary areas</w:t>
      </w:r>
      <w:r w:rsidR="00C2388B">
        <w:rPr>
          <w:bCs/>
        </w:rPr>
        <w:t>.</w:t>
      </w:r>
    </w:p>
    <w:p w14:paraId="1FAFA660" w14:textId="26CE79B6" w:rsidR="007126D6" w:rsidRDefault="00FD0186" w:rsidP="007126D6">
      <w:pPr>
        <w:pStyle w:val="Figurecaption"/>
      </w:pPr>
      <w:r>
        <w:t>Figure 2</w:t>
      </w:r>
      <w:r w:rsidR="00EE20E4">
        <w:t>a</w:t>
      </w:r>
      <w:r w:rsidR="007126D6">
        <w:t xml:space="preserve">. </w:t>
      </w:r>
      <w:r w:rsidR="007126D6" w:rsidRPr="007126D6">
        <w:t xml:space="preserve">The </w:t>
      </w:r>
      <w:r w:rsidR="007126D6">
        <w:t xml:space="preserve">percentage of </w:t>
      </w:r>
      <w:r w:rsidR="007126D6" w:rsidRPr="007126D6">
        <w:t>discussed and demonstrated benefits in articles about University Community Gardens for Sustainabili</w:t>
      </w:r>
      <w:r w:rsidR="00C2388B">
        <w:t>ty (UCGS) (n=22</w:t>
      </w:r>
      <w:r w:rsidR="007126D6" w:rsidRPr="007126D6">
        <w:t>).</w:t>
      </w:r>
      <w:r w:rsidR="004E09BF">
        <w:t xml:space="preserve"> The benefits below the line were </w:t>
      </w:r>
      <w:r w:rsidR="004E09BF">
        <w:rPr>
          <w:bCs/>
        </w:rPr>
        <w:t>three new categories of benefits that were developed for this review as they did not fit under any of the themes identified by Guitart et al. (2012).</w:t>
      </w:r>
      <w:r w:rsidR="007126D6" w:rsidRPr="007126D6">
        <w:br/>
        <w:t>*Environmental sustainability benefits exclude benefits that may have been caused by dietary changes (ie. the displacement of unsustainable food products in participants’ or other benefactors’ diets by food from the garden). This was discussed in several of the articles; however, we felt that while it could be considered both an environmental sustainability benefit and a benefit in terms of providing access to fresh foods, the category that best captured it was ‘access to fresh foods’.</w:t>
      </w:r>
    </w:p>
    <w:p w14:paraId="159E734D" w14:textId="23E1C1A4" w:rsidR="001E79A3" w:rsidRDefault="007B25A3" w:rsidP="001E79A3">
      <w:pPr>
        <w:pStyle w:val="Figurecaption"/>
      </w:pPr>
      <w:r>
        <w:t>Fi</w:t>
      </w:r>
      <w:r w:rsidR="00FD0186">
        <w:t>gure 2</w:t>
      </w:r>
      <w:r w:rsidR="00EE20E4">
        <w:t>b</w:t>
      </w:r>
      <w:r w:rsidR="007126D6">
        <w:t xml:space="preserve">. </w:t>
      </w:r>
      <w:r w:rsidR="007126D6" w:rsidRPr="007126D6">
        <w:t xml:space="preserve">The </w:t>
      </w:r>
      <w:r w:rsidR="007126D6">
        <w:t xml:space="preserve">percentage of </w:t>
      </w:r>
      <w:r w:rsidR="007126D6" w:rsidRPr="007126D6">
        <w:t xml:space="preserve">discussed and demonstrated benefits in articles about </w:t>
      </w:r>
      <w:r w:rsidR="007126D6">
        <w:t>urban community gardens</w:t>
      </w:r>
      <w:r w:rsidR="007126D6" w:rsidRPr="007126D6">
        <w:t xml:space="preserve"> as assessed by Guitart et al. (2012) (n=87).</w:t>
      </w:r>
      <w:r w:rsidR="004E09BF">
        <w:t xml:space="preserve"> The benefits below the line were </w:t>
      </w:r>
      <w:r w:rsidR="004E09BF">
        <w:rPr>
          <w:bCs/>
        </w:rPr>
        <w:t>three new categories of benefits that were developed for this review as they did not fit under any of the themes identified by Guitart et al. (2012).</w:t>
      </w:r>
    </w:p>
    <w:p w14:paraId="4E16297B" w14:textId="3F3F9CF0" w:rsidR="001E79A3" w:rsidRDefault="00835D35" w:rsidP="001E79A3">
      <w:pPr>
        <w:pStyle w:val="Figurecaption"/>
      </w:pPr>
      <w:r>
        <w:t>Table 3</w:t>
      </w:r>
      <w:r w:rsidR="001E79A3">
        <w:t>. The types of social benefits identified in the literature about University Community Gardens for Sustainability (UCGS) and the articles reporting them.</w:t>
      </w:r>
    </w:p>
    <w:p w14:paraId="617F5007" w14:textId="642E2128" w:rsidR="001E79A3" w:rsidRDefault="00835D35" w:rsidP="001E79A3">
      <w:pPr>
        <w:pStyle w:val="Figurecaption"/>
      </w:pPr>
      <w:r>
        <w:t>Table 4</w:t>
      </w:r>
      <w:r w:rsidR="001E79A3">
        <w:t>. The types of educational benefits identified in the literature about University Community Gardens for Sustainability (UCGS) and the articles reporting them.</w:t>
      </w:r>
    </w:p>
    <w:p w14:paraId="108BE28F" w14:textId="171F51EB" w:rsidR="001E79A3" w:rsidRDefault="00835D35" w:rsidP="007800D4">
      <w:pPr>
        <w:pStyle w:val="Figurecaption"/>
      </w:pPr>
      <w:r>
        <w:t>Table 5</w:t>
      </w:r>
      <w:r w:rsidR="001E79A3">
        <w:t xml:space="preserve">. The types of </w:t>
      </w:r>
      <w:r w:rsidR="00DA201C">
        <w:t xml:space="preserve">addition </w:t>
      </w:r>
      <w:r w:rsidR="001E79A3">
        <w:t>benefits to</w:t>
      </w:r>
      <w:r w:rsidR="00DA201C">
        <w:t xml:space="preserve"> individual</w:t>
      </w:r>
      <w:r w:rsidR="001E79A3">
        <w:t xml:space="preserve"> participants identified in the literature about University Community Gardens for Sustainability (UCGS) and the articles reporting them.</w:t>
      </w:r>
      <w:r w:rsidR="007800D4">
        <w:t xml:space="preserve"> </w:t>
      </w:r>
      <w:r w:rsidR="007800D4" w:rsidRPr="007800D4">
        <w:t>While a number of benefits identified by Guitart et al. (2012) could fall under the ‘</w:t>
      </w:r>
      <w:r w:rsidR="00821577">
        <w:t xml:space="preserve">additional </w:t>
      </w:r>
      <w:r w:rsidR="007800D4" w:rsidRPr="007800D4">
        <w:t xml:space="preserve">benefits to </w:t>
      </w:r>
      <w:r w:rsidR="00821577">
        <w:t xml:space="preserve">individual </w:t>
      </w:r>
      <w:r w:rsidR="007800D4" w:rsidRPr="007800D4">
        <w:t>participants’ category (such as Education, Life satisfaction, etc.), the authors retained Guitart</w:t>
      </w:r>
      <w:r w:rsidR="002650C5">
        <w:t xml:space="preserve"> et al.</w:t>
      </w:r>
      <w:r w:rsidR="007800D4" w:rsidRPr="007800D4">
        <w:t>’s existing categories, with other benefits to individual participants being captured in this category to enable clarity in comparing the findings</w:t>
      </w:r>
      <w:r w:rsidR="007800D4">
        <w:t>.</w:t>
      </w:r>
    </w:p>
    <w:p w14:paraId="08441C34" w14:textId="53158E6B" w:rsidR="002B4BE0" w:rsidRPr="002B4BE0" w:rsidRDefault="002B4BE0" w:rsidP="002B4BE0"/>
    <w:sectPr w:rsidR="002B4BE0" w:rsidRPr="002B4BE0" w:rsidSect="00074B81">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4C31C" w14:textId="77777777" w:rsidR="00837C76" w:rsidRDefault="00837C76" w:rsidP="00AF2C92">
      <w:r>
        <w:separator/>
      </w:r>
    </w:p>
  </w:endnote>
  <w:endnote w:type="continuationSeparator" w:id="0">
    <w:p w14:paraId="5B4085E7" w14:textId="77777777" w:rsidR="00837C76" w:rsidRDefault="00837C7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06436"/>
      <w:docPartObj>
        <w:docPartGallery w:val="Page Numbers (Bottom of Page)"/>
        <w:docPartUnique/>
      </w:docPartObj>
    </w:sdtPr>
    <w:sdtEndPr>
      <w:rPr>
        <w:noProof/>
      </w:rPr>
    </w:sdtEndPr>
    <w:sdtContent>
      <w:p w14:paraId="7F057242" w14:textId="77777777" w:rsidR="00341E6C" w:rsidRDefault="00341E6C">
        <w:pPr>
          <w:pStyle w:val="Footer"/>
          <w:jc w:val="center"/>
        </w:pPr>
        <w:r>
          <w:fldChar w:fldCharType="begin"/>
        </w:r>
        <w:r>
          <w:instrText xml:space="preserve"> PAGE   \* MERGEFORMAT </w:instrText>
        </w:r>
        <w:r>
          <w:fldChar w:fldCharType="separate"/>
        </w:r>
        <w:r w:rsidR="00B32438">
          <w:rPr>
            <w:noProof/>
          </w:rPr>
          <w:t>1</w:t>
        </w:r>
        <w:r>
          <w:rPr>
            <w:noProof/>
          </w:rPr>
          <w:fldChar w:fldCharType="end"/>
        </w:r>
      </w:p>
    </w:sdtContent>
  </w:sdt>
  <w:p w14:paraId="0EFD4258" w14:textId="77777777" w:rsidR="00341E6C" w:rsidRDefault="0034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B35ED" w14:textId="77777777" w:rsidR="00837C76" w:rsidRDefault="00837C76" w:rsidP="00AF2C92">
      <w:r>
        <w:separator/>
      </w:r>
    </w:p>
  </w:footnote>
  <w:footnote w:type="continuationSeparator" w:id="0">
    <w:p w14:paraId="021D5737" w14:textId="77777777" w:rsidR="00837C76" w:rsidRDefault="00837C76" w:rsidP="00AF2C92">
      <w:r>
        <w:continuationSeparator/>
      </w:r>
    </w:p>
  </w:footnote>
  <w:footnote w:id="1">
    <w:p w14:paraId="7895B938" w14:textId="1A884AA2" w:rsidR="00341E6C" w:rsidRDefault="00341E6C">
      <w:pPr>
        <w:pStyle w:val="FootnoteText"/>
      </w:pPr>
      <w:r>
        <w:rPr>
          <w:rStyle w:val="FootnoteReference"/>
        </w:rPr>
        <w:footnoteRef/>
      </w:r>
      <w:r>
        <w:t xml:space="preserve"> Guitart et al. (2012) didn’t define what they meant by ‘life satisfaction,’ so we categorised benefits that enhanced participants’ sense of well-being (such as a ‘slower pace of life’ and improved self-confidence/esteem and/or empowerment) under this category. </w:t>
      </w:r>
    </w:p>
  </w:footnote>
  <w:footnote w:id="2">
    <w:p w14:paraId="0D72BAEB" w14:textId="7F544131" w:rsidR="00341E6C" w:rsidRDefault="00341E6C">
      <w:pPr>
        <w:pStyle w:val="FootnoteText"/>
      </w:pPr>
      <w:r>
        <w:rPr>
          <w:rStyle w:val="FootnoteReference"/>
        </w:rPr>
        <w:footnoteRef/>
      </w:r>
      <w:r>
        <w:t xml:space="preserve"> </w:t>
      </w:r>
      <w:r w:rsidR="008060EC">
        <w:t xml:space="preserve">Although it could be argued that </w:t>
      </w:r>
      <w:r w:rsidR="00F31CFB">
        <w:t>Guitart et al.’s (2012)</w:t>
      </w:r>
      <w:r>
        <w:t xml:space="preserve"> ‘i</w:t>
      </w:r>
      <w:r w:rsidRPr="005E2548">
        <w:t xml:space="preserve">ncreased biodiversity’ </w:t>
      </w:r>
      <w:r w:rsidR="00F31CFB">
        <w:t>theme</w:t>
      </w:r>
      <w:r w:rsidRPr="005E2548">
        <w:t xml:space="preserve"> fi</w:t>
      </w:r>
      <w:r>
        <w:t>t under ‘e</w:t>
      </w:r>
      <w:r w:rsidRPr="005E2548">
        <w:t xml:space="preserve">nvironmental sustainability,’ </w:t>
      </w:r>
      <w:r w:rsidR="008060EC">
        <w:t xml:space="preserve">it is </w:t>
      </w:r>
      <w:r w:rsidRPr="005E2548">
        <w:t>retained  as a separate category to better align with Guitart et al.’s review.</w:t>
      </w:r>
    </w:p>
  </w:footnote>
  <w:footnote w:id="3">
    <w:p w14:paraId="724BC35E" w14:textId="671B2D4B" w:rsidR="00341E6C" w:rsidRDefault="00341E6C">
      <w:pPr>
        <w:pStyle w:val="FootnoteText"/>
      </w:pPr>
      <w:r>
        <w:rPr>
          <w:rStyle w:val="FootnoteReference"/>
        </w:rPr>
        <w:footnoteRef/>
      </w:r>
      <w:r>
        <w:t xml:space="preserve"> </w:t>
      </w:r>
      <w:r w:rsidRPr="005E2548">
        <w:t xml:space="preserve">While a number of </w:t>
      </w:r>
      <w:r>
        <w:t xml:space="preserve">benefits identified by Guitart et al. (2012) </w:t>
      </w:r>
      <w:r w:rsidRPr="005E2548">
        <w:t xml:space="preserve">could fall under </w:t>
      </w:r>
      <w:r>
        <w:t>the ‘</w:t>
      </w:r>
      <w:r w:rsidR="00E17301">
        <w:t xml:space="preserve">additional </w:t>
      </w:r>
      <w:r>
        <w:t>b</w:t>
      </w:r>
      <w:r w:rsidRPr="005E2548">
        <w:t>enefits to</w:t>
      </w:r>
      <w:r w:rsidR="00E17301">
        <w:t xml:space="preserve"> individual</w:t>
      </w:r>
      <w:r w:rsidRPr="005E2548">
        <w:t xml:space="preserve"> participants</w:t>
      </w:r>
      <w:r>
        <w:t>’ category (such as education, l</w:t>
      </w:r>
      <w:r w:rsidRPr="005E2548">
        <w:t xml:space="preserve">ife satisfaction, etc.), </w:t>
      </w:r>
      <w:r w:rsidR="00A3111E">
        <w:t>we</w:t>
      </w:r>
      <w:r w:rsidRPr="005E2548">
        <w:t xml:space="preserve"> retained Guitart</w:t>
      </w:r>
      <w:r>
        <w:t xml:space="preserve"> et al.</w:t>
      </w:r>
      <w:r w:rsidRPr="005E2548">
        <w:t>’s</w:t>
      </w:r>
      <w:r>
        <w:t xml:space="preserve"> existing categories, </w:t>
      </w:r>
      <w:r w:rsidR="00A3111E">
        <w:t>and added a new category called</w:t>
      </w:r>
      <w:r>
        <w:t xml:space="preserve"> </w:t>
      </w:r>
      <w:r w:rsidR="00A3111E">
        <w:t>‘</w:t>
      </w:r>
      <w:r>
        <w:t>additional</w:t>
      </w:r>
      <w:r w:rsidRPr="005E2548">
        <w:t xml:space="preserve"> benefits to individual participants</w:t>
      </w:r>
      <w:r w:rsidR="00A3111E">
        <w:t>’</w:t>
      </w:r>
      <w:r w:rsidRPr="005E2548">
        <w:t xml:space="preserve"> </w:t>
      </w:r>
      <w:r w:rsidR="00E17301">
        <w:t>(such as employability benefits</w:t>
      </w:r>
      <w:r>
        <w:t xml:space="preserve"> </w:t>
      </w:r>
      <w:r w:rsidR="00E17301">
        <w:t xml:space="preserve">and </w:t>
      </w:r>
      <w:r>
        <w:t xml:space="preserve">decreased shopping trips) </w:t>
      </w:r>
      <w:r w:rsidR="00E17301">
        <w:t>for the benefits that didn’t fit under any other of Guitart et al.’s categories to</w:t>
      </w:r>
      <w:r>
        <w:t xml:space="preserve"> enable clarity in comparing the findings.</w:t>
      </w:r>
    </w:p>
  </w:footnote>
  <w:footnote w:id="4">
    <w:p w14:paraId="04E3B3A1" w14:textId="7150199E" w:rsidR="00341E6C" w:rsidRDefault="00341E6C">
      <w:pPr>
        <w:pStyle w:val="FootnoteText"/>
      </w:pPr>
      <w:r>
        <w:rPr>
          <w:rStyle w:val="FootnoteReference"/>
        </w:rPr>
        <w:footnoteRef/>
      </w:r>
      <w:r>
        <w:t xml:space="preserve"> This term was not defined by Guitart et al.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8F35E2"/>
    <w:multiLevelType w:val="hybridMultilevel"/>
    <w:tmpl w:val="AAECB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641830"/>
    <w:multiLevelType w:val="hybridMultilevel"/>
    <w:tmpl w:val="52645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E51D97"/>
    <w:multiLevelType w:val="hybridMultilevel"/>
    <w:tmpl w:val="DF1CA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3"/>
  </w:num>
  <w:num w:numId="27">
    <w:abstractNumId w:val="25"/>
  </w:num>
  <w:num w:numId="28">
    <w:abstractNumId w:val="21"/>
  </w:num>
  <w:num w:numId="29">
    <w:abstractNumId w:val="14"/>
  </w:num>
  <w:num w:numId="30">
    <w:abstractNumId w:val="26"/>
  </w:num>
  <w:num w:numId="31">
    <w:abstractNumId w:val="24"/>
  </w:num>
  <w:num w:numId="32">
    <w:abstractNumId w:val="13"/>
  </w:num>
  <w:num w:numId="33">
    <w:abstractNumId w:val="22"/>
  </w:num>
  <w:num w:numId="34">
    <w:abstractNumId w:val="24"/>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52"/>
    <w:rsid w:val="00000A96"/>
    <w:rsid w:val="00000BD2"/>
    <w:rsid w:val="00001899"/>
    <w:rsid w:val="000049AD"/>
    <w:rsid w:val="000054D3"/>
    <w:rsid w:val="0000681B"/>
    <w:rsid w:val="000133C0"/>
    <w:rsid w:val="00014C4E"/>
    <w:rsid w:val="00016DD4"/>
    <w:rsid w:val="00017107"/>
    <w:rsid w:val="000202E2"/>
    <w:rsid w:val="00022441"/>
    <w:rsid w:val="0002261E"/>
    <w:rsid w:val="00023E0D"/>
    <w:rsid w:val="00024839"/>
    <w:rsid w:val="00026871"/>
    <w:rsid w:val="000275F1"/>
    <w:rsid w:val="00030559"/>
    <w:rsid w:val="00030B18"/>
    <w:rsid w:val="00030C83"/>
    <w:rsid w:val="00037A98"/>
    <w:rsid w:val="000427FB"/>
    <w:rsid w:val="0004455E"/>
    <w:rsid w:val="000445E3"/>
    <w:rsid w:val="00047CB5"/>
    <w:rsid w:val="00051D73"/>
    <w:rsid w:val="00051FAA"/>
    <w:rsid w:val="000572A9"/>
    <w:rsid w:val="00061325"/>
    <w:rsid w:val="00071C5A"/>
    <w:rsid w:val="000733AC"/>
    <w:rsid w:val="00074B81"/>
    <w:rsid w:val="00074D22"/>
    <w:rsid w:val="00075081"/>
    <w:rsid w:val="0007528A"/>
    <w:rsid w:val="000811AB"/>
    <w:rsid w:val="00083C5F"/>
    <w:rsid w:val="00090D22"/>
    <w:rsid w:val="0009172C"/>
    <w:rsid w:val="0009208A"/>
    <w:rsid w:val="000930EC"/>
    <w:rsid w:val="00095E61"/>
    <w:rsid w:val="000966C1"/>
    <w:rsid w:val="000970AC"/>
    <w:rsid w:val="000A1167"/>
    <w:rsid w:val="000A4428"/>
    <w:rsid w:val="000A6AF6"/>
    <w:rsid w:val="000A6D40"/>
    <w:rsid w:val="000A7BC3"/>
    <w:rsid w:val="000B1661"/>
    <w:rsid w:val="000B1F0B"/>
    <w:rsid w:val="000B2E88"/>
    <w:rsid w:val="000B4603"/>
    <w:rsid w:val="000B5D58"/>
    <w:rsid w:val="000B7879"/>
    <w:rsid w:val="000C09BE"/>
    <w:rsid w:val="000C1380"/>
    <w:rsid w:val="000C2BE1"/>
    <w:rsid w:val="000C3F35"/>
    <w:rsid w:val="000C554F"/>
    <w:rsid w:val="000D0DC5"/>
    <w:rsid w:val="000D15FF"/>
    <w:rsid w:val="000D28DF"/>
    <w:rsid w:val="000D47A7"/>
    <w:rsid w:val="000D488B"/>
    <w:rsid w:val="000D68DF"/>
    <w:rsid w:val="000D7D32"/>
    <w:rsid w:val="000E138D"/>
    <w:rsid w:val="000E187A"/>
    <w:rsid w:val="000E2D61"/>
    <w:rsid w:val="000E4183"/>
    <w:rsid w:val="000E450E"/>
    <w:rsid w:val="000E6259"/>
    <w:rsid w:val="000F4677"/>
    <w:rsid w:val="000F5BE0"/>
    <w:rsid w:val="00100587"/>
    <w:rsid w:val="0010284E"/>
    <w:rsid w:val="00103122"/>
    <w:rsid w:val="0010336A"/>
    <w:rsid w:val="001050F1"/>
    <w:rsid w:val="00105AEA"/>
    <w:rsid w:val="00106DAF"/>
    <w:rsid w:val="001147B8"/>
    <w:rsid w:val="00114ABE"/>
    <w:rsid w:val="00116023"/>
    <w:rsid w:val="00120BD9"/>
    <w:rsid w:val="0013026B"/>
    <w:rsid w:val="0013034D"/>
    <w:rsid w:val="00134A51"/>
    <w:rsid w:val="00140727"/>
    <w:rsid w:val="001424BC"/>
    <w:rsid w:val="0015488E"/>
    <w:rsid w:val="00160628"/>
    <w:rsid w:val="00160ED5"/>
    <w:rsid w:val="00161344"/>
    <w:rsid w:val="00162195"/>
    <w:rsid w:val="0016322A"/>
    <w:rsid w:val="001655E9"/>
    <w:rsid w:val="00165A21"/>
    <w:rsid w:val="001705CE"/>
    <w:rsid w:val="00174B1A"/>
    <w:rsid w:val="0017714B"/>
    <w:rsid w:val="001804DF"/>
    <w:rsid w:val="00181061"/>
    <w:rsid w:val="00181BDC"/>
    <w:rsid w:val="00181DB0"/>
    <w:rsid w:val="001829E3"/>
    <w:rsid w:val="0018673A"/>
    <w:rsid w:val="001924C0"/>
    <w:rsid w:val="0019731E"/>
    <w:rsid w:val="001A09FE"/>
    <w:rsid w:val="001A30D1"/>
    <w:rsid w:val="001A5002"/>
    <w:rsid w:val="001A67C9"/>
    <w:rsid w:val="001A69DE"/>
    <w:rsid w:val="001A713C"/>
    <w:rsid w:val="001B1C7C"/>
    <w:rsid w:val="001B398F"/>
    <w:rsid w:val="001B46C6"/>
    <w:rsid w:val="001B4B48"/>
    <w:rsid w:val="001B4D1F"/>
    <w:rsid w:val="001B5AA2"/>
    <w:rsid w:val="001B7681"/>
    <w:rsid w:val="001B7CAE"/>
    <w:rsid w:val="001C0772"/>
    <w:rsid w:val="001C0D4F"/>
    <w:rsid w:val="001C1A44"/>
    <w:rsid w:val="001C1BA3"/>
    <w:rsid w:val="001C1DEC"/>
    <w:rsid w:val="001C34DF"/>
    <w:rsid w:val="001C5736"/>
    <w:rsid w:val="001D647F"/>
    <w:rsid w:val="001D6857"/>
    <w:rsid w:val="001E0572"/>
    <w:rsid w:val="001E0A67"/>
    <w:rsid w:val="001E1028"/>
    <w:rsid w:val="001E14E2"/>
    <w:rsid w:val="001E6302"/>
    <w:rsid w:val="001E79A3"/>
    <w:rsid w:val="001E7DCB"/>
    <w:rsid w:val="001F2B02"/>
    <w:rsid w:val="001F3411"/>
    <w:rsid w:val="001F4287"/>
    <w:rsid w:val="001F4DBA"/>
    <w:rsid w:val="00203BB8"/>
    <w:rsid w:val="0020415E"/>
    <w:rsid w:val="00204FF4"/>
    <w:rsid w:val="0021056E"/>
    <w:rsid w:val="0021075D"/>
    <w:rsid w:val="0021165A"/>
    <w:rsid w:val="00211BC9"/>
    <w:rsid w:val="0021620C"/>
    <w:rsid w:val="00216E78"/>
    <w:rsid w:val="00217275"/>
    <w:rsid w:val="00224B1E"/>
    <w:rsid w:val="00226B85"/>
    <w:rsid w:val="00235E40"/>
    <w:rsid w:val="00236F4B"/>
    <w:rsid w:val="00241D73"/>
    <w:rsid w:val="00242B0D"/>
    <w:rsid w:val="002438C9"/>
    <w:rsid w:val="002442E2"/>
    <w:rsid w:val="002467C6"/>
    <w:rsid w:val="0024692A"/>
    <w:rsid w:val="00247000"/>
    <w:rsid w:val="00247ADF"/>
    <w:rsid w:val="00251D24"/>
    <w:rsid w:val="0025263D"/>
    <w:rsid w:val="00252BBA"/>
    <w:rsid w:val="00253123"/>
    <w:rsid w:val="00264001"/>
    <w:rsid w:val="002650C5"/>
    <w:rsid w:val="00266354"/>
    <w:rsid w:val="00267A18"/>
    <w:rsid w:val="0027107A"/>
    <w:rsid w:val="0027108A"/>
    <w:rsid w:val="00273462"/>
    <w:rsid w:val="0027395B"/>
    <w:rsid w:val="00275854"/>
    <w:rsid w:val="00283B30"/>
    <w:rsid w:val="00283B41"/>
    <w:rsid w:val="00285F28"/>
    <w:rsid w:val="00286398"/>
    <w:rsid w:val="00293F2C"/>
    <w:rsid w:val="0029602A"/>
    <w:rsid w:val="002A3C42"/>
    <w:rsid w:val="002A5D75"/>
    <w:rsid w:val="002A6C3F"/>
    <w:rsid w:val="002A7A2A"/>
    <w:rsid w:val="002B05FC"/>
    <w:rsid w:val="002B1B1A"/>
    <w:rsid w:val="002B389B"/>
    <w:rsid w:val="002B4BE0"/>
    <w:rsid w:val="002B4F6B"/>
    <w:rsid w:val="002B7228"/>
    <w:rsid w:val="002C53EE"/>
    <w:rsid w:val="002C7679"/>
    <w:rsid w:val="002C7AAC"/>
    <w:rsid w:val="002D24F7"/>
    <w:rsid w:val="002D2799"/>
    <w:rsid w:val="002D2CD7"/>
    <w:rsid w:val="002D4DDC"/>
    <w:rsid w:val="002D4F75"/>
    <w:rsid w:val="002D6493"/>
    <w:rsid w:val="002D7AB6"/>
    <w:rsid w:val="002E06D0"/>
    <w:rsid w:val="002E0C75"/>
    <w:rsid w:val="002E3C27"/>
    <w:rsid w:val="002E403A"/>
    <w:rsid w:val="002E4A84"/>
    <w:rsid w:val="002E71F5"/>
    <w:rsid w:val="002E7E88"/>
    <w:rsid w:val="002E7F3A"/>
    <w:rsid w:val="002F13F0"/>
    <w:rsid w:val="002F3404"/>
    <w:rsid w:val="002F48A3"/>
    <w:rsid w:val="002F4EDB"/>
    <w:rsid w:val="002F6054"/>
    <w:rsid w:val="002F6ADC"/>
    <w:rsid w:val="00300625"/>
    <w:rsid w:val="003044F9"/>
    <w:rsid w:val="00310E13"/>
    <w:rsid w:val="003120A8"/>
    <w:rsid w:val="00312967"/>
    <w:rsid w:val="00315713"/>
    <w:rsid w:val="0031686C"/>
    <w:rsid w:val="00316FE0"/>
    <w:rsid w:val="003204D2"/>
    <w:rsid w:val="00320EE8"/>
    <w:rsid w:val="0032605E"/>
    <w:rsid w:val="003275D1"/>
    <w:rsid w:val="00330B2A"/>
    <w:rsid w:val="00331E17"/>
    <w:rsid w:val="00333063"/>
    <w:rsid w:val="00334072"/>
    <w:rsid w:val="003408E3"/>
    <w:rsid w:val="00341E6C"/>
    <w:rsid w:val="00343480"/>
    <w:rsid w:val="003436BB"/>
    <w:rsid w:val="003453B5"/>
    <w:rsid w:val="00345E89"/>
    <w:rsid w:val="00346EC9"/>
    <w:rsid w:val="003522A1"/>
    <w:rsid w:val="0035254B"/>
    <w:rsid w:val="00353555"/>
    <w:rsid w:val="0035540D"/>
    <w:rsid w:val="00355F62"/>
    <w:rsid w:val="003565D4"/>
    <w:rsid w:val="003607FB"/>
    <w:rsid w:val="00360FD5"/>
    <w:rsid w:val="0036340D"/>
    <w:rsid w:val="00363434"/>
    <w:rsid w:val="003634A5"/>
    <w:rsid w:val="00364F82"/>
    <w:rsid w:val="00366868"/>
    <w:rsid w:val="00367506"/>
    <w:rsid w:val="00370085"/>
    <w:rsid w:val="003744A7"/>
    <w:rsid w:val="00376235"/>
    <w:rsid w:val="00381FB6"/>
    <w:rsid w:val="003826CE"/>
    <w:rsid w:val="003836D3"/>
    <w:rsid w:val="00383A52"/>
    <w:rsid w:val="00391652"/>
    <w:rsid w:val="00393F5D"/>
    <w:rsid w:val="0039507F"/>
    <w:rsid w:val="003974DB"/>
    <w:rsid w:val="00397BFC"/>
    <w:rsid w:val="003A1260"/>
    <w:rsid w:val="003A18EF"/>
    <w:rsid w:val="003A295F"/>
    <w:rsid w:val="003A41DD"/>
    <w:rsid w:val="003A53C1"/>
    <w:rsid w:val="003A53FD"/>
    <w:rsid w:val="003A7033"/>
    <w:rsid w:val="003B47FE"/>
    <w:rsid w:val="003B5673"/>
    <w:rsid w:val="003B6287"/>
    <w:rsid w:val="003B62C9"/>
    <w:rsid w:val="003C53A4"/>
    <w:rsid w:val="003C7176"/>
    <w:rsid w:val="003D0929"/>
    <w:rsid w:val="003D4729"/>
    <w:rsid w:val="003D56AA"/>
    <w:rsid w:val="003D7DD6"/>
    <w:rsid w:val="003E5A63"/>
    <w:rsid w:val="003E5AAF"/>
    <w:rsid w:val="003E600D"/>
    <w:rsid w:val="003E64DF"/>
    <w:rsid w:val="003E6A5D"/>
    <w:rsid w:val="003E7CAF"/>
    <w:rsid w:val="003F0BC1"/>
    <w:rsid w:val="003F193A"/>
    <w:rsid w:val="003F3883"/>
    <w:rsid w:val="003F4207"/>
    <w:rsid w:val="003F5C46"/>
    <w:rsid w:val="003F7CBB"/>
    <w:rsid w:val="003F7D34"/>
    <w:rsid w:val="00401B97"/>
    <w:rsid w:val="00403131"/>
    <w:rsid w:val="004031E9"/>
    <w:rsid w:val="00403980"/>
    <w:rsid w:val="00412C8E"/>
    <w:rsid w:val="00412EB2"/>
    <w:rsid w:val="0041518D"/>
    <w:rsid w:val="00420C47"/>
    <w:rsid w:val="00421CAE"/>
    <w:rsid w:val="0042221D"/>
    <w:rsid w:val="00424DD3"/>
    <w:rsid w:val="004260A6"/>
    <w:rsid w:val="004269C5"/>
    <w:rsid w:val="00426B59"/>
    <w:rsid w:val="0043588A"/>
    <w:rsid w:val="00435939"/>
    <w:rsid w:val="00437CC7"/>
    <w:rsid w:val="00442B9C"/>
    <w:rsid w:val="00445EFA"/>
    <w:rsid w:val="0044722C"/>
    <w:rsid w:val="0044738A"/>
    <w:rsid w:val="004473D3"/>
    <w:rsid w:val="00452231"/>
    <w:rsid w:val="00452A30"/>
    <w:rsid w:val="00457FB5"/>
    <w:rsid w:val="00460C13"/>
    <w:rsid w:val="0046148A"/>
    <w:rsid w:val="00463228"/>
    <w:rsid w:val="00463782"/>
    <w:rsid w:val="004667E0"/>
    <w:rsid w:val="0046760E"/>
    <w:rsid w:val="00470E10"/>
    <w:rsid w:val="00477A97"/>
    <w:rsid w:val="00481343"/>
    <w:rsid w:val="00482994"/>
    <w:rsid w:val="0048549E"/>
    <w:rsid w:val="0048651C"/>
    <w:rsid w:val="00492710"/>
    <w:rsid w:val="00492A49"/>
    <w:rsid w:val="00493347"/>
    <w:rsid w:val="00496092"/>
    <w:rsid w:val="00497D75"/>
    <w:rsid w:val="004A08DB"/>
    <w:rsid w:val="004A25D0"/>
    <w:rsid w:val="004A29CD"/>
    <w:rsid w:val="004A36DF"/>
    <w:rsid w:val="004A37E8"/>
    <w:rsid w:val="004A7549"/>
    <w:rsid w:val="004B09D4"/>
    <w:rsid w:val="004B2EF2"/>
    <w:rsid w:val="004B309D"/>
    <w:rsid w:val="004B330A"/>
    <w:rsid w:val="004B34F1"/>
    <w:rsid w:val="004B531C"/>
    <w:rsid w:val="004B626E"/>
    <w:rsid w:val="004B7C8E"/>
    <w:rsid w:val="004C19BE"/>
    <w:rsid w:val="004C3D3C"/>
    <w:rsid w:val="004C6019"/>
    <w:rsid w:val="004D0EDC"/>
    <w:rsid w:val="004D1220"/>
    <w:rsid w:val="004D14B3"/>
    <w:rsid w:val="004D1529"/>
    <w:rsid w:val="004D2253"/>
    <w:rsid w:val="004D4496"/>
    <w:rsid w:val="004D5514"/>
    <w:rsid w:val="004D56C3"/>
    <w:rsid w:val="004E0338"/>
    <w:rsid w:val="004E09BF"/>
    <w:rsid w:val="004E2EFB"/>
    <w:rsid w:val="004E4FF3"/>
    <w:rsid w:val="004E56A8"/>
    <w:rsid w:val="004E5F5C"/>
    <w:rsid w:val="004E7495"/>
    <w:rsid w:val="004F3B55"/>
    <w:rsid w:val="004F4E46"/>
    <w:rsid w:val="004F6B7D"/>
    <w:rsid w:val="005015F6"/>
    <w:rsid w:val="005030C4"/>
    <w:rsid w:val="005031C5"/>
    <w:rsid w:val="00504FDC"/>
    <w:rsid w:val="0050639D"/>
    <w:rsid w:val="005069E6"/>
    <w:rsid w:val="005106C0"/>
    <w:rsid w:val="00510E45"/>
    <w:rsid w:val="00510F96"/>
    <w:rsid w:val="005120CC"/>
    <w:rsid w:val="00512B7B"/>
    <w:rsid w:val="00514EA1"/>
    <w:rsid w:val="0051798B"/>
    <w:rsid w:val="00521F5A"/>
    <w:rsid w:val="00525E06"/>
    <w:rsid w:val="00526454"/>
    <w:rsid w:val="00527300"/>
    <w:rsid w:val="00531823"/>
    <w:rsid w:val="00531D0E"/>
    <w:rsid w:val="00534ECC"/>
    <w:rsid w:val="0053520B"/>
    <w:rsid w:val="00536B53"/>
    <w:rsid w:val="0053720D"/>
    <w:rsid w:val="00540EC2"/>
    <w:rsid w:val="00540EF5"/>
    <w:rsid w:val="00541BF3"/>
    <w:rsid w:val="00541CD3"/>
    <w:rsid w:val="005476FA"/>
    <w:rsid w:val="0054795C"/>
    <w:rsid w:val="0055595E"/>
    <w:rsid w:val="00557988"/>
    <w:rsid w:val="00562C49"/>
    <w:rsid w:val="00562DEF"/>
    <w:rsid w:val="0056321A"/>
    <w:rsid w:val="00563A35"/>
    <w:rsid w:val="00566596"/>
    <w:rsid w:val="005741E9"/>
    <w:rsid w:val="005748CF"/>
    <w:rsid w:val="005749A1"/>
    <w:rsid w:val="005815B9"/>
    <w:rsid w:val="00581E14"/>
    <w:rsid w:val="00582CEE"/>
    <w:rsid w:val="00584270"/>
    <w:rsid w:val="00584738"/>
    <w:rsid w:val="00590189"/>
    <w:rsid w:val="005920B0"/>
    <w:rsid w:val="0059380D"/>
    <w:rsid w:val="00595A8F"/>
    <w:rsid w:val="005977C2"/>
    <w:rsid w:val="00597BF2"/>
    <w:rsid w:val="005A1864"/>
    <w:rsid w:val="005A5F1D"/>
    <w:rsid w:val="005B134E"/>
    <w:rsid w:val="005B1DA0"/>
    <w:rsid w:val="005B2039"/>
    <w:rsid w:val="005B2F05"/>
    <w:rsid w:val="005B344F"/>
    <w:rsid w:val="005B3FBA"/>
    <w:rsid w:val="005B4A1D"/>
    <w:rsid w:val="005B4A4C"/>
    <w:rsid w:val="005B674D"/>
    <w:rsid w:val="005C0CBE"/>
    <w:rsid w:val="005C17B0"/>
    <w:rsid w:val="005C1FCF"/>
    <w:rsid w:val="005C6A21"/>
    <w:rsid w:val="005D1885"/>
    <w:rsid w:val="005D1A64"/>
    <w:rsid w:val="005D43B3"/>
    <w:rsid w:val="005D4A38"/>
    <w:rsid w:val="005D79D1"/>
    <w:rsid w:val="005E2548"/>
    <w:rsid w:val="005E2EEA"/>
    <w:rsid w:val="005E3708"/>
    <w:rsid w:val="005E3CCD"/>
    <w:rsid w:val="005E3D6B"/>
    <w:rsid w:val="005E4A0B"/>
    <w:rsid w:val="005E51F4"/>
    <w:rsid w:val="005E5B55"/>
    <w:rsid w:val="005E5E4A"/>
    <w:rsid w:val="005E61C5"/>
    <w:rsid w:val="005E693D"/>
    <w:rsid w:val="005E75BF"/>
    <w:rsid w:val="005F2C7D"/>
    <w:rsid w:val="005F57BA"/>
    <w:rsid w:val="005F61E6"/>
    <w:rsid w:val="005F6C45"/>
    <w:rsid w:val="005F7161"/>
    <w:rsid w:val="00605A69"/>
    <w:rsid w:val="00606C54"/>
    <w:rsid w:val="006100EB"/>
    <w:rsid w:val="00614375"/>
    <w:rsid w:val="0061479C"/>
    <w:rsid w:val="00615B0A"/>
    <w:rsid w:val="006168CF"/>
    <w:rsid w:val="0062011B"/>
    <w:rsid w:val="00621A3D"/>
    <w:rsid w:val="00626278"/>
    <w:rsid w:val="00626DE0"/>
    <w:rsid w:val="00630901"/>
    <w:rsid w:val="00631F8E"/>
    <w:rsid w:val="00634414"/>
    <w:rsid w:val="00636EE9"/>
    <w:rsid w:val="00640950"/>
    <w:rsid w:val="00641AE7"/>
    <w:rsid w:val="00642629"/>
    <w:rsid w:val="0064379D"/>
    <w:rsid w:val="00651795"/>
    <w:rsid w:val="00651A2A"/>
    <w:rsid w:val="0065293D"/>
    <w:rsid w:val="00653B84"/>
    <w:rsid w:val="00653C28"/>
    <w:rsid w:val="00653E09"/>
    <w:rsid w:val="00653EFC"/>
    <w:rsid w:val="00654021"/>
    <w:rsid w:val="0065440E"/>
    <w:rsid w:val="00661045"/>
    <w:rsid w:val="00666DA8"/>
    <w:rsid w:val="00671057"/>
    <w:rsid w:val="00671963"/>
    <w:rsid w:val="00675713"/>
    <w:rsid w:val="00675AAF"/>
    <w:rsid w:val="0068031A"/>
    <w:rsid w:val="00681B2F"/>
    <w:rsid w:val="0068335F"/>
    <w:rsid w:val="00687217"/>
    <w:rsid w:val="00693302"/>
    <w:rsid w:val="0069640B"/>
    <w:rsid w:val="006A1B83"/>
    <w:rsid w:val="006A21CD"/>
    <w:rsid w:val="006A2FA6"/>
    <w:rsid w:val="006A5918"/>
    <w:rsid w:val="006B21B2"/>
    <w:rsid w:val="006B4A4A"/>
    <w:rsid w:val="006C0681"/>
    <w:rsid w:val="006C19B2"/>
    <w:rsid w:val="006C5BB8"/>
    <w:rsid w:val="006C6936"/>
    <w:rsid w:val="006C7B01"/>
    <w:rsid w:val="006D0F74"/>
    <w:rsid w:val="006D0FE8"/>
    <w:rsid w:val="006D4B2B"/>
    <w:rsid w:val="006D4F3C"/>
    <w:rsid w:val="006D5C66"/>
    <w:rsid w:val="006E1B3C"/>
    <w:rsid w:val="006E23FB"/>
    <w:rsid w:val="006E2EE8"/>
    <w:rsid w:val="006E2FF8"/>
    <w:rsid w:val="006E325A"/>
    <w:rsid w:val="006E33EC"/>
    <w:rsid w:val="006E3802"/>
    <w:rsid w:val="006E6C02"/>
    <w:rsid w:val="006F231A"/>
    <w:rsid w:val="006F38EC"/>
    <w:rsid w:val="006F4008"/>
    <w:rsid w:val="006F6B55"/>
    <w:rsid w:val="006F788D"/>
    <w:rsid w:val="006F78E1"/>
    <w:rsid w:val="00700637"/>
    <w:rsid w:val="00701072"/>
    <w:rsid w:val="00702054"/>
    <w:rsid w:val="007035A4"/>
    <w:rsid w:val="00703D60"/>
    <w:rsid w:val="00711799"/>
    <w:rsid w:val="007126D6"/>
    <w:rsid w:val="00712B78"/>
    <w:rsid w:val="00712CD2"/>
    <w:rsid w:val="0071393B"/>
    <w:rsid w:val="00713EE2"/>
    <w:rsid w:val="00714565"/>
    <w:rsid w:val="007177FC"/>
    <w:rsid w:val="00720C5E"/>
    <w:rsid w:val="00721701"/>
    <w:rsid w:val="00723021"/>
    <w:rsid w:val="00725595"/>
    <w:rsid w:val="00726D09"/>
    <w:rsid w:val="00731835"/>
    <w:rsid w:val="00732195"/>
    <w:rsid w:val="007341F8"/>
    <w:rsid w:val="00734372"/>
    <w:rsid w:val="00734EB8"/>
    <w:rsid w:val="00735F8B"/>
    <w:rsid w:val="007379D3"/>
    <w:rsid w:val="00737E11"/>
    <w:rsid w:val="00742D1F"/>
    <w:rsid w:val="00743A0E"/>
    <w:rsid w:val="00743EBA"/>
    <w:rsid w:val="007447DB"/>
    <w:rsid w:val="00744C8E"/>
    <w:rsid w:val="0074707E"/>
    <w:rsid w:val="007516DC"/>
    <w:rsid w:val="00752344"/>
    <w:rsid w:val="00752E58"/>
    <w:rsid w:val="00754B80"/>
    <w:rsid w:val="00761918"/>
    <w:rsid w:val="00762F03"/>
    <w:rsid w:val="0076413B"/>
    <w:rsid w:val="007648AE"/>
    <w:rsid w:val="00764BF8"/>
    <w:rsid w:val="0076514D"/>
    <w:rsid w:val="00770BD8"/>
    <w:rsid w:val="007715D9"/>
    <w:rsid w:val="00773D59"/>
    <w:rsid w:val="007800D4"/>
    <w:rsid w:val="00781003"/>
    <w:rsid w:val="00781A85"/>
    <w:rsid w:val="00784F3A"/>
    <w:rsid w:val="00785B2F"/>
    <w:rsid w:val="007911FD"/>
    <w:rsid w:val="00793930"/>
    <w:rsid w:val="00793DD1"/>
    <w:rsid w:val="00794538"/>
    <w:rsid w:val="00794FEC"/>
    <w:rsid w:val="007A003E"/>
    <w:rsid w:val="007A1965"/>
    <w:rsid w:val="007A2267"/>
    <w:rsid w:val="007A2ED1"/>
    <w:rsid w:val="007A3909"/>
    <w:rsid w:val="007A4BE6"/>
    <w:rsid w:val="007A62CD"/>
    <w:rsid w:val="007B0DC6"/>
    <w:rsid w:val="007B1094"/>
    <w:rsid w:val="007B1762"/>
    <w:rsid w:val="007B25A3"/>
    <w:rsid w:val="007B3320"/>
    <w:rsid w:val="007B7CE5"/>
    <w:rsid w:val="007C174D"/>
    <w:rsid w:val="007C2CFF"/>
    <w:rsid w:val="007C301F"/>
    <w:rsid w:val="007C4540"/>
    <w:rsid w:val="007C65AF"/>
    <w:rsid w:val="007D135D"/>
    <w:rsid w:val="007D4F23"/>
    <w:rsid w:val="007D6106"/>
    <w:rsid w:val="007D730F"/>
    <w:rsid w:val="007D7CD8"/>
    <w:rsid w:val="007E01B7"/>
    <w:rsid w:val="007E3AA7"/>
    <w:rsid w:val="007F154D"/>
    <w:rsid w:val="007F46AD"/>
    <w:rsid w:val="007F737D"/>
    <w:rsid w:val="0080308E"/>
    <w:rsid w:val="00803CD6"/>
    <w:rsid w:val="00805303"/>
    <w:rsid w:val="008060EC"/>
    <w:rsid w:val="00806705"/>
    <w:rsid w:val="00806738"/>
    <w:rsid w:val="0081315B"/>
    <w:rsid w:val="008150EA"/>
    <w:rsid w:val="00821577"/>
    <w:rsid w:val="008216D5"/>
    <w:rsid w:val="0082414E"/>
    <w:rsid w:val="008249CE"/>
    <w:rsid w:val="00826D44"/>
    <w:rsid w:val="00831A50"/>
    <w:rsid w:val="00831B3C"/>
    <w:rsid w:val="00831C89"/>
    <w:rsid w:val="00831F1E"/>
    <w:rsid w:val="00832114"/>
    <w:rsid w:val="0083294B"/>
    <w:rsid w:val="00833A3F"/>
    <w:rsid w:val="00834C46"/>
    <w:rsid w:val="00835D35"/>
    <w:rsid w:val="0083647A"/>
    <w:rsid w:val="00837C76"/>
    <w:rsid w:val="0084093E"/>
    <w:rsid w:val="00841CE1"/>
    <w:rsid w:val="008455F0"/>
    <w:rsid w:val="008473D8"/>
    <w:rsid w:val="00850316"/>
    <w:rsid w:val="008528DC"/>
    <w:rsid w:val="00852B8C"/>
    <w:rsid w:val="00854981"/>
    <w:rsid w:val="0085553B"/>
    <w:rsid w:val="0085638E"/>
    <w:rsid w:val="00864B2E"/>
    <w:rsid w:val="00865963"/>
    <w:rsid w:val="00871C1D"/>
    <w:rsid w:val="0087227A"/>
    <w:rsid w:val="0087450E"/>
    <w:rsid w:val="00875A82"/>
    <w:rsid w:val="00876CA3"/>
    <w:rsid w:val="00877003"/>
    <w:rsid w:val="008772FE"/>
    <w:rsid w:val="008775F1"/>
    <w:rsid w:val="008821AE"/>
    <w:rsid w:val="00883D3A"/>
    <w:rsid w:val="008854F7"/>
    <w:rsid w:val="0088551A"/>
    <w:rsid w:val="008855D3"/>
    <w:rsid w:val="00885A9D"/>
    <w:rsid w:val="00886FD5"/>
    <w:rsid w:val="008908C7"/>
    <w:rsid w:val="008929D2"/>
    <w:rsid w:val="00893636"/>
    <w:rsid w:val="00893B94"/>
    <w:rsid w:val="00896E9D"/>
    <w:rsid w:val="00896F11"/>
    <w:rsid w:val="008A1049"/>
    <w:rsid w:val="008A1C98"/>
    <w:rsid w:val="008A322D"/>
    <w:rsid w:val="008A4D72"/>
    <w:rsid w:val="008A6285"/>
    <w:rsid w:val="008A63B2"/>
    <w:rsid w:val="008B27A2"/>
    <w:rsid w:val="008B345D"/>
    <w:rsid w:val="008B4FF4"/>
    <w:rsid w:val="008B5BBD"/>
    <w:rsid w:val="008C1FC2"/>
    <w:rsid w:val="008C2980"/>
    <w:rsid w:val="008C4DD6"/>
    <w:rsid w:val="008C5AFB"/>
    <w:rsid w:val="008C5B1D"/>
    <w:rsid w:val="008D07FB"/>
    <w:rsid w:val="008D0C02"/>
    <w:rsid w:val="008D357D"/>
    <w:rsid w:val="008D435A"/>
    <w:rsid w:val="008D6947"/>
    <w:rsid w:val="008E2758"/>
    <w:rsid w:val="008E387B"/>
    <w:rsid w:val="008E4A22"/>
    <w:rsid w:val="008E54D4"/>
    <w:rsid w:val="008E6087"/>
    <w:rsid w:val="008E758D"/>
    <w:rsid w:val="008F10A7"/>
    <w:rsid w:val="008F4E7E"/>
    <w:rsid w:val="008F755D"/>
    <w:rsid w:val="008F7A39"/>
    <w:rsid w:val="00902059"/>
    <w:rsid w:val="009021E8"/>
    <w:rsid w:val="00903BD8"/>
    <w:rsid w:val="0090423D"/>
    <w:rsid w:val="00904677"/>
    <w:rsid w:val="0090578A"/>
    <w:rsid w:val="00905EE2"/>
    <w:rsid w:val="00911440"/>
    <w:rsid w:val="00911712"/>
    <w:rsid w:val="00911B27"/>
    <w:rsid w:val="0091550D"/>
    <w:rsid w:val="009170BE"/>
    <w:rsid w:val="00920B55"/>
    <w:rsid w:val="009246C6"/>
    <w:rsid w:val="00924F70"/>
    <w:rsid w:val="009262C9"/>
    <w:rsid w:val="00930EB9"/>
    <w:rsid w:val="009316F9"/>
    <w:rsid w:val="00931F70"/>
    <w:rsid w:val="00933DC7"/>
    <w:rsid w:val="009418F4"/>
    <w:rsid w:val="00942BBC"/>
    <w:rsid w:val="009438B9"/>
    <w:rsid w:val="00944180"/>
    <w:rsid w:val="00944AA0"/>
    <w:rsid w:val="00947DA2"/>
    <w:rsid w:val="00951177"/>
    <w:rsid w:val="00954012"/>
    <w:rsid w:val="009673E8"/>
    <w:rsid w:val="00974195"/>
    <w:rsid w:val="00974DB8"/>
    <w:rsid w:val="00980661"/>
    <w:rsid w:val="0098093B"/>
    <w:rsid w:val="00981090"/>
    <w:rsid w:val="0098174E"/>
    <w:rsid w:val="00981D12"/>
    <w:rsid w:val="00982CAF"/>
    <w:rsid w:val="00987252"/>
    <w:rsid w:val="009876D4"/>
    <w:rsid w:val="009914A5"/>
    <w:rsid w:val="0099548E"/>
    <w:rsid w:val="00996456"/>
    <w:rsid w:val="00996A12"/>
    <w:rsid w:val="00997B0F"/>
    <w:rsid w:val="009A1CAD"/>
    <w:rsid w:val="009A2211"/>
    <w:rsid w:val="009A3440"/>
    <w:rsid w:val="009A5832"/>
    <w:rsid w:val="009A6838"/>
    <w:rsid w:val="009B19A6"/>
    <w:rsid w:val="009B24B5"/>
    <w:rsid w:val="009B4EBC"/>
    <w:rsid w:val="009B5ABB"/>
    <w:rsid w:val="009B6A3A"/>
    <w:rsid w:val="009B73CE"/>
    <w:rsid w:val="009C2461"/>
    <w:rsid w:val="009C6D1E"/>
    <w:rsid w:val="009C6FE2"/>
    <w:rsid w:val="009C761D"/>
    <w:rsid w:val="009C7674"/>
    <w:rsid w:val="009C780B"/>
    <w:rsid w:val="009D004A"/>
    <w:rsid w:val="009D0F44"/>
    <w:rsid w:val="009D5880"/>
    <w:rsid w:val="009E0B0E"/>
    <w:rsid w:val="009E1FD4"/>
    <w:rsid w:val="009E2EF8"/>
    <w:rsid w:val="009E3B07"/>
    <w:rsid w:val="009E51D1"/>
    <w:rsid w:val="009E5531"/>
    <w:rsid w:val="009F171E"/>
    <w:rsid w:val="009F3873"/>
    <w:rsid w:val="009F3D2F"/>
    <w:rsid w:val="009F629C"/>
    <w:rsid w:val="009F7052"/>
    <w:rsid w:val="00A02668"/>
    <w:rsid w:val="00A02801"/>
    <w:rsid w:val="00A06A39"/>
    <w:rsid w:val="00A07F58"/>
    <w:rsid w:val="00A117B0"/>
    <w:rsid w:val="00A11956"/>
    <w:rsid w:val="00A13052"/>
    <w:rsid w:val="00A131CB"/>
    <w:rsid w:val="00A14847"/>
    <w:rsid w:val="00A1693D"/>
    <w:rsid w:val="00A16D6D"/>
    <w:rsid w:val="00A21383"/>
    <w:rsid w:val="00A2199F"/>
    <w:rsid w:val="00A21B31"/>
    <w:rsid w:val="00A2216B"/>
    <w:rsid w:val="00A2360E"/>
    <w:rsid w:val="00A25F67"/>
    <w:rsid w:val="00A26C7C"/>
    <w:rsid w:val="00A26E0C"/>
    <w:rsid w:val="00A27EB2"/>
    <w:rsid w:val="00A3111E"/>
    <w:rsid w:val="00A32FCB"/>
    <w:rsid w:val="00A34C25"/>
    <w:rsid w:val="00A3507D"/>
    <w:rsid w:val="00A3717A"/>
    <w:rsid w:val="00A37F4D"/>
    <w:rsid w:val="00A4088C"/>
    <w:rsid w:val="00A43215"/>
    <w:rsid w:val="00A4456B"/>
    <w:rsid w:val="00A448D4"/>
    <w:rsid w:val="00A452E0"/>
    <w:rsid w:val="00A46BF2"/>
    <w:rsid w:val="00A51EA5"/>
    <w:rsid w:val="00A53742"/>
    <w:rsid w:val="00A557A1"/>
    <w:rsid w:val="00A6149C"/>
    <w:rsid w:val="00A63059"/>
    <w:rsid w:val="00A63AE3"/>
    <w:rsid w:val="00A64B1C"/>
    <w:rsid w:val="00A651A4"/>
    <w:rsid w:val="00A71361"/>
    <w:rsid w:val="00A746E2"/>
    <w:rsid w:val="00A756BC"/>
    <w:rsid w:val="00A76EA3"/>
    <w:rsid w:val="00A77CC6"/>
    <w:rsid w:val="00A80F84"/>
    <w:rsid w:val="00A81C9D"/>
    <w:rsid w:val="00A81FF2"/>
    <w:rsid w:val="00A83904"/>
    <w:rsid w:val="00A90A79"/>
    <w:rsid w:val="00A91435"/>
    <w:rsid w:val="00A91947"/>
    <w:rsid w:val="00A958C0"/>
    <w:rsid w:val="00A96B30"/>
    <w:rsid w:val="00AA04ED"/>
    <w:rsid w:val="00AA59B5"/>
    <w:rsid w:val="00AA7777"/>
    <w:rsid w:val="00AA7B84"/>
    <w:rsid w:val="00AC0B4C"/>
    <w:rsid w:val="00AC1164"/>
    <w:rsid w:val="00AC2296"/>
    <w:rsid w:val="00AC2754"/>
    <w:rsid w:val="00AC48B0"/>
    <w:rsid w:val="00AC4ACD"/>
    <w:rsid w:val="00AC5DFB"/>
    <w:rsid w:val="00AC7F43"/>
    <w:rsid w:val="00AD13DC"/>
    <w:rsid w:val="00AD6DE2"/>
    <w:rsid w:val="00AE0A40"/>
    <w:rsid w:val="00AE12D3"/>
    <w:rsid w:val="00AE1ED4"/>
    <w:rsid w:val="00AE21E1"/>
    <w:rsid w:val="00AE2B8B"/>
    <w:rsid w:val="00AE2F8D"/>
    <w:rsid w:val="00AE3BAE"/>
    <w:rsid w:val="00AE543B"/>
    <w:rsid w:val="00AE6A21"/>
    <w:rsid w:val="00AE7E68"/>
    <w:rsid w:val="00AF1C8F"/>
    <w:rsid w:val="00AF2B68"/>
    <w:rsid w:val="00AF2C92"/>
    <w:rsid w:val="00AF3EC1"/>
    <w:rsid w:val="00AF5025"/>
    <w:rsid w:val="00AF519F"/>
    <w:rsid w:val="00AF5387"/>
    <w:rsid w:val="00AF55F5"/>
    <w:rsid w:val="00AF7E86"/>
    <w:rsid w:val="00B024B9"/>
    <w:rsid w:val="00B05B6F"/>
    <w:rsid w:val="00B06549"/>
    <w:rsid w:val="00B06EA1"/>
    <w:rsid w:val="00B077FA"/>
    <w:rsid w:val="00B127D7"/>
    <w:rsid w:val="00B13B0C"/>
    <w:rsid w:val="00B1453A"/>
    <w:rsid w:val="00B17611"/>
    <w:rsid w:val="00B20F82"/>
    <w:rsid w:val="00B222FA"/>
    <w:rsid w:val="00B25BD5"/>
    <w:rsid w:val="00B26130"/>
    <w:rsid w:val="00B266AD"/>
    <w:rsid w:val="00B32438"/>
    <w:rsid w:val="00B34079"/>
    <w:rsid w:val="00B3793A"/>
    <w:rsid w:val="00B401BA"/>
    <w:rsid w:val="00B407E4"/>
    <w:rsid w:val="00B425B6"/>
    <w:rsid w:val="00B42A72"/>
    <w:rsid w:val="00B432EE"/>
    <w:rsid w:val="00B441AE"/>
    <w:rsid w:val="00B45A65"/>
    <w:rsid w:val="00B45F33"/>
    <w:rsid w:val="00B46D50"/>
    <w:rsid w:val="00B503F1"/>
    <w:rsid w:val="00B53170"/>
    <w:rsid w:val="00B548B9"/>
    <w:rsid w:val="00B55C1D"/>
    <w:rsid w:val="00B56DBE"/>
    <w:rsid w:val="00B62999"/>
    <w:rsid w:val="00B63BE3"/>
    <w:rsid w:val="00B64885"/>
    <w:rsid w:val="00B66810"/>
    <w:rsid w:val="00B700EA"/>
    <w:rsid w:val="00B72BE3"/>
    <w:rsid w:val="00B73B80"/>
    <w:rsid w:val="00B7519F"/>
    <w:rsid w:val="00B762AF"/>
    <w:rsid w:val="00B770C7"/>
    <w:rsid w:val="00B80B3B"/>
    <w:rsid w:val="00B80F26"/>
    <w:rsid w:val="00B822BD"/>
    <w:rsid w:val="00B842F4"/>
    <w:rsid w:val="00B847D6"/>
    <w:rsid w:val="00B91A7B"/>
    <w:rsid w:val="00B929DD"/>
    <w:rsid w:val="00B93345"/>
    <w:rsid w:val="00B93AF6"/>
    <w:rsid w:val="00B95405"/>
    <w:rsid w:val="00B963F1"/>
    <w:rsid w:val="00BA020A"/>
    <w:rsid w:val="00BA0222"/>
    <w:rsid w:val="00BB025A"/>
    <w:rsid w:val="00BB02A4"/>
    <w:rsid w:val="00BB1270"/>
    <w:rsid w:val="00BB1E44"/>
    <w:rsid w:val="00BB5267"/>
    <w:rsid w:val="00BB52B8"/>
    <w:rsid w:val="00BB59D8"/>
    <w:rsid w:val="00BB6593"/>
    <w:rsid w:val="00BB7E69"/>
    <w:rsid w:val="00BC0E51"/>
    <w:rsid w:val="00BC3C1F"/>
    <w:rsid w:val="00BC71DA"/>
    <w:rsid w:val="00BC7CE7"/>
    <w:rsid w:val="00BD20D0"/>
    <w:rsid w:val="00BD295E"/>
    <w:rsid w:val="00BD3B69"/>
    <w:rsid w:val="00BD4664"/>
    <w:rsid w:val="00BD7317"/>
    <w:rsid w:val="00BD7E57"/>
    <w:rsid w:val="00BE1193"/>
    <w:rsid w:val="00BE4883"/>
    <w:rsid w:val="00BF4849"/>
    <w:rsid w:val="00BF4EA7"/>
    <w:rsid w:val="00C00B03"/>
    <w:rsid w:val="00C00EDB"/>
    <w:rsid w:val="00C01B13"/>
    <w:rsid w:val="00C02454"/>
    <w:rsid w:val="00C02863"/>
    <w:rsid w:val="00C0383A"/>
    <w:rsid w:val="00C067FF"/>
    <w:rsid w:val="00C11D5E"/>
    <w:rsid w:val="00C12862"/>
    <w:rsid w:val="00C13D28"/>
    <w:rsid w:val="00C14585"/>
    <w:rsid w:val="00C14972"/>
    <w:rsid w:val="00C165A0"/>
    <w:rsid w:val="00C200BB"/>
    <w:rsid w:val="00C216CE"/>
    <w:rsid w:val="00C2184F"/>
    <w:rsid w:val="00C22A78"/>
    <w:rsid w:val="00C2388B"/>
    <w:rsid w:val="00C23C7E"/>
    <w:rsid w:val="00C246C5"/>
    <w:rsid w:val="00C25A82"/>
    <w:rsid w:val="00C30568"/>
    <w:rsid w:val="00C30A2A"/>
    <w:rsid w:val="00C30BB5"/>
    <w:rsid w:val="00C334FA"/>
    <w:rsid w:val="00C33993"/>
    <w:rsid w:val="00C4069E"/>
    <w:rsid w:val="00C41ADC"/>
    <w:rsid w:val="00C43A18"/>
    <w:rsid w:val="00C44149"/>
    <w:rsid w:val="00C44410"/>
    <w:rsid w:val="00C44A15"/>
    <w:rsid w:val="00C4630A"/>
    <w:rsid w:val="00C5120E"/>
    <w:rsid w:val="00C523F0"/>
    <w:rsid w:val="00C526D2"/>
    <w:rsid w:val="00C53A91"/>
    <w:rsid w:val="00C5779C"/>
    <w:rsid w:val="00C5794E"/>
    <w:rsid w:val="00C57BD9"/>
    <w:rsid w:val="00C60968"/>
    <w:rsid w:val="00C63D39"/>
    <w:rsid w:val="00C63EDD"/>
    <w:rsid w:val="00C643CF"/>
    <w:rsid w:val="00C657D8"/>
    <w:rsid w:val="00C65B36"/>
    <w:rsid w:val="00C7292E"/>
    <w:rsid w:val="00C74E88"/>
    <w:rsid w:val="00C769AF"/>
    <w:rsid w:val="00C77177"/>
    <w:rsid w:val="00C80924"/>
    <w:rsid w:val="00C8241E"/>
    <w:rsid w:val="00C8286B"/>
    <w:rsid w:val="00C86B01"/>
    <w:rsid w:val="00C947F8"/>
    <w:rsid w:val="00C9515F"/>
    <w:rsid w:val="00C963C5"/>
    <w:rsid w:val="00CA030C"/>
    <w:rsid w:val="00CA09E7"/>
    <w:rsid w:val="00CA106E"/>
    <w:rsid w:val="00CA1F41"/>
    <w:rsid w:val="00CA32EE"/>
    <w:rsid w:val="00CA5771"/>
    <w:rsid w:val="00CA6A1A"/>
    <w:rsid w:val="00CB459A"/>
    <w:rsid w:val="00CC059C"/>
    <w:rsid w:val="00CC117D"/>
    <w:rsid w:val="00CC1E75"/>
    <w:rsid w:val="00CC2E0E"/>
    <w:rsid w:val="00CC361C"/>
    <w:rsid w:val="00CC474B"/>
    <w:rsid w:val="00CC5224"/>
    <w:rsid w:val="00CC658C"/>
    <w:rsid w:val="00CC67BF"/>
    <w:rsid w:val="00CC6E17"/>
    <w:rsid w:val="00CD0843"/>
    <w:rsid w:val="00CD4E31"/>
    <w:rsid w:val="00CD5A78"/>
    <w:rsid w:val="00CD7345"/>
    <w:rsid w:val="00CE20FB"/>
    <w:rsid w:val="00CE372E"/>
    <w:rsid w:val="00CF0A1B"/>
    <w:rsid w:val="00CF19F6"/>
    <w:rsid w:val="00CF2F4F"/>
    <w:rsid w:val="00CF47CA"/>
    <w:rsid w:val="00CF536D"/>
    <w:rsid w:val="00CF7883"/>
    <w:rsid w:val="00D00C13"/>
    <w:rsid w:val="00D02E9D"/>
    <w:rsid w:val="00D05FFD"/>
    <w:rsid w:val="00D10B1C"/>
    <w:rsid w:val="00D10CB8"/>
    <w:rsid w:val="00D12806"/>
    <w:rsid w:val="00D12D44"/>
    <w:rsid w:val="00D15018"/>
    <w:rsid w:val="00D158AC"/>
    <w:rsid w:val="00D1694C"/>
    <w:rsid w:val="00D16CD7"/>
    <w:rsid w:val="00D20F5E"/>
    <w:rsid w:val="00D22AE8"/>
    <w:rsid w:val="00D22B5F"/>
    <w:rsid w:val="00D23B76"/>
    <w:rsid w:val="00D24A29"/>
    <w:rsid w:val="00D24B4A"/>
    <w:rsid w:val="00D3187B"/>
    <w:rsid w:val="00D379A3"/>
    <w:rsid w:val="00D43BF4"/>
    <w:rsid w:val="00D44E07"/>
    <w:rsid w:val="00D45FF3"/>
    <w:rsid w:val="00D46574"/>
    <w:rsid w:val="00D50A52"/>
    <w:rsid w:val="00D512CF"/>
    <w:rsid w:val="00D528B9"/>
    <w:rsid w:val="00D529BB"/>
    <w:rsid w:val="00D53186"/>
    <w:rsid w:val="00D5487D"/>
    <w:rsid w:val="00D55925"/>
    <w:rsid w:val="00D60140"/>
    <w:rsid w:val="00D6024A"/>
    <w:rsid w:val="00D608B5"/>
    <w:rsid w:val="00D61474"/>
    <w:rsid w:val="00D64739"/>
    <w:rsid w:val="00D71F99"/>
    <w:rsid w:val="00D73CA4"/>
    <w:rsid w:val="00D73D71"/>
    <w:rsid w:val="00D74396"/>
    <w:rsid w:val="00D74BEE"/>
    <w:rsid w:val="00D80284"/>
    <w:rsid w:val="00D81F71"/>
    <w:rsid w:val="00D84379"/>
    <w:rsid w:val="00D8642D"/>
    <w:rsid w:val="00D87528"/>
    <w:rsid w:val="00D876E5"/>
    <w:rsid w:val="00D90A5E"/>
    <w:rsid w:val="00D91A68"/>
    <w:rsid w:val="00D95A68"/>
    <w:rsid w:val="00DA17C7"/>
    <w:rsid w:val="00DA201C"/>
    <w:rsid w:val="00DA3324"/>
    <w:rsid w:val="00DA6A9A"/>
    <w:rsid w:val="00DA78D4"/>
    <w:rsid w:val="00DB13A3"/>
    <w:rsid w:val="00DB1EFD"/>
    <w:rsid w:val="00DB3EAF"/>
    <w:rsid w:val="00DB46C6"/>
    <w:rsid w:val="00DC3203"/>
    <w:rsid w:val="00DC3C99"/>
    <w:rsid w:val="00DC52F5"/>
    <w:rsid w:val="00DC5FD0"/>
    <w:rsid w:val="00DD0354"/>
    <w:rsid w:val="00DD27D7"/>
    <w:rsid w:val="00DD458C"/>
    <w:rsid w:val="00DD5314"/>
    <w:rsid w:val="00DD72E9"/>
    <w:rsid w:val="00DD7605"/>
    <w:rsid w:val="00DE12B7"/>
    <w:rsid w:val="00DE2020"/>
    <w:rsid w:val="00DE21C8"/>
    <w:rsid w:val="00DE2BF3"/>
    <w:rsid w:val="00DE3476"/>
    <w:rsid w:val="00DE7BEA"/>
    <w:rsid w:val="00DF14B8"/>
    <w:rsid w:val="00DF5B84"/>
    <w:rsid w:val="00DF6D5B"/>
    <w:rsid w:val="00DF72B9"/>
    <w:rsid w:val="00DF771B"/>
    <w:rsid w:val="00DF7EE2"/>
    <w:rsid w:val="00E01BAA"/>
    <w:rsid w:val="00E0282A"/>
    <w:rsid w:val="00E02F9B"/>
    <w:rsid w:val="00E07454"/>
    <w:rsid w:val="00E07E14"/>
    <w:rsid w:val="00E129E8"/>
    <w:rsid w:val="00E14F94"/>
    <w:rsid w:val="00E15236"/>
    <w:rsid w:val="00E15D17"/>
    <w:rsid w:val="00E17301"/>
    <w:rsid w:val="00E17336"/>
    <w:rsid w:val="00E17D15"/>
    <w:rsid w:val="00E22B95"/>
    <w:rsid w:val="00E265E1"/>
    <w:rsid w:val="00E30331"/>
    <w:rsid w:val="00E30356"/>
    <w:rsid w:val="00E30B17"/>
    <w:rsid w:val="00E30BB8"/>
    <w:rsid w:val="00E31F9C"/>
    <w:rsid w:val="00E32217"/>
    <w:rsid w:val="00E33F1E"/>
    <w:rsid w:val="00E40488"/>
    <w:rsid w:val="00E50367"/>
    <w:rsid w:val="00E50D59"/>
    <w:rsid w:val="00E51ABA"/>
    <w:rsid w:val="00E524CB"/>
    <w:rsid w:val="00E553BB"/>
    <w:rsid w:val="00E62041"/>
    <w:rsid w:val="00E65456"/>
    <w:rsid w:val="00E65A91"/>
    <w:rsid w:val="00E66188"/>
    <w:rsid w:val="00E664FB"/>
    <w:rsid w:val="00E672F0"/>
    <w:rsid w:val="00E70373"/>
    <w:rsid w:val="00E72E40"/>
    <w:rsid w:val="00E73665"/>
    <w:rsid w:val="00E73734"/>
    <w:rsid w:val="00E73999"/>
    <w:rsid w:val="00E73BDC"/>
    <w:rsid w:val="00E73D58"/>
    <w:rsid w:val="00E73E9E"/>
    <w:rsid w:val="00E81660"/>
    <w:rsid w:val="00E8415D"/>
    <w:rsid w:val="00E8536F"/>
    <w:rsid w:val="00E854FE"/>
    <w:rsid w:val="00E906CC"/>
    <w:rsid w:val="00E91061"/>
    <w:rsid w:val="00E9230E"/>
    <w:rsid w:val="00E939A0"/>
    <w:rsid w:val="00E96AD3"/>
    <w:rsid w:val="00E97E4E"/>
    <w:rsid w:val="00EA1CC2"/>
    <w:rsid w:val="00EA2D76"/>
    <w:rsid w:val="00EA4644"/>
    <w:rsid w:val="00EA4A95"/>
    <w:rsid w:val="00EA5DD6"/>
    <w:rsid w:val="00EA758A"/>
    <w:rsid w:val="00EB096F"/>
    <w:rsid w:val="00EB199F"/>
    <w:rsid w:val="00EB27C4"/>
    <w:rsid w:val="00EB5387"/>
    <w:rsid w:val="00EB5C10"/>
    <w:rsid w:val="00EB6D10"/>
    <w:rsid w:val="00EB7322"/>
    <w:rsid w:val="00EC0FE9"/>
    <w:rsid w:val="00EC198B"/>
    <w:rsid w:val="00EC2940"/>
    <w:rsid w:val="00EC426D"/>
    <w:rsid w:val="00EC4379"/>
    <w:rsid w:val="00EC571B"/>
    <w:rsid w:val="00EC57D7"/>
    <w:rsid w:val="00EC6385"/>
    <w:rsid w:val="00ED1DE9"/>
    <w:rsid w:val="00ED23D4"/>
    <w:rsid w:val="00ED55C2"/>
    <w:rsid w:val="00ED5E0B"/>
    <w:rsid w:val="00EE20E4"/>
    <w:rsid w:val="00EE24F4"/>
    <w:rsid w:val="00EE37B6"/>
    <w:rsid w:val="00EE3C08"/>
    <w:rsid w:val="00EF0F45"/>
    <w:rsid w:val="00EF2102"/>
    <w:rsid w:val="00EF463F"/>
    <w:rsid w:val="00EF7463"/>
    <w:rsid w:val="00EF7971"/>
    <w:rsid w:val="00F002EF"/>
    <w:rsid w:val="00F01EE9"/>
    <w:rsid w:val="00F04900"/>
    <w:rsid w:val="00F065A4"/>
    <w:rsid w:val="00F1040E"/>
    <w:rsid w:val="00F126B9"/>
    <w:rsid w:val="00F12715"/>
    <w:rsid w:val="00F144D5"/>
    <w:rsid w:val="00F146AE"/>
    <w:rsid w:val="00F146F0"/>
    <w:rsid w:val="00F15039"/>
    <w:rsid w:val="00F20FF3"/>
    <w:rsid w:val="00F2190B"/>
    <w:rsid w:val="00F228B5"/>
    <w:rsid w:val="00F2389C"/>
    <w:rsid w:val="00F23A8F"/>
    <w:rsid w:val="00F25C67"/>
    <w:rsid w:val="00F30DFF"/>
    <w:rsid w:val="00F31CFB"/>
    <w:rsid w:val="00F32B80"/>
    <w:rsid w:val="00F340EB"/>
    <w:rsid w:val="00F35285"/>
    <w:rsid w:val="00F43B9D"/>
    <w:rsid w:val="00F44D5E"/>
    <w:rsid w:val="00F452E9"/>
    <w:rsid w:val="00F47ED9"/>
    <w:rsid w:val="00F51B4B"/>
    <w:rsid w:val="00F52034"/>
    <w:rsid w:val="00F53A35"/>
    <w:rsid w:val="00F55A3D"/>
    <w:rsid w:val="00F5744B"/>
    <w:rsid w:val="00F600A2"/>
    <w:rsid w:val="00F61209"/>
    <w:rsid w:val="00F62176"/>
    <w:rsid w:val="00F6259E"/>
    <w:rsid w:val="00F65DD4"/>
    <w:rsid w:val="00F672B2"/>
    <w:rsid w:val="00F673FA"/>
    <w:rsid w:val="00F83973"/>
    <w:rsid w:val="00F83F94"/>
    <w:rsid w:val="00F8635E"/>
    <w:rsid w:val="00F87FA3"/>
    <w:rsid w:val="00F9309B"/>
    <w:rsid w:val="00F93D8C"/>
    <w:rsid w:val="00F95CC7"/>
    <w:rsid w:val="00F97557"/>
    <w:rsid w:val="00FA3102"/>
    <w:rsid w:val="00FA48D4"/>
    <w:rsid w:val="00FA5044"/>
    <w:rsid w:val="00FA535E"/>
    <w:rsid w:val="00FA54FA"/>
    <w:rsid w:val="00FA6D39"/>
    <w:rsid w:val="00FB227E"/>
    <w:rsid w:val="00FB30DE"/>
    <w:rsid w:val="00FB3D61"/>
    <w:rsid w:val="00FB44CE"/>
    <w:rsid w:val="00FB4551"/>
    <w:rsid w:val="00FB5009"/>
    <w:rsid w:val="00FB76AB"/>
    <w:rsid w:val="00FC6289"/>
    <w:rsid w:val="00FD0186"/>
    <w:rsid w:val="00FD03FE"/>
    <w:rsid w:val="00FD126E"/>
    <w:rsid w:val="00FD3C36"/>
    <w:rsid w:val="00FD4730"/>
    <w:rsid w:val="00FD4D81"/>
    <w:rsid w:val="00FD7498"/>
    <w:rsid w:val="00FD7F95"/>
    <w:rsid w:val="00FD7FB3"/>
    <w:rsid w:val="00FE4159"/>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2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footer" w:uiPriority="99"/>
    <w:lsdException w:name="footnote reference" w:uiPriority="99"/>
    <w:lsdException w:name="annotation reference" w:uiPriority="99"/>
    <w:lsdException w:name="Normal (Web)" w:uiPriority="99"/>
    <w:lsdException w:name="Light Shading" w:uiPriority="60"/>
    <w:lsdException w:name="List Paragraph" w:uiPriority="34"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Text">
    <w:name w:val="annotation text"/>
    <w:basedOn w:val="Normal"/>
    <w:link w:val="CommentTextChar"/>
    <w:uiPriority w:val="99"/>
    <w:unhideWhenUsed/>
    <w:rsid w:val="0015488E"/>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5488E"/>
    <w:rPr>
      <w:rFonts w:asciiTheme="minorHAnsi" w:eastAsiaTheme="minorHAnsi" w:hAnsiTheme="minorHAnsi" w:cstheme="minorBidi"/>
      <w:lang w:eastAsia="en-US"/>
    </w:rPr>
  </w:style>
  <w:style w:type="character" w:styleId="CommentReference">
    <w:name w:val="annotation reference"/>
    <w:basedOn w:val="DefaultParagraphFont"/>
    <w:uiPriority w:val="99"/>
    <w:unhideWhenUsed/>
    <w:rsid w:val="0015488E"/>
    <w:rPr>
      <w:sz w:val="16"/>
      <w:szCs w:val="16"/>
    </w:rPr>
  </w:style>
  <w:style w:type="paragraph" w:styleId="BalloonText">
    <w:name w:val="Balloon Text"/>
    <w:basedOn w:val="Normal"/>
    <w:link w:val="BalloonTextChar"/>
    <w:rsid w:val="001548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488E"/>
    <w:rPr>
      <w:rFonts w:ascii="Tahoma" w:hAnsi="Tahoma" w:cs="Tahoma"/>
      <w:sz w:val="16"/>
      <w:szCs w:val="16"/>
    </w:rPr>
  </w:style>
  <w:style w:type="character" w:styleId="Hyperlink">
    <w:name w:val="Hyperlink"/>
    <w:basedOn w:val="DefaultParagraphFont"/>
    <w:rsid w:val="00C86B01"/>
    <w:rPr>
      <w:color w:val="0000FF" w:themeColor="hyperlink"/>
      <w:u w:val="single"/>
    </w:rPr>
  </w:style>
  <w:style w:type="paragraph" w:styleId="CommentSubject">
    <w:name w:val="annotation subject"/>
    <w:basedOn w:val="CommentText"/>
    <w:next w:val="CommentText"/>
    <w:link w:val="CommentSubjectChar"/>
    <w:rsid w:val="0090423D"/>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90423D"/>
    <w:rPr>
      <w:rFonts w:asciiTheme="minorHAnsi" w:eastAsiaTheme="minorHAnsi" w:hAnsiTheme="minorHAnsi" w:cstheme="minorBidi"/>
      <w:b/>
      <w:bCs/>
      <w:lang w:eastAsia="en-US"/>
    </w:rPr>
  </w:style>
  <w:style w:type="paragraph" w:styleId="ListParagraph">
    <w:name w:val="List Paragraph"/>
    <w:basedOn w:val="Normal"/>
    <w:uiPriority w:val="34"/>
    <w:qFormat/>
    <w:rsid w:val="00E33F1E"/>
    <w:pPr>
      <w:spacing w:after="200" w:line="276" w:lineRule="auto"/>
      <w:ind w:left="720"/>
      <w:contextualSpacing/>
    </w:pPr>
    <w:rPr>
      <w:rFonts w:asciiTheme="minorHAnsi" w:eastAsiaTheme="minorHAnsi" w:hAnsiTheme="minorHAnsi" w:cstheme="minorBidi"/>
      <w:sz w:val="22"/>
      <w:szCs w:val="22"/>
      <w:lang w:eastAsia="en-US"/>
    </w:rPr>
  </w:style>
  <w:style w:type="table" w:styleId="LightShading">
    <w:name w:val="Light Shading"/>
    <w:basedOn w:val="TableNormal"/>
    <w:uiPriority w:val="60"/>
    <w:rsid w:val="00E33F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E7E6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C2388B"/>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footer" w:uiPriority="99"/>
    <w:lsdException w:name="footnote reference" w:uiPriority="99"/>
    <w:lsdException w:name="annotation reference" w:uiPriority="99"/>
    <w:lsdException w:name="Normal (Web)" w:uiPriority="99"/>
    <w:lsdException w:name="Light Shading" w:uiPriority="60"/>
    <w:lsdException w:name="List Paragraph" w:uiPriority="34"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Text">
    <w:name w:val="annotation text"/>
    <w:basedOn w:val="Normal"/>
    <w:link w:val="CommentTextChar"/>
    <w:uiPriority w:val="99"/>
    <w:unhideWhenUsed/>
    <w:rsid w:val="0015488E"/>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5488E"/>
    <w:rPr>
      <w:rFonts w:asciiTheme="minorHAnsi" w:eastAsiaTheme="minorHAnsi" w:hAnsiTheme="minorHAnsi" w:cstheme="minorBidi"/>
      <w:lang w:eastAsia="en-US"/>
    </w:rPr>
  </w:style>
  <w:style w:type="character" w:styleId="CommentReference">
    <w:name w:val="annotation reference"/>
    <w:basedOn w:val="DefaultParagraphFont"/>
    <w:uiPriority w:val="99"/>
    <w:unhideWhenUsed/>
    <w:rsid w:val="0015488E"/>
    <w:rPr>
      <w:sz w:val="16"/>
      <w:szCs w:val="16"/>
    </w:rPr>
  </w:style>
  <w:style w:type="paragraph" w:styleId="BalloonText">
    <w:name w:val="Balloon Text"/>
    <w:basedOn w:val="Normal"/>
    <w:link w:val="BalloonTextChar"/>
    <w:rsid w:val="001548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488E"/>
    <w:rPr>
      <w:rFonts w:ascii="Tahoma" w:hAnsi="Tahoma" w:cs="Tahoma"/>
      <w:sz w:val="16"/>
      <w:szCs w:val="16"/>
    </w:rPr>
  </w:style>
  <w:style w:type="character" w:styleId="Hyperlink">
    <w:name w:val="Hyperlink"/>
    <w:basedOn w:val="DefaultParagraphFont"/>
    <w:rsid w:val="00C86B01"/>
    <w:rPr>
      <w:color w:val="0000FF" w:themeColor="hyperlink"/>
      <w:u w:val="single"/>
    </w:rPr>
  </w:style>
  <w:style w:type="paragraph" w:styleId="CommentSubject">
    <w:name w:val="annotation subject"/>
    <w:basedOn w:val="CommentText"/>
    <w:next w:val="CommentText"/>
    <w:link w:val="CommentSubjectChar"/>
    <w:rsid w:val="0090423D"/>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90423D"/>
    <w:rPr>
      <w:rFonts w:asciiTheme="minorHAnsi" w:eastAsiaTheme="minorHAnsi" w:hAnsiTheme="minorHAnsi" w:cstheme="minorBidi"/>
      <w:b/>
      <w:bCs/>
      <w:lang w:eastAsia="en-US"/>
    </w:rPr>
  </w:style>
  <w:style w:type="paragraph" w:styleId="ListParagraph">
    <w:name w:val="List Paragraph"/>
    <w:basedOn w:val="Normal"/>
    <w:uiPriority w:val="34"/>
    <w:qFormat/>
    <w:rsid w:val="00E33F1E"/>
    <w:pPr>
      <w:spacing w:after="200" w:line="276" w:lineRule="auto"/>
      <w:ind w:left="720"/>
      <w:contextualSpacing/>
    </w:pPr>
    <w:rPr>
      <w:rFonts w:asciiTheme="minorHAnsi" w:eastAsiaTheme="minorHAnsi" w:hAnsiTheme="minorHAnsi" w:cstheme="minorBidi"/>
      <w:sz w:val="22"/>
      <w:szCs w:val="22"/>
      <w:lang w:eastAsia="en-US"/>
    </w:rPr>
  </w:style>
  <w:style w:type="table" w:styleId="LightShading">
    <w:name w:val="Light Shading"/>
    <w:basedOn w:val="TableNormal"/>
    <w:uiPriority w:val="60"/>
    <w:rsid w:val="00E33F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E7E6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C2388B"/>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901">
      <w:bodyDiv w:val="1"/>
      <w:marLeft w:val="0"/>
      <w:marRight w:val="0"/>
      <w:marTop w:val="0"/>
      <w:marBottom w:val="0"/>
      <w:divBdr>
        <w:top w:val="none" w:sz="0" w:space="0" w:color="auto"/>
        <w:left w:val="none" w:sz="0" w:space="0" w:color="auto"/>
        <w:bottom w:val="none" w:sz="0" w:space="0" w:color="auto"/>
        <w:right w:val="none" w:sz="0" w:space="0" w:color="auto"/>
      </w:divBdr>
    </w:div>
    <w:div w:id="81265193">
      <w:bodyDiv w:val="1"/>
      <w:marLeft w:val="0"/>
      <w:marRight w:val="0"/>
      <w:marTop w:val="0"/>
      <w:marBottom w:val="0"/>
      <w:divBdr>
        <w:top w:val="none" w:sz="0" w:space="0" w:color="auto"/>
        <w:left w:val="none" w:sz="0" w:space="0" w:color="auto"/>
        <w:bottom w:val="none" w:sz="0" w:space="0" w:color="auto"/>
        <w:right w:val="none" w:sz="0" w:space="0" w:color="auto"/>
      </w:divBdr>
    </w:div>
    <w:div w:id="142476577">
      <w:bodyDiv w:val="1"/>
      <w:marLeft w:val="0"/>
      <w:marRight w:val="0"/>
      <w:marTop w:val="0"/>
      <w:marBottom w:val="0"/>
      <w:divBdr>
        <w:top w:val="none" w:sz="0" w:space="0" w:color="auto"/>
        <w:left w:val="none" w:sz="0" w:space="0" w:color="auto"/>
        <w:bottom w:val="none" w:sz="0" w:space="0" w:color="auto"/>
        <w:right w:val="none" w:sz="0" w:space="0" w:color="auto"/>
      </w:divBdr>
    </w:div>
    <w:div w:id="181558166">
      <w:bodyDiv w:val="1"/>
      <w:marLeft w:val="0"/>
      <w:marRight w:val="0"/>
      <w:marTop w:val="0"/>
      <w:marBottom w:val="0"/>
      <w:divBdr>
        <w:top w:val="none" w:sz="0" w:space="0" w:color="auto"/>
        <w:left w:val="none" w:sz="0" w:space="0" w:color="auto"/>
        <w:bottom w:val="none" w:sz="0" w:space="0" w:color="auto"/>
        <w:right w:val="none" w:sz="0" w:space="0" w:color="auto"/>
      </w:divBdr>
    </w:div>
    <w:div w:id="186875464">
      <w:bodyDiv w:val="1"/>
      <w:marLeft w:val="0"/>
      <w:marRight w:val="0"/>
      <w:marTop w:val="0"/>
      <w:marBottom w:val="0"/>
      <w:divBdr>
        <w:top w:val="none" w:sz="0" w:space="0" w:color="auto"/>
        <w:left w:val="none" w:sz="0" w:space="0" w:color="auto"/>
        <w:bottom w:val="none" w:sz="0" w:space="0" w:color="auto"/>
        <w:right w:val="none" w:sz="0" w:space="0" w:color="auto"/>
      </w:divBdr>
    </w:div>
    <w:div w:id="309360768">
      <w:bodyDiv w:val="1"/>
      <w:marLeft w:val="0"/>
      <w:marRight w:val="0"/>
      <w:marTop w:val="0"/>
      <w:marBottom w:val="0"/>
      <w:divBdr>
        <w:top w:val="none" w:sz="0" w:space="0" w:color="auto"/>
        <w:left w:val="none" w:sz="0" w:space="0" w:color="auto"/>
        <w:bottom w:val="none" w:sz="0" w:space="0" w:color="auto"/>
        <w:right w:val="none" w:sz="0" w:space="0" w:color="auto"/>
      </w:divBdr>
    </w:div>
    <w:div w:id="330372715">
      <w:bodyDiv w:val="1"/>
      <w:marLeft w:val="0"/>
      <w:marRight w:val="0"/>
      <w:marTop w:val="0"/>
      <w:marBottom w:val="0"/>
      <w:divBdr>
        <w:top w:val="none" w:sz="0" w:space="0" w:color="auto"/>
        <w:left w:val="none" w:sz="0" w:space="0" w:color="auto"/>
        <w:bottom w:val="none" w:sz="0" w:space="0" w:color="auto"/>
        <w:right w:val="none" w:sz="0" w:space="0" w:color="auto"/>
      </w:divBdr>
    </w:div>
    <w:div w:id="394668023">
      <w:bodyDiv w:val="1"/>
      <w:marLeft w:val="0"/>
      <w:marRight w:val="0"/>
      <w:marTop w:val="0"/>
      <w:marBottom w:val="0"/>
      <w:divBdr>
        <w:top w:val="none" w:sz="0" w:space="0" w:color="auto"/>
        <w:left w:val="none" w:sz="0" w:space="0" w:color="auto"/>
        <w:bottom w:val="none" w:sz="0" w:space="0" w:color="auto"/>
        <w:right w:val="none" w:sz="0" w:space="0" w:color="auto"/>
      </w:divBdr>
    </w:div>
    <w:div w:id="575165867">
      <w:bodyDiv w:val="1"/>
      <w:marLeft w:val="0"/>
      <w:marRight w:val="0"/>
      <w:marTop w:val="0"/>
      <w:marBottom w:val="0"/>
      <w:divBdr>
        <w:top w:val="none" w:sz="0" w:space="0" w:color="auto"/>
        <w:left w:val="none" w:sz="0" w:space="0" w:color="auto"/>
        <w:bottom w:val="none" w:sz="0" w:space="0" w:color="auto"/>
        <w:right w:val="none" w:sz="0" w:space="0" w:color="auto"/>
      </w:divBdr>
    </w:div>
    <w:div w:id="652875085">
      <w:bodyDiv w:val="1"/>
      <w:marLeft w:val="0"/>
      <w:marRight w:val="0"/>
      <w:marTop w:val="0"/>
      <w:marBottom w:val="0"/>
      <w:divBdr>
        <w:top w:val="none" w:sz="0" w:space="0" w:color="auto"/>
        <w:left w:val="none" w:sz="0" w:space="0" w:color="auto"/>
        <w:bottom w:val="none" w:sz="0" w:space="0" w:color="auto"/>
        <w:right w:val="none" w:sz="0" w:space="0" w:color="auto"/>
      </w:divBdr>
    </w:div>
    <w:div w:id="716855065">
      <w:bodyDiv w:val="1"/>
      <w:marLeft w:val="0"/>
      <w:marRight w:val="0"/>
      <w:marTop w:val="0"/>
      <w:marBottom w:val="0"/>
      <w:divBdr>
        <w:top w:val="none" w:sz="0" w:space="0" w:color="auto"/>
        <w:left w:val="none" w:sz="0" w:space="0" w:color="auto"/>
        <w:bottom w:val="none" w:sz="0" w:space="0" w:color="auto"/>
        <w:right w:val="none" w:sz="0" w:space="0" w:color="auto"/>
      </w:divBdr>
    </w:div>
    <w:div w:id="729963883">
      <w:bodyDiv w:val="1"/>
      <w:marLeft w:val="0"/>
      <w:marRight w:val="0"/>
      <w:marTop w:val="0"/>
      <w:marBottom w:val="0"/>
      <w:divBdr>
        <w:top w:val="none" w:sz="0" w:space="0" w:color="auto"/>
        <w:left w:val="none" w:sz="0" w:space="0" w:color="auto"/>
        <w:bottom w:val="none" w:sz="0" w:space="0" w:color="auto"/>
        <w:right w:val="none" w:sz="0" w:space="0" w:color="auto"/>
      </w:divBdr>
    </w:div>
    <w:div w:id="738602057">
      <w:bodyDiv w:val="1"/>
      <w:marLeft w:val="0"/>
      <w:marRight w:val="0"/>
      <w:marTop w:val="0"/>
      <w:marBottom w:val="0"/>
      <w:divBdr>
        <w:top w:val="none" w:sz="0" w:space="0" w:color="auto"/>
        <w:left w:val="none" w:sz="0" w:space="0" w:color="auto"/>
        <w:bottom w:val="none" w:sz="0" w:space="0" w:color="auto"/>
        <w:right w:val="none" w:sz="0" w:space="0" w:color="auto"/>
      </w:divBdr>
    </w:div>
    <w:div w:id="762654229">
      <w:bodyDiv w:val="1"/>
      <w:marLeft w:val="0"/>
      <w:marRight w:val="0"/>
      <w:marTop w:val="0"/>
      <w:marBottom w:val="0"/>
      <w:divBdr>
        <w:top w:val="none" w:sz="0" w:space="0" w:color="auto"/>
        <w:left w:val="none" w:sz="0" w:space="0" w:color="auto"/>
        <w:bottom w:val="none" w:sz="0" w:space="0" w:color="auto"/>
        <w:right w:val="none" w:sz="0" w:space="0" w:color="auto"/>
      </w:divBdr>
    </w:div>
    <w:div w:id="777220008">
      <w:bodyDiv w:val="1"/>
      <w:marLeft w:val="0"/>
      <w:marRight w:val="0"/>
      <w:marTop w:val="0"/>
      <w:marBottom w:val="0"/>
      <w:divBdr>
        <w:top w:val="none" w:sz="0" w:space="0" w:color="auto"/>
        <w:left w:val="none" w:sz="0" w:space="0" w:color="auto"/>
        <w:bottom w:val="none" w:sz="0" w:space="0" w:color="auto"/>
        <w:right w:val="none" w:sz="0" w:space="0" w:color="auto"/>
      </w:divBdr>
      <w:divsChild>
        <w:div w:id="351150664">
          <w:marLeft w:val="0"/>
          <w:marRight w:val="0"/>
          <w:marTop w:val="0"/>
          <w:marBottom w:val="0"/>
          <w:divBdr>
            <w:top w:val="none" w:sz="0" w:space="0" w:color="auto"/>
            <w:left w:val="none" w:sz="0" w:space="0" w:color="auto"/>
            <w:bottom w:val="none" w:sz="0" w:space="0" w:color="auto"/>
            <w:right w:val="none" w:sz="0" w:space="0" w:color="auto"/>
          </w:divBdr>
        </w:div>
        <w:div w:id="1400909467">
          <w:marLeft w:val="0"/>
          <w:marRight w:val="0"/>
          <w:marTop w:val="0"/>
          <w:marBottom w:val="0"/>
          <w:divBdr>
            <w:top w:val="none" w:sz="0" w:space="0" w:color="auto"/>
            <w:left w:val="none" w:sz="0" w:space="0" w:color="auto"/>
            <w:bottom w:val="none" w:sz="0" w:space="0" w:color="auto"/>
            <w:right w:val="none" w:sz="0" w:space="0" w:color="auto"/>
          </w:divBdr>
        </w:div>
        <w:div w:id="1443960469">
          <w:marLeft w:val="0"/>
          <w:marRight w:val="0"/>
          <w:marTop w:val="0"/>
          <w:marBottom w:val="0"/>
          <w:divBdr>
            <w:top w:val="none" w:sz="0" w:space="0" w:color="auto"/>
            <w:left w:val="none" w:sz="0" w:space="0" w:color="auto"/>
            <w:bottom w:val="none" w:sz="0" w:space="0" w:color="auto"/>
            <w:right w:val="none" w:sz="0" w:space="0" w:color="auto"/>
          </w:divBdr>
        </w:div>
        <w:div w:id="1592084757">
          <w:marLeft w:val="0"/>
          <w:marRight w:val="0"/>
          <w:marTop w:val="0"/>
          <w:marBottom w:val="0"/>
          <w:divBdr>
            <w:top w:val="none" w:sz="0" w:space="0" w:color="auto"/>
            <w:left w:val="none" w:sz="0" w:space="0" w:color="auto"/>
            <w:bottom w:val="none" w:sz="0" w:space="0" w:color="auto"/>
            <w:right w:val="none" w:sz="0" w:space="0" w:color="auto"/>
          </w:divBdr>
        </w:div>
      </w:divsChild>
    </w:div>
    <w:div w:id="822087604">
      <w:bodyDiv w:val="1"/>
      <w:marLeft w:val="0"/>
      <w:marRight w:val="0"/>
      <w:marTop w:val="0"/>
      <w:marBottom w:val="0"/>
      <w:divBdr>
        <w:top w:val="none" w:sz="0" w:space="0" w:color="auto"/>
        <w:left w:val="none" w:sz="0" w:space="0" w:color="auto"/>
        <w:bottom w:val="none" w:sz="0" w:space="0" w:color="auto"/>
        <w:right w:val="none" w:sz="0" w:space="0" w:color="auto"/>
      </w:divBdr>
    </w:div>
    <w:div w:id="828711004">
      <w:bodyDiv w:val="1"/>
      <w:marLeft w:val="0"/>
      <w:marRight w:val="0"/>
      <w:marTop w:val="0"/>
      <w:marBottom w:val="0"/>
      <w:divBdr>
        <w:top w:val="none" w:sz="0" w:space="0" w:color="auto"/>
        <w:left w:val="none" w:sz="0" w:space="0" w:color="auto"/>
        <w:bottom w:val="none" w:sz="0" w:space="0" w:color="auto"/>
        <w:right w:val="none" w:sz="0" w:space="0" w:color="auto"/>
      </w:divBdr>
    </w:div>
    <w:div w:id="84620937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1938749">
      <w:bodyDiv w:val="1"/>
      <w:marLeft w:val="0"/>
      <w:marRight w:val="0"/>
      <w:marTop w:val="0"/>
      <w:marBottom w:val="0"/>
      <w:divBdr>
        <w:top w:val="none" w:sz="0" w:space="0" w:color="auto"/>
        <w:left w:val="none" w:sz="0" w:space="0" w:color="auto"/>
        <w:bottom w:val="none" w:sz="0" w:space="0" w:color="auto"/>
        <w:right w:val="none" w:sz="0" w:space="0" w:color="auto"/>
      </w:divBdr>
      <w:divsChild>
        <w:div w:id="1879584427">
          <w:marLeft w:val="0"/>
          <w:marRight w:val="0"/>
          <w:marTop w:val="0"/>
          <w:marBottom w:val="0"/>
          <w:divBdr>
            <w:top w:val="none" w:sz="0" w:space="0" w:color="auto"/>
            <w:left w:val="none" w:sz="0" w:space="0" w:color="auto"/>
            <w:bottom w:val="none" w:sz="0" w:space="0" w:color="auto"/>
            <w:right w:val="none" w:sz="0" w:space="0" w:color="auto"/>
          </w:divBdr>
        </w:div>
        <w:div w:id="1953705178">
          <w:marLeft w:val="0"/>
          <w:marRight w:val="0"/>
          <w:marTop w:val="0"/>
          <w:marBottom w:val="0"/>
          <w:divBdr>
            <w:top w:val="none" w:sz="0" w:space="0" w:color="auto"/>
            <w:left w:val="none" w:sz="0" w:space="0" w:color="auto"/>
            <w:bottom w:val="none" w:sz="0" w:space="0" w:color="auto"/>
            <w:right w:val="none" w:sz="0" w:space="0" w:color="auto"/>
          </w:divBdr>
        </w:div>
      </w:divsChild>
    </w:div>
    <w:div w:id="1027366444">
      <w:bodyDiv w:val="1"/>
      <w:marLeft w:val="0"/>
      <w:marRight w:val="0"/>
      <w:marTop w:val="0"/>
      <w:marBottom w:val="0"/>
      <w:divBdr>
        <w:top w:val="none" w:sz="0" w:space="0" w:color="auto"/>
        <w:left w:val="none" w:sz="0" w:space="0" w:color="auto"/>
        <w:bottom w:val="none" w:sz="0" w:space="0" w:color="auto"/>
        <w:right w:val="none" w:sz="0" w:space="0" w:color="auto"/>
      </w:divBdr>
    </w:div>
    <w:div w:id="1040125454">
      <w:bodyDiv w:val="1"/>
      <w:marLeft w:val="0"/>
      <w:marRight w:val="0"/>
      <w:marTop w:val="0"/>
      <w:marBottom w:val="0"/>
      <w:divBdr>
        <w:top w:val="none" w:sz="0" w:space="0" w:color="auto"/>
        <w:left w:val="none" w:sz="0" w:space="0" w:color="auto"/>
        <w:bottom w:val="none" w:sz="0" w:space="0" w:color="auto"/>
        <w:right w:val="none" w:sz="0" w:space="0" w:color="auto"/>
      </w:divBdr>
    </w:div>
    <w:div w:id="1044865451">
      <w:bodyDiv w:val="1"/>
      <w:marLeft w:val="0"/>
      <w:marRight w:val="0"/>
      <w:marTop w:val="0"/>
      <w:marBottom w:val="0"/>
      <w:divBdr>
        <w:top w:val="none" w:sz="0" w:space="0" w:color="auto"/>
        <w:left w:val="none" w:sz="0" w:space="0" w:color="auto"/>
        <w:bottom w:val="none" w:sz="0" w:space="0" w:color="auto"/>
        <w:right w:val="none" w:sz="0" w:space="0" w:color="auto"/>
      </w:divBdr>
    </w:div>
    <w:div w:id="1066300103">
      <w:bodyDiv w:val="1"/>
      <w:marLeft w:val="0"/>
      <w:marRight w:val="0"/>
      <w:marTop w:val="0"/>
      <w:marBottom w:val="0"/>
      <w:divBdr>
        <w:top w:val="none" w:sz="0" w:space="0" w:color="auto"/>
        <w:left w:val="none" w:sz="0" w:space="0" w:color="auto"/>
        <w:bottom w:val="none" w:sz="0" w:space="0" w:color="auto"/>
        <w:right w:val="none" w:sz="0" w:space="0" w:color="auto"/>
      </w:divBdr>
    </w:div>
    <w:div w:id="1080836064">
      <w:bodyDiv w:val="1"/>
      <w:marLeft w:val="0"/>
      <w:marRight w:val="0"/>
      <w:marTop w:val="0"/>
      <w:marBottom w:val="0"/>
      <w:divBdr>
        <w:top w:val="none" w:sz="0" w:space="0" w:color="auto"/>
        <w:left w:val="none" w:sz="0" w:space="0" w:color="auto"/>
        <w:bottom w:val="none" w:sz="0" w:space="0" w:color="auto"/>
        <w:right w:val="none" w:sz="0" w:space="0" w:color="auto"/>
      </w:divBdr>
    </w:div>
    <w:div w:id="1113784352">
      <w:bodyDiv w:val="1"/>
      <w:marLeft w:val="0"/>
      <w:marRight w:val="0"/>
      <w:marTop w:val="0"/>
      <w:marBottom w:val="0"/>
      <w:divBdr>
        <w:top w:val="none" w:sz="0" w:space="0" w:color="auto"/>
        <w:left w:val="none" w:sz="0" w:space="0" w:color="auto"/>
        <w:bottom w:val="none" w:sz="0" w:space="0" w:color="auto"/>
        <w:right w:val="none" w:sz="0" w:space="0" w:color="auto"/>
      </w:divBdr>
    </w:div>
    <w:div w:id="1227912326">
      <w:bodyDiv w:val="1"/>
      <w:marLeft w:val="0"/>
      <w:marRight w:val="0"/>
      <w:marTop w:val="0"/>
      <w:marBottom w:val="0"/>
      <w:divBdr>
        <w:top w:val="none" w:sz="0" w:space="0" w:color="auto"/>
        <w:left w:val="none" w:sz="0" w:space="0" w:color="auto"/>
        <w:bottom w:val="none" w:sz="0" w:space="0" w:color="auto"/>
        <w:right w:val="none" w:sz="0" w:space="0" w:color="auto"/>
      </w:divBdr>
    </w:div>
    <w:div w:id="1244292560">
      <w:bodyDiv w:val="1"/>
      <w:marLeft w:val="0"/>
      <w:marRight w:val="0"/>
      <w:marTop w:val="0"/>
      <w:marBottom w:val="0"/>
      <w:divBdr>
        <w:top w:val="none" w:sz="0" w:space="0" w:color="auto"/>
        <w:left w:val="none" w:sz="0" w:space="0" w:color="auto"/>
        <w:bottom w:val="none" w:sz="0" w:space="0" w:color="auto"/>
        <w:right w:val="none" w:sz="0" w:space="0" w:color="auto"/>
      </w:divBdr>
    </w:div>
    <w:div w:id="1255936322">
      <w:bodyDiv w:val="1"/>
      <w:marLeft w:val="0"/>
      <w:marRight w:val="0"/>
      <w:marTop w:val="0"/>
      <w:marBottom w:val="0"/>
      <w:divBdr>
        <w:top w:val="none" w:sz="0" w:space="0" w:color="auto"/>
        <w:left w:val="none" w:sz="0" w:space="0" w:color="auto"/>
        <w:bottom w:val="none" w:sz="0" w:space="0" w:color="auto"/>
        <w:right w:val="none" w:sz="0" w:space="0" w:color="auto"/>
      </w:divBdr>
    </w:div>
    <w:div w:id="1262907166">
      <w:bodyDiv w:val="1"/>
      <w:marLeft w:val="0"/>
      <w:marRight w:val="0"/>
      <w:marTop w:val="0"/>
      <w:marBottom w:val="0"/>
      <w:divBdr>
        <w:top w:val="none" w:sz="0" w:space="0" w:color="auto"/>
        <w:left w:val="none" w:sz="0" w:space="0" w:color="auto"/>
        <w:bottom w:val="none" w:sz="0" w:space="0" w:color="auto"/>
        <w:right w:val="none" w:sz="0" w:space="0" w:color="auto"/>
      </w:divBdr>
    </w:div>
    <w:div w:id="1363359122">
      <w:bodyDiv w:val="1"/>
      <w:marLeft w:val="0"/>
      <w:marRight w:val="0"/>
      <w:marTop w:val="0"/>
      <w:marBottom w:val="0"/>
      <w:divBdr>
        <w:top w:val="none" w:sz="0" w:space="0" w:color="auto"/>
        <w:left w:val="none" w:sz="0" w:space="0" w:color="auto"/>
        <w:bottom w:val="none" w:sz="0" w:space="0" w:color="auto"/>
        <w:right w:val="none" w:sz="0" w:space="0" w:color="auto"/>
      </w:divBdr>
    </w:div>
    <w:div w:id="1365328235">
      <w:bodyDiv w:val="1"/>
      <w:marLeft w:val="0"/>
      <w:marRight w:val="0"/>
      <w:marTop w:val="0"/>
      <w:marBottom w:val="0"/>
      <w:divBdr>
        <w:top w:val="none" w:sz="0" w:space="0" w:color="auto"/>
        <w:left w:val="none" w:sz="0" w:space="0" w:color="auto"/>
        <w:bottom w:val="none" w:sz="0" w:space="0" w:color="auto"/>
        <w:right w:val="none" w:sz="0" w:space="0" w:color="auto"/>
      </w:divBdr>
      <w:divsChild>
        <w:div w:id="251815235">
          <w:marLeft w:val="0"/>
          <w:marRight w:val="0"/>
          <w:marTop w:val="0"/>
          <w:marBottom w:val="0"/>
          <w:divBdr>
            <w:top w:val="none" w:sz="0" w:space="0" w:color="auto"/>
            <w:left w:val="none" w:sz="0" w:space="0" w:color="auto"/>
            <w:bottom w:val="none" w:sz="0" w:space="0" w:color="auto"/>
            <w:right w:val="none" w:sz="0" w:space="0" w:color="auto"/>
          </w:divBdr>
        </w:div>
        <w:div w:id="1803762664">
          <w:marLeft w:val="0"/>
          <w:marRight w:val="0"/>
          <w:marTop w:val="0"/>
          <w:marBottom w:val="0"/>
          <w:divBdr>
            <w:top w:val="none" w:sz="0" w:space="0" w:color="auto"/>
            <w:left w:val="none" w:sz="0" w:space="0" w:color="auto"/>
            <w:bottom w:val="none" w:sz="0" w:space="0" w:color="auto"/>
            <w:right w:val="none" w:sz="0" w:space="0" w:color="auto"/>
          </w:divBdr>
        </w:div>
      </w:divsChild>
    </w:div>
    <w:div w:id="1401365672">
      <w:bodyDiv w:val="1"/>
      <w:marLeft w:val="0"/>
      <w:marRight w:val="0"/>
      <w:marTop w:val="0"/>
      <w:marBottom w:val="0"/>
      <w:divBdr>
        <w:top w:val="none" w:sz="0" w:space="0" w:color="auto"/>
        <w:left w:val="none" w:sz="0" w:space="0" w:color="auto"/>
        <w:bottom w:val="none" w:sz="0" w:space="0" w:color="auto"/>
        <w:right w:val="none" w:sz="0" w:space="0" w:color="auto"/>
      </w:divBdr>
    </w:div>
    <w:div w:id="1403600396">
      <w:bodyDiv w:val="1"/>
      <w:marLeft w:val="0"/>
      <w:marRight w:val="0"/>
      <w:marTop w:val="0"/>
      <w:marBottom w:val="0"/>
      <w:divBdr>
        <w:top w:val="none" w:sz="0" w:space="0" w:color="auto"/>
        <w:left w:val="none" w:sz="0" w:space="0" w:color="auto"/>
        <w:bottom w:val="none" w:sz="0" w:space="0" w:color="auto"/>
        <w:right w:val="none" w:sz="0" w:space="0" w:color="auto"/>
      </w:divBdr>
    </w:div>
    <w:div w:id="1423721826">
      <w:bodyDiv w:val="1"/>
      <w:marLeft w:val="0"/>
      <w:marRight w:val="0"/>
      <w:marTop w:val="0"/>
      <w:marBottom w:val="0"/>
      <w:divBdr>
        <w:top w:val="none" w:sz="0" w:space="0" w:color="auto"/>
        <w:left w:val="none" w:sz="0" w:space="0" w:color="auto"/>
        <w:bottom w:val="none" w:sz="0" w:space="0" w:color="auto"/>
        <w:right w:val="none" w:sz="0" w:space="0" w:color="auto"/>
      </w:divBdr>
    </w:div>
    <w:div w:id="1445540265">
      <w:bodyDiv w:val="1"/>
      <w:marLeft w:val="0"/>
      <w:marRight w:val="0"/>
      <w:marTop w:val="0"/>
      <w:marBottom w:val="0"/>
      <w:divBdr>
        <w:top w:val="none" w:sz="0" w:space="0" w:color="auto"/>
        <w:left w:val="none" w:sz="0" w:space="0" w:color="auto"/>
        <w:bottom w:val="none" w:sz="0" w:space="0" w:color="auto"/>
        <w:right w:val="none" w:sz="0" w:space="0" w:color="auto"/>
      </w:divBdr>
    </w:div>
    <w:div w:id="1488129898">
      <w:bodyDiv w:val="1"/>
      <w:marLeft w:val="0"/>
      <w:marRight w:val="0"/>
      <w:marTop w:val="0"/>
      <w:marBottom w:val="0"/>
      <w:divBdr>
        <w:top w:val="none" w:sz="0" w:space="0" w:color="auto"/>
        <w:left w:val="none" w:sz="0" w:space="0" w:color="auto"/>
        <w:bottom w:val="none" w:sz="0" w:space="0" w:color="auto"/>
        <w:right w:val="none" w:sz="0" w:space="0" w:color="auto"/>
      </w:divBdr>
    </w:div>
    <w:div w:id="1504079560">
      <w:bodyDiv w:val="1"/>
      <w:marLeft w:val="0"/>
      <w:marRight w:val="0"/>
      <w:marTop w:val="0"/>
      <w:marBottom w:val="0"/>
      <w:divBdr>
        <w:top w:val="none" w:sz="0" w:space="0" w:color="auto"/>
        <w:left w:val="none" w:sz="0" w:space="0" w:color="auto"/>
        <w:bottom w:val="none" w:sz="0" w:space="0" w:color="auto"/>
        <w:right w:val="none" w:sz="0" w:space="0" w:color="auto"/>
      </w:divBdr>
    </w:div>
    <w:div w:id="1581673156">
      <w:bodyDiv w:val="1"/>
      <w:marLeft w:val="0"/>
      <w:marRight w:val="0"/>
      <w:marTop w:val="0"/>
      <w:marBottom w:val="0"/>
      <w:divBdr>
        <w:top w:val="none" w:sz="0" w:space="0" w:color="auto"/>
        <w:left w:val="none" w:sz="0" w:space="0" w:color="auto"/>
        <w:bottom w:val="none" w:sz="0" w:space="0" w:color="auto"/>
        <w:right w:val="none" w:sz="0" w:space="0" w:color="auto"/>
      </w:divBdr>
    </w:div>
    <w:div w:id="1616599299">
      <w:bodyDiv w:val="1"/>
      <w:marLeft w:val="0"/>
      <w:marRight w:val="0"/>
      <w:marTop w:val="0"/>
      <w:marBottom w:val="0"/>
      <w:divBdr>
        <w:top w:val="none" w:sz="0" w:space="0" w:color="auto"/>
        <w:left w:val="none" w:sz="0" w:space="0" w:color="auto"/>
        <w:bottom w:val="none" w:sz="0" w:space="0" w:color="auto"/>
        <w:right w:val="none" w:sz="0" w:space="0" w:color="auto"/>
      </w:divBdr>
      <w:divsChild>
        <w:div w:id="60756344">
          <w:marLeft w:val="0"/>
          <w:marRight w:val="0"/>
          <w:marTop w:val="0"/>
          <w:marBottom w:val="0"/>
          <w:divBdr>
            <w:top w:val="none" w:sz="0" w:space="0" w:color="auto"/>
            <w:left w:val="none" w:sz="0" w:space="0" w:color="auto"/>
            <w:bottom w:val="none" w:sz="0" w:space="0" w:color="auto"/>
            <w:right w:val="none" w:sz="0" w:space="0" w:color="auto"/>
          </w:divBdr>
        </w:div>
        <w:div w:id="198008592">
          <w:marLeft w:val="0"/>
          <w:marRight w:val="0"/>
          <w:marTop w:val="0"/>
          <w:marBottom w:val="0"/>
          <w:divBdr>
            <w:top w:val="none" w:sz="0" w:space="0" w:color="auto"/>
            <w:left w:val="none" w:sz="0" w:space="0" w:color="auto"/>
            <w:bottom w:val="none" w:sz="0" w:space="0" w:color="auto"/>
            <w:right w:val="none" w:sz="0" w:space="0" w:color="auto"/>
          </w:divBdr>
        </w:div>
        <w:div w:id="716667154">
          <w:marLeft w:val="0"/>
          <w:marRight w:val="0"/>
          <w:marTop w:val="0"/>
          <w:marBottom w:val="0"/>
          <w:divBdr>
            <w:top w:val="none" w:sz="0" w:space="0" w:color="auto"/>
            <w:left w:val="none" w:sz="0" w:space="0" w:color="auto"/>
            <w:bottom w:val="none" w:sz="0" w:space="0" w:color="auto"/>
            <w:right w:val="none" w:sz="0" w:space="0" w:color="auto"/>
          </w:divBdr>
        </w:div>
        <w:div w:id="1756046045">
          <w:marLeft w:val="0"/>
          <w:marRight w:val="0"/>
          <w:marTop w:val="0"/>
          <w:marBottom w:val="0"/>
          <w:divBdr>
            <w:top w:val="none" w:sz="0" w:space="0" w:color="auto"/>
            <w:left w:val="none" w:sz="0" w:space="0" w:color="auto"/>
            <w:bottom w:val="none" w:sz="0" w:space="0" w:color="auto"/>
            <w:right w:val="none" w:sz="0" w:space="0" w:color="auto"/>
          </w:divBdr>
        </w:div>
      </w:divsChild>
    </w:div>
    <w:div w:id="1666546013">
      <w:bodyDiv w:val="1"/>
      <w:marLeft w:val="0"/>
      <w:marRight w:val="0"/>
      <w:marTop w:val="0"/>
      <w:marBottom w:val="0"/>
      <w:divBdr>
        <w:top w:val="none" w:sz="0" w:space="0" w:color="auto"/>
        <w:left w:val="none" w:sz="0" w:space="0" w:color="auto"/>
        <w:bottom w:val="none" w:sz="0" w:space="0" w:color="auto"/>
        <w:right w:val="none" w:sz="0" w:space="0" w:color="auto"/>
      </w:divBdr>
    </w:div>
    <w:div w:id="1760559684">
      <w:bodyDiv w:val="1"/>
      <w:marLeft w:val="0"/>
      <w:marRight w:val="0"/>
      <w:marTop w:val="0"/>
      <w:marBottom w:val="0"/>
      <w:divBdr>
        <w:top w:val="none" w:sz="0" w:space="0" w:color="auto"/>
        <w:left w:val="none" w:sz="0" w:space="0" w:color="auto"/>
        <w:bottom w:val="none" w:sz="0" w:space="0" w:color="auto"/>
        <w:right w:val="none" w:sz="0" w:space="0" w:color="auto"/>
      </w:divBdr>
    </w:div>
    <w:div w:id="1840854095">
      <w:bodyDiv w:val="1"/>
      <w:marLeft w:val="0"/>
      <w:marRight w:val="0"/>
      <w:marTop w:val="0"/>
      <w:marBottom w:val="0"/>
      <w:divBdr>
        <w:top w:val="none" w:sz="0" w:space="0" w:color="auto"/>
        <w:left w:val="none" w:sz="0" w:space="0" w:color="auto"/>
        <w:bottom w:val="none" w:sz="0" w:space="0" w:color="auto"/>
        <w:right w:val="none" w:sz="0" w:space="0" w:color="auto"/>
      </w:divBdr>
    </w:div>
    <w:div w:id="1870339846">
      <w:bodyDiv w:val="1"/>
      <w:marLeft w:val="0"/>
      <w:marRight w:val="0"/>
      <w:marTop w:val="0"/>
      <w:marBottom w:val="0"/>
      <w:divBdr>
        <w:top w:val="none" w:sz="0" w:space="0" w:color="auto"/>
        <w:left w:val="none" w:sz="0" w:space="0" w:color="auto"/>
        <w:bottom w:val="none" w:sz="0" w:space="0" w:color="auto"/>
        <w:right w:val="none" w:sz="0" w:space="0" w:color="auto"/>
      </w:divBdr>
    </w:div>
    <w:div w:id="1910579206">
      <w:bodyDiv w:val="1"/>
      <w:marLeft w:val="0"/>
      <w:marRight w:val="0"/>
      <w:marTop w:val="0"/>
      <w:marBottom w:val="0"/>
      <w:divBdr>
        <w:top w:val="none" w:sz="0" w:space="0" w:color="auto"/>
        <w:left w:val="none" w:sz="0" w:space="0" w:color="auto"/>
        <w:bottom w:val="none" w:sz="0" w:space="0" w:color="auto"/>
        <w:right w:val="none" w:sz="0" w:space="0" w:color="auto"/>
      </w:divBdr>
    </w:div>
    <w:div w:id="1916744630">
      <w:bodyDiv w:val="1"/>
      <w:marLeft w:val="0"/>
      <w:marRight w:val="0"/>
      <w:marTop w:val="0"/>
      <w:marBottom w:val="0"/>
      <w:divBdr>
        <w:top w:val="none" w:sz="0" w:space="0" w:color="auto"/>
        <w:left w:val="none" w:sz="0" w:space="0" w:color="auto"/>
        <w:bottom w:val="none" w:sz="0" w:space="0" w:color="auto"/>
        <w:right w:val="none" w:sz="0" w:space="0" w:color="auto"/>
      </w:divBdr>
    </w:div>
    <w:div w:id="1992706865">
      <w:bodyDiv w:val="1"/>
      <w:marLeft w:val="0"/>
      <w:marRight w:val="0"/>
      <w:marTop w:val="0"/>
      <w:marBottom w:val="0"/>
      <w:divBdr>
        <w:top w:val="none" w:sz="0" w:space="0" w:color="auto"/>
        <w:left w:val="none" w:sz="0" w:space="0" w:color="auto"/>
        <w:bottom w:val="none" w:sz="0" w:space="0" w:color="auto"/>
        <w:right w:val="none" w:sz="0" w:space="0" w:color="auto"/>
      </w:divBdr>
    </w:div>
    <w:div w:id="2043482433">
      <w:bodyDiv w:val="1"/>
      <w:marLeft w:val="0"/>
      <w:marRight w:val="0"/>
      <w:marTop w:val="0"/>
      <w:marBottom w:val="0"/>
      <w:divBdr>
        <w:top w:val="none" w:sz="0" w:space="0" w:color="auto"/>
        <w:left w:val="none" w:sz="0" w:space="0" w:color="auto"/>
        <w:bottom w:val="none" w:sz="0" w:space="0" w:color="auto"/>
        <w:right w:val="none" w:sz="0" w:space="0" w:color="auto"/>
      </w:divBdr>
    </w:div>
    <w:div w:id="2106614685">
      <w:bodyDiv w:val="1"/>
      <w:marLeft w:val="0"/>
      <w:marRight w:val="0"/>
      <w:marTop w:val="0"/>
      <w:marBottom w:val="0"/>
      <w:divBdr>
        <w:top w:val="none" w:sz="0" w:space="0" w:color="auto"/>
        <w:left w:val="none" w:sz="0" w:space="0" w:color="auto"/>
        <w:bottom w:val="none" w:sz="0" w:space="0" w:color="auto"/>
        <w:right w:val="none" w:sz="0" w:space="0" w:color="auto"/>
      </w:divBdr>
    </w:div>
    <w:div w:id="21178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a15\AppData\Local\Temp\Temp1_TF_Template_Word_Windows_2010%20(1).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7EC4-4D07-4AA1-A245-D4C283CA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0</TotalTime>
  <Pages>3</Pages>
  <Words>10311</Words>
  <Characters>58777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68951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naa15</dc:creator>
  <cp:lastModifiedBy>gga05</cp:lastModifiedBy>
  <cp:revision>2</cp:revision>
  <cp:lastPrinted>2016-11-28T11:30:00Z</cp:lastPrinted>
  <dcterms:created xsi:type="dcterms:W3CDTF">2017-01-18T14:44:00Z</dcterms:created>
  <dcterms:modified xsi:type="dcterms:W3CDTF">2017-01-18T14:44:00Z</dcterms:modified>
</cp:coreProperties>
</file>