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0BDD2" w14:textId="5D7EE51A" w:rsidR="00611BDC" w:rsidRPr="00602EAB" w:rsidRDefault="00C11EF5" w:rsidP="00611BDC">
      <w:pPr>
        <w:jc w:val="both"/>
        <w:rPr>
          <w:rFonts w:asciiTheme="majorHAnsi" w:hAnsiTheme="majorHAnsi"/>
          <w:b/>
          <w:sz w:val="21"/>
          <w:szCs w:val="21"/>
        </w:rPr>
      </w:pPr>
      <w:r w:rsidRPr="00C11EF5">
        <w:rPr>
          <w:rFonts w:asciiTheme="majorHAnsi" w:hAnsiTheme="majorHAnsi"/>
          <w:b/>
          <w:sz w:val="21"/>
          <w:szCs w:val="21"/>
        </w:rPr>
        <w:t xml:space="preserve">Heat triggered </w:t>
      </w:r>
      <w:proofErr w:type="spellStart"/>
      <w:r w:rsidRPr="00C11EF5">
        <w:rPr>
          <w:rFonts w:asciiTheme="majorHAnsi" w:hAnsiTheme="majorHAnsi"/>
          <w:b/>
          <w:sz w:val="21"/>
          <w:szCs w:val="21"/>
        </w:rPr>
        <w:t>theranostics</w:t>
      </w:r>
      <w:proofErr w:type="spellEnd"/>
      <w:r w:rsidRPr="00C11EF5">
        <w:rPr>
          <w:rFonts w:asciiTheme="majorHAnsi" w:hAnsiTheme="majorHAnsi"/>
          <w:b/>
          <w:sz w:val="21"/>
          <w:szCs w:val="21"/>
        </w:rPr>
        <w:t xml:space="preserve"> for pancreatic cancer therapy</w:t>
      </w:r>
    </w:p>
    <w:p w14:paraId="3970CB1F" w14:textId="77777777" w:rsidR="00317680" w:rsidRDefault="00317680" w:rsidP="00317680">
      <w:pPr>
        <w:tabs>
          <w:tab w:val="left" w:pos="340"/>
        </w:tabs>
        <w:rPr>
          <w:b/>
          <w:bCs/>
          <w:caps/>
          <w:snapToGrid w:val="0"/>
        </w:rPr>
      </w:pPr>
      <w:bookmarkStart w:id="0" w:name="_GoBack"/>
      <w:bookmarkEnd w:id="0"/>
    </w:p>
    <w:p w14:paraId="06AC8B77" w14:textId="157EB84B" w:rsidR="00317680" w:rsidRPr="00317680" w:rsidRDefault="00317680" w:rsidP="00317680">
      <w:pPr>
        <w:tabs>
          <w:tab w:val="left" w:pos="340"/>
        </w:tabs>
        <w:rPr>
          <w:b/>
          <w:bCs/>
          <w:snapToGrid w:val="0"/>
        </w:rPr>
      </w:pPr>
      <w:r w:rsidRPr="0088015D">
        <w:rPr>
          <w:b/>
          <w:bCs/>
          <w:caps/>
          <w:snapToGrid w:val="0"/>
        </w:rPr>
        <w:t>INTRODUCTION</w:t>
      </w:r>
    </w:p>
    <w:p w14:paraId="246F0323" w14:textId="77777777" w:rsidR="00317680" w:rsidRPr="0088015D" w:rsidRDefault="00317680" w:rsidP="00317680">
      <w:pPr>
        <w:tabs>
          <w:tab w:val="left" w:pos="340"/>
        </w:tabs>
        <w:jc w:val="both"/>
        <w:rPr>
          <w:snapToGrid w:val="0"/>
        </w:rPr>
      </w:pPr>
      <w:r>
        <w:rPr>
          <w:rFonts w:eastAsia="MS PGothic"/>
          <w:color w:val="000000"/>
          <w:szCs w:val="32"/>
        </w:rPr>
        <w:t>Pancreatic</w:t>
      </w:r>
      <w:r w:rsidRPr="00964689">
        <w:rPr>
          <w:rFonts w:eastAsia="MS PGothic"/>
          <w:color w:val="000000"/>
          <w:szCs w:val="32"/>
        </w:rPr>
        <w:t xml:space="preserve"> cancer is the </w:t>
      </w:r>
      <w:r>
        <w:rPr>
          <w:rFonts w:eastAsia="MS PGothic"/>
          <w:color w:val="000000"/>
          <w:szCs w:val="32"/>
        </w:rPr>
        <w:t>4th</w:t>
      </w:r>
      <w:r w:rsidRPr="00964689">
        <w:rPr>
          <w:rFonts w:eastAsia="MS PGothic"/>
          <w:color w:val="000000"/>
          <w:szCs w:val="32"/>
        </w:rPr>
        <w:t xml:space="preserve"> </w:t>
      </w:r>
      <w:r>
        <w:rPr>
          <w:rFonts w:eastAsia="MS PGothic"/>
          <w:color w:val="000000"/>
          <w:szCs w:val="32"/>
        </w:rPr>
        <w:t>most aggressive cancer in the western world with less than</w:t>
      </w:r>
      <w:r w:rsidRPr="00964689">
        <w:rPr>
          <w:rFonts w:eastAsia="MS PGothic"/>
          <w:color w:val="000000"/>
          <w:szCs w:val="32"/>
        </w:rPr>
        <w:t xml:space="preserve"> 34% of patients surviv</w:t>
      </w:r>
      <w:r>
        <w:rPr>
          <w:rFonts w:eastAsia="MS PGothic"/>
          <w:color w:val="000000"/>
          <w:szCs w:val="32"/>
        </w:rPr>
        <w:t>ing past</w:t>
      </w:r>
      <w:r w:rsidRPr="00964689">
        <w:rPr>
          <w:rFonts w:eastAsia="MS PGothic"/>
          <w:color w:val="000000"/>
          <w:szCs w:val="32"/>
        </w:rPr>
        <w:t xml:space="preserve"> 5 years</w:t>
      </w:r>
      <w:r>
        <w:rPr>
          <w:rFonts w:eastAsia="MS PGothic"/>
          <w:color w:val="000000"/>
          <w:szCs w:val="32"/>
        </w:rPr>
        <w:t xml:space="preserve"> [1].</w:t>
      </w:r>
      <w:r w:rsidRPr="00964689">
        <w:rPr>
          <w:rFonts w:eastAsia="MS PGothic"/>
          <w:color w:val="000000"/>
          <w:szCs w:val="32"/>
        </w:rPr>
        <w:t xml:space="preserve"> </w:t>
      </w:r>
      <w:r>
        <w:rPr>
          <w:rFonts w:eastAsia="MS PGothic"/>
          <w:color w:val="000000"/>
          <w:szCs w:val="32"/>
        </w:rPr>
        <w:t xml:space="preserve">Lack of specific symptoms results in a delay in diagnosis. </w:t>
      </w:r>
      <w:r w:rsidRPr="00964689">
        <w:rPr>
          <w:rFonts w:eastAsia="MS PGothic"/>
          <w:color w:val="000000"/>
          <w:szCs w:val="32"/>
        </w:rPr>
        <w:t xml:space="preserve">Theranostics </w:t>
      </w:r>
      <w:r>
        <w:rPr>
          <w:rFonts w:eastAsia="MS PGothic"/>
          <w:color w:val="000000"/>
          <w:szCs w:val="32"/>
        </w:rPr>
        <w:t xml:space="preserve">are </w:t>
      </w:r>
      <w:r w:rsidRPr="00964689">
        <w:rPr>
          <w:rFonts w:eastAsia="MS PGothic"/>
          <w:color w:val="000000"/>
          <w:szCs w:val="32"/>
        </w:rPr>
        <w:t>new platform</w:t>
      </w:r>
      <w:r>
        <w:rPr>
          <w:rFonts w:eastAsia="MS PGothic"/>
          <w:color w:val="000000"/>
          <w:szCs w:val="32"/>
        </w:rPr>
        <w:t>s, which offer</w:t>
      </w:r>
      <w:r w:rsidRPr="00964689">
        <w:rPr>
          <w:rFonts w:eastAsia="MS PGothic"/>
          <w:color w:val="000000"/>
          <w:szCs w:val="32"/>
        </w:rPr>
        <w:t xml:space="preserve"> simultaneous diagnosis and therapy resulting in</w:t>
      </w:r>
      <w:r>
        <w:rPr>
          <w:rFonts w:eastAsia="MS PGothic"/>
          <w:color w:val="000000"/>
          <w:szCs w:val="32"/>
        </w:rPr>
        <w:t xml:space="preserve"> a decrease in treatment time [2]</w:t>
      </w:r>
      <w:r w:rsidRPr="00964689">
        <w:rPr>
          <w:rFonts w:eastAsia="MS PGothic"/>
          <w:color w:val="000000"/>
          <w:szCs w:val="32"/>
        </w:rPr>
        <w:t xml:space="preserve">. </w:t>
      </w:r>
      <w:r>
        <w:rPr>
          <w:rFonts w:eastAsia="MS PGothic"/>
          <w:color w:val="000000"/>
          <w:szCs w:val="32"/>
        </w:rPr>
        <w:t>Here</w:t>
      </w:r>
      <w:r w:rsidRPr="00964689">
        <w:rPr>
          <w:rFonts w:eastAsia="MS PGothic"/>
          <w:color w:val="000000"/>
          <w:szCs w:val="32"/>
        </w:rPr>
        <w:t xml:space="preserve"> treatments</w:t>
      </w:r>
      <w:r>
        <w:rPr>
          <w:rFonts w:eastAsia="MS PGothic"/>
          <w:color w:val="000000"/>
          <w:szCs w:val="32"/>
        </w:rPr>
        <w:t xml:space="preserve"> are conjugated</w:t>
      </w:r>
      <w:r w:rsidRPr="00964689">
        <w:rPr>
          <w:rFonts w:eastAsia="MS PGothic"/>
          <w:color w:val="000000"/>
          <w:szCs w:val="32"/>
        </w:rPr>
        <w:t xml:space="preserve"> </w:t>
      </w:r>
      <w:r>
        <w:rPr>
          <w:rFonts w:eastAsia="MS PGothic"/>
          <w:color w:val="000000"/>
          <w:szCs w:val="32"/>
        </w:rPr>
        <w:t>on</w:t>
      </w:r>
      <w:r w:rsidRPr="00964689">
        <w:rPr>
          <w:rFonts w:eastAsia="MS PGothic"/>
          <w:color w:val="000000"/>
          <w:szCs w:val="32"/>
        </w:rPr>
        <w:t>to diagnostics</w:t>
      </w:r>
      <w:r>
        <w:rPr>
          <w:rFonts w:eastAsia="MS PGothic"/>
          <w:color w:val="000000"/>
          <w:szCs w:val="32"/>
        </w:rPr>
        <w:t xml:space="preserve"> by thermally reversible binding</w:t>
      </w:r>
      <w:r w:rsidRPr="00964689">
        <w:rPr>
          <w:rFonts w:eastAsia="MS PGothic"/>
          <w:color w:val="000000"/>
          <w:szCs w:val="32"/>
        </w:rPr>
        <w:t xml:space="preserve"> </w:t>
      </w:r>
      <w:r>
        <w:rPr>
          <w:rFonts w:eastAsia="MS PGothic"/>
          <w:color w:val="000000"/>
          <w:szCs w:val="32"/>
        </w:rPr>
        <w:t>allowing for triggered</w:t>
      </w:r>
      <w:r w:rsidRPr="00964689">
        <w:rPr>
          <w:rFonts w:eastAsia="MS PGothic"/>
          <w:color w:val="000000"/>
          <w:szCs w:val="32"/>
        </w:rPr>
        <w:t xml:space="preserve"> drug release</w:t>
      </w:r>
      <w:r>
        <w:rPr>
          <w:rFonts w:eastAsia="MS PGothic"/>
          <w:color w:val="000000"/>
          <w:szCs w:val="32"/>
        </w:rPr>
        <w:t xml:space="preserve"> and hence a rapid and</w:t>
      </w:r>
      <w:r w:rsidRPr="00964689">
        <w:rPr>
          <w:rFonts w:eastAsia="MS PGothic"/>
          <w:color w:val="000000"/>
          <w:szCs w:val="32"/>
        </w:rPr>
        <w:t xml:space="preserve"> localised clinical effect</w:t>
      </w:r>
      <w:r>
        <w:rPr>
          <w:rFonts w:eastAsia="MS PGothic"/>
          <w:color w:val="000000"/>
          <w:szCs w:val="32"/>
        </w:rPr>
        <w:t xml:space="preserve"> is achieved</w:t>
      </w:r>
      <w:r w:rsidRPr="00964689">
        <w:rPr>
          <w:rFonts w:eastAsia="MS PGothic"/>
          <w:color w:val="000000"/>
          <w:szCs w:val="32"/>
        </w:rPr>
        <w:t>.</w:t>
      </w:r>
      <w:r>
        <w:rPr>
          <w:rFonts w:eastAsia="MS PGothic"/>
          <w:color w:val="000000"/>
          <w:szCs w:val="32"/>
        </w:rPr>
        <w:t xml:space="preserve"> </w:t>
      </w:r>
      <w:r w:rsidRPr="00964689">
        <w:rPr>
          <w:rFonts w:eastAsia="MS PGothic"/>
          <w:color w:val="000000"/>
          <w:szCs w:val="32"/>
        </w:rPr>
        <w:t>Hybrid nanoparticles are composed of an iron oxide core surrounded by a rigid gold shell</w:t>
      </w:r>
      <w:r>
        <w:rPr>
          <w:rFonts w:eastAsia="MS PGothic"/>
          <w:color w:val="000000"/>
          <w:szCs w:val="32"/>
        </w:rPr>
        <w:t xml:space="preserve"> [3]</w:t>
      </w:r>
      <w:r w:rsidRPr="00964689">
        <w:rPr>
          <w:rFonts w:eastAsia="MS PGothic"/>
          <w:color w:val="000000"/>
          <w:szCs w:val="32"/>
        </w:rPr>
        <w:t>. These particles undergo manipulation due to inh</w:t>
      </w:r>
      <w:r>
        <w:rPr>
          <w:rFonts w:eastAsia="MS PGothic"/>
          <w:color w:val="000000"/>
          <w:szCs w:val="32"/>
        </w:rPr>
        <w:t xml:space="preserve">erent magnetism of the core whilst laser irradiation of their gold shell results in localised heating due to exploitation of their surface </w:t>
      </w:r>
      <w:proofErr w:type="spellStart"/>
      <w:r>
        <w:rPr>
          <w:rFonts w:eastAsia="MS PGothic"/>
          <w:color w:val="000000"/>
          <w:szCs w:val="32"/>
        </w:rPr>
        <w:t>plasmon</w:t>
      </w:r>
      <w:proofErr w:type="spellEnd"/>
      <w:r>
        <w:rPr>
          <w:rFonts w:eastAsia="MS PGothic"/>
          <w:color w:val="000000"/>
          <w:szCs w:val="32"/>
        </w:rPr>
        <w:t xml:space="preserve"> resonance. Hence, they can be utilised as diagnostics using MRI and</w:t>
      </w:r>
      <w:r w:rsidRPr="00964689">
        <w:rPr>
          <w:rFonts w:eastAsia="MS PGothic"/>
          <w:color w:val="000000"/>
          <w:szCs w:val="32"/>
        </w:rPr>
        <w:t xml:space="preserve"> laser irradiation can </w:t>
      </w:r>
      <w:r>
        <w:rPr>
          <w:rFonts w:eastAsia="MS PGothic"/>
          <w:color w:val="000000"/>
          <w:szCs w:val="32"/>
        </w:rPr>
        <w:t>be used as an initiator</w:t>
      </w:r>
      <w:r w:rsidRPr="00964689">
        <w:rPr>
          <w:rFonts w:eastAsia="MS PGothic"/>
          <w:color w:val="000000"/>
          <w:szCs w:val="32"/>
        </w:rPr>
        <w:t xml:space="preserve"> </w:t>
      </w:r>
      <w:r>
        <w:rPr>
          <w:rFonts w:eastAsia="MS PGothic"/>
          <w:color w:val="000000"/>
          <w:szCs w:val="32"/>
        </w:rPr>
        <w:t xml:space="preserve">for </w:t>
      </w:r>
      <w:r w:rsidRPr="00964689">
        <w:rPr>
          <w:rFonts w:eastAsia="MS PGothic"/>
          <w:color w:val="000000"/>
          <w:szCs w:val="32"/>
        </w:rPr>
        <w:t>drug release.</w:t>
      </w:r>
    </w:p>
    <w:p w14:paraId="51D82450" w14:textId="77777777" w:rsidR="00317680" w:rsidRPr="0088015D" w:rsidRDefault="00317680" w:rsidP="00317680">
      <w:pPr>
        <w:pStyle w:val="Heading3"/>
        <w:tabs>
          <w:tab w:val="left" w:pos="340"/>
        </w:tabs>
        <w:spacing w:line="240" w:lineRule="auto"/>
        <w:rPr>
          <w:b/>
          <w:bCs/>
          <w:i w:val="0"/>
          <w:caps/>
          <w:sz w:val="20"/>
          <w:lang w:val="en-GB"/>
        </w:rPr>
      </w:pPr>
    </w:p>
    <w:p w14:paraId="575DADC4" w14:textId="262FDEAF" w:rsidR="00317680" w:rsidRPr="00317680" w:rsidRDefault="00317680" w:rsidP="00317680">
      <w:pPr>
        <w:pStyle w:val="Heading3"/>
        <w:tabs>
          <w:tab w:val="left" w:pos="340"/>
        </w:tabs>
        <w:spacing w:line="240" w:lineRule="auto"/>
        <w:rPr>
          <w:b/>
          <w:bCs/>
          <w:i w:val="0"/>
          <w:sz w:val="22"/>
          <w:lang w:val="en-GB"/>
        </w:rPr>
      </w:pPr>
      <w:r w:rsidRPr="00317680">
        <w:rPr>
          <w:b/>
          <w:bCs/>
          <w:i w:val="0"/>
          <w:caps/>
          <w:sz w:val="22"/>
          <w:lang w:val="en-GB"/>
        </w:rPr>
        <w:t>Methods</w:t>
      </w:r>
    </w:p>
    <w:p w14:paraId="3FE01B09" w14:textId="77777777" w:rsidR="00317680" w:rsidRPr="00F079FE" w:rsidRDefault="00317680" w:rsidP="00317680">
      <w:pPr>
        <w:jc w:val="both"/>
        <w:rPr>
          <w:rFonts w:cs="Arial"/>
        </w:rPr>
      </w:pPr>
      <w:r w:rsidRPr="00CE62D9">
        <w:rPr>
          <w:rFonts w:cs="Arial"/>
        </w:rPr>
        <w:t xml:space="preserve">Proof of concept studies have been carried out using a novel </w:t>
      </w:r>
      <w:proofErr w:type="spellStart"/>
      <w:r w:rsidRPr="00CE62D9">
        <w:rPr>
          <w:rFonts w:cs="Arial"/>
        </w:rPr>
        <w:t>bisnaphthalamido</w:t>
      </w:r>
      <w:proofErr w:type="spellEnd"/>
      <w:r w:rsidRPr="00CE62D9">
        <w:rPr>
          <w:rFonts w:cs="Arial"/>
        </w:rPr>
        <w:t xml:space="preserve"> (BNIP) based drug series. BNIPs are a series of novel compounds</w:t>
      </w:r>
      <w:r>
        <w:rPr>
          <w:rFonts w:cs="Arial"/>
        </w:rPr>
        <w:t>,</w:t>
      </w:r>
      <w:r w:rsidRPr="00CE62D9">
        <w:rPr>
          <w:rFonts w:cs="Arial"/>
        </w:rPr>
        <w:t xml:space="preserve"> which have exhibited exciting potential as chemotherapy agents</w:t>
      </w:r>
      <w:r>
        <w:rPr>
          <w:rFonts w:cs="Arial"/>
        </w:rPr>
        <w:t xml:space="preserve"> [4,5]</w:t>
      </w:r>
      <w:r w:rsidRPr="00CE62D9">
        <w:rPr>
          <w:rFonts w:cs="Arial"/>
        </w:rPr>
        <w:t xml:space="preserve">. HNPs were fabricated and characterised using </w:t>
      </w:r>
      <w:r>
        <w:rPr>
          <w:rFonts w:cs="Arial"/>
        </w:rPr>
        <w:t>photon correlation spectroscopy (</w:t>
      </w:r>
      <w:r w:rsidRPr="00CE62D9">
        <w:rPr>
          <w:rFonts w:cs="Arial"/>
        </w:rPr>
        <w:t>PCS</w:t>
      </w:r>
      <w:r>
        <w:rPr>
          <w:rFonts w:cs="Arial"/>
        </w:rPr>
        <w:t>)</w:t>
      </w:r>
      <w:r w:rsidRPr="00CE62D9">
        <w:rPr>
          <w:rFonts w:cs="Arial"/>
        </w:rPr>
        <w:t xml:space="preserve">, </w:t>
      </w:r>
      <w:r>
        <w:rPr>
          <w:rFonts w:cs="Arial"/>
        </w:rPr>
        <w:t>transmission electron microscopy (</w:t>
      </w:r>
      <w:r w:rsidRPr="00CE62D9">
        <w:rPr>
          <w:rFonts w:cs="Arial"/>
        </w:rPr>
        <w:t>TEM</w:t>
      </w:r>
      <w:r>
        <w:rPr>
          <w:rFonts w:cs="Arial"/>
        </w:rPr>
        <w:t>), magnetic resonance imaging (</w:t>
      </w:r>
      <w:r w:rsidRPr="00CE62D9">
        <w:rPr>
          <w:rFonts w:cs="Arial"/>
        </w:rPr>
        <w:t>MRI</w:t>
      </w:r>
      <w:r>
        <w:rPr>
          <w:rFonts w:cs="Arial"/>
        </w:rPr>
        <w:t>)</w:t>
      </w:r>
      <w:r w:rsidRPr="00CE62D9">
        <w:rPr>
          <w:rFonts w:cs="Arial"/>
        </w:rPr>
        <w:t xml:space="preserve">, </w:t>
      </w:r>
      <w:r>
        <w:rPr>
          <w:rFonts w:cs="Arial"/>
        </w:rPr>
        <w:t>super quantum interference device (</w:t>
      </w:r>
      <w:r w:rsidRPr="00CE62D9">
        <w:rPr>
          <w:rFonts w:cs="Arial"/>
        </w:rPr>
        <w:t>SQUID</w:t>
      </w:r>
      <w:r>
        <w:rPr>
          <w:rFonts w:cs="Arial"/>
        </w:rPr>
        <w:t>)</w:t>
      </w:r>
      <w:r w:rsidRPr="00CE62D9">
        <w:rPr>
          <w:rFonts w:cs="Arial"/>
        </w:rPr>
        <w:t xml:space="preserve"> and zeta potential measurement. Drug conjugation and release was quantified using reverse phase </w:t>
      </w:r>
      <w:r>
        <w:rPr>
          <w:rFonts w:cs="Arial"/>
        </w:rPr>
        <w:t>high performance liquid chromatography (</w:t>
      </w:r>
      <w:r w:rsidRPr="00CE62D9">
        <w:rPr>
          <w:rFonts w:cs="Arial"/>
        </w:rPr>
        <w:t>HPLC</w:t>
      </w:r>
      <w:r>
        <w:rPr>
          <w:rFonts w:cs="Arial"/>
        </w:rPr>
        <w:t>)</w:t>
      </w:r>
      <w:r w:rsidRPr="00CE62D9">
        <w:rPr>
          <w:rFonts w:cs="Arial"/>
        </w:rPr>
        <w:t xml:space="preserve">. Cellular response and cytotoxicity assays were carried out using trypan blue exclusion, </w:t>
      </w:r>
      <w:r w:rsidRPr="00F079FE">
        <w:rPr>
          <w:rFonts w:cs="Arial"/>
        </w:rPr>
        <w:t>3-(4,</w:t>
      </w:r>
      <w:r w:rsidRPr="005926C3">
        <w:rPr>
          <w:rFonts w:cs="Arial"/>
          <w:color w:val="000000" w:themeColor="text1"/>
        </w:rPr>
        <w:t>5-</w:t>
      </w:r>
      <w:hyperlink r:id="rId6" w:tooltip="Di-" w:history="1">
        <w:r w:rsidRPr="005926C3">
          <w:rPr>
            <w:rStyle w:val="Hyperlink"/>
            <w:rFonts w:cs="Arial"/>
            <w:color w:val="000000" w:themeColor="text1"/>
            <w:u w:val="none"/>
          </w:rPr>
          <w:t>di</w:t>
        </w:r>
      </w:hyperlink>
      <w:hyperlink r:id="rId7" w:tooltip="Methyl" w:history="1">
        <w:r w:rsidRPr="005926C3">
          <w:rPr>
            <w:rStyle w:val="Hyperlink"/>
            <w:rFonts w:cs="Arial"/>
            <w:color w:val="000000" w:themeColor="text1"/>
            <w:u w:val="none"/>
          </w:rPr>
          <w:t>methyl</w:t>
        </w:r>
      </w:hyperlink>
      <w:hyperlink r:id="rId8" w:tooltip="Thiazole" w:history="1">
        <w:r w:rsidRPr="005926C3">
          <w:rPr>
            <w:rStyle w:val="Hyperlink"/>
            <w:rFonts w:cs="Arial"/>
            <w:color w:val="000000" w:themeColor="text1"/>
            <w:u w:val="none"/>
          </w:rPr>
          <w:t>thiazol</w:t>
        </w:r>
      </w:hyperlink>
      <w:r w:rsidRPr="005926C3">
        <w:rPr>
          <w:rFonts w:cs="Arial"/>
          <w:color w:val="000000" w:themeColor="text1"/>
        </w:rPr>
        <w:t>-2-yl)-2,5-di</w:t>
      </w:r>
      <w:hyperlink r:id="rId9" w:tooltip="Phenyl" w:history="1">
        <w:r w:rsidRPr="005926C3">
          <w:rPr>
            <w:rStyle w:val="Hyperlink"/>
            <w:rFonts w:cs="Arial"/>
            <w:color w:val="000000" w:themeColor="text1"/>
            <w:u w:val="none"/>
          </w:rPr>
          <w:t>phenyl</w:t>
        </w:r>
      </w:hyperlink>
      <w:r w:rsidRPr="005926C3">
        <w:rPr>
          <w:rFonts w:cs="Arial"/>
          <w:color w:val="000000" w:themeColor="text1"/>
        </w:rPr>
        <w:t xml:space="preserve">tetrazolium </w:t>
      </w:r>
      <w:r w:rsidRPr="00F079FE">
        <w:rPr>
          <w:rFonts w:cs="Arial"/>
        </w:rPr>
        <w:t>bromide</w:t>
      </w:r>
    </w:p>
    <w:p w14:paraId="1379F227" w14:textId="77777777" w:rsidR="00317680" w:rsidRPr="00F079FE" w:rsidRDefault="00317680" w:rsidP="00317680">
      <w:pPr>
        <w:jc w:val="both"/>
        <w:rPr>
          <w:rFonts w:cs="Arial"/>
        </w:rPr>
      </w:pPr>
      <w:r w:rsidRPr="00F079FE">
        <w:rPr>
          <w:rFonts w:cs="Arial"/>
        </w:rPr>
        <w:t xml:space="preserve">(MTT) assay and atomic force microscopy. </w:t>
      </w:r>
    </w:p>
    <w:p w14:paraId="484B7964" w14:textId="77777777" w:rsidR="00317680" w:rsidRPr="0088015D" w:rsidRDefault="00317680" w:rsidP="00317680">
      <w:pPr>
        <w:pStyle w:val="BodyTextIndent2"/>
        <w:tabs>
          <w:tab w:val="left" w:pos="340"/>
        </w:tabs>
        <w:ind w:firstLine="0"/>
        <w:rPr>
          <w:lang w:val="en-GB" w:eastAsia="en-US"/>
        </w:rPr>
      </w:pPr>
      <w:r w:rsidRPr="0088015D">
        <w:rPr>
          <w:lang w:val="en-GB" w:eastAsia="en-US"/>
        </w:rPr>
        <w:tab/>
      </w:r>
    </w:p>
    <w:p w14:paraId="57CA6AF5" w14:textId="16F09279" w:rsidR="00317680" w:rsidRPr="00317680" w:rsidRDefault="00317680" w:rsidP="00317680">
      <w:pPr>
        <w:tabs>
          <w:tab w:val="left" w:pos="340"/>
        </w:tabs>
        <w:rPr>
          <w:b/>
          <w:caps/>
          <w:snapToGrid w:val="0"/>
        </w:rPr>
      </w:pPr>
      <w:r w:rsidRPr="007F75C3">
        <w:rPr>
          <w:b/>
          <w:snapToGrid w:val="0"/>
        </w:rPr>
        <w:t xml:space="preserve">RESULTS </w:t>
      </w:r>
    </w:p>
    <w:p w14:paraId="03C8F760" w14:textId="77777777" w:rsidR="00317680" w:rsidRDefault="00317680" w:rsidP="00317680">
      <w:pPr>
        <w:jc w:val="both"/>
        <w:rPr>
          <w:rFonts w:eastAsia="MS PGothic"/>
          <w:color w:val="000000"/>
          <w:szCs w:val="32"/>
        </w:rPr>
      </w:pPr>
      <w:r>
        <w:rPr>
          <w:rFonts w:eastAsia="MS PGothic"/>
          <w:color w:val="000000"/>
          <w:szCs w:val="32"/>
        </w:rPr>
        <w:t>In our studies, we</w:t>
      </w:r>
      <w:r w:rsidRPr="00DA0304">
        <w:rPr>
          <w:rFonts w:eastAsia="MS PGothic"/>
          <w:color w:val="000000"/>
          <w:szCs w:val="32"/>
        </w:rPr>
        <w:t xml:space="preserve"> design</w:t>
      </w:r>
      <w:r>
        <w:rPr>
          <w:rFonts w:eastAsia="MS PGothic"/>
          <w:color w:val="000000"/>
          <w:szCs w:val="32"/>
        </w:rPr>
        <w:t>ed</w:t>
      </w:r>
      <w:r w:rsidRPr="00DA0304">
        <w:rPr>
          <w:rFonts w:eastAsia="MS PGothic"/>
          <w:color w:val="000000"/>
          <w:szCs w:val="32"/>
        </w:rPr>
        <w:t xml:space="preserve"> </w:t>
      </w:r>
      <w:r>
        <w:rPr>
          <w:rFonts w:eastAsia="MS PGothic"/>
          <w:color w:val="000000"/>
          <w:szCs w:val="32"/>
        </w:rPr>
        <w:t xml:space="preserve">hybrid nanoparticles (50 nm) capable of drug loading onto their surface (3:1:0.25, </w:t>
      </w:r>
      <w:proofErr w:type="spellStart"/>
      <w:proofErr w:type="gramStart"/>
      <w:r>
        <w:rPr>
          <w:rFonts w:eastAsia="MS PGothic"/>
          <w:color w:val="000000"/>
          <w:szCs w:val="32"/>
        </w:rPr>
        <w:t>Drug:Fe</w:t>
      </w:r>
      <w:proofErr w:type="gramEnd"/>
      <w:r>
        <w:rPr>
          <w:rFonts w:eastAsia="MS PGothic"/>
          <w:color w:val="000000"/>
          <w:szCs w:val="32"/>
        </w:rPr>
        <w:t>:Au</w:t>
      </w:r>
      <w:proofErr w:type="spellEnd"/>
      <w:r>
        <w:rPr>
          <w:rFonts w:eastAsia="MS PGothic"/>
          <w:color w:val="000000"/>
          <w:szCs w:val="32"/>
        </w:rPr>
        <w:t>). By exploiting the gold surface-to-drug interaction</w:t>
      </w:r>
      <w:r w:rsidRPr="00C80EE9">
        <w:rPr>
          <w:rFonts w:eastAsia="MS PGothic"/>
          <w:color w:val="000000"/>
          <w:szCs w:val="32"/>
        </w:rPr>
        <w:t xml:space="preserve"> </w:t>
      </w:r>
      <w:r>
        <w:rPr>
          <w:rFonts w:eastAsia="MS PGothic"/>
          <w:color w:val="000000"/>
          <w:szCs w:val="32"/>
        </w:rPr>
        <w:t xml:space="preserve">of a range of </w:t>
      </w:r>
      <w:r w:rsidRPr="00C80EE9">
        <w:rPr>
          <w:rFonts w:eastAsia="MS PGothic"/>
          <w:color w:val="000000"/>
          <w:szCs w:val="32"/>
        </w:rPr>
        <w:t xml:space="preserve">novel </w:t>
      </w:r>
      <w:proofErr w:type="spellStart"/>
      <w:r>
        <w:rPr>
          <w:rFonts w:eastAsia="MS PGothic"/>
          <w:color w:val="000000"/>
          <w:szCs w:val="32"/>
        </w:rPr>
        <w:t>Bisnaphtalamido</w:t>
      </w:r>
      <w:proofErr w:type="spellEnd"/>
      <w:r>
        <w:rPr>
          <w:rFonts w:eastAsia="MS PGothic"/>
          <w:color w:val="000000"/>
          <w:szCs w:val="32"/>
        </w:rPr>
        <w:t xml:space="preserve"> based </w:t>
      </w:r>
      <w:r w:rsidRPr="00C80EE9">
        <w:rPr>
          <w:rFonts w:eastAsia="MS PGothic"/>
          <w:color w:val="000000"/>
          <w:szCs w:val="32"/>
        </w:rPr>
        <w:t>agent</w:t>
      </w:r>
      <w:r>
        <w:rPr>
          <w:rFonts w:eastAsia="MS PGothic"/>
          <w:color w:val="000000"/>
          <w:szCs w:val="32"/>
        </w:rPr>
        <w:t>s</w:t>
      </w:r>
      <w:r w:rsidRPr="00C80EE9">
        <w:rPr>
          <w:rFonts w:eastAsia="MS PGothic"/>
          <w:color w:val="000000"/>
          <w:szCs w:val="32"/>
        </w:rPr>
        <w:t xml:space="preserve"> </w:t>
      </w:r>
      <w:r>
        <w:rPr>
          <w:rFonts w:eastAsia="MS PGothic"/>
          <w:color w:val="000000"/>
          <w:szCs w:val="32"/>
        </w:rPr>
        <w:t xml:space="preserve">(Fig. 1) a system with heat triggered drug release was produced. </w:t>
      </w:r>
    </w:p>
    <w:p w14:paraId="6181EFF5" w14:textId="77777777" w:rsidR="00317680" w:rsidRDefault="00317680" w:rsidP="00317680">
      <w:pPr>
        <w:jc w:val="both"/>
        <w:rPr>
          <w:rFonts w:eastAsia="MS PGothic"/>
          <w:color w:val="000000"/>
          <w:szCs w:val="32"/>
        </w:rPr>
      </w:pPr>
    </w:p>
    <w:p w14:paraId="50DF6531" w14:textId="77777777" w:rsidR="00317680" w:rsidRDefault="00317680" w:rsidP="00317680">
      <w:pPr>
        <w:jc w:val="both"/>
        <w:rPr>
          <w:rFonts w:eastAsia="MS PGothic"/>
          <w:color w:val="000000"/>
          <w:szCs w:val="32"/>
        </w:rPr>
      </w:pPr>
    </w:p>
    <w:p w14:paraId="30ACBDDF" w14:textId="1E529745" w:rsidR="00317680" w:rsidRDefault="00317680" w:rsidP="00317680">
      <w:pPr>
        <w:jc w:val="center"/>
        <w:rPr>
          <w:snapToGrid w:val="0"/>
          <w:sz w:val="16"/>
        </w:rPr>
      </w:pPr>
      <w:r>
        <w:rPr>
          <w:noProof/>
          <w:lang w:eastAsia="en-GB"/>
        </w:rPr>
        <w:drawing>
          <wp:inline distT="0" distB="0" distL="0" distR="0" wp14:anchorId="60A83958" wp14:editId="0F67DB3E">
            <wp:extent cx="2489200" cy="127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200" cy="1270000"/>
                    </a:xfrm>
                    <a:prstGeom prst="rect">
                      <a:avLst/>
                    </a:prstGeom>
                    <a:noFill/>
                    <a:ln>
                      <a:noFill/>
                    </a:ln>
                  </pic:spPr>
                </pic:pic>
              </a:graphicData>
            </a:graphic>
          </wp:inline>
        </w:drawing>
      </w:r>
    </w:p>
    <w:p w14:paraId="6DFCEE86" w14:textId="77777777" w:rsidR="00317680" w:rsidRPr="0088015D" w:rsidRDefault="00317680" w:rsidP="00317680">
      <w:pPr>
        <w:tabs>
          <w:tab w:val="left" w:pos="340"/>
        </w:tabs>
        <w:rPr>
          <w:snapToGrid w:val="0"/>
          <w:sz w:val="16"/>
        </w:rPr>
      </w:pPr>
    </w:p>
    <w:p w14:paraId="1B5774B5" w14:textId="77777777" w:rsidR="00317680" w:rsidRPr="0088015D" w:rsidRDefault="00317680" w:rsidP="00317680">
      <w:pPr>
        <w:tabs>
          <w:tab w:val="left" w:pos="340"/>
        </w:tabs>
        <w:jc w:val="center"/>
        <w:rPr>
          <w:snapToGrid w:val="0"/>
          <w:sz w:val="16"/>
        </w:rPr>
      </w:pPr>
    </w:p>
    <w:p w14:paraId="0524F822" w14:textId="77777777" w:rsidR="00317680" w:rsidRPr="0088015D" w:rsidRDefault="00317680" w:rsidP="00317680">
      <w:pPr>
        <w:tabs>
          <w:tab w:val="left" w:pos="340"/>
        </w:tabs>
        <w:jc w:val="center"/>
        <w:rPr>
          <w:snapToGrid w:val="0"/>
          <w:sz w:val="16"/>
        </w:rPr>
      </w:pPr>
      <w:r w:rsidRPr="0088015D">
        <w:rPr>
          <w:snapToGrid w:val="0"/>
          <w:sz w:val="16"/>
        </w:rPr>
        <w:t xml:space="preserve">Fig. 1. </w:t>
      </w:r>
      <w:r w:rsidRPr="008879C5">
        <w:rPr>
          <w:i/>
          <w:sz w:val="18"/>
        </w:rPr>
        <w:t>Drug compounds attached to HNPs</w:t>
      </w:r>
    </w:p>
    <w:p w14:paraId="16777C9B" w14:textId="77777777" w:rsidR="00317680" w:rsidRDefault="00317680" w:rsidP="00317680">
      <w:pPr>
        <w:jc w:val="both"/>
        <w:rPr>
          <w:rFonts w:eastAsia="MS PGothic"/>
          <w:color w:val="000000"/>
          <w:szCs w:val="32"/>
        </w:rPr>
      </w:pPr>
    </w:p>
    <w:p w14:paraId="00F410A4" w14:textId="77777777" w:rsidR="00317680" w:rsidRDefault="00317680" w:rsidP="00317680">
      <w:pPr>
        <w:jc w:val="both"/>
        <w:rPr>
          <w:rFonts w:eastAsia="MS PGothic"/>
          <w:color w:val="000000"/>
          <w:szCs w:val="32"/>
        </w:rPr>
      </w:pPr>
    </w:p>
    <w:p w14:paraId="79FE8518" w14:textId="4FC6BE18" w:rsidR="00317680" w:rsidRDefault="00317680" w:rsidP="00317680">
      <w:pPr>
        <w:jc w:val="both"/>
        <w:rPr>
          <w:rFonts w:eastAsia="MS PGothic"/>
          <w:color w:val="000000"/>
          <w:szCs w:val="32"/>
        </w:rPr>
      </w:pPr>
      <w:r>
        <w:rPr>
          <w:rFonts w:eastAsia="MS PGothic"/>
          <w:i/>
          <w:color w:val="000000"/>
          <w:szCs w:val="32"/>
        </w:rPr>
        <w:lastRenderedPageBreak/>
        <w:t>I</w:t>
      </w:r>
      <w:r w:rsidRPr="00964689">
        <w:rPr>
          <w:rFonts w:eastAsia="MS PGothic"/>
          <w:i/>
          <w:color w:val="000000"/>
          <w:szCs w:val="32"/>
        </w:rPr>
        <w:t>n vitro</w:t>
      </w:r>
      <w:r w:rsidRPr="00C80EE9">
        <w:rPr>
          <w:rFonts w:eastAsia="MS PGothic"/>
          <w:color w:val="000000"/>
          <w:szCs w:val="32"/>
        </w:rPr>
        <w:t xml:space="preserve"> studies of these formulations </w:t>
      </w:r>
      <w:r>
        <w:rPr>
          <w:rFonts w:eastAsia="MS PGothic"/>
          <w:color w:val="000000"/>
          <w:szCs w:val="32"/>
        </w:rPr>
        <w:t>showed the novel formulations possess a 10-fold lower IC</w:t>
      </w:r>
      <w:r w:rsidRPr="00BA6515">
        <w:rPr>
          <w:rFonts w:eastAsia="MS PGothic"/>
          <w:color w:val="000000"/>
          <w:szCs w:val="32"/>
          <w:vertAlign w:val="subscript"/>
        </w:rPr>
        <w:t>50</w:t>
      </w:r>
      <w:r>
        <w:rPr>
          <w:rFonts w:eastAsia="MS PGothic"/>
          <w:color w:val="000000"/>
          <w:szCs w:val="32"/>
        </w:rPr>
        <w:t xml:space="preserve"> value when compared with the free drug after only 24 h. These cytotoxicity studies combined with cellular uptake studies showed the formulations to be significantly more effective compared with gemcitabine (a nucleoside analogue marketed as </w:t>
      </w:r>
      <w:proofErr w:type="spellStart"/>
      <w:r>
        <w:rPr>
          <w:rFonts w:eastAsia="MS PGothic"/>
          <w:color w:val="000000"/>
          <w:szCs w:val="32"/>
        </w:rPr>
        <w:t>Gemzar</w:t>
      </w:r>
      <w:proofErr w:type="spellEnd"/>
      <w:r>
        <w:rPr>
          <w:rFonts w:eastAsia="MS PGothic"/>
          <w:color w:val="000000"/>
          <w:szCs w:val="32"/>
        </w:rPr>
        <w:t xml:space="preserve">). </w:t>
      </w:r>
      <w:r>
        <w:rPr>
          <w:rFonts w:eastAsia="MS PGothic"/>
          <w:i/>
          <w:color w:val="000000"/>
          <w:szCs w:val="32"/>
        </w:rPr>
        <w:t>I</w:t>
      </w:r>
      <w:r w:rsidRPr="00596F69">
        <w:rPr>
          <w:rFonts w:eastAsia="MS PGothic"/>
          <w:i/>
          <w:color w:val="000000"/>
          <w:szCs w:val="32"/>
        </w:rPr>
        <w:t>n vivo</w:t>
      </w:r>
      <w:r>
        <w:rPr>
          <w:rFonts w:eastAsia="MS PGothic"/>
          <w:color w:val="000000"/>
          <w:szCs w:val="32"/>
        </w:rPr>
        <w:t xml:space="preserve"> trials have confirmed the in vitro findings that HNPs possess the ability to control drug release after heat initiation and significantly improve current cancer therapies.</w:t>
      </w:r>
    </w:p>
    <w:p w14:paraId="3444DB16" w14:textId="77777777" w:rsidR="00317680" w:rsidRDefault="00317680" w:rsidP="00317680">
      <w:pPr>
        <w:jc w:val="both"/>
        <w:rPr>
          <w:rFonts w:eastAsia="MS PGothic"/>
          <w:color w:val="000000"/>
          <w:szCs w:val="32"/>
        </w:rPr>
      </w:pPr>
    </w:p>
    <w:p w14:paraId="5095AE16" w14:textId="77777777" w:rsidR="00317680" w:rsidRDefault="00317680" w:rsidP="00317680">
      <w:pPr>
        <w:jc w:val="both"/>
        <w:rPr>
          <w:rFonts w:eastAsia="MS PGothic"/>
          <w:color w:val="000000"/>
          <w:szCs w:val="32"/>
        </w:rPr>
      </w:pPr>
    </w:p>
    <w:p w14:paraId="45D7950D" w14:textId="390BDB80" w:rsidR="00317680" w:rsidRPr="00317680" w:rsidRDefault="00317680" w:rsidP="00317680">
      <w:pPr>
        <w:tabs>
          <w:tab w:val="left" w:pos="340"/>
        </w:tabs>
        <w:rPr>
          <w:b/>
          <w:bCs/>
          <w:snapToGrid w:val="0"/>
          <w:sz w:val="16"/>
        </w:rPr>
      </w:pPr>
      <w:r w:rsidRPr="0088015D">
        <w:rPr>
          <w:b/>
          <w:bCs/>
          <w:snapToGrid w:val="0"/>
        </w:rPr>
        <w:t>CONCLUSIONS</w:t>
      </w:r>
    </w:p>
    <w:p w14:paraId="7A7DDFFF" w14:textId="77777777" w:rsidR="00317680" w:rsidRPr="00A86EBE" w:rsidRDefault="00317680" w:rsidP="00317680">
      <w:pPr>
        <w:rPr>
          <w:rFonts w:cs="Arial"/>
        </w:rPr>
      </w:pPr>
      <w:r w:rsidRPr="00A86EBE">
        <w:rPr>
          <w:rFonts w:cs="Arial"/>
        </w:rPr>
        <w:t xml:space="preserve">These data </w:t>
      </w:r>
      <w:r>
        <w:rPr>
          <w:rFonts w:cs="Arial"/>
        </w:rPr>
        <w:t>highlight the potential of HNPs as dual imaging agents and contrast agents for pancreatic cancer therapy.</w:t>
      </w:r>
    </w:p>
    <w:p w14:paraId="4A073664" w14:textId="77777777" w:rsidR="00317680" w:rsidRPr="00A86EBE" w:rsidRDefault="00317680" w:rsidP="00317680">
      <w:pPr>
        <w:rPr>
          <w:rFonts w:cs="Arial"/>
        </w:rPr>
      </w:pPr>
    </w:p>
    <w:p w14:paraId="11BE84CE" w14:textId="77777777" w:rsidR="00317680" w:rsidRPr="0088015D" w:rsidRDefault="00317680" w:rsidP="00317680">
      <w:pPr>
        <w:tabs>
          <w:tab w:val="left" w:pos="340"/>
        </w:tabs>
        <w:jc w:val="both"/>
        <w:rPr>
          <w:snapToGrid w:val="0"/>
        </w:rPr>
      </w:pPr>
    </w:p>
    <w:p w14:paraId="0446555E" w14:textId="2539E4D1" w:rsidR="00317680" w:rsidRPr="00317680" w:rsidRDefault="00317680" w:rsidP="00317680">
      <w:pPr>
        <w:tabs>
          <w:tab w:val="left" w:pos="340"/>
        </w:tabs>
        <w:rPr>
          <w:b/>
          <w:bCs/>
          <w:snapToGrid w:val="0"/>
        </w:rPr>
      </w:pPr>
      <w:r w:rsidRPr="0088015D">
        <w:rPr>
          <w:b/>
          <w:bCs/>
          <w:snapToGrid w:val="0"/>
        </w:rPr>
        <w:t>REFERENCES</w:t>
      </w:r>
    </w:p>
    <w:p w14:paraId="1945A575" w14:textId="77777777" w:rsidR="00317680" w:rsidRPr="0088015D" w:rsidRDefault="00317680" w:rsidP="00317680">
      <w:pPr>
        <w:tabs>
          <w:tab w:val="left" w:pos="342"/>
        </w:tabs>
        <w:ind w:left="285" w:hanging="285"/>
        <w:jc w:val="both"/>
        <w:rPr>
          <w:sz w:val="16"/>
        </w:rPr>
      </w:pPr>
      <w:r w:rsidRPr="0088015D">
        <w:rPr>
          <w:snapToGrid w:val="0"/>
          <w:sz w:val="16"/>
        </w:rPr>
        <w:t>[1]</w:t>
      </w:r>
      <w:r w:rsidRPr="0088015D">
        <w:rPr>
          <w:snapToGrid w:val="0"/>
          <w:sz w:val="16"/>
        </w:rPr>
        <w:tab/>
      </w:r>
      <w:r w:rsidRPr="00251EF8">
        <w:rPr>
          <w:snapToGrid w:val="0"/>
          <w:sz w:val="16"/>
        </w:rPr>
        <w:t>Pancreatic cancer research fund [http://www.pcrf.org.uk/]</w:t>
      </w:r>
    </w:p>
    <w:p w14:paraId="1FE936B9" w14:textId="77777777" w:rsidR="00317680" w:rsidRPr="0088015D" w:rsidRDefault="00317680" w:rsidP="00317680">
      <w:pPr>
        <w:tabs>
          <w:tab w:val="left" w:pos="342"/>
        </w:tabs>
        <w:ind w:left="285" w:hanging="285"/>
        <w:jc w:val="both"/>
        <w:rPr>
          <w:sz w:val="16"/>
        </w:rPr>
      </w:pPr>
      <w:r w:rsidRPr="0088015D">
        <w:rPr>
          <w:sz w:val="16"/>
        </w:rPr>
        <w:t>[2]</w:t>
      </w:r>
      <w:r w:rsidRPr="0088015D">
        <w:rPr>
          <w:sz w:val="16"/>
        </w:rPr>
        <w:tab/>
      </w:r>
      <w:r>
        <w:rPr>
          <w:sz w:val="16"/>
        </w:rPr>
        <w:t xml:space="preserve">Z. Fan, P.P. Fu, H. Yu, P.C. Ray, 2014, </w:t>
      </w:r>
      <w:r w:rsidRPr="0078535E">
        <w:rPr>
          <w:i/>
          <w:sz w:val="16"/>
        </w:rPr>
        <w:t>J Food Drug Analysis,</w:t>
      </w:r>
      <w:r>
        <w:rPr>
          <w:sz w:val="16"/>
        </w:rPr>
        <w:t xml:space="preserve"> 22, 3-17.</w:t>
      </w:r>
    </w:p>
    <w:p w14:paraId="50E51A0B" w14:textId="77777777" w:rsidR="00317680" w:rsidRDefault="00317680" w:rsidP="00317680">
      <w:pPr>
        <w:tabs>
          <w:tab w:val="left" w:pos="342"/>
        </w:tabs>
        <w:ind w:left="285" w:hanging="285"/>
        <w:jc w:val="both"/>
        <w:rPr>
          <w:sz w:val="16"/>
          <w:szCs w:val="16"/>
        </w:rPr>
      </w:pPr>
      <w:r>
        <w:rPr>
          <w:snapToGrid w:val="0"/>
          <w:sz w:val="16"/>
        </w:rPr>
        <w:t xml:space="preserve"> [3</w:t>
      </w:r>
      <w:r w:rsidRPr="0088015D">
        <w:rPr>
          <w:snapToGrid w:val="0"/>
          <w:sz w:val="16"/>
        </w:rPr>
        <w:t>]</w:t>
      </w:r>
      <w:r w:rsidRPr="0088015D">
        <w:rPr>
          <w:snapToGrid w:val="0"/>
          <w:sz w:val="16"/>
        </w:rPr>
        <w:tab/>
      </w:r>
      <w:r>
        <w:rPr>
          <w:snapToGrid w:val="0"/>
          <w:sz w:val="16"/>
        </w:rPr>
        <w:t xml:space="preserve">C. </w:t>
      </w:r>
      <w:r>
        <w:rPr>
          <w:sz w:val="16"/>
          <w:szCs w:val="16"/>
        </w:rPr>
        <w:t>Hoskins</w:t>
      </w:r>
      <w:r w:rsidRPr="00FA4E37">
        <w:rPr>
          <w:sz w:val="16"/>
          <w:szCs w:val="16"/>
        </w:rPr>
        <w:t xml:space="preserve">, </w:t>
      </w:r>
      <w:r>
        <w:rPr>
          <w:sz w:val="16"/>
          <w:szCs w:val="16"/>
        </w:rPr>
        <w:t xml:space="preserve">M. </w:t>
      </w:r>
      <w:proofErr w:type="spellStart"/>
      <w:r>
        <w:rPr>
          <w:sz w:val="16"/>
          <w:szCs w:val="16"/>
        </w:rPr>
        <w:t>Ouaissi</w:t>
      </w:r>
      <w:proofErr w:type="spellEnd"/>
      <w:r w:rsidRPr="00FA4E37">
        <w:rPr>
          <w:sz w:val="16"/>
          <w:szCs w:val="16"/>
        </w:rPr>
        <w:t xml:space="preserve">, </w:t>
      </w:r>
      <w:r>
        <w:rPr>
          <w:sz w:val="16"/>
          <w:szCs w:val="16"/>
        </w:rPr>
        <w:t>S.C. Lima</w:t>
      </w:r>
      <w:r w:rsidRPr="00FA4E37">
        <w:rPr>
          <w:sz w:val="16"/>
          <w:szCs w:val="16"/>
        </w:rPr>
        <w:t xml:space="preserve">, </w:t>
      </w:r>
      <w:r w:rsidRPr="00C111B1">
        <w:rPr>
          <w:i/>
          <w:sz w:val="16"/>
          <w:szCs w:val="16"/>
        </w:rPr>
        <w:t>et al.,</w:t>
      </w:r>
      <w:r w:rsidRPr="00FA4E37">
        <w:rPr>
          <w:sz w:val="16"/>
          <w:szCs w:val="16"/>
        </w:rPr>
        <w:t xml:space="preserve"> 2010, </w:t>
      </w:r>
      <w:r w:rsidRPr="00C111B1">
        <w:rPr>
          <w:i/>
          <w:sz w:val="16"/>
          <w:szCs w:val="16"/>
        </w:rPr>
        <w:t>Pharm Res</w:t>
      </w:r>
      <w:r w:rsidRPr="00FA4E37">
        <w:rPr>
          <w:sz w:val="16"/>
          <w:szCs w:val="16"/>
        </w:rPr>
        <w:t>, 27, 26</w:t>
      </w:r>
      <w:r>
        <w:rPr>
          <w:sz w:val="16"/>
          <w:szCs w:val="16"/>
        </w:rPr>
        <w:t>94.</w:t>
      </w:r>
    </w:p>
    <w:p w14:paraId="0024F2BD" w14:textId="77777777" w:rsidR="00317680" w:rsidRPr="0088015D" w:rsidRDefault="00317680" w:rsidP="00317680">
      <w:pPr>
        <w:tabs>
          <w:tab w:val="left" w:pos="342"/>
        </w:tabs>
        <w:ind w:left="285" w:hanging="285"/>
        <w:jc w:val="both"/>
        <w:rPr>
          <w:sz w:val="16"/>
        </w:rPr>
      </w:pPr>
      <w:r>
        <w:rPr>
          <w:sz w:val="16"/>
          <w:szCs w:val="16"/>
        </w:rPr>
        <w:t>[4</w:t>
      </w:r>
      <w:proofErr w:type="gramStart"/>
      <w:r>
        <w:rPr>
          <w:sz w:val="16"/>
          <w:szCs w:val="16"/>
        </w:rPr>
        <w:t>]  M.F.</w:t>
      </w:r>
      <w:proofErr w:type="gramEnd"/>
      <w:r>
        <w:rPr>
          <w:sz w:val="16"/>
          <w:szCs w:val="16"/>
        </w:rPr>
        <w:t xml:space="preserve"> </w:t>
      </w:r>
      <w:proofErr w:type="spellStart"/>
      <w:r>
        <w:rPr>
          <w:sz w:val="16"/>
          <w:szCs w:val="16"/>
        </w:rPr>
        <w:t>Brana</w:t>
      </w:r>
      <w:proofErr w:type="spellEnd"/>
      <w:r>
        <w:rPr>
          <w:sz w:val="16"/>
          <w:szCs w:val="16"/>
        </w:rPr>
        <w:t>.</w:t>
      </w:r>
      <w:r w:rsidRPr="00FA4E37">
        <w:rPr>
          <w:sz w:val="16"/>
          <w:szCs w:val="16"/>
        </w:rPr>
        <w:t>,</w:t>
      </w:r>
      <w:r>
        <w:rPr>
          <w:sz w:val="16"/>
          <w:szCs w:val="16"/>
        </w:rPr>
        <w:t xml:space="preserve"> A. Ramos</w:t>
      </w:r>
      <w:r w:rsidRPr="00FA4E37">
        <w:rPr>
          <w:sz w:val="16"/>
          <w:szCs w:val="16"/>
        </w:rPr>
        <w:t xml:space="preserve">, 2001, </w:t>
      </w:r>
      <w:proofErr w:type="spellStart"/>
      <w:r w:rsidRPr="00C111B1">
        <w:rPr>
          <w:i/>
          <w:sz w:val="16"/>
          <w:szCs w:val="16"/>
        </w:rPr>
        <w:t>Curr</w:t>
      </w:r>
      <w:proofErr w:type="spellEnd"/>
      <w:r w:rsidRPr="00C111B1">
        <w:rPr>
          <w:i/>
          <w:sz w:val="16"/>
          <w:szCs w:val="16"/>
        </w:rPr>
        <w:t xml:space="preserve"> Med </w:t>
      </w:r>
      <w:proofErr w:type="spellStart"/>
      <w:r w:rsidRPr="00C111B1">
        <w:rPr>
          <w:i/>
          <w:sz w:val="16"/>
          <w:szCs w:val="16"/>
        </w:rPr>
        <w:t>Chem</w:t>
      </w:r>
      <w:proofErr w:type="spellEnd"/>
      <w:r w:rsidRPr="00C111B1">
        <w:rPr>
          <w:i/>
          <w:sz w:val="16"/>
          <w:szCs w:val="16"/>
        </w:rPr>
        <w:t xml:space="preserve"> Anti-Cancer Agents</w:t>
      </w:r>
      <w:r>
        <w:rPr>
          <w:sz w:val="16"/>
          <w:szCs w:val="16"/>
        </w:rPr>
        <w:t>, 1, 237-255.</w:t>
      </w:r>
    </w:p>
    <w:p w14:paraId="5D266F84" w14:textId="06B22607" w:rsidR="00611BDC" w:rsidRPr="00602EAB" w:rsidRDefault="00611BDC" w:rsidP="00611BDC">
      <w:pPr>
        <w:jc w:val="both"/>
        <w:rPr>
          <w:rFonts w:asciiTheme="majorHAnsi" w:hAnsiTheme="majorHAnsi"/>
          <w:b/>
          <w:sz w:val="21"/>
          <w:szCs w:val="21"/>
        </w:rPr>
      </w:pPr>
    </w:p>
    <w:p w14:paraId="762F23A0" w14:textId="77777777" w:rsidR="00611BDC" w:rsidRPr="00602EAB" w:rsidRDefault="00611BDC" w:rsidP="0062046F">
      <w:pPr>
        <w:widowControl w:val="0"/>
        <w:autoSpaceDE w:val="0"/>
        <w:autoSpaceDN w:val="0"/>
        <w:adjustRightInd w:val="0"/>
        <w:rPr>
          <w:rFonts w:asciiTheme="majorHAnsi" w:hAnsiTheme="majorHAnsi" w:cs="Calibri"/>
          <w:b/>
          <w:bCs/>
          <w:sz w:val="21"/>
          <w:szCs w:val="21"/>
        </w:rPr>
      </w:pPr>
    </w:p>
    <w:p w14:paraId="2A0D1331" w14:textId="732A8488" w:rsidR="002774CF" w:rsidRPr="00E7130C" w:rsidRDefault="002774CF">
      <w:pPr>
        <w:rPr>
          <w:rFonts w:asciiTheme="majorHAnsi" w:hAnsiTheme="majorHAnsi"/>
          <w:b/>
        </w:rPr>
      </w:pPr>
    </w:p>
    <w:sectPr w:rsidR="002774CF" w:rsidRPr="00E7130C" w:rsidSect="0035777D">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02123" w14:textId="77777777" w:rsidR="00BA66F7" w:rsidRDefault="00BA66F7" w:rsidP="00DA746F">
      <w:r>
        <w:separator/>
      </w:r>
    </w:p>
  </w:endnote>
  <w:endnote w:type="continuationSeparator" w:id="0">
    <w:p w14:paraId="3210961F" w14:textId="77777777" w:rsidR="00BA66F7" w:rsidRDefault="00BA66F7" w:rsidP="00DA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PGothic">
    <w:panose1 w:val="020B0600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491C" w14:textId="77777777" w:rsidR="002774CF" w:rsidRDefault="002774CF" w:rsidP="00A94C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04943" w14:textId="77777777" w:rsidR="002774CF" w:rsidRDefault="002774CF" w:rsidP="002774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22B7" w14:textId="54E85008" w:rsidR="002774CF" w:rsidRDefault="002774CF" w:rsidP="00A94C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EF5">
      <w:rPr>
        <w:rStyle w:val="PageNumber"/>
        <w:noProof/>
      </w:rPr>
      <w:t>2</w:t>
    </w:r>
    <w:r>
      <w:rPr>
        <w:rStyle w:val="PageNumber"/>
      </w:rPr>
      <w:fldChar w:fldCharType="end"/>
    </w:r>
  </w:p>
  <w:p w14:paraId="5E060EC9" w14:textId="77777777" w:rsidR="002774CF" w:rsidRDefault="002774CF" w:rsidP="002774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43AAC" w14:textId="77777777" w:rsidR="00BA66F7" w:rsidRDefault="00BA66F7" w:rsidP="00DA746F">
      <w:r>
        <w:separator/>
      </w:r>
    </w:p>
  </w:footnote>
  <w:footnote w:type="continuationSeparator" w:id="0">
    <w:p w14:paraId="106E3794" w14:textId="77777777" w:rsidR="00BA66F7" w:rsidRDefault="00BA66F7" w:rsidP="00DA74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6762" w14:textId="43E9EC0B" w:rsidR="00EC7FC6" w:rsidRDefault="00EC7FC6" w:rsidP="00A17D2E">
    <w:pPr>
      <w:pStyle w:val="Header"/>
      <w:jc w:val="center"/>
    </w:pPr>
    <w:r w:rsidRPr="00EC7FC6">
      <w:rPr>
        <w:noProof/>
        <w:lang w:eastAsia="en-GB"/>
      </w:rPr>
      <w:drawing>
        <wp:inline distT="0" distB="0" distL="0" distR="0" wp14:anchorId="134CA5F6" wp14:editId="2CBF38B3">
          <wp:extent cx="2825115" cy="1234377"/>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b="24612"/>
                  <a:stretch/>
                </pic:blipFill>
                <pic:spPr bwMode="auto">
                  <a:xfrm>
                    <a:off x="0" y="0"/>
                    <a:ext cx="2965443" cy="1295690"/>
                  </a:xfrm>
                  <a:prstGeom prst="rect">
                    <a:avLst/>
                  </a:prstGeom>
                  <a:ln>
                    <a:noFill/>
                  </a:ln>
                  <a:extLst>
                    <a:ext uri="{53640926-AAD7-44D8-BBD7-CCE9431645EC}">
                      <a14:shadowObscured xmlns:a14="http://schemas.microsoft.com/office/drawing/2010/main"/>
                    </a:ext>
                  </a:extLst>
                </pic:spPr>
              </pic:pic>
            </a:graphicData>
          </a:graphic>
        </wp:inline>
      </w:drawing>
    </w:r>
  </w:p>
  <w:p w14:paraId="76CC66FD" w14:textId="7507EA00" w:rsidR="00EC7FC6" w:rsidRDefault="00EC7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6"/>
    <w:rsid w:val="00012A0E"/>
    <w:rsid w:val="00034505"/>
    <w:rsid w:val="00084A4E"/>
    <w:rsid w:val="000E1946"/>
    <w:rsid w:val="000E40E9"/>
    <w:rsid w:val="000F141B"/>
    <w:rsid w:val="000F4207"/>
    <w:rsid w:val="00112198"/>
    <w:rsid w:val="00147CFC"/>
    <w:rsid w:val="00177200"/>
    <w:rsid w:val="001C33C9"/>
    <w:rsid w:val="001F46F8"/>
    <w:rsid w:val="00203F58"/>
    <w:rsid w:val="00222491"/>
    <w:rsid w:val="00271197"/>
    <w:rsid w:val="002774CF"/>
    <w:rsid w:val="00285CBB"/>
    <w:rsid w:val="002A6C77"/>
    <w:rsid w:val="002C1FCE"/>
    <w:rsid w:val="002C5E45"/>
    <w:rsid w:val="002F3D05"/>
    <w:rsid w:val="002F62AD"/>
    <w:rsid w:val="002F650D"/>
    <w:rsid w:val="00317680"/>
    <w:rsid w:val="00337D19"/>
    <w:rsid w:val="0035777D"/>
    <w:rsid w:val="00371B94"/>
    <w:rsid w:val="00393344"/>
    <w:rsid w:val="003A4897"/>
    <w:rsid w:val="003C1584"/>
    <w:rsid w:val="003D1308"/>
    <w:rsid w:val="003E6052"/>
    <w:rsid w:val="00437672"/>
    <w:rsid w:val="004F059E"/>
    <w:rsid w:val="00585717"/>
    <w:rsid w:val="005926C3"/>
    <w:rsid w:val="005B020D"/>
    <w:rsid w:val="005C7577"/>
    <w:rsid w:val="005D017D"/>
    <w:rsid w:val="00602EAB"/>
    <w:rsid w:val="00611BDC"/>
    <w:rsid w:val="0062046F"/>
    <w:rsid w:val="00692AF0"/>
    <w:rsid w:val="00693245"/>
    <w:rsid w:val="007327E8"/>
    <w:rsid w:val="00743B07"/>
    <w:rsid w:val="00760963"/>
    <w:rsid w:val="00762DEE"/>
    <w:rsid w:val="00786E42"/>
    <w:rsid w:val="007C2F49"/>
    <w:rsid w:val="007E020F"/>
    <w:rsid w:val="007F402B"/>
    <w:rsid w:val="008151AC"/>
    <w:rsid w:val="00856130"/>
    <w:rsid w:val="00860843"/>
    <w:rsid w:val="00883816"/>
    <w:rsid w:val="008C15AC"/>
    <w:rsid w:val="00914055"/>
    <w:rsid w:val="009323F3"/>
    <w:rsid w:val="00944B8D"/>
    <w:rsid w:val="00955F37"/>
    <w:rsid w:val="009C3F09"/>
    <w:rsid w:val="009C5EDC"/>
    <w:rsid w:val="009E6929"/>
    <w:rsid w:val="00A17D2E"/>
    <w:rsid w:val="00A548D5"/>
    <w:rsid w:val="00A675F9"/>
    <w:rsid w:val="00A903C0"/>
    <w:rsid w:val="00A9058E"/>
    <w:rsid w:val="00AB6F76"/>
    <w:rsid w:val="00AC083D"/>
    <w:rsid w:val="00B351F3"/>
    <w:rsid w:val="00B56EBE"/>
    <w:rsid w:val="00B64AC4"/>
    <w:rsid w:val="00B7036F"/>
    <w:rsid w:val="00B9601D"/>
    <w:rsid w:val="00B9714B"/>
    <w:rsid w:val="00BA66F7"/>
    <w:rsid w:val="00BA6917"/>
    <w:rsid w:val="00BB7048"/>
    <w:rsid w:val="00C10964"/>
    <w:rsid w:val="00C11EF5"/>
    <w:rsid w:val="00C6019F"/>
    <w:rsid w:val="00C60C0C"/>
    <w:rsid w:val="00D05733"/>
    <w:rsid w:val="00D319DF"/>
    <w:rsid w:val="00D35BD4"/>
    <w:rsid w:val="00D52E19"/>
    <w:rsid w:val="00D669EE"/>
    <w:rsid w:val="00DA746F"/>
    <w:rsid w:val="00E04DF4"/>
    <w:rsid w:val="00E14B5C"/>
    <w:rsid w:val="00E367F7"/>
    <w:rsid w:val="00E7130C"/>
    <w:rsid w:val="00EC7FC6"/>
    <w:rsid w:val="00F3124F"/>
    <w:rsid w:val="00F43F6F"/>
    <w:rsid w:val="00F506A2"/>
    <w:rsid w:val="00F5463F"/>
    <w:rsid w:val="00F8215E"/>
    <w:rsid w:val="00FB590A"/>
    <w:rsid w:val="00FF1E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B13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6917"/>
    <w:rPr>
      <w:rFonts w:ascii="Times New Roman" w:eastAsia="Times New Roman" w:hAnsi="Times New Roman" w:cs="Times New Roman"/>
    </w:rPr>
  </w:style>
  <w:style w:type="paragraph" w:styleId="Heading3">
    <w:name w:val="heading 3"/>
    <w:basedOn w:val="Normal"/>
    <w:next w:val="Normal"/>
    <w:link w:val="Heading3Char"/>
    <w:qFormat/>
    <w:rsid w:val="00317680"/>
    <w:pPr>
      <w:keepNext/>
      <w:spacing w:line="180" w:lineRule="exact"/>
      <w:jc w:val="both"/>
      <w:outlineLvl w:val="2"/>
    </w:pPr>
    <w:rPr>
      <w:i/>
      <w:snapToGrid w:val="0"/>
      <w:sz w:val="16"/>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hesis"/>
    <w:basedOn w:val="Normal"/>
    <w:uiPriority w:val="1"/>
    <w:qFormat/>
    <w:rsid w:val="00B64AC4"/>
    <w:pPr>
      <w:spacing w:after="200" w:line="480" w:lineRule="auto"/>
      <w:jc w:val="both"/>
    </w:pPr>
    <w:rPr>
      <w:rFonts w:ascii="Arial" w:eastAsiaTheme="minorHAnsi" w:hAnsi="Arial"/>
    </w:rPr>
  </w:style>
  <w:style w:type="paragraph" w:styleId="Header">
    <w:name w:val="header"/>
    <w:basedOn w:val="Normal"/>
    <w:link w:val="HeaderChar"/>
    <w:uiPriority w:val="99"/>
    <w:unhideWhenUsed/>
    <w:rsid w:val="00DA746F"/>
    <w:pPr>
      <w:tabs>
        <w:tab w:val="center" w:pos="4320"/>
        <w:tab w:val="right" w:pos="8640"/>
      </w:tabs>
    </w:pPr>
  </w:style>
  <w:style w:type="character" w:customStyle="1" w:styleId="HeaderChar">
    <w:name w:val="Header Char"/>
    <w:basedOn w:val="DefaultParagraphFont"/>
    <w:link w:val="Header"/>
    <w:uiPriority w:val="99"/>
    <w:rsid w:val="00DA746F"/>
    <w:rPr>
      <w:rFonts w:ascii="Times New Roman" w:eastAsia="Times New Roman" w:hAnsi="Times New Roman" w:cs="Times New Roman"/>
    </w:rPr>
  </w:style>
  <w:style w:type="paragraph" w:styleId="Footer">
    <w:name w:val="footer"/>
    <w:basedOn w:val="Normal"/>
    <w:link w:val="FooterChar"/>
    <w:uiPriority w:val="99"/>
    <w:unhideWhenUsed/>
    <w:rsid w:val="00DA746F"/>
    <w:pPr>
      <w:tabs>
        <w:tab w:val="center" w:pos="4320"/>
        <w:tab w:val="right" w:pos="8640"/>
      </w:tabs>
    </w:pPr>
  </w:style>
  <w:style w:type="character" w:customStyle="1" w:styleId="FooterChar">
    <w:name w:val="Footer Char"/>
    <w:basedOn w:val="DefaultParagraphFont"/>
    <w:link w:val="Footer"/>
    <w:uiPriority w:val="99"/>
    <w:rsid w:val="00DA746F"/>
    <w:rPr>
      <w:rFonts w:ascii="Times New Roman" w:eastAsia="Times New Roman" w:hAnsi="Times New Roman" w:cs="Times New Roman"/>
    </w:rPr>
  </w:style>
  <w:style w:type="table" w:styleId="TableGrid">
    <w:name w:val="Table Grid"/>
    <w:basedOn w:val="TableNormal"/>
    <w:uiPriority w:val="59"/>
    <w:rsid w:val="002F6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19DF"/>
    <w:rPr>
      <w:color w:val="0000FF"/>
      <w:u w:val="single"/>
    </w:rPr>
  </w:style>
  <w:style w:type="character" w:styleId="CommentReference">
    <w:name w:val="annotation reference"/>
    <w:basedOn w:val="DefaultParagraphFont"/>
    <w:uiPriority w:val="99"/>
    <w:semiHidden/>
    <w:unhideWhenUsed/>
    <w:rsid w:val="00D52E19"/>
    <w:rPr>
      <w:sz w:val="18"/>
      <w:szCs w:val="18"/>
    </w:rPr>
  </w:style>
  <w:style w:type="paragraph" w:styleId="CommentText">
    <w:name w:val="annotation text"/>
    <w:basedOn w:val="Normal"/>
    <w:link w:val="CommentTextChar"/>
    <w:uiPriority w:val="99"/>
    <w:semiHidden/>
    <w:unhideWhenUsed/>
    <w:rsid w:val="00D52E19"/>
  </w:style>
  <w:style w:type="character" w:customStyle="1" w:styleId="CommentTextChar">
    <w:name w:val="Comment Text Char"/>
    <w:basedOn w:val="DefaultParagraphFont"/>
    <w:link w:val="CommentText"/>
    <w:uiPriority w:val="99"/>
    <w:semiHidden/>
    <w:rsid w:val="00D52E1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52E19"/>
    <w:rPr>
      <w:b/>
      <w:bCs/>
      <w:sz w:val="20"/>
      <w:szCs w:val="20"/>
    </w:rPr>
  </w:style>
  <w:style w:type="character" w:customStyle="1" w:styleId="CommentSubjectChar">
    <w:name w:val="Comment Subject Char"/>
    <w:basedOn w:val="CommentTextChar"/>
    <w:link w:val="CommentSubject"/>
    <w:uiPriority w:val="99"/>
    <w:semiHidden/>
    <w:rsid w:val="00D52E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2E19"/>
    <w:rPr>
      <w:sz w:val="18"/>
      <w:szCs w:val="18"/>
    </w:rPr>
  </w:style>
  <w:style w:type="character" w:customStyle="1" w:styleId="BalloonTextChar">
    <w:name w:val="Balloon Text Char"/>
    <w:basedOn w:val="DefaultParagraphFont"/>
    <w:link w:val="BalloonText"/>
    <w:uiPriority w:val="99"/>
    <w:semiHidden/>
    <w:rsid w:val="00D52E1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602EAB"/>
    <w:rPr>
      <w:color w:val="800080" w:themeColor="followedHyperlink"/>
      <w:u w:val="single"/>
    </w:rPr>
  </w:style>
  <w:style w:type="character" w:styleId="PageNumber">
    <w:name w:val="page number"/>
    <w:basedOn w:val="DefaultParagraphFont"/>
    <w:uiPriority w:val="99"/>
    <w:semiHidden/>
    <w:unhideWhenUsed/>
    <w:rsid w:val="002774CF"/>
  </w:style>
  <w:style w:type="character" w:customStyle="1" w:styleId="Heading3Char">
    <w:name w:val="Heading 3 Char"/>
    <w:basedOn w:val="DefaultParagraphFont"/>
    <w:link w:val="Heading3"/>
    <w:rsid w:val="00317680"/>
    <w:rPr>
      <w:rFonts w:ascii="Times New Roman" w:eastAsia="Times New Roman" w:hAnsi="Times New Roman" w:cs="Times New Roman"/>
      <w:i/>
      <w:snapToGrid w:val="0"/>
      <w:sz w:val="16"/>
      <w:szCs w:val="20"/>
      <w:lang w:val="en-US" w:eastAsia="en-GB"/>
    </w:rPr>
  </w:style>
  <w:style w:type="paragraph" w:styleId="BodyTextIndent2">
    <w:name w:val="Body Text Indent 2"/>
    <w:basedOn w:val="Normal"/>
    <w:link w:val="BodyTextIndent2Char"/>
    <w:rsid w:val="00317680"/>
    <w:pPr>
      <w:ind w:firstLine="180"/>
      <w:jc w:val="both"/>
    </w:pPr>
    <w:rPr>
      <w:snapToGrid w:val="0"/>
      <w:sz w:val="20"/>
      <w:szCs w:val="20"/>
      <w:lang w:val="en-US" w:eastAsia="en-GB"/>
    </w:rPr>
  </w:style>
  <w:style w:type="character" w:customStyle="1" w:styleId="BodyTextIndent2Char">
    <w:name w:val="Body Text Indent 2 Char"/>
    <w:basedOn w:val="DefaultParagraphFont"/>
    <w:link w:val="BodyTextIndent2"/>
    <w:rsid w:val="00317680"/>
    <w:rPr>
      <w:rFonts w:ascii="Times New Roman" w:eastAsia="Times New Roman" w:hAnsi="Times New Roman" w:cs="Times New Roman"/>
      <w:snapToGrid w:val="0"/>
      <w:sz w:val="20"/>
      <w:szCs w:val="20"/>
      <w:lang w:val="en-US" w:eastAsia="en-GB"/>
    </w:rPr>
  </w:style>
  <w:style w:type="paragraph" w:styleId="BodyTextIndent3">
    <w:name w:val="Body Text Indent 3"/>
    <w:basedOn w:val="Normal"/>
    <w:link w:val="BodyTextIndent3Char"/>
    <w:rsid w:val="00317680"/>
    <w:pPr>
      <w:tabs>
        <w:tab w:val="left" w:pos="284"/>
        <w:tab w:val="left" w:pos="426"/>
      </w:tabs>
      <w:ind w:firstLine="340"/>
      <w:jc w:val="both"/>
    </w:pPr>
    <w:rPr>
      <w:snapToGrid w:val="0"/>
      <w:sz w:val="20"/>
      <w:szCs w:val="20"/>
      <w:lang w:val="en-US" w:eastAsia="en-GB"/>
    </w:rPr>
  </w:style>
  <w:style w:type="character" w:customStyle="1" w:styleId="BodyTextIndent3Char">
    <w:name w:val="Body Text Indent 3 Char"/>
    <w:basedOn w:val="DefaultParagraphFont"/>
    <w:link w:val="BodyTextIndent3"/>
    <w:rsid w:val="00317680"/>
    <w:rPr>
      <w:rFonts w:ascii="Times New Roman" w:eastAsia="Times New Roman" w:hAnsi="Times New Roman" w:cs="Times New Roman"/>
      <w:snapToGrid w:val="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6042">
      <w:bodyDiv w:val="1"/>
      <w:marLeft w:val="0"/>
      <w:marRight w:val="0"/>
      <w:marTop w:val="0"/>
      <w:marBottom w:val="0"/>
      <w:divBdr>
        <w:top w:val="none" w:sz="0" w:space="0" w:color="auto"/>
        <w:left w:val="none" w:sz="0" w:space="0" w:color="auto"/>
        <w:bottom w:val="none" w:sz="0" w:space="0" w:color="auto"/>
        <w:right w:val="none" w:sz="0" w:space="0" w:color="auto"/>
      </w:divBdr>
    </w:div>
    <w:div w:id="303319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n.wikipedia.org/wiki/Di-" TargetMode="External"/><Relationship Id="rId7" Type="http://schemas.openxmlformats.org/officeDocument/2006/relationships/hyperlink" Target="https://en.wikipedia.org/wiki/Methyl" TargetMode="External"/><Relationship Id="rId8" Type="http://schemas.openxmlformats.org/officeDocument/2006/relationships/hyperlink" Target="https://en.wikipedia.org/wiki/Thiazole" TargetMode="External"/><Relationship Id="rId9" Type="http://schemas.openxmlformats.org/officeDocument/2006/relationships/hyperlink" Target="https://en.wikipedia.org/wiki/Phenyl"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Curley</dc:creator>
  <cp:lastModifiedBy>Microsoft Office User</cp:lastModifiedBy>
  <cp:revision>2</cp:revision>
  <dcterms:created xsi:type="dcterms:W3CDTF">2017-04-13T08:33:00Z</dcterms:created>
  <dcterms:modified xsi:type="dcterms:W3CDTF">2017-04-13T08:33:00Z</dcterms:modified>
</cp:coreProperties>
</file>