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0F" w:rsidRPr="004154A5" w:rsidRDefault="006B5752" w:rsidP="00AB2A1A">
      <w:pPr>
        <w:tabs>
          <w:tab w:val="left" w:pos="4678"/>
        </w:tabs>
        <w:spacing w:line="240" w:lineRule="auto"/>
        <w:ind w:right="4490"/>
        <w:rPr>
          <w:rFonts w:asciiTheme="majorHAnsi" w:hAnsiTheme="majorHAnsi"/>
          <w:b/>
          <w:sz w:val="52"/>
        </w:rPr>
      </w:pPr>
      <w:r w:rsidRPr="004154A5">
        <w:rPr>
          <w:rFonts w:asciiTheme="majorHAnsi" w:hAnsiTheme="majorHAnsi"/>
          <w:b/>
          <w:sz w:val="52"/>
        </w:rPr>
        <w:t xml:space="preserve">Mind the gap: sentencing, </w:t>
      </w:r>
      <w:r w:rsidR="00CD1AB2" w:rsidRPr="004154A5">
        <w:rPr>
          <w:rFonts w:asciiTheme="majorHAnsi" w:hAnsiTheme="majorHAnsi"/>
          <w:b/>
          <w:sz w:val="52"/>
        </w:rPr>
        <w:t>rehabilitation</w:t>
      </w:r>
      <w:r w:rsidRPr="004154A5">
        <w:rPr>
          <w:rFonts w:asciiTheme="majorHAnsi" w:hAnsiTheme="majorHAnsi"/>
          <w:b/>
          <w:sz w:val="52"/>
        </w:rPr>
        <w:t xml:space="preserve"> and civic purgatory </w:t>
      </w:r>
    </w:p>
    <w:p w:rsidR="000C2E3F" w:rsidRPr="004154A5" w:rsidRDefault="000C2E3F" w:rsidP="000C2E3F">
      <w:pPr>
        <w:spacing w:after="0"/>
        <w:rPr>
          <w:rFonts w:asciiTheme="majorHAnsi" w:hAnsiTheme="majorHAnsi"/>
          <w:b/>
          <w:sz w:val="28"/>
        </w:rPr>
      </w:pPr>
    </w:p>
    <w:p w:rsidR="000C2E3F" w:rsidRPr="004154A5" w:rsidRDefault="000C2E3F" w:rsidP="000C2E3F">
      <w:pPr>
        <w:spacing w:after="0"/>
        <w:rPr>
          <w:rFonts w:asciiTheme="majorHAnsi" w:hAnsiTheme="majorHAnsi"/>
          <w:b/>
          <w:sz w:val="28"/>
        </w:rPr>
      </w:pPr>
      <w:r w:rsidRPr="004154A5">
        <w:rPr>
          <w:rFonts w:asciiTheme="majorHAnsi" w:hAnsiTheme="majorHAnsi"/>
          <w:b/>
          <w:sz w:val="28"/>
        </w:rPr>
        <w:t>Andrew Henley</w:t>
      </w:r>
    </w:p>
    <w:p w:rsidR="000C2E3F" w:rsidRPr="004154A5" w:rsidRDefault="000C2E3F" w:rsidP="000C2E3F">
      <w:pPr>
        <w:spacing w:after="0"/>
        <w:rPr>
          <w:rFonts w:asciiTheme="majorHAnsi" w:hAnsiTheme="majorHAnsi"/>
        </w:rPr>
      </w:pPr>
      <w:r w:rsidRPr="004154A5">
        <w:rPr>
          <w:rFonts w:asciiTheme="majorHAnsi" w:hAnsiTheme="majorHAnsi"/>
        </w:rPr>
        <w:t>Keele University, UK</w:t>
      </w:r>
    </w:p>
    <w:p w:rsidR="00D44B4A" w:rsidRPr="004154A5" w:rsidRDefault="00D44B4A" w:rsidP="005C0B17">
      <w:pPr>
        <w:spacing w:after="0"/>
        <w:rPr>
          <w:rFonts w:asciiTheme="majorHAnsi" w:hAnsiTheme="majorHAnsi"/>
          <w:b/>
          <w:sz w:val="28"/>
        </w:rPr>
      </w:pPr>
    </w:p>
    <w:p w:rsidR="006B5752" w:rsidRPr="004154A5" w:rsidRDefault="006B5752" w:rsidP="005C0B17">
      <w:pPr>
        <w:rPr>
          <w:rFonts w:asciiTheme="majorHAnsi" w:hAnsiTheme="majorHAnsi"/>
          <w:b/>
          <w:sz w:val="28"/>
        </w:rPr>
      </w:pPr>
      <w:r w:rsidRPr="004154A5">
        <w:rPr>
          <w:rFonts w:asciiTheme="majorHAnsi" w:hAnsiTheme="majorHAnsi"/>
          <w:b/>
          <w:sz w:val="28"/>
        </w:rPr>
        <w:t>Abstract</w:t>
      </w:r>
      <w:r w:rsidR="00B334E9" w:rsidRPr="004154A5">
        <w:rPr>
          <w:rFonts w:asciiTheme="majorHAnsi" w:hAnsiTheme="majorHAnsi"/>
          <w:b/>
          <w:sz w:val="28"/>
        </w:rPr>
        <w:t xml:space="preserve"> </w:t>
      </w:r>
    </w:p>
    <w:p w:rsidR="001E38F5" w:rsidRPr="004154A5" w:rsidRDefault="001A4233" w:rsidP="00347A60">
      <w:pPr>
        <w:shd w:val="clear" w:color="auto" w:fill="FFFFFF"/>
        <w:spacing w:after="0" w:line="360" w:lineRule="auto"/>
        <w:jc w:val="both"/>
        <w:rPr>
          <w:rFonts w:asciiTheme="majorHAnsi" w:eastAsia="Times New Roman" w:hAnsiTheme="majorHAnsi" w:cs="Arial"/>
          <w:szCs w:val="19"/>
          <w:lang w:eastAsia="en-GB"/>
        </w:rPr>
      </w:pPr>
      <w:bookmarkStart w:id="0" w:name="_GoBack"/>
      <w:r w:rsidRPr="004154A5">
        <w:rPr>
          <w:rFonts w:asciiTheme="majorHAnsi" w:eastAsia="Times New Roman" w:hAnsiTheme="majorHAnsi" w:cs="Arial"/>
          <w:szCs w:val="19"/>
          <w:lang w:eastAsia="en-GB"/>
        </w:rPr>
        <w:t xml:space="preserve">This article </w:t>
      </w:r>
      <w:r w:rsidR="003A325F" w:rsidRPr="004154A5">
        <w:rPr>
          <w:rFonts w:asciiTheme="majorHAnsi" w:eastAsia="Times New Roman" w:hAnsiTheme="majorHAnsi" w:cs="Arial"/>
          <w:szCs w:val="19"/>
          <w:lang w:eastAsia="en-GB"/>
        </w:rPr>
        <w:t xml:space="preserve">discusses the relationships </w:t>
      </w:r>
      <w:r w:rsidR="00736395" w:rsidRPr="004154A5">
        <w:rPr>
          <w:rFonts w:asciiTheme="majorHAnsi" w:eastAsia="Times New Roman" w:hAnsiTheme="majorHAnsi" w:cs="Arial"/>
          <w:szCs w:val="19"/>
          <w:lang w:eastAsia="en-GB"/>
        </w:rPr>
        <w:t xml:space="preserve">and tensions </w:t>
      </w:r>
      <w:r w:rsidR="003A325F" w:rsidRPr="004154A5">
        <w:rPr>
          <w:rFonts w:asciiTheme="majorHAnsi" w:eastAsia="Times New Roman" w:hAnsiTheme="majorHAnsi" w:cs="Arial"/>
          <w:szCs w:val="19"/>
          <w:lang w:eastAsia="en-GB"/>
        </w:rPr>
        <w:t xml:space="preserve">between the </w:t>
      </w:r>
      <w:r w:rsidRPr="004154A5">
        <w:rPr>
          <w:rFonts w:asciiTheme="majorHAnsi" w:eastAsia="Times New Roman" w:hAnsiTheme="majorHAnsi" w:cs="Arial"/>
          <w:szCs w:val="19"/>
          <w:lang w:eastAsia="en-GB"/>
        </w:rPr>
        <w:t xml:space="preserve">sentencing, statutory supervision </w:t>
      </w:r>
      <w:r w:rsidR="003A325F" w:rsidRPr="004154A5">
        <w:rPr>
          <w:rFonts w:asciiTheme="majorHAnsi" w:eastAsia="Times New Roman" w:hAnsiTheme="majorHAnsi" w:cs="Arial"/>
          <w:szCs w:val="19"/>
          <w:lang w:eastAsia="en-GB"/>
        </w:rPr>
        <w:t>and legal rehabilitation of</w:t>
      </w:r>
      <w:r w:rsidRPr="004154A5">
        <w:rPr>
          <w:rFonts w:asciiTheme="majorHAnsi" w:eastAsia="Times New Roman" w:hAnsiTheme="majorHAnsi" w:cs="Arial"/>
          <w:szCs w:val="19"/>
          <w:lang w:eastAsia="en-GB"/>
        </w:rPr>
        <w:t xml:space="preserve"> lawbreakers </w:t>
      </w:r>
      <w:r w:rsidR="003A325F" w:rsidRPr="004154A5">
        <w:rPr>
          <w:rFonts w:asciiTheme="majorHAnsi" w:eastAsia="Times New Roman" w:hAnsiTheme="majorHAnsi" w:cs="Arial"/>
          <w:szCs w:val="19"/>
          <w:lang w:eastAsia="en-GB"/>
        </w:rPr>
        <w:t>under UK legislation</w:t>
      </w:r>
      <w:r w:rsidRPr="004154A5">
        <w:rPr>
          <w:rFonts w:asciiTheme="majorHAnsi" w:eastAsia="Times New Roman" w:hAnsiTheme="majorHAnsi" w:cs="Arial"/>
          <w:szCs w:val="19"/>
          <w:lang w:eastAsia="en-GB"/>
        </w:rPr>
        <w:t>.  It does so with reference</w:t>
      </w:r>
      <w:r w:rsidR="003A325F" w:rsidRPr="004154A5">
        <w:rPr>
          <w:rFonts w:asciiTheme="majorHAnsi" w:eastAsia="Times New Roman" w:hAnsiTheme="majorHAnsi" w:cs="Arial"/>
          <w:szCs w:val="19"/>
          <w:lang w:eastAsia="en-GB"/>
        </w:rPr>
        <w:t xml:space="preserve"> to both the </w:t>
      </w:r>
      <w:r w:rsidR="006D2345" w:rsidRPr="004154A5">
        <w:rPr>
          <w:rFonts w:asciiTheme="majorHAnsi" w:eastAsia="Times New Roman" w:hAnsiTheme="majorHAnsi" w:cs="Arial"/>
          <w:szCs w:val="19"/>
          <w:lang w:eastAsia="en-GB"/>
        </w:rPr>
        <w:t xml:space="preserve">Rehabilitation of Offenders Act 1974, which allows some criminal records to become ‘spent’ after a set period of time, and the </w:t>
      </w:r>
      <w:r w:rsidR="003A325F" w:rsidRPr="004154A5">
        <w:rPr>
          <w:rFonts w:asciiTheme="majorHAnsi" w:eastAsia="Times New Roman" w:hAnsiTheme="majorHAnsi" w:cs="Arial"/>
          <w:szCs w:val="19"/>
          <w:lang w:eastAsia="en-GB"/>
        </w:rPr>
        <w:t xml:space="preserve">Offender Rehabilitation Act 2014, which </w:t>
      </w:r>
      <w:r w:rsidR="00F24E33" w:rsidRPr="004154A5">
        <w:rPr>
          <w:rFonts w:asciiTheme="majorHAnsi" w:eastAsia="Times New Roman" w:hAnsiTheme="majorHAnsi" w:cs="Arial"/>
          <w:szCs w:val="19"/>
          <w:lang w:eastAsia="en-GB"/>
        </w:rPr>
        <w:t>w</w:t>
      </w:r>
      <w:r w:rsidR="006D2345" w:rsidRPr="004154A5">
        <w:rPr>
          <w:rFonts w:asciiTheme="majorHAnsi" w:eastAsia="Times New Roman" w:hAnsiTheme="majorHAnsi" w:cs="Arial"/>
          <w:szCs w:val="19"/>
          <w:lang w:eastAsia="en-GB"/>
        </w:rPr>
        <w:t xml:space="preserve">as </w:t>
      </w:r>
      <w:r w:rsidR="00200EA8" w:rsidRPr="004154A5">
        <w:rPr>
          <w:rFonts w:asciiTheme="majorHAnsi" w:eastAsia="Times New Roman" w:hAnsiTheme="majorHAnsi" w:cs="Arial"/>
          <w:szCs w:val="19"/>
          <w:lang w:eastAsia="en-GB"/>
        </w:rPr>
        <w:t xml:space="preserve">designed to </w:t>
      </w:r>
      <w:r w:rsidR="006D2345" w:rsidRPr="004154A5">
        <w:rPr>
          <w:rFonts w:asciiTheme="majorHAnsi" w:eastAsia="Times New Roman" w:hAnsiTheme="majorHAnsi" w:cs="Arial"/>
          <w:szCs w:val="19"/>
          <w:lang w:eastAsia="en-GB"/>
        </w:rPr>
        <w:t xml:space="preserve">significantly </w:t>
      </w:r>
      <w:r w:rsidR="00200EA8" w:rsidRPr="004154A5">
        <w:rPr>
          <w:rFonts w:asciiTheme="majorHAnsi" w:eastAsia="Times New Roman" w:hAnsiTheme="majorHAnsi" w:cs="Arial"/>
          <w:szCs w:val="19"/>
          <w:lang w:eastAsia="en-GB"/>
        </w:rPr>
        <w:t>expand</w:t>
      </w:r>
      <w:r w:rsidR="003A325F" w:rsidRPr="004154A5">
        <w:rPr>
          <w:rFonts w:asciiTheme="majorHAnsi" w:eastAsia="Times New Roman" w:hAnsiTheme="majorHAnsi" w:cs="Arial"/>
          <w:szCs w:val="19"/>
          <w:lang w:eastAsia="en-GB"/>
        </w:rPr>
        <w:t xml:space="preserve"> statutory supervision</w:t>
      </w:r>
      <w:r w:rsidR="006D2345" w:rsidRPr="004154A5">
        <w:rPr>
          <w:rFonts w:asciiTheme="majorHAnsi" w:eastAsia="Times New Roman" w:hAnsiTheme="majorHAnsi" w:cs="Arial"/>
          <w:szCs w:val="19"/>
          <w:lang w:eastAsia="en-GB"/>
        </w:rPr>
        <w:t xml:space="preserve"> </w:t>
      </w:r>
      <w:r w:rsidR="00736395" w:rsidRPr="004154A5">
        <w:rPr>
          <w:rFonts w:asciiTheme="majorHAnsi" w:eastAsia="Times New Roman" w:hAnsiTheme="majorHAnsi" w:cs="Arial"/>
          <w:szCs w:val="19"/>
          <w:lang w:eastAsia="en-GB"/>
        </w:rPr>
        <w:t>arrangements</w:t>
      </w:r>
      <w:r w:rsidR="003A325F" w:rsidRPr="004154A5">
        <w:rPr>
          <w:rFonts w:asciiTheme="majorHAnsi" w:eastAsia="Times New Roman" w:hAnsiTheme="majorHAnsi" w:cs="Arial"/>
          <w:szCs w:val="19"/>
          <w:lang w:eastAsia="en-GB"/>
        </w:rPr>
        <w:t xml:space="preserve">.  </w:t>
      </w:r>
      <w:r w:rsidR="005C0B17" w:rsidRPr="004154A5">
        <w:rPr>
          <w:rFonts w:asciiTheme="majorHAnsi" w:eastAsia="Times New Roman" w:hAnsiTheme="majorHAnsi" w:cs="Arial"/>
          <w:szCs w:val="19"/>
          <w:lang w:eastAsia="en-GB"/>
        </w:rPr>
        <w:t xml:space="preserve">The article also demonstrates how, post-supervision, </w:t>
      </w:r>
      <w:r w:rsidR="003A325F" w:rsidRPr="004154A5">
        <w:rPr>
          <w:rFonts w:asciiTheme="majorHAnsi" w:eastAsia="Times New Roman" w:hAnsiTheme="majorHAnsi" w:cs="Arial"/>
          <w:szCs w:val="19"/>
          <w:lang w:eastAsia="en-GB"/>
        </w:rPr>
        <w:t xml:space="preserve">many former lawbreakers </w:t>
      </w:r>
      <w:r w:rsidR="005C0B17" w:rsidRPr="004154A5">
        <w:rPr>
          <w:rFonts w:asciiTheme="majorHAnsi" w:eastAsia="Times New Roman" w:hAnsiTheme="majorHAnsi" w:cs="Arial"/>
          <w:szCs w:val="19"/>
          <w:lang w:eastAsia="en-GB"/>
        </w:rPr>
        <w:t xml:space="preserve">are cast </w:t>
      </w:r>
      <w:r w:rsidR="003A325F" w:rsidRPr="004154A5">
        <w:rPr>
          <w:rFonts w:asciiTheme="majorHAnsi" w:eastAsia="Times New Roman" w:hAnsiTheme="majorHAnsi" w:cs="Arial"/>
          <w:szCs w:val="19"/>
          <w:lang w:eastAsia="en-GB"/>
        </w:rPr>
        <w:t>into a state of ‘civic purgatory’</w:t>
      </w:r>
      <w:r w:rsidR="00736395" w:rsidRPr="004154A5">
        <w:rPr>
          <w:rFonts w:asciiTheme="majorHAnsi" w:eastAsia="Times New Roman" w:hAnsiTheme="majorHAnsi" w:cs="Arial"/>
          <w:szCs w:val="19"/>
          <w:lang w:eastAsia="en-GB"/>
        </w:rPr>
        <w:t>,</w:t>
      </w:r>
      <w:r w:rsidR="003A325F" w:rsidRPr="004154A5">
        <w:rPr>
          <w:rFonts w:asciiTheme="majorHAnsi" w:eastAsia="Times New Roman" w:hAnsiTheme="majorHAnsi" w:cs="Arial"/>
          <w:szCs w:val="19"/>
          <w:lang w:eastAsia="en-GB"/>
        </w:rPr>
        <w:t xml:space="preserve"> </w:t>
      </w:r>
      <w:r w:rsidR="00736395" w:rsidRPr="004154A5">
        <w:rPr>
          <w:rFonts w:asciiTheme="majorHAnsi" w:eastAsia="Times New Roman" w:hAnsiTheme="majorHAnsi" w:cs="Arial"/>
          <w:szCs w:val="19"/>
          <w:lang w:eastAsia="en-GB"/>
        </w:rPr>
        <w:t>before suggesting</w:t>
      </w:r>
      <w:r w:rsidR="005C0B17" w:rsidRPr="004154A5">
        <w:rPr>
          <w:rFonts w:asciiTheme="majorHAnsi" w:eastAsia="Times New Roman" w:hAnsiTheme="majorHAnsi" w:cs="Arial"/>
          <w:szCs w:val="19"/>
          <w:lang w:eastAsia="en-GB"/>
        </w:rPr>
        <w:t xml:space="preserve"> that</w:t>
      </w:r>
      <w:r w:rsidR="003A325F" w:rsidRPr="004154A5">
        <w:rPr>
          <w:rFonts w:asciiTheme="majorHAnsi" w:eastAsia="Times New Roman" w:hAnsiTheme="majorHAnsi" w:cs="Arial"/>
          <w:szCs w:val="19"/>
          <w:lang w:eastAsia="en-GB"/>
        </w:rPr>
        <w:t xml:space="preserve"> </w:t>
      </w:r>
      <w:r w:rsidR="00736395" w:rsidRPr="004154A5">
        <w:rPr>
          <w:rFonts w:asciiTheme="majorHAnsi" w:eastAsia="Times New Roman" w:hAnsiTheme="majorHAnsi" w:cs="Arial"/>
          <w:szCs w:val="19"/>
          <w:lang w:eastAsia="en-GB"/>
        </w:rPr>
        <w:t>a more fully integrated approach to</w:t>
      </w:r>
      <w:r w:rsidR="003A325F" w:rsidRPr="004154A5">
        <w:rPr>
          <w:rFonts w:asciiTheme="majorHAnsi" w:eastAsia="Times New Roman" w:hAnsiTheme="majorHAnsi" w:cs="Arial"/>
          <w:szCs w:val="19"/>
          <w:lang w:eastAsia="en-GB"/>
        </w:rPr>
        <w:t xml:space="preserve"> rehabilitation</w:t>
      </w:r>
      <w:r w:rsidR="00736395" w:rsidRPr="004154A5">
        <w:rPr>
          <w:rFonts w:asciiTheme="majorHAnsi" w:eastAsia="Times New Roman" w:hAnsiTheme="majorHAnsi" w:cs="Arial"/>
          <w:szCs w:val="19"/>
          <w:lang w:eastAsia="en-GB"/>
        </w:rPr>
        <w:t xml:space="preserve"> is required.</w:t>
      </w:r>
    </w:p>
    <w:bookmarkEnd w:id="0"/>
    <w:p w:rsidR="005C0B17" w:rsidRPr="004154A5" w:rsidRDefault="005C0B17" w:rsidP="00347A60">
      <w:pPr>
        <w:spacing w:after="0" w:line="360" w:lineRule="auto"/>
        <w:rPr>
          <w:rFonts w:asciiTheme="majorHAnsi" w:hAnsiTheme="majorHAnsi"/>
          <w:b/>
        </w:rPr>
      </w:pPr>
    </w:p>
    <w:p w:rsidR="006B5752" w:rsidRPr="004154A5" w:rsidRDefault="006B5752" w:rsidP="00347A60">
      <w:pPr>
        <w:spacing w:after="0" w:line="360" w:lineRule="auto"/>
        <w:rPr>
          <w:rFonts w:asciiTheme="majorHAnsi" w:hAnsiTheme="majorHAnsi"/>
          <w:b/>
          <w:sz w:val="28"/>
        </w:rPr>
      </w:pPr>
      <w:r w:rsidRPr="004154A5">
        <w:rPr>
          <w:rFonts w:asciiTheme="majorHAnsi" w:hAnsiTheme="majorHAnsi"/>
          <w:b/>
          <w:sz w:val="28"/>
        </w:rPr>
        <w:t>Key words</w:t>
      </w:r>
    </w:p>
    <w:p w:rsidR="006B5752" w:rsidRPr="004154A5" w:rsidRDefault="006B5752" w:rsidP="00347A60">
      <w:pPr>
        <w:spacing w:after="0" w:line="360" w:lineRule="auto"/>
        <w:rPr>
          <w:rFonts w:asciiTheme="majorHAnsi" w:hAnsiTheme="majorHAnsi"/>
        </w:rPr>
      </w:pPr>
    </w:p>
    <w:p w:rsidR="006B5752" w:rsidRPr="004154A5" w:rsidRDefault="006B5752" w:rsidP="00347A60">
      <w:pPr>
        <w:spacing w:after="0" w:line="360" w:lineRule="auto"/>
        <w:rPr>
          <w:rFonts w:asciiTheme="majorHAnsi" w:hAnsiTheme="majorHAnsi"/>
        </w:rPr>
      </w:pPr>
      <w:r w:rsidRPr="004154A5">
        <w:rPr>
          <w:rFonts w:asciiTheme="majorHAnsi" w:hAnsiTheme="majorHAnsi"/>
        </w:rPr>
        <w:t>Criminal records, legal rehabilitation, stigma, discrimination</w:t>
      </w:r>
      <w:r w:rsidR="00B334E9" w:rsidRPr="004154A5">
        <w:rPr>
          <w:rFonts w:asciiTheme="majorHAnsi" w:hAnsiTheme="majorHAnsi"/>
        </w:rPr>
        <w:t>, statutory supervision</w:t>
      </w:r>
    </w:p>
    <w:p w:rsidR="00294528" w:rsidRPr="004154A5" w:rsidRDefault="00294528" w:rsidP="00347A60">
      <w:pPr>
        <w:spacing w:after="0" w:line="360" w:lineRule="auto"/>
        <w:rPr>
          <w:rFonts w:asciiTheme="majorHAnsi" w:hAnsiTheme="majorHAnsi"/>
        </w:rPr>
      </w:pPr>
    </w:p>
    <w:p w:rsidR="00743F96" w:rsidRPr="004154A5" w:rsidRDefault="00743F96" w:rsidP="00347A60">
      <w:pPr>
        <w:spacing w:after="0" w:line="360" w:lineRule="auto"/>
        <w:rPr>
          <w:rFonts w:asciiTheme="majorHAnsi" w:hAnsiTheme="majorHAnsi"/>
        </w:rPr>
      </w:pPr>
    </w:p>
    <w:p w:rsidR="00294528" w:rsidRPr="004154A5" w:rsidRDefault="006B5752" w:rsidP="00347A60">
      <w:pPr>
        <w:spacing w:line="360" w:lineRule="auto"/>
        <w:rPr>
          <w:rFonts w:asciiTheme="majorHAnsi" w:hAnsiTheme="majorHAnsi"/>
          <w:b/>
          <w:sz w:val="28"/>
        </w:rPr>
      </w:pPr>
      <w:r w:rsidRPr="004154A5">
        <w:rPr>
          <w:rFonts w:asciiTheme="majorHAnsi" w:hAnsiTheme="majorHAnsi"/>
          <w:b/>
          <w:sz w:val="28"/>
        </w:rPr>
        <w:t>Introduction</w:t>
      </w:r>
      <w:r w:rsidR="00BA3C7F" w:rsidRPr="004154A5">
        <w:rPr>
          <w:rFonts w:asciiTheme="majorHAnsi" w:hAnsiTheme="majorHAnsi"/>
          <w:b/>
          <w:sz w:val="28"/>
        </w:rPr>
        <w:t xml:space="preserve"> </w:t>
      </w:r>
    </w:p>
    <w:p w:rsidR="009D0E21" w:rsidRPr="004154A5" w:rsidRDefault="005B184C" w:rsidP="00347A60">
      <w:pPr>
        <w:spacing w:after="0" w:line="360" w:lineRule="auto"/>
        <w:jc w:val="both"/>
        <w:rPr>
          <w:rFonts w:asciiTheme="majorHAnsi" w:hAnsiTheme="majorHAnsi"/>
        </w:rPr>
      </w:pPr>
      <w:r w:rsidRPr="004154A5">
        <w:rPr>
          <w:rFonts w:asciiTheme="majorHAnsi" w:hAnsiTheme="majorHAnsi"/>
        </w:rPr>
        <w:t>In</w:t>
      </w:r>
      <w:r w:rsidR="00ED49F8" w:rsidRPr="004154A5">
        <w:rPr>
          <w:rFonts w:asciiTheme="majorHAnsi" w:hAnsiTheme="majorHAnsi"/>
        </w:rPr>
        <w:t xml:space="preserve"> sentencing </w:t>
      </w:r>
      <w:r w:rsidRPr="004154A5">
        <w:rPr>
          <w:rFonts w:asciiTheme="majorHAnsi" w:hAnsiTheme="majorHAnsi"/>
        </w:rPr>
        <w:t>convicted lawbreakers</w:t>
      </w:r>
      <w:r w:rsidR="00ED49F8" w:rsidRPr="004154A5">
        <w:rPr>
          <w:rFonts w:asciiTheme="majorHAnsi" w:hAnsiTheme="majorHAnsi"/>
        </w:rPr>
        <w:t xml:space="preserve">, </w:t>
      </w:r>
      <w:r w:rsidRPr="004154A5">
        <w:rPr>
          <w:rFonts w:asciiTheme="majorHAnsi" w:hAnsiTheme="majorHAnsi"/>
        </w:rPr>
        <w:t xml:space="preserve">courts in England and Wales are required to give due consideration to five distinct objectives (Sentencing Council 2017).  These include: punishing the offender; reducing crime; protecting the public; making the offender ‘give something back’; and </w:t>
      </w:r>
      <w:r w:rsidRPr="004154A5">
        <w:rPr>
          <w:rFonts w:asciiTheme="majorHAnsi" w:hAnsiTheme="majorHAnsi"/>
          <w:i/>
        </w:rPr>
        <w:t>reforming and</w:t>
      </w:r>
      <w:r w:rsidRPr="004154A5">
        <w:rPr>
          <w:rFonts w:asciiTheme="majorHAnsi" w:hAnsiTheme="majorHAnsi"/>
        </w:rPr>
        <w:t xml:space="preserve"> </w:t>
      </w:r>
      <w:r w:rsidRPr="004154A5">
        <w:rPr>
          <w:rFonts w:asciiTheme="majorHAnsi" w:hAnsiTheme="majorHAnsi"/>
          <w:i/>
        </w:rPr>
        <w:t>rehabilitating the offender</w:t>
      </w:r>
      <w:r w:rsidRPr="004154A5">
        <w:rPr>
          <w:rFonts w:asciiTheme="majorHAnsi" w:hAnsiTheme="majorHAnsi"/>
        </w:rPr>
        <w:t>.  Th</w:t>
      </w:r>
      <w:r w:rsidR="00883381" w:rsidRPr="004154A5">
        <w:rPr>
          <w:rFonts w:asciiTheme="majorHAnsi" w:hAnsiTheme="majorHAnsi"/>
        </w:rPr>
        <w:t>is latter</w:t>
      </w:r>
      <w:r w:rsidRPr="004154A5">
        <w:rPr>
          <w:rFonts w:asciiTheme="majorHAnsi" w:hAnsiTheme="majorHAnsi"/>
        </w:rPr>
        <w:t xml:space="preserve"> and perhaps most elusive, objective is defined as ‘changing an offender’s behaviour to prevent future crime for example by requiring an offender to have treatment for drug addiction or alcohol abuse’ (ibid.).   However, this </w:t>
      </w:r>
      <w:r w:rsidR="009D0E21" w:rsidRPr="004154A5">
        <w:rPr>
          <w:rFonts w:asciiTheme="majorHAnsi" w:hAnsiTheme="majorHAnsi"/>
        </w:rPr>
        <w:t xml:space="preserve">definition arguably over-simplifies what is, in reality, a much more complex and nuanced </w:t>
      </w:r>
      <w:r w:rsidR="004629A2" w:rsidRPr="004154A5">
        <w:rPr>
          <w:rFonts w:asciiTheme="majorHAnsi" w:hAnsiTheme="majorHAnsi"/>
        </w:rPr>
        <w:t xml:space="preserve">penological </w:t>
      </w:r>
      <w:r w:rsidR="00752A8A" w:rsidRPr="004154A5">
        <w:rPr>
          <w:rFonts w:asciiTheme="majorHAnsi" w:hAnsiTheme="majorHAnsi"/>
        </w:rPr>
        <w:t>objective</w:t>
      </w:r>
      <w:r w:rsidR="009D0E21" w:rsidRPr="004154A5">
        <w:rPr>
          <w:rFonts w:asciiTheme="majorHAnsi" w:hAnsiTheme="majorHAnsi"/>
        </w:rPr>
        <w:t xml:space="preserve">. </w:t>
      </w:r>
      <w:r w:rsidR="00C32A49" w:rsidRPr="004154A5">
        <w:rPr>
          <w:rFonts w:asciiTheme="majorHAnsi" w:hAnsiTheme="majorHAnsi"/>
        </w:rPr>
        <w:t xml:space="preserve"> </w:t>
      </w:r>
      <w:r w:rsidR="009D0E21" w:rsidRPr="004154A5">
        <w:rPr>
          <w:rFonts w:asciiTheme="majorHAnsi" w:hAnsiTheme="majorHAnsi"/>
        </w:rPr>
        <w:t xml:space="preserve">Indeed, ‘rehabilitation’ in the criminal justice context is rather a catch-all </w:t>
      </w:r>
      <w:r w:rsidR="009D0E21" w:rsidRPr="004154A5">
        <w:rPr>
          <w:rFonts w:asciiTheme="majorHAnsi" w:hAnsiTheme="majorHAnsi"/>
        </w:rPr>
        <w:lastRenderedPageBreak/>
        <w:t>term for a number of desired outcomes which are themselves often guided by distinct philosophical principles</w:t>
      </w:r>
      <w:r w:rsidR="00ED12D7" w:rsidRPr="004154A5">
        <w:rPr>
          <w:rFonts w:asciiTheme="majorHAnsi" w:hAnsiTheme="majorHAnsi"/>
        </w:rPr>
        <w:t xml:space="preserve"> (</w:t>
      </w:r>
      <w:r w:rsidR="00883381" w:rsidRPr="004154A5">
        <w:rPr>
          <w:rFonts w:asciiTheme="majorHAnsi" w:hAnsiTheme="majorHAnsi"/>
        </w:rPr>
        <w:t xml:space="preserve">for a discussion, </w:t>
      </w:r>
      <w:r w:rsidR="00ED12D7" w:rsidRPr="004154A5">
        <w:rPr>
          <w:rFonts w:asciiTheme="majorHAnsi" w:hAnsiTheme="majorHAnsi"/>
        </w:rPr>
        <w:t>see Brooks 2012: 51-63; Canton 2017</w:t>
      </w:r>
      <w:r w:rsidR="000017F1" w:rsidRPr="004154A5">
        <w:rPr>
          <w:rFonts w:asciiTheme="majorHAnsi" w:hAnsiTheme="majorHAnsi"/>
        </w:rPr>
        <w:t>:</w:t>
      </w:r>
      <w:r w:rsidR="00ED12D7" w:rsidRPr="004154A5">
        <w:rPr>
          <w:rFonts w:asciiTheme="majorHAnsi" w:hAnsiTheme="majorHAnsi"/>
        </w:rPr>
        <w:t xml:space="preserve"> 102-124)</w:t>
      </w:r>
      <w:r w:rsidR="00ED49F8" w:rsidRPr="004154A5">
        <w:rPr>
          <w:rFonts w:asciiTheme="majorHAnsi" w:hAnsiTheme="majorHAnsi"/>
        </w:rPr>
        <w:t xml:space="preserve">.  </w:t>
      </w:r>
    </w:p>
    <w:p w:rsidR="005C0B17" w:rsidRPr="004154A5" w:rsidRDefault="0061680E" w:rsidP="00347A60">
      <w:pPr>
        <w:spacing w:after="0" w:line="360" w:lineRule="auto"/>
        <w:ind w:firstLine="720"/>
        <w:jc w:val="both"/>
        <w:rPr>
          <w:rFonts w:asciiTheme="majorHAnsi" w:hAnsiTheme="majorHAnsi"/>
        </w:rPr>
      </w:pPr>
      <w:r w:rsidRPr="004154A5">
        <w:rPr>
          <w:rFonts w:asciiTheme="majorHAnsi" w:hAnsiTheme="majorHAnsi"/>
        </w:rPr>
        <w:t xml:space="preserve">In addition to the concept of ‘natural rehabilitation’ (or natural desistance), whereby some individuals spontaneously cease their law-breaking behaviour and effectively ‘grow out’ of criminality (see Laub </w:t>
      </w:r>
      <w:r w:rsidR="000E5446" w:rsidRPr="004154A5">
        <w:rPr>
          <w:rFonts w:asciiTheme="majorHAnsi" w:hAnsiTheme="majorHAnsi"/>
        </w:rPr>
        <w:t>and Sampson 2001; 2003</w:t>
      </w:r>
      <w:r w:rsidRPr="004154A5">
        <w:rPr>
          <w:rFonts w:asciiTheme="majorHAnsi" w:hAnsiTheme="majorHAnsi"/>
        </w:rPr>
        <w:t>), McNeill (2012) describes four distinct forms of rehabilitation</w:t>
      </w:r>
      <w:r w:rsidR="009D0E21" w:rsidRPr="004154A5">
        <w:rPr>
          <w:rFonts w:asciiTheme="majorHAnsi" w:hAnsiTheme="majorHAnsi"/>
        </w:rPr>
        <w:t xml:space="preserve">.  </w:t>
      </w:r>
      <w:r w:rsidR="009D0E21" w:rsidRPr="004154A5">
        <w:rPr>
          <w:rFonts w:asciiTheme="majorHAnsi" w:hAnsiTheme="majorHAnsi"/>
          <w:i/>
        </w:rPr>
        <w:t>Psychological</w:t>
      </w:r>
      <w:r w:rsidR="009D0E21" w:rsidRPr="004154A5">
        <w:rPr>
          <w:rFonts w:asciiTheme="majorHAnsi" w:hAnsiTheme="majorHAnsi"/>
        </w:rPr>
        <w:t xml:space="preserve"> rehabilitation</w:t>
      </w:r>
      <w:r w:rsidR="00ED12D7" w:rsidRPr="004154A5">
        <w:rPr>
          <w:rFonts w:asciiTheme="majorHAnsi" w:hAnsiTheme="majorHAnsi"/>
        </w:rPr>
        <w:t>, he argues</w:t>
      </w:r>
      <w:r w:rsidR="009D0E21" w:rsidRPr="004154A5">
        <w:rPr>
          <w:rFonts w:asciiTheme="majorHAnsi" w:hAnsiTheme="majorHAnsi"/>
        </w:rPr>
        <w:t xml:space="preserve"> ‘is principally concerned with promoting positive individual-level change in the offender’ (</w:t>
      </w:r>
      <w:r w:rsidR="00ED12D7" w:rsidRPr="004154A5">
        <w:rPr>
          <w:rFonts w:asciiTheme="majorHAnsi" w:hAnsiTheme="majorHAnsi"/>
        </w:rPr>
        <w:t xml:space="preserve">p. 27).  It provides the rationale for including therapeutic interventions and ‘offending-behaviour courses’ as part of a sentence and therefore comes closest to the idea of somehow ‘changing’ lawbreakers </w:t>
      </w:r>
      <w:r w:rsidR="00883381" w:rsidRPr="004154A5">
        <w:rPr>
          <w:rFonts w:asciiTheme="majorHAnsi" w:hAnsiTheme="majorHAnsi"/>
        </w:rPr>
        <w:t xml:space="preserve">(through intervention) </w:t>
      </w:r>
      <w:r w:rsidR="00ED12D7" w:rsidRPr="004154A5">
        <w:rPr>
          <w:rFonts w:asciiTheme="majorHAnsi" w:hAnsiTheme="majorHAnsi"/>
        </w:rPr>
        <w:t xml:space="preserve">conveyed by the Sentencing Council’s (2017) definition. </w:t>
      </w:r>
      <w:r w:rsidR="009D0E21" w:rsidRPr="004154A5">
        <w:rPr>
          <w:rFonts w:asciiTheme="majorHAnsi" w:hAnsiTheme="majorHAnsi"/>
        </w:rPr>
        <w:t xml:space="preserve"> </w:t>
      </w:r>
      <w:r w:rsidR="00ED12D7" w:rsidRPr="004154A5">
        <w:rPr>
          <w:rFonts w:asciiTheme="majorHAnsi" w:hAnsiTheme="majorHAnsi"/>
          <w:i/>
        </w:rPr>
        <w:t>Moral</w:t>
      </w:r>
      <w:r w:rsidR="00ED12D7" w:rsidRPr="004154A5">
        <w:rPr>
          <w:rFonts w:asciiTheme="majorHAnsi" w:hAnsiTheme="majorHAnsi"/>
        </w:rPr>
        <w:t xml:space="preserve"> rehabilitation conveys the notion that a lawbreaker must ‘pay back their debt to society’ in some way before being able to trade up to a restored social position as a citizen of good character (McNeill and Maruna 2010).  Whilst this ‘paying back’ is achieved partly through the suffering of ‘unpleasant consequences’ (Lacey 1988) or ‘hard treatment’ (Duff 2001), notions of restorative justice </w:t>
      </w:r>
      <w:r w:rsidR="004F35F3" w:rsidRPr="004154A5">
        <w:rPr>
          <w:rFonts w:asciiTheme="majorHAnsi" w:hAnsiTheme="majorHAnsi"/>
        </w:rPr>
        <w:t xml:space="preserve">and ‘reintegrative shaming’ </w:t>
      </w:r>
      <w:r w:rsidR="00ED12D7" w:rsidRPr="004154A5">
        <w:rPr>
          <w:rFonts w:asciiTheme="majorHAnsi" w:hAnsiTheme="majorHAnsi"/>
        </w:rPr>
        <w:t xml:space="preserve">may also </w:t>
      </w:r>
      <w:r w:rsidR="005A69BC" w:rsidRPr="004154A5">
        <w:rPr>
          <w:rFonts w:asciiTheme="majorHAnsi" w:hAnsiTheme="majorHAnsi"/>
        </w:rPr>
        <w:t>contribute towards the idea of some sort of moral redemption being achieved</w:t>
      </w:r>
      <w:r w:rsidR="004F35F3" w:rsidRPr="004154A5">
        <w:rPr>
          <w:rFonts w:asciiTheme="majorHAnsi" w:hAnsiTheme="majorHAnsi"/>
        </w:rPr>
        <w:t xml:space="preserve"> (</w:t>
      </w:r>
      <w:r w:rsidR="00D06F0A" w:rsidRPr="004154A5">
        <w:rPr>
          <w:rFonts w:asciiTheme="majorHAnsi" w:hAnsiTheme="majorHAnsi"/>
        </w:rPr>
        <w:t>Braithwaite 19</w:t>
      </w:r>
      <w:r w:rsidR="004F35F3" w:rsidRPr="004154A5">
        <w:rPr>
          <w:rFonts w:asciiTheme="majorHAnsi" w:hAnsiTheme="majorHAnsi"/>
        </w:rPr>
        <w:t>89; 2002</w:t>
      </w:r>
      <w:r w:rsidR="00D06F0A" w:rsidRPr="004154A5">
        <w:rPr>
          <w:rFonts w:asciiTheme="majorHAnsi" w:hAnsiTheme="majorHAnsi"/>
        </w:rPr>
        <w:t>)</w:t>
      </w:r>
      <w:r w:rsidR="005A69BC" w:rsidRPr="004154A5">
        <w:rPr>
          <w:rFonts w:asciiTheme="majorHAnsi" w:hAnsiTheme="majorHAnsi"/>
        </w:rPr>
        <w:t xml:space="preserve">.  </w:t>
      </w:r>
      <w:r w:rsidR="009D0E21" w:rsidRPr="004154A5">
        <w:rPr>
          <w:rFonts w:asciiTheme="majorHAnsi" w:hAnsiTheme="majorHAnsi"/>
          <w:i/>
        </w:rPr>
        <w:t xml:space="preserve">Social </w:t>
      </w:r>
      <w:r w:rsidR="009D0E21" w:rsidRPr="004154A5">
        <w:rPr>
          <w:rFonts w:asciiTheme="majorHAnsi" w:hAnsiTheme="majorHAnsi"/>
        </w:rPr>
        <w:t xml:space="preserve">rehabilitation, particularly in European jurisdictions, involves both the restoration of a lawbreaker’s social status and also their access to the personal and social means to do so (van Zyl Smit and Snacken 2010).  </w:t>
      </w:r>
      <w:r w:rsidR="00752A8A" w:rsidRPr="004154A5">
        <w:rPr>
          <w:rFonts w:asciiTheme="majorHAnsi" w:hAnsiTheme="majorHAnsi"/>
        </w:rPr>
        <w:t xml:space="preserve">However, this concept also involves ‘the informal social recognition and acceptance of the reformed ex-offender’ (McNeill 2012: 15) which ‘rather than the advancement of the “science” of personal reform, is perhaps </w:t>
      </w:r>
      <w:r w:rsidR="00650094" w:rsidRPr="004154A5">
        <w:rPr>
          <w:rFonts w:asciiTheme="majorHAnsi" w:hAnsiTheme="majorHAnsi"/>
        </w:rPr>
        <w:t xml:space="preserve">the ultimate problem for rehabilitation in practice’ (ibid.).  </w:t>
      </w:r>
    </w:p>
    <w:p w:rsidR="00FD5DD8" w:rsidRPr="004154A5" w:rsidRDefault="00122E21" w:rsidP="00347A60">
      <w:pPr>
        <w:spacing w:after="0" w:line="360" w:lineRule="auto"/>
        <w:ind w:firstLine="720"/>
        <w:jc w:val="both"/>
        <w:rPr>
          <w:rFonts w:asciiTheme="majorHAnsi" w:hAnsiTheme="majorHAnsi"/>
        </w:rPr>
      </w:pPr>
      <w:r w:rsidRPr="004154A5">
        <w:rPr>
          <w:rFonts w:asciiTheme="majorHAnsi" w:hAnsiTheme="majorHAnsi"/>
        </w:rPr>
        <w:t>The difficulties of advancing the social rehabilitation of lawbreakers are linked to the inherently stigmatising nature of criminal justice processes based, not merely on re</w:t>
      </w:r>
      <w:r w:rsidR="00841DEC" w:rsidRPr="004154A5">
        <w:rPr>
          <w:rFonts w:asciiTheme="majorHAnsi" w:hAnsiTheme="majorHAnsi"/>
        </w:rPr>
        <w:t xml:space="preserve">tribution but on the censure or </w:t>
      </w:r>
      <w:r w:rsidRPr="004154A5">
        <w:rPr>
          <w:rFonts w:asciiTheme="majorHAnsi" w:hAnsiTheme="majorHAnsi"/>
        </w:rPr>
        <w:t xml:space="preserve">condemnation of lawbreakers in </w:t>
      </w:r>
      <w:r w:rsidR="008E53C6" w:rsidRPr="004154A5">
        <w:rPr>
          <w:rFonts w:asciiTheme="majorHAnsi" w:hAnsiTheme="majorHAnsi"/>
        </w:rPr>
        <w:t xml:space="preserve">the </w:t>
      </w:r>
      <w:r w:rsidRPr="004154A5">
        <w:rPr>
          <w:rFonts w:asciiTheme="majorHAnsi" w:hAnsiTheme="majorHAnsi"/>
        </w:rPr>
        <w:t>public for</w:t>
      </w:r>
      <w:r w:rsidR="008E53C6" w:rsidRPr="004154A5">
        <w:rPr>
          <w:rFonts w:asciiTheme="majorHAnsi" w:hAnsiTheme="majorHAnsi"/>
        </w:rPr>
        <w:t>um of the courtroom</w:t>
      </w:r>
      <w:r w:rsidRPr="004154A5">
        <w:rPr>
          <w:rFonts w:asciiTheme="majorHAnsi" w:hAnsiTheme="majorHAnsi"/>
        </w:rPr>
        <w:t xml:space="preserve"> (Von Hirsch 1993; Duff 2001).  </w:t>
      </w:r>
      <w:r w:rsidR="005C06C1" w:rsidRPr="004154A5">
        <w:rPr>
          <w:rFonts w:asciiTheme="majorHAnsi" w:hAnsiTheme="majorHAnsi"/>
        </w:rPr>
        <w:t>Indeed, as discussed elsewhere, processes of criminalisation and moral stigmatisation can give rise to a form of ‘civil and social death’ (</w:t>
      </w:r>
      <w:r w:rsidR="000C2E3F" w:rsidRPr="004154A5">
        <w:rPr>
          <w:rFonts w:asciiTheme="majorHAnsi" w:hAnsiTheme="majorHAnsi"/>
        </w:rPr>
        <w:t>Henley 2014; 2017a; 2018</w:t>
      </w:r>
      <w:r w:rsidR="005C06C1" w:rsidRPr="004154A5">
        <w:rPr>
          <w:rFonts w:asciiTheme="majorHAnsi" w:hAnsiTheme="majorHAnsi"/>
        </w:rPr>
        <w:t xml:space="preserve">; see also Earle 2016). </w:t>
      </w:r>
      <w:r w:rsidRPr="004154A5">
        <w:rPr>
          <w:rFonts w:asciiTheme="majorHAnsi" w:hAnsiTheme="majorHAnsi"/>
        </w:rPr>
        <w:t xml:space="preserve"> </w:t>
      </w:r>
      <w:r w:rsidR="005C06C1" w:rsidRPr="004154A5">
        <w:rPr>
          <w:rFonts w:asciiTheme="majorHAnsi" w:hAnsiTheme="majorHAnsi"/>
        </w:rPr>
        <w:t xml:space="preserve">It is for this reason, despite being </w:t>
      </w:r>
      <w:r w:rsidR="00C32A49" w:rsidRPr="004154A5">
        <w:rPr>
          <w:rFonts w:asciiTheme="majorHAnsi" w:hAnsiTheme="majorHAnsi"/>
        </w:rPr>
        <w:t>relatively</w:t>
      </w:r>
      <w:r w:rsidR="005C06C1" w:rsidRPr="004154A5">
        <w:rPr>
          <w:rFonts w:asciiTheme="majorHAnsi" w:hAnsiTheme="majorHAnsi"/>
        </w:rPr>
        <w:t xml:space="preserve"> neglected in the rehabilitation literature, that the question of </w:t>
      </w:r>
      <w:r w:rsidR="009D0E21" w:rsidRPr="004154A5">
        <w:rPr>
          <w:rFonts w:asciiTheme="majorHAnsi" w:hAnsiTheme="majorHAnsi"/>
          <w:i/>
        </w:rPr>
        <w:t xml:space="preserve">legal </w:t>
      </w:r>
      <w:r w:rsidR="009D0E21" w:rsidRPr="004154A5">
        <w:rPr>
          <w:rFonts w:asciiTheme="majorHAnsi" w:hAnsiTheme="majorHAnsi"/>
        </w:rPr>
        <w:t>or</w:t>
      </w:r>
      <w:r w:rsidR="009D0E21" w:rsidRPr="004154A5">
        <w:rPr>
          <w:rFonts w:asciiTheme="majorHAnsi" w:hAnsiTheme="majorHAnsi"/>
          <w:i/>
        </w:rPr>
        <w:t xml:space="preserve"> judicial rehabilitation </w:t>
      </w:r>
      <w:r w:rsidR="00C32A49" w:rsidRPr="004154A5">
        <w:rPr>
          <w:rFonts w:asciiTheme="majorHAnsi" w:hAnsiTheme="majorHAnsi"/>
        </w:rPr>
        <w:t>is of such importance</w:t>
      </w:r>
      <w:r w:rsidR="00C32A49" w:rsidRPr="004154A5">
        <w:rPr>
          <w:rFonts w:asciiTheme="majorHAnsi" w:hAnsiTheme="majorHAnsi"/>
          <w:i/>
        </w:rPr>
        <w:t xml:space="preserve"> </w:t>
      </w:r>
      <w:r w:rsidR="00C32A49" w:rsidRPr="004154A5">
        <w:rPr>
          <w:rFonts w:asciiTheme="majorHAnsi" w:hAnsiTheme="majorHAnsi"/>
        </w:rPr>
        <w:t>given</w:t>
      </w:r>
      <w:r w:rsidR="005C06C1" w:rsidRPr="004154A5">
        <w:rPr>
          <w:rFonts w:asciiTheme="majorHAnsi" w:hAnsiTheme="majorHAnsi"/>
        </w:rPr>
        <w:t xml:space="preserve"> its concern for </w:t>
      </w:r>
      <w:r w:rsidR="009D0E21" w:rsidRPr="004154A5">
        <w:rPr>
          <w:rFonts w:asciiTheme="majorHAnsi" w:hAnsiTheme="majorHAnsi"/>
        </w:rPr>
        <w:t xml:space="preserve">‘when, how and to what extent a criminal record and the stigma that it represents can ever be set aside, sealed or surpassed’ (McNeill 2012: 27).  </w:t>
      </w:r>
      <w:r w:rsidR="00FD5DD8" w:rsidRPr="004154A5">
        <w:rPr>
          <w:rFonts w:asciiTheme="majorHAnsi" w:hAnsiTheme="majorHAnsi"/>
        </w:rPr>
        <w:t>L</w:t>
      </w:r>
      <w:r w:rsidR="00D314E6" w:rsidRPr="004154A5">
        <w:rPr>
          <w:rFonts w:asciiTheme="majorHAnsi" w:hAnsiTheme="majorHAnsi"/>
        </w:rPr>
        <w:t xml:space="preserve">egal rehabilitation </w:t>
      </w:r>
      <w:r w:rsidR="00D06F0A" w:rsidRPr="004154A5">
        <w:rPr>
          <w:rFonts w:asciiTheme="majorHAnsi" w:hAnsiTheme="majorHAnsi"/>
        </w:rPr>
        <w:t xml:space="preserve">is </w:t>
      </w:r>
      <w:r w:rsidR="00ED49F8" w:rsidRPr="004154A5">
        <w:rPr>
          <w:rFonts w:asciiTheme="majorHAnsi" w:hAnsiTheme="majorHAnsi"/>
        </w:rPr>
        <w:t>concern</w:t>
      </w:r>
      <w:r w:rsidR="00AD6563" w:rsidRPr="004154A5">
        <w:rPr>
          <w:rFonts w:asciiTheme="majorHAnsi" w:hAnsiTheme="majorHAnsi"/>
        </w:rPr>
        <w:t>ed with</w:t>
      </w:r>
      <w:r w:rsidR="00380D24" w:rsidRPr="004154A5">
        <w:rPr>
          <w:rFonts w:asciiTheme="majorHAnsi" w:hAnsiTheme="majorHAnsi"/>
        </w:rPr>
        <w:t xml:space="preserve"> </w:t>
      </w:r>
      <w:r w:rsidR="00FD5DD8" w:rsidRPr="004154A5">
        <w:rPr>
          <w:rFonts w:asciiTheme="majorHAnsi" w:hAnsiTheme="majorHAnsi"/>
        </w:rPr>
        <w:t xml:space="preserve">preventing or </w:t>
      </w:r>
      <w:r w:rsidR="00380D24" w:rsidRPr="004154A5">
        <w:rPr>
          <w:rFonts w:asciiTheme="majorHAnsi" w:hAnsiTheme="majorHAnsi"/>
        </w:rPr>
        <w:t xml:space="preserve">mitigating </w:t>
      </w:r>
      <w:r w:rsidR="00D06F0A" w:rsidRPr="004154A5">
        <w:rPr>
          <w:rFonts w:asciiTheme="majorHAnsi" w:hAnsiTheme="majorHAnsi"/>
        </w:rPr>
        <w:t>possible</w:t>
      </w:r>
      <w:r w:rsidR="00380D24" w:rsidRPr="004154A5">
        <w:rPr>
          <w:rFonts w:asciiTheme="majorHAnsi" w:hAnsiTheme="majorHAnsi"/>
        </w:rPr>
        <w:t xml:space="preserve"> discrimination against former</w:t>
      </w:r>
      <w:r w:rsidR="00ED49F8" w:rsidRPr="004154A5">
        <w:rPr>
          <w:rFonts w:asciiTheme="majorHAnsi" w:hAnsiTheme="majorHAnsi"/>
        </w:rPr>
        <w:t xml:space="preserve"> lawbreakers </w:t>
      </w:r>
      <w:r w:rsidR="00ED49F8" w:rsidRPr="004154A5">
        <w:rPr>
          <w:rFonts w:asciiTheme="majorHAnsi" w:hAnsiTheme="majorHAnsi"/>
          <w:i/>
        </w:rPr>
        <w:t xml:space="preserve">after </w:t>
      </w:r>
      <w:r w:rsidR="00ED49F8" w:rsidRPr="004154A5">
        <w:rPr>
          <w:rFonts w:asciiTheme="majorHAnsi" w:hAnsiTheme="majorHAnsi"/>
        </w:rPr>
        <w:t>they have paid the legal penalty for their crime</w:t>
      </w:r>
      <w:r w:rsidR="00D314E6" w:rsidRPr="004154A5">
        <w:rPr>
          <w:rFonts w:asciiTheme="majorHAnsi" w:hAnsiTheme="majorHAnsi"/>
        </w:rPr>
        <w:t xml:space="preserve">.  </w:t>
      </w:r>
      <w:r w:rsidR="00FD5DD8" w:rsidRPr="004154A5">
        <w:rPr>
          <w:rFonts w:asciiTheme="majorHAnsi" w:hAnsiTheme="majorHAnsi"/>
        </w:rPr>
        <w:t xml:space="preserve">It is important because it says something definitive about the nature of the relationship between the state, its laws, society and the extent to which former lawbreakers are recognised as ‘citizens’ of equal merit after they have endured punishment. </w:t>
      </w:r>
    </w:p>
    <w:p w:rsidR="00FD5DD8" w:rsidRPr="004154A5" w:rsidRDefault="00FD5DD8" w:rsidP="00347A60">
      <w:pPr>
        <w:spacing w:after="0" w:line="360" w:lineRule="auto"/>
        <w:ind w:firstLine="720"/>
        <w:jc w:val="both"/>
        <w:rPr>
          <w:rFonts w:asciiTheme="majorHAnsi" w:hAnsiTheme="majorHAnsi"/>
        </w:rPr>
      </w:pPr>
      <w:r w:rsidRPr="004154A5">
        <w:rPr>
          <w:rFonts w:asciiTheme="majorHAnsi" w:hAnsiTheme="majorHAnsi"/>
        </w:rPr>
        <w:lastRenderedPageBreak/>
        <w:t xml:space="preserve">Legal rehabilitation </w:t>
      </w:r>
      <w:r w:rsidR="00D314E6" w:rsidRPr="004154A5">
        <w:rPr>
          <w:rFonts w:asciiTheme="majorHAnsi" w:hAnsiTheme="majorHAnsi"/>
        </w:rPr>
        <w:t xml:space="preserve">can thus be said to </w:t>
      </w:r>
      <w:r w:rsidR="00D314E6" w:rsidRPr="004154A5">
        <w:rPr>
          <w:rFonts w:asciiTheme="majorHAnsi" w:hAnsiTheme="majorHAnsi"/>
          <w:i/>
        </w:rPr>
        <w:t>underpin</w:t>
      </w:r>
      <w:r w:rsidR="00D314E6" w:rsidRPr="004154A5">
        <w:rPr>
          <w:rFonts w:asciiTheme="majorHAnsi" w:hAnsiTheme="majorHAnsi"/>
        </w:rPr>
        <w:t xml:space="preserve"> social rehabilitation, provide </w:t>
      </w:r>
      <w:r w:rsidR="00D314E6" w:rsidRPr="004154A5">
        <w:rPr>
          <w:rFonts w:asciiTheme="majorHAnsi" w:hAnsiTheme="majorHAnsi"/>
          <w:i/>
        </w:rPr>
        <w:t>formal recognition</w:t>
      </w:r>
      <w:r w:rsidR="00D314E6" w:rsidRPr="004154A5">
        <w:rPr>
          <w:rFonts w:asciiTheme="majorHAnsi" w:hAnsiTheme="majorHAnsi"/>
        </w:rPr>
        <w:t xml:space="preserve"> of moral rehabilitation, and yet be </w:t>
      </w:r>
      <w:r w:rsidR="00D06F0A" w:rsidRPr="004154A5">
        <w:rPr>
          <w:rFonts w:asciiTheme="majorHAnsi" w:hAnsiTheme="majorHAnsi"/>
          <w:i/>
        </w:rPr>
        <w:t>distinct from</w:t>
      </w:r>
      <w:r w:rsidR="00D06F0A" w:rsidRPr="004154A5">
        <w:rPr>
          <w:rFonts w:asciiTheme="majorHAnsi" w:hAnsiTheme="majorHAnsi"/>
        </w:rPr>
        <w:t xml:space="preserve"> psychological rehabilitation</w:t>
      </w:r>
      <w:r w:rsidR="00ED49F8" w:rsidRPr="004154A5">
        <w:rPr>
          <w:rFonts w:asciiTheme="majorHAnsi" w:hAnsiTheme="majorHAnsi"/>
        </w:rPr>
        <w:t xml:space="preserve">.  </w:t>
      </w:r>
      <w:r w:rsidR="00D06F0A" w:rsidRPr="004154A5">
        <w:rPr>
          <w:rFonts w:asciiTheme="majorHAnsi" w:hAnsiTheme="majorHAnsi"/>
        </w:rPr>
        <w:t>Th</w:t>
      </w:r>
      <w:r w:rsidRPr="004154A5">
        <w:rPr>
          <w:rFonts w:asciiTheme="majorHAnsi" w:hAnsiTheme="majorHAnsi"/>
        </w:rPr>
        <w:t>e</w:t>
      </w:r>
      <w:r w:rsidR="00D06F0A" w:rsidRPr="004154A5">
        <w:rPr>
          <w:rFonts w:asciiTheme="majorHAnsi" w:hAnsiTheme="majorHAnsi"/>
        </w:rPr>
        <w:t xml:space="preserve"> distinction between legal and psychological forms is precisely what makes McNeill’s (2012) model so valuable</w:t>
      </w:r>
      <w:r w:rsidR="0063259A" w:rsidRPr="004154A5">
        <w:rPr>
          <w:rFonts w:asciiTheme="majorHAnsi" w:hAnsiTheme="majorHAnsi"/>
        </w:rPr>
        <w:t xml:space="preserve"> in helping us to avoid understanding rehabilitation as only ever being about the ‘correction’ of lawbreakers to socially desirable behaviour</w:t>
      </w:r>
      <w:r w:rsidR="00883381" w:rsidRPr="004154A5">
        <w:rPr>
          <w:rFonts w:asciiTheme="majorHAnsi" w:hAnsiTheme="majorHAnsi"/>
        </w:rPr>
        <w:t>al norms</w:t>
      </w:r>
      <w:r w:rsidR="001D300F" w:rsidRPr="004154A5">
        <w:rPr>
          <w:rFonts w:asciiTheme="majorHAnsi" w:hAnsiTheme="majorHAnsi"/>
        </w:rPr>
        <w:t xml:space="preserve">.  That is, as being concerned </w:t>
      </w:r>
      <w:r w:rsidR="00B53282" w:rsidRPr="004154A5">
        <w:rPr>
          <w:rFonts w:asciiTheme="majorHAnsi" w:hAnsiTheme="majorHAnsi"/>
        </w:rPr>
        <w:t>merely</w:t>
      </w:r>
      <w:r w:rsidR="001D300F" w:rsidRPr="004154A5">
        <w:rPr>
          <w:rFonts w:asciiTheme="majorHAnsi" w:hAnsiTheme="majorHAnsi"/>
        </w:rPr>
        <w:t xml:space="preserve"> with </w:t>
      </w:r>
      <w:r w:rsidR="0063259A" w:rsidRPr="004154A5">
        <w:rPr>
          <w:rFonts w:asciiTheme="majorHAnsi" w:hAnsiTheme="majorHAnsi"/>
        </w:rPr>
        <w:t xml:space="preserve">what Foucault (1977) </w:t>
      </w:r>
      <w:r w:rsidR="001D300F" w:rsidRPr="004154A5">
        <w:rPr>
          <w:rFonts w:asciiTheme="majorHAnsi" w:hAnsiTheme="majorHAnsi"/>
        </w:rPr>
        <w:t>once</w:t>
      </w:r>
      <w:r w:rsidR="0063259A" w:rsidRPr="004154A5">
        <w:rPr>
          <w:rFonts w:asciiTheme="majorHAnsi" w:hAnsiTheme="majorHAnsi"/>
        </w:rPr>
        <w:t xml:space="preserve"> </w:t>
      </w:r>
      <w:r w:rsidR="00B53282" w:rsidRPr="004154A5">
        <w:rPr>
          <w:rFonts w:asciiTheme="majorHAnsi" w:hAnsiTheme="majorHAnsi"/>
        </w:rPr>
        <w:t>dubbed</w:t>
      </w:r>
      <w:r w:rsidR="0063259A" w:rsidRPr="004154A5">
        <w:rPr>
          <w:rFonts w:asciiTheme="majorHAnsi" w:hAnsiTheme="majorHAnsi"/>
        </w:rPr>
        <w:t xml:space="preserve"> ‘moral orthopaedics’</w:t>
      </w:r>
      <w:r w:rsidR="001A1498" w:rsidRPr="004154A5">
        <w:rPr>
          <w:rFonts w:asciiTheme="majorHAnsi" w:hAnsiTheme="majorHAnsi"/>
        </w:rPr>
        <w:t xml:space="preserve"> (p.10), </w:t>
      </w:r>
      <w:r w:rsidR="001D300F" w:rsidRPr="004154A5">
        <w:rPr>
          <w:rFonts w:asciiTheme="majorHAnsi" w:hAnsiTheme="majorHAnsi"/>
        </w:rPr>
        <w:t>involving ‘an assessment of normality and a technical prescription for a possible normalization’ (p.21)</w:t>
      </w:r>
      <w:r w:rsidR="00D06F0A" w:rsidRPr="004154A5">
        <w:rPr>
          <w:rFonts w:asciiTheme="majorHAnsi" w:hAnsiTheme="majorHAnsi"/>
        </w:rPr>
        <w:t xml:space="preserve">. </w:t>
      </w:r>
      <w:r w:rsidR="001D300F" w:rsidRPr="004154A5">
        <w:rPr>
          <w:rFonts w:asciiTheme="majorHAnsi" w:hAnsiTheme="majorHAnsi"/>
        </w:rPr>
        <w:t xml:space="preserve"> </w:t>
      </w:r>
      <w:r w:rsidR="008E53C6" w:rsidRPr="004154A5">
        <w:rPr>
          <w:rFonts w:asciiTheme="majorHAnsi" w:hAnsiTheme="majorHAnsi"/>
        </w:rPr>
        <w:t xml:space="preserve">Indeed, as Carlen has argued, ‘if the concept of “rehabilitation” had remained focused solely upon the formal removal of criminal stigma, it would not have become so difficult to define’ (2013: 92).  </w:t>
      </w:r>
    </w:p>
    <w:p w:rsidR="00294528" w:rsidRPr="004154A5" w:rsidRDefault="00E83ACF" w:rsidP="00347A60">
      <w:pPr>
        <w:spacing w:after="0" w:line="360" w:lineRule="auto"/>
        <w:ind w:firstLine="720"/>
        <w:jc w:val="both"/>
        <w:rPr>
          <w:rFonts w:asciiTheme="majorHAnsi" w:hAnsiTheme="majorHAnsi"/>
        </w:rPr>
      </w:pPr>
      <w:r w:rsidRPr="004154A5">
        <w:rPr>
          <w:rFonts w:asciiTheme="majorHAnsi" w:hAnsiTheme="majorHAnsi"/>
        </w:rPr>
        <w:t xml:space="preserve">In this article </w:t>
      </w:r>
      <w:r w:rsidR="003D60CD" w:rsidRPr="004154A5">
        <w:rPr>
          <w:rFonts w:asciiTheme="majorHAnsi" w:hAnsiTheme="majorHAnsi"/>
        </w:rPr>
        <w:t xml:space="preserve">I </w:t>
      </w:r>
      <w:r w:rsidR="001D300F" w:rsidRPr="004154A5">
        <w:rPr>
          <w:rFonts w:asciiTheme="majorHAnsi" w:hAnsiTheme="majorHAnsi"/>
        </w:rPr>
        <w:t>demonstrate how</w:t>
      </w:r>
      <w:r w:rsidR="00D95EC4" w:rsidRPr="004154A5">
        <w:rPr>
          <w:rFonts w:asciiTheme="majorHAnsi" w:hAnsiTheme="majorHAnsi"/>
        </w:rPr>
        <w:t xml:space="preserve">, and to some extent why, the </w:t>
      </w:r>
      <w:r w:rsidR="001D300F" w:rsidRPr="004154A5">
        <w:rPr>
          <w:rFonts w:asciiTheme="majorHAnsi" w:hAnsiTheme="majorHAnsi"/>
        </w:rPr>
        <w:t xml:space="preserve">distinct rehabilitative forms </w:t>
      </w:r>
      <w:r w:rsidR="00D95EC4" w:rsidRPr="004154A5">
        <w:rPr>
          <w:rFonts w:asciiTheme="majorHAnsi" w:hAnsiTheme="majorHAnsi"/>
        </w:rPr>
        <w:t xml:space="preserve">discussed by McNeill (2012) </w:t>
      </w:r>
      <w:r w:rsidR="001D300F" w:rsidRPr="004154A5">
        <w:rPr>
          <w:rFonts w:asciiTheme="majorHAnsi" w:hAnsiTheme="majorHAnsi"/>
        </w:rPr>
        <w:t>are not currentl</w:t>
      </w:r>
      <w:r w:rsidR="00FD5DD8" w:rsidRPr="004154A5">
        <w:rPr>
          <w:rFonts w:asciiTheme="majorHAnsi" w:hAnsiTheme="majorHAnsi"/>
        </w:rPr>
        <w:t xml:space="preserve">y given parity in two key pieces of </w:t>
      </w:r>
      <w:r w:rsidR="003D60CD" w:rsidRPr="004154A5">
        <w:rPr>
          <w:rFonts w:asciiTheme="majorHAnsi" w:hAnsiTheme="majorHAnsi"/>
        </w:rPr>
        <w:t>legislation which provide for the reform an</w:t>
      </w:r>
      <w:r w:rsidR="00D95EC4" w:rsidRPr="004154A5">
        <w:rPr>
          <w:rFonts w:asciiTheme="majorHAnsi" w:hAnsiTheme="majorHAnsi"/>
        </w:rPr>
        <w:t>d rehabilitation of lawbreakers</w:t>
      </w:r>
      <w:r w:rsidR="003D60CD" w:rsidRPr="004154A5">
        <w:rPr>
          <w:rFonts w:asciiTheme="majorHAnsi" w:hAnsiTheme="majorHAnsi"/>
        </w:rPr>
        <w:t xml:space="preserve"> </w:t>
      </w:r>
      <w:r w:rsidR="00FD5DD8" w:rsidRPr="004154A5">
        <w:rPr>
          <w:rFonts w:asciiTheme="majorHAnsi" w:hAnsiTheme="majorHAnsi"/>
        </w:rPr>
        <w:t xml:space="preserve">in England and Wales, </w:t>
      </w:r>
      <w:r w:rsidR="003D60CD" w:rsidRPr="004154A5">
        <w:rPr>
          <w:rFonts w:asciiTheme="majorHAnsi" w:hAnsiTheme="majorHAnsi"/>
        </w:rPr>
        <w:t>with particular emphasis on those sentenced to custody.  I do this by, f</w:t>
      </w:r>
      <w:r w:rsidR="001A1498" w:rsidRPr="004154A5">
        <w:rPr>
          <w:rFonts w:asciiTheme="majorHAnsi" w:hAnsiTheme="majorHAnsi"/>
        </w:rPr>
        <w:t>irstly</w:t>
      </w:r>
      <w:r w:rsidR="003D60CD" w:rsidRPr="004154A5">
        <w:rPr>
          <w:rFonts w:asciiTheme="majorHAnsi" w:hAnsiTheme="majorHAnsi"/>
        </w:rPr>
        <w:t>, describing the provisions of both the</w:t>
      </w:r>
      <w:r w:rsidR="000249C4" w:rsidRPr="004154A5">
        <w:rPr>
          <w:rFonts w:asciiTheme="majorHAnsi" w:hAnsiTheme="majorHAnsi"/>
        </w:rPr>
        <w:t xml:space="preserve"> Rehabilitation of Offenders Act 1974 (which determines when and how legal rehabilitation takes place) and the </w:t>
      </w:r>
      <w:r w:rsidR="003D60CD" w:rsidRPr="004154A5">
        <w:rPr>
          <w:rFonts w:asciiTheme="majorHAnsi" w:hAnsiTheme="majorHAnsi"/>
        </w:rPr>
        <w:t xml:space="preserve">Offender Rehabilitation Act 2014 (which </w:t>
      </w:r>
      <w:r w:rsidR="00673B76" w:rsidRPr="004154A5">
        <w:rPr>
          <w:rFonts w:asciiTheme="majorHAnsi" w:hAnsiTheme="majorHAnsi"/>
        </w:rPr>
        <w:t>w</w:t>
      </w:r>
      <w:r w:rsidR="003D60CD" w:rsidRPr="004154A5">
        <w:rPr>
          <w:rFonts w:asciiTheme="majorHAnsi" w:hAnsiTheme="majorHAnsi"/>
        </w:rPr>
        <w:t>as</w:t>
      </w:r>
      <w:r w:rsidR="00673B76" w:rsidRPr="004154A5">
        <w:rPr>
          <w:rFonts w:asciiTheme="majorHAnsi" w:hAnsiTheme="majorHAnsi"/>
        </w:rPr>
        <w:t>, in theory at least, designed to</w:t>
      </w:r>
      <w:r w:rsidR="003D60CD" w:rsidRPr="004154A5">
        <w:rPr>
          <w:rFonts w:asciiTheme="majorHAnsi" w:hAnsiTheme="majorHAnsi"/>
        </w:rPr>
        <w:t xml:space="preserve"> </w:t>
      </w:r>
      <w:r w:rsidR="000249C4" w:rsidRPr="004154A5">
        <w:rPr>
          <w:rFonts w:asciiTheme="majorHAnsi" w:hAnsiTheme="majorHAnsi"/>
        </w:rPr>
        <w:t xml:space="preserve">reduce re-offending and promote </w:t>
      </w:r>
      <w:r w:rsidR="005C0B17" w:rsidRPr="004154A5">
        <w:rPr>
          <w:rFonts w:asciiTheme="majorHAnsi" w:hAnsiTheme="majorHAnsi"/>
        </w:rPr>
        <w:t xml:space="preserve">the social and psychological </w:t>
      </w:r>
      <w:r w:rsidR="000249C4" w:rsidRPr="004154A5">
        <w:rPr>
          <w:rFonts w:asciiTheme="majorHAnsi" w:hAnsiTheme="majorHAnsi"/>
        </w:rPr>
        <w:t xml:space="preserve">rehabilitation </w:t>
      </w:r>
      <w:r w:rsidR="005C0B17" w:rsidRPr="004154A5">
        <w:rPr>
          <w:rFonts w:asciiTheme="majorHAnsi" w:hAnsiTheme="majorHAnsi"/>
        </w:rPr>
        <w:t xml:space="preserve">of lawbreakers </w:t>
      </w:r>
      <w:r w:rsidR="000249C4" w:rsidRPr="004154A5">
        <w:rPr>
          <w:rFonts w:asciiTheme="majorHAnsi" w:hAnsiTheme="majorHAnsi"/>
        </w:rPr>
        <w:t xml:space="preserve">by </w:t>
      </w:r>
      <w:r w:rsidR="003D60CD" w:rsidRPr="004154A5">
        <w:rPr>
          <w:rFonts w:asciiTheme="majorHAnsi" w:hAnsiTheme="majorHAnsi"/>
        </w:rPr>
        <w:t>expand</w:t>
      </w:r>
      <w:r w:rsidR="000249C4" w:rsidRPr="004154A5">
        <w:rPr>
          <w:rFonts w:asciiTheme="majorHAnsi" w:hAnsiTheme="majorHAnsi"/>
        </w:rPr>
        <w:t>ing</w:t>
      </w:r>
      <w:r w:rsidR="005C0B17" w:rsidRPr="004154A5">
        <w:rPr>
          <w:rFonts w:asciiTheme="majorHAnsi" w:hAnsiTheme="majorHAnsi"/>
        </w:rPr>
        <w:t xml:space="preserve"> post-custody supervision in the </w:t>
      </w:r>
      <w:r w:rsidR="005B25B5" w:rsidRPr="004154A5">
        <w:rPr>
          <w:rFonts w:asciiTheme="majorHAnsi" w:hAnsiTheme="majorHAnsi"/>
        </w:rPr>
        <w:t>community)</w:t>
      </w:r>
      <w:r w:rsidR="003D60CD" w:rsidRPr="004154A5">
        <w:rPr>
          <w:rFonts w:asciiTheme="majorHAnsi" w:hAnsiTheme="majorHAnsi"/>
        </w:rPr>
        <w:t xml:space="preserve">.  Secondly, I provide an analysis of the </w:t>
      </w:r>
      <w:r w:rsidR="00FD5DD8" w:rsidRPr="004154A5">
        <w:rPr>
          <w:rFonts w:asciiTheme="majorHAnsi" w:hAnsiTheme="majorHAnsi"/>
        </w:rPr>
        <w:t>‘</w:t>
      </w:r>
      <w:r w:rsidR="003D60CD" w:rsidRPr="004154A5">
        <w:rPr>
          <w:rFonts w:asciiTheme="majorHAnsi" w:hAnsiTheme="majorHAnsi"/>
        </w:rPr>
        <w:t>gaps</w:t>
      </w:r>
      <w:r w:rsidR="00FD5DD8" w:rsidRPr="004154A5">
        <w:rPr>
          <w:rFonts w:asciiTheme="majorHAnsi" w:hAnsiTheme="majorHAnsi"/>
        </w:rPr>
        <w:t>’</w:t>
      </w:r>
      <w:r w:rsidR="003D60CD" w:rsidRPr="004154A5">
        <w:rPr>
          <w:rFonts w:asciiTheme="majorHAnsi" w:hAnsiTheme="majorHAnsi"/>
        </w:rPr>
        <w:t xml:space="preserve"> which exist for various custodial sentences between </w:t>
      </w:r>
      <w:r w:rsidR="00883381" w:rsidRPr="004154A5">
        <w:rPr>
          <w:rFonts w:asciiTheme="majorHAnsi" w:hAnsiTheme="majorHAnsi"/>
        </w:rPr>
        <w:t xml:space="preserve">the </w:t>
      </w:r>
      <w:r w:rsidR="00841DEC" w:rsidRPr="004154A5">
        <w:rPr>
          <w:rFonts w:asciiTheme="majorHAnsi" w:hAnsiTheme="majorHAnsi"/>
        </w:rPr>
        <w:t>achievement</w:t>
      </w:r>
      <w:r w:rsidR="00883381" w:rsidRPr="004154A5">
        <w:rPr>
          <w:rFonts w:asciiTheme="majorHAnsi" w:hAnsiTheme="majorHAnsi"/>
        </w:rPr>
        <w:t xml:space="preserve"> of legal rehabilitation under the 1974 Act and </w:t>
      </w:r>
      <w:r w:rsidR="003D60CD" w:rsidRPr="004154A5">
        <w:rPr>
          <w:rFonts w:asciiTheme="majorHAnsi" w:hAnsiTheme="majorHAnsi"/>
        </w:rPr>
        <w:t xml:space="preserve">the completion of statutory supervision periods aimed at ‘the rehabilitation of offenders’ </w:t>
      </w:r>
      <w:r w:rsidR="005708AB" w:rsidRPr="004154A5">
        <w:rPr>
          <w:rFonts w:asciiTheme="majorHAnsi" w:hAnsiTheme="majorHAnsi"/>
        </w:rPr>
        <w:t>under the 2014 Act</w:t>
      </w:r>
      <w:r w:rsidR="003D60CD" w:rsidRPr="004154A5">
        <w:rPr>
          <w:rFonts w:asciiTheme="majorHAnsi" w:hAnsiTheme="majorHAnsi"/>
        </w:rPr>
        <w:t xml:space="preserve">.  Thirdly, I discuss the </w:t>
      </w:r>
      <w:r w:rsidR="00294528" w:rsidRPr="004154A5">
        <w:rPr>
          <w:rFonts w:asciiTheme="majorHAnsi" w:hAnsiTheme="majorHAnsi"/>
        </w:rPr>
        <w:t>problems which can arise from t</w:t>
      </w:r>
      <w:r w:rsidR="00841DEC" w:rsidRPr="004154A5">
        <w:rPr>
          <w:rFonts w:asciiTheme="majorHAnsi" w:hAnsiTheme="majorHAnsi"/>
        </w:rPr>
        <w:t>he</w:t>
      </w:r>
      <w:r w:rsidR="003D60CD" w:rsidRPr="004154A5">
        <w:rPr>
          <w:rFonts w:asciiTheme="majorHAnsi" w:hAnsiTheme="majorHAnsi"/>
        </w:rPr>
        <w:t xml:space="preserve"> period of ‘civic purgatory’ </w:t>
      </w:r>
      <w:r w:rsidR="00294528" w:rsidRPr="004154A5">
        <w:rPr>
          <w:rFonts w:asciiTheme="majorHAnsi" w:hAnsiTheme="majorHAnsi"/>
        </w:rPr>
        <w:t>endured by those</w:t>
      </w:r>
      <w:r w:rsidR="003D60CD" w:rsidRPr="004154A5">
        <w:rPr>
          <w:rFonts w:asciiTheme="majorHAnsi" w:hAnsiTheme="majorHAnsi"/>
        </w:rPr>
        <w:t xml:space="preserve"> who have completed their sentences but who have not yet </w:t>
      </w:r>
      <w:r w:rsidR="000112CC" w:rsidRPr="004154A5">
        <w:rPr>
          <w:rFonts w:asciiTheme="majorHAnsi" w:hAnsiTheme="majorHAnsi"/>
        </w:rPr>
        <w:t>been designated</w:t>
      </w:r>
      <w:r w:rsidR="003D60CD" w:rsidRPr="004154A5">
        <w:rPr>
          <w:rFonts w:asciiTheme="majorHAnsi" w:hAnsiTheme="majorHAnsi"/>
        </w:rPr>
        <w:t xml:space="preserve"> as ‘rehabilitated persons’ in law</w:t>
      </w:r>
      <w:r w:rsidR="000112CC" w:rsidRPr="004154A5">
        <w:rPr>
          <w:rFonts w:asciiTheme="majorHAnsi" w:hAnsiTheme="majorHAnsi"/>
        </w:rPr>
        <w:t xml:space="preserve">.  </w:t>
      </w:r>
      <w:r w:rsidR="003D60CD" w:rsidRPr="004154A5">
        <w:rPr>
          <w:rFonts w:asciiTheme="majorHAnsi" w:hAnsiTheme="majorHAnsi"/>
        </w:rPr>
        <w:t xml:space="preserve">I conclude by </w:t>
      </w:r>
      <w:r w:rsidR="000112CC" w:rsidRPr="004154A5">
        <w:rPr>
          <w:rFonts w:asciiTheme="majorHAnsi" w:hAnsiTheme="majorHAnsi"/>
        </w:rPr>
        <w:t>arguing</w:t>
      </w:r>
      <w:r w:rsidR="005B25B5" w:rsidRPr="004154A5">
        <w:rPr>
          <w:rFonts w:asciiTheme="majorHAnsi" w:hAnsiTheme="majorHAnsi"/>
        </w:rPr>
        <w:t xml:space="preserve"> that greater parity between</w:t>
      </w:r>
      <w:r w:rsidR="000112CC" w:rsidRPr="004154A5">
        <w:rPr>
          <w:rFonts w:asciiTheme="majorHAnsi" w:hAnsiTheme="majorHAnsi"/>
        </w:rPr>
        <w:t xml:space="preserve"> </w:t>
      </w:r>
      <w:r w:rsidR="005B25B5" w:rsidRPr="004154A5">
        <w:rPr>
          <w:rFonts w:asciiTheme="majorHAnsi" w:hAnsiTheme="majorHAnsi"/>
        </w:rPr>
        <w:t>individual-level</w:t>
      </w:r>
      <w:r w:rsidR="000112CC" w:rsidRPr="004154A5">
        <w:rPr>
          <w:rFonts w:asciiTheme="majorHAnsi" w:hAnsiTheme="majorHAnsi"/>
        </w:rPr>
        <w:t xml:space="preserve"> </w:t>
      </w:r>
      <w:r w:rsidR="005B25B5" w:rsidRPr="004154A5">
        <w:rPr>
          <w:rFonts w:asciiTheme="majorHAnsi" w:hAnsiTheme="majorHAnsi"/>
        </w:rPr>
        <w:t xml:space="preserve">attempts to </w:t>
      </w:r>
      <w:r w:rsidR="000112CC" w:rsidRPr="004154A5">
        <w:rPr>
          <w:rFonts w:asciiTheme="majorHAnsi" w:hAnsiTheme="majorHAnsi"/>
        </w:rPr>
        <w:t>reform lawbreakers a</w:t>
      </w:r>
      <w:r w:rsidR="00673B76" w:rsidRPr="004154A5">
        <w:rPr>
          <w:rFonts w:asciiTheme="majorHAnsi" w:hAnsiTheme="majorHAnsi"/>
        </w:rPr>
        <w:t xml:space="preserve">nd the formal recognition of </w:t>
      </w:r>
      <w:r w:rsidR="005B25B5" w:rsidRPr="004154A5">
        <w:rPr>
          <w:rFonts w:asciiTheme="majorHAnsi" w:hAnsiTheme="majorHAnsi"/>
        </w:rPr>
        <w:t>successful</w:t>
      </w:r>
      <w:r w:rsidR="000112CC" w:rsidRPr="004154A5">
        <w:rPr>
          <w:rFonts w:asciiTheme="majorHAnsi" w:hAnsiTheme="majorHAnsi"/>
        </w:rPr>
        <w:t xml:space="preserve"> reform is required</w:t>
      </w:r>
      <w:r w:rsidR="00673B76" w:rsidRPr="004154A5">
        <w:rPr>
          <w:rFonts w:asciiTheme="majorHAnsi" w:hAnsiTheme="majorHAnsi"/>
        </w:rPr>
        <w:t xml:space="preserve"> in order </w:t>
      </w:r>
      <w:r w:rsidR="000112CC" w:rsidRPr="004154A5">
        <w:rPr>
          <w:rFonts w:asciiTheme="majorHAnsi" w:hAnsiTheme="majorHAnsi"/>
        </w:rPr>
        <w:t xml:space="preserve">to maintain </w:t>
      </w:r>
      <w:r w:rsidR="00841DEC" w:rsidRPr="004154A5">
        <w:rPr>
          <w:rFonts w:asciiTheme="majorHAnsi" w:hAnsiTheme="majorHAnsi"/>
        </w:rPr>
        <w:t xml:space="preserve">both </w:t>
      </w:r>
      <w:r w:rsidR="000112CC" w:rsidRPr="004154A5">
        <w:rPr>
          <w:rFonts w:asciiTheme="majorHAnsi" w:hAnsiTheme="majorHAnsi"/>
        </w:rPr>
        <w:t xml:space="preserve">the legitimacy of </w:t>
      </w:r>
      <w:r w:rsidR="005C0B17" w:rsidRPr="004154A5">
        <w:rPr>
          <w:rFonts w:asciiTheme="majorHAnsi" w:hAnsiTheme="majorHAnsi"/>
        </w:rPr>
        <w:t>supervision arrangements</w:t>
      </w:r>
      <w:r w:rsidR="000112CC" w:rsidRPr="004154A5">
        <w:rPr>
          <w:rFonts w:asciiTheme="majorHAnsi" w:hAnsiTheme="majorHAnsi"/>
        </w:rPr>
        <w:t xml:space="preserve"> from the perspective of those subjected to them</w:t>
      </w:r>
      <w:r w:rsidR="007E410E" w:rsidRPr="004154A5">
        <w:rPr>
          <w:rFonts w:asciiTheme="majorHAnsi" w:hAnsiTheme="majorHAnsi"/>
        </w:rPr>
        <w:t xml:space="preserve"> and </w:t>
      </w:r>
      <w:r w:rsidR="00841DEC" w:rsidRPr="004154A5">
        <w:rPr>
          <w:rFonts w:asciiTheme="majorHAnsi" w:hAnsiTheme="majorHAnsi"/>
        </w:rPr>
        <w:t xml:space="preserve">also </w:t>
      </w:r>
      <w:r w:rsidR="007E410E" w:rsidRPr="004154A5">
        <w:rPr>
          <w:rFonts w:asciiTheme="majorHAnsi" w:hAnsiTheme="majorHAnsi"/>
        </w:rPr>
        <w:t>public confidence in the efficacy of such arrangements to reduce re-offending</w:t>
      </w:r>
      <w:r w:rsidR="000112CC" w:rsidRPr="004154A5">
        <w:rPr>
          <w:rFonts w:asciiTheme="majorHAnsi" w:hAnsiTheme="majorHAnsi"/>
        </w:rPr>
        <w:t>.</w:t>
      </w:r>
    </w:p>
    <w:p w:rsidR="00380D24" w:rsidRPr="004154A5" w:rsidRDefault="00380D24" w:rsidP="00347A60">
      <w:pPr>
        <w:spacing w:after="0" w:line="360" w:lineRule="auto"/>
        <w:jc w:val="both"/>
        <w:rPr>
          <w:rFonts w:asciiTheme="majorHAnsi" w:hAnsiTheme="majorHAnsi"/>
        </w:rPr>
      </w:pPr>
    </w:p>
    <w:p w:rsidR="00743F96" w:rsidRPr="004154A5" w:rsidRDefault="00743F96" w:rsidP="00347A60">
      <w:pPr>
        <w:spacing w:after="0" w:line="360" w:lineRule="auto"/>
        <w:jc w:val="both"/>
        <w:rPr>
          <w:rFonts w:asciiTheme="majorHAnsi" w:hAnsiTheme="majorHAnsi"/>
        </w:rPr>
      </w:pPr>
    </w:p>
    <w:p w:rsidR="006B5752" w:rsidRPr="004154A5" w:rsidRDefault="00A83700" w:rsidP="00347A60">
      <w:pPr>
        <w:spacing w:line="360" w:lineRule="auto"/>
        <w:rPr>
          <w:rFonts w:asciiTheme="majorHAnsi" w:hAnsiTheme="majorHAnsi"/>
          <w:b/>
          <w:sz w:val="28"/>
        </w:rPr>
      </w:pPr>
      <w:r w:rsidRPr="004154A5">
        <w:rPr>
          <w:rFonts w:asciiTheme="majorHAnsi" w:hAnsiTheme="majorHAnsi"/>
          <w:b/>
          <w:sz w:val="28"/>
        </w:rPr>
        <w:t>R</w:t>
      </w:r>
      <w:r w:rsidR="001A4233" w:rsidRPr="004154A5">
        <w:rPr>
          <w:rFonts w:asciiTheme="majorHAnsi" w:hAnsiTheme="majorHAnsi"/>
          <w:b/>
          <w:sz w:val="28"/>
        </w:rPr>
        <w:t>ehabilitation: a play in two Acts (with a 40 year interval)</w:t>
      </w:r>
      <w:r w:rsidR="006B5752" w:rsidRPr="004154A5">
        <w:rPr>
          <w:rFonts w:asciiTheme="majorHAnsi" w:hAnsiTheme="majorHAnsi"/>
          <w:b/>
          <w:sz w:val="28"/>
        </w:rPr>
        <w:t xml:space="preserve"> </w:t>
      </w:r>
    </w:p>
    <w:p w:rsidR="004D267C" w:rsidRPr="004154A5" w:rsidRDefault="004D267C" w:rsidP="00347A60">
      <w:pPr>
        <w:spacing w:after="0" w:line="360" w:lineRule="auto"/>
        <w:jc w:val="both"/>
        <w:rPr>
          <w:rFonts w:asciiTheme="majorHAnsi" w:hAnsiTheme="majorHAnsi"/>
        </w:rPr>
      </w:pPr>
      <w:r w:rsidRPr="004154A5">
        <w:rPr>
          <w:rFonts w:asciiTheme="majorHAnsi" w:hAnsiTheme="majorHAnsi"/>
        </w:rPr>
        <w:t xml:space="preserve">As explained above, legal rehabilitation involves setting aside, sealing, or expunging altogether a person’s criminal record.  The aim of doing so is to mitigate the social stigma which might result from a previous conviction and to formally acknowledge than an individual has duly completed their sentence and gone on to live a crime-free life.  In some jurisdictions such as France, this </w:t>
      </w:r>
      <w:r w:rsidR="004472A8" w:rsidRPr="004154A5">
        <w:rPr>
          <w:rFonts w:asciiTheme="majorHAnsi" w:hAnsiTheme="majorHAnsi"/>
        </w:rPr>
        <w:t xml:space="preserve">can be </w:t>
      </w:r>
      <w:r w:rsidRPr="004154A5">
        <w:rPr>
          <w:rFonts w:asciiTheme="majorHAnsi" w:hAnsiTheme="majorHAnsi"/>
        </w:rPr>
        <w:t xml:space="preserve">achieved through a formal judicial hearing at which desistance is officially acknowledged </w:t>
      </w:r>
      <w:r w:rsidRPr="004154A5">
        <w:rPr>
          <w:rFonts w:asciiTheme="majorHAnsi" w:hAnsiTheme="majorHAnsi"/>
        </w:rPr>
        <w:lastRenderedPageBreak/>
        <w:t xml:space="preserve">(Herzog-Evans 2011).  </w:t>
      </w:r>
      <w:r w:rsidR="005C0B17" w:rsidRPr="004154A5">
        <w:rPr>
          <w:rFonts w:asciiTheme="majorHAnsi" w:hAnsiTheme="majorHAnsi"/>
        </w:rPr>
        <w:t>Indeed</w:t>
      </w:r>
      <w:r w:rsidRPr="004154A5">
        <w:rPr>
          <w:rFonts w:asciiTheme="majorHAnsi" w:hAnsiTheme="majorHAnsi"/>
        </w:rPr>
        <w:t xml:space="preserve">, people with convictions in France can apply for </w:t>
      </w:r>
      <w:r w:rsidR="004472A8" w:rsidRPr="004154A5">
        <w:rPr>
          <w:rFonts w:asciiTheme="majorHAnsi" w:hAnsiTheme="majorHAnsi"/>
        </w:rPr>
        <w:t>‘</w:t>
      </w:r>
      <w:r w:rsidRPr="004154A5">
        <w:rPr>
          <w:rFonts w:asciiTheme="majorHAnsi" w:hAnsiTheme="majorHAnsi"/>
        </w:rPr>
        <w:t>judicial rehabilitation</w:t>
      </w:r>
      <w:r w:rsidR="004472A8" w:rsidRPr="004154A5">
        <w:rPr>
          <w:rFonts w:asciiTheme="majorHAnsi" w:hAnsiTheme="majorHAnsi"/>
        </w:rPr>
        <w:t>’</w:t>
      </w:r>
      <w:r w:rsidRPr="004154A5">
        <w:rPr>
          <w:rFonts w:asciiTheme="majorHAnsi" w:hAnsiTheme="majorHAnsi"/>
        </w:rPr>
        <w:t xml:space="preserve"> relatively </w:t>
      </w:r>
      <w:r w:rsidR="00256075" w:rsidRPr="004154A5">
        <w:rPr>
          <w:rFonts w:asciiTheme="majorHAnsi" w:hAnsiTheme="majorHAnsi"/>
        </w:rPr>
        <w:t>quickly</w:t>
      </w:r>
      <w:r w:rsidRPr="004154A5">
        <w:rPr>
          <w:rFonts w:asciiTheme="majorHAnsi" w:hAnsiTheme="majorHAnsi"/>
        </w:rPr>
        <w:t>, in some cases only one year</w:t>
      </w:r>
      <w:r w:rsidR="00256075" w:rsidRPr="004154A5">
        <w:rPr>
          <w:rFonts w:asciiTheme="majorHAnsi" w:hAnsiTheme="majorHAnsi"/>
        </w:rPr>
        <w:t xml:space="preserve"> after sentencing</w:t>
      </w:r>
      <w:r w:rsidRPr="004154A5">
        <w:rPr>
          <w:rFonts w:asciiTheme="majorHAnsi" w:hAnsiTheme="majorHAnsi"/>
        </w:rPr>
        <w:t xml:space="preserve"> (Stacey 2015). </w:t>
      </w:r>
      <w:r w:rsidR="004472A8" w:rsidRPr="004154A5">
        <w:rPr>
          <w:rFonts w:asciiTheme="majorHAnsi" w:hAnsiTheme="majorHAnsi"/>
        </w:rPr>
        <w:t xml:space="preserve"> More commonly, </w:t>
      </w:r>
      <w:r w:rsidR="00256075" w:rsidRPr="004154A5">
        <w:rPr>
          <w:rFonts w:asciiTheme="majorHAnsi" w:hAnsiTheme="majorHAnsi"/>
        </w:rPr>
        <w:t>h</w:t>
      </w:r>
      <w:r w:rsidRPr="004154A5">
        <w:rPr>
          <w:rFonts w:asciiTheme="majorHAnsi" w:hAnsiTheme="majorHAnsi"/>
        </w:rPr>
        <w:t xml:space="preserve">owever, </w:t>
      </w:r>
      <w:r w:rsidR="00256075" w:rsidRPr="004154A5">
        <w:rPr>
          <w:rFonts w:asciiTheme="majorHAnsi" w:hAnsiTheme="majorHAnsi"/>
        </w:rPr>
        <w:t xml:space="preserve">legal rehabilitation occurs through an automatic process after a </w:t>
      </w:r>
      <w:r w:rsidRPr="004154A5">
        <w:rPr>
          <w:rFonts w:asciiTheme="majorHAnsi" w:hAnsiTheme="majorHAnsi"/>
        </w:rPr>
        <w:t>convictio</w:t>
      </w:r>
      <w:r w:rsidR="00AC19CB" w:rsidRPr="004154A5">
        <w:rPr>
          <w:rFonts w:asciiTheme="majorHAnsi" w:hAnsiTheme="majorHAnsi"/>
        </w:rPr>
        <w:t>n-free period</w:t>
      </w:r>
      <w:r w:rsidR="005E0D7F" w:rsidRPr="004154A5">
        <w:rPr>
          <w:rFonts w:asciiTheme="majorHAnsi" w:hAnsiTheme="majorHAnsi"/>
        </w:rPr>
        <w:t>.</w:t>
      </w:r>
      <w:r w:rsidRPr="004154A5">
        <w:rPr>
          <w:rFonts w:asciiTheme="majorHAnsi" w:hAnsiTheme="majorHAnsi"/>
        </w:rPr>
        <w:t xml:space="preserve">  </w:t>
      </w:r>
    </w:p>
    <w:p w:rsidR="00AC19CB" w:rsidRPr="004154A5" w:rsidRDefault="00AC19CB" w:rsidP="00347A60">
      <w:pPr>
        <w:spacing w:after="0" w:line="360" w:lineRule="auto"/>
        <w:rPr>
          <w:rFonts w:asciiTheme="majorHAnsi" w:hAnsiTheme="majorHAnsi"/>
          <w:i/>
        </w:rPr>
      </w:pPr>
    </w:p>
    <w:p w:rsidR="00256075" w:rsidRPr="004154A5" w:rsidRDefault="00256075" w:rsidP="00347A60">
      <w:pPr>
        <w:spacing w:after="0" w:line="360" w:lineRule="auto"/>
        <w:rPr>
          <w:rFonts w:asciiTheme="majorHAnsi" w:hAnsiTheme="majorHAnsi"/>
          <w:i/>
          <w:sz w:val="24"/>
        </w:rPr>
      </w:pPr>
      <w:r w:rsidRPr="004154A5">
        <w:rPr>
          <w:rFonts w:asciiTheme="majorHAnsi" w:hAnsiTheme="majorHAnsi"/>
          <w:i/>
          <w:sz w:val="24"/>
        </w:rPr>
        <w:t>The Rehabilitation of Offenders Act 1974</w:t>
      </w:r>
    </w:p>
    <w:p w:rsidR="005C0B17" w:rsidRPr="004154A5" w:rsidRDefault="005C0B17" w:rsidP="00347A60">
      <w:pPr>
        <w:spacing w:after="0" w:line="360" w:lineRule="auto"/>
        <w:jc w:val="both"/>
        <w:rPr>
          <w:rFonts w:asciiTheme="majorHAnsi" w:hAnsiTheme="majorHAnsi"/>
          <w:lang w:val="en-US"/>
        </w:rPr>
      </w:pPr>
    </w:p>
    <w:p w:rsidR="000C4956" w:rsidRPr="004154A5" w:rsidRDefault="000C4956" w:rsidP="00347A60">
      <w:pPr>
        <w:spacing w:after="0" w:line="360" w:lineRule="auto"/>
        <w:jc w:val="both"/>
        <w:rPr>
          <w:rFonts w:asciiTheme="majorHAnsi" w:hAnsiTheme="majorHAnsi"/>
          <w:b/>
          <w:lang w:val="en-US"/>
        </w:rPr>
      </w:pPr>
      <w:r w:rsidRPr="004154A5">
        <w:rPr>
          <w:rFonts w:asciiTheme="majorHAnsi" w:hAnsiTheme="majorHAnsi"/>
          <w:lang w:val="en-US"/>
        </w:rPr>
        <w:t>Following the recommendations of a joint working party on ‘the problem of old convictions’ (Justice 1972) t</w:t>
      </w:r>
      <w:r w:rsidR="004D267C" w:rsidRPr="004154A5">
        <w:rPr>
          <w:rFonts w:asciiTheme="majorHAnsi" w:hAnsiTheme="majorHAnsi"/>
          <w:lang w:val="en-US"/>
        </w:rPr>
        <w:t>he Rehabi</w:t>
      </w:r>
      <w:r w:rsidRPr="004154A5">
        <w:rPr>
          <w:rFonts w:asciiTheme="majorHAnsi" w:hAnsiTheme="majorHAnsi"/>
          <w:lang w:val="en-US"/>
        </w:rPr>
        <w:t xml:space="preserve">litation of Offenders Act 1974 </w:t>
      </w:r>
      <w:r w:rsidR="007457E4" w:rsidRPr="004154A5">
        <w:rPr>
          <w:rFonts w:asciiTheme="majorHAnsi" w:hAnsiTheme="majorHAnsi"/>
          <w:lang w:val="en-US"/>
        </w:rPr>
        <w:t xml:space="preserve">(ROA) </w:t>
      </w:r>
      <w:r w:rsidRPr="004154A5">
        <w:rPr>
          <w:rFonts w:asciiTheme="majorHAnsi" w:hAnsiTheme="majorHAnsi"/>
          <w:lang w:val="en-US"/>
        </w:rPr>
        <w:t>introduced a process of</w:t>
      </w:r>
      <w:r w:rsidR="004D267C" w:rsidRPr="004154A5">
        <w:rPr>
          <w:rFonts w:asciiTheme="majorHAnsi" w:hAnsiTheme="majorHAnsi"/>
          <w:lang w:val="en-US"/>
        </w:rPr>
        <w:t xml:space="preserve"> dealing with old</w:t>
      </w:r>
      <w:r w:rsidR="004D267C" w:rsidRPr="004154A5">
        <w:rPr>
          <w:rFonts w:asciiTheme="majorHAnsi" w:hAnsiTheme="majorHAnsi"/>
          <w:b/>
          <w:lang w:val="en-US"/>
        </w:rPr>
        <w:t xml:space="preserve"> </w:t>
      </w:r>
      <w:r w:rsidR="004D267C" w:rsidRPr="004154A5">
        <w:rPr>
          <w:rFonts w:asciiTheme="majorHAnsi" w:hAnsiTheme="majorHAnsi"/>
          <w:lang w:val="en-US"/>
        </w:rPr>
        <w:t xml:space="preserve">criminal records which </w:t>
      </w:r>
      <w:r w:rsidRPr="004154A5">
        <w:rPr>
          <w:rFonts w:asciiTheme="majorHAnsi" w:hAnsiTheme="majorHAnsi"/>
          <w:lang w:val="en-US"/>
        </w:rPr>
        <w:t>renders them ‘spent’ after a set period of time</w:t>
      </w:r>
      <w:r w:rsidR="00834937" w:rsidRPr="004154A5">
        <w:rPr>
          <w:rFonts w:asciiTheme="majorHAnsi" w:hAnsiTheme="majorHAnsi"/>
          <w:lang w:val="en-US"/>
        </w:rPr>
        <w:t xml:space="preserve"> (</w:t>
      </w:r>
      <w:r w:rsidR="00C95ED1" w:rsidRPr="004154A5">
        <w:rPr>
          <w:rFonts w:asciiTheme="majorHAnsi" w:hAnsiTheme="majorHAnsi"/>
          <w:lang w:val="en-US"/>
        </w:rPr>
        <w:t xml:space="preserve">Breed 1987; Mears 2008; </w:t>
      </w:r>
      <w:r w:rsidR="000C2E3F" w:rsidRPr="004154A5">
        <w:rPr>
          <w:rFonts w:asciiTheme="majorHAnsi" w:hAnsiTheme="majorHAnsi"/>
          <w:lang w:val="en-US"/>
        </w:rPr>
        <w:t>Henley 2017b</w:t>
      </w:r>
      <w:r w:rsidR="00834937" w:rsidRPr="004154A5">
        <w:rPr>
          <w:rFonts w:asciiTheme="majorHAnsi" w:hAnsiTheme="majorHAnsi"/>
          <w:lang w:val="en-US"/>
        </w:rPr>
        <w:t>)</w:t>
      </w:r>
      <w:r w:rsidR="002F0E28" w:rsidRPr="004154A5">
        <w:rPr>
          <w:rFonts w:asciiTheme="majorHAnsi" w:hAnsiTheme="majorHAnsi"/>
          <w:lang w:val="en-US"/>
        </w:rPr>
        <w:t xml:space="preserve">.  </w:t>
      </w:r>
      <w:r w:rsidR="007457E4" w:rsidRPr="004154A5">
        <w:rPr>
          <w:rFonts w:asciiTheme="majorHAnsi" w:hAnsiTheme="majorHAnsi"/>
          <w:lang w:val="en-US"/>
        </w:rPr>
        <w:t>After this period has passed without any further convictions</w:t>
      </w:r>
      <w:r w:rsidR="002F0E28" w:rsidRPr="004154A5">
        <w:rPr>
          <w:rFonts w:asciiTheme="majorHAnsi" w:hAnsiTheme="majorHAnsi"/>
          <w:lang w:val="en-US"/>
        </w:rPr>
        <w:t xml:space="preserve">, </w:t>
      </w:r>
      <w:r w:rsidR="007457E4" w:rsidRPr="004154A5">
        <w:rPr>
          <w:rFonts w:asciiTheme="majorHAnsi" w:hAnsiTheme="majorHAnsi"/>
          <w:lang w:val="en-US"/>
        </w:rPr>
        <w:t xml:space="preserve">a former lawbreaker </w:t>
      </w:r>
      <w:r w:rsidR="002F0E28" w:rsidRPr="004154A5">
        <w:rPr>
          <w:rFonts w:asciiTheme="majorHAnsi" w:hAnsiTheme="majorHAnsi"/>
          <w:lang w:val="en-US"/>
        </w:rPr>
        <w:t>becomes a ‘rehabilitated person’ in law</w:t>
      </w:r>
      <w:r w:rsidRPr="004154A5">
        <w:rPr>
          <w:rFonts w:asciiTheme="majorHAnsi" w:hAnsiTheme="majorHAnsi"/>
          <w:lang w:val="en-US"/>
        </w:rPr>
        <w:t xml:space="preserve">.   In effect, </w:t>
      </w:r>
      <w:r w:rsidR="00FD5DD8" w:rsidRPr="004154A5">
        <w:rPr>
          <w:rFonts w:asciiTheme="majorHAnsi" w:hAnsiTheme="majorHAnsi"/>
          <w:lang w:val="en-US"/>
        </w:rPr>
        <w:t>this</w:t>
      </w:r>
      <w:r w:rsidRPr="004154A5">
        <w:rPr>
          <w:rFonts w:asciiTheme="majorHAnsi" w:hAnsiTheme="majorHAnsi"/>
          <w:lang w:val="en-US"/>
        </w:rPr>
        <w:t xml:space="preserve"> </w:t>
      </w:r>
      <w:r w:rsidR="002F0E28" w:rsidRPr="004154A5">
        <w:rPr>
          <w:rFonts w:asciiTheme="majorHAnsi" w:hAnsiTheme="majorHAnsi"/>
          <w:lang w:val="en-US"/>
        </w:rPr>
        <w:t>removes the burden of disclosure of a spent conviction from</w:t>
      </w:r>
      <w:r w:rsidRPr="004154A5">
        <w:rPr>
          <w:rFonts w:asciiTheme="majorHAnsi" w:hAnsiTheme="majorHAnsi"/>
          <w:lang w:val="en-US"/>
        </w:rPr>
        <w:t xml:space="preserve"> </w:t>
      </w:r>
      <w:r w:rsidR="004D267C" w:rsidRPr="004154A5">
        <w:rPr>
          <w:rFonts w:asciiTheme="majorHAnsi" w:hAnsiTheme="majorHAnsi"/>
          <w:lang w:val="en-US"/>
        </w:rPr>
        <w:t xml:space="preserve">former lawbreakers </w:t>
      </w:r>
      <w:r w:rsidRPr="004154A5">
        <w:rPr>
          <w:rFonts w:asciiTheme="majorHAnsi" w:hAnsiTheme="majorHAnsi"/>
          <w:lang w:val="en-US"/>
        </w:rPr>
        <w:t xml:space="preserve">for </w:t>
      </w:r>
      <w:r w:rsidRPr="004154A5">
        <w:rPr>
          <w:rFonts w:asciiTheme="majorHAnsi" w:hAnsiTheme="majorHAnsi"/>
          <w:i/>
          <w:lang w:val="en-US"/>
        </w:rPr>
        <w:t>most</w:t>
      </w:r>
      <w:r w:rsidRPr="004154A5">
        <w:rPr>
          <w:rFonts w:asciiTheme="majorHAnsi" w:hAnsiTheme="majorHAnsi"/>
          <w:lang w:val="en-US"/>
        </w:rPr>
        <w:t xml:space="preserve"> purposes</w:t>
      </w:r>
      <w:r w:rsidR="004D267C" w:rsidRPr="004154A5">
        <w:rPr>
          <w:rFonts w:asciiTheme="majorHAnsi" w:hAnsiTheme="majorHAnsi"/>
          <w:lang w:val="en-US"/>
        </w:rPr>
        <w:t xml:space="preserve">.  </w:t>
      </w:r>
      <w:r w:rsidR="002F0E28" w:rsidRPr="004154A5">
        <w:rPr>
          <w:rFonts w:asciiTheme="majorHAnsi" w:hAnsiTheme="majorHAnsi"/>
          <w:lang w:val="en-US"/>
        </w:rPr>
        <w:t xml:space="preserve">It also means that a spent conviction is not a lawful </w:t>
      </w:r>
      <w:r w:rsidR="007457E4" w:rsidRPr="004154A5">
        <w:rPr>
          <w:rFonts w:asciiTheme="majorHAnsi" w:hAnsiTheme="majorHAnsi"/>
          <w:lang w:val="en-US"/>
        </w:rPr>
        <w:t>ground for</w:t>
      </w:r>
      <w:r w:rsidR="002F0E28" w:rsidRPr="004154A5">
        <w:rPr>
          <w:rFonts w:asciiTheme="majorHAnsi" w:hAnsiTheme="majorHAnsi"/>
          <w:lang w:val="en-US"/>
        </w:rPr>
        <w:t xml:space="preserve"> treat</w:t>
      </w:r>
      <w:r w:rsidR="007457E4" w:rsidRPr="004154A5">
        <w:rPr>
          <w:rFonts w:asciiTheme="majorHAnsi" w:hAnsiTheme="majorHAnsi"/>
          <w:lang w:val="en-US"/>
        </w:rPr>
        <w:t>ing</w:t>
      </w:r>
      <w:r w:rsidR="002F0E28" w:rsidRPr="004154A5">
        <w:rPr>
          <w:rFonts w:asciiTheme="majorHAnsi" w:hAnsiTheme="majorHAnsi"/>
          <w:lang w:val="en-US"/>
        </w:rPr>
        <w:t xml:space="preserve"> a rehabilitated person less favourably, for instance, </w:t>
      </w:r>
      <w:r w:rsidR="007457E4" w:rsidRPr="004154A5">
        <w:rPr>
          <w:rFonts w:asciiTheme="majorHAnsi" w:hAnsiTheme="majorHAnsi"/>
          <w:lang w:val="en-US"/>
        </w:rPr>
        <w:t xml:space="preserve">following </w:t>
      </w:r>
      <w:r w:rsidR="002F0E28" w:rsidRPr="004154A5">
        <w:rPr>
          <w:rFonts w:asciiTheme="majorHAnsi" w:hAnsiTheme="majorHAnsi"/>
          <w:lang w:val="en-US"/>
        </w:rPr>
        <w:t>an application for employment</w:t>
      </w:r>
      <w:r w:rsidR="007457E4" w:rsidRPr="004154A5">
        <w:rPr>
          <w:rFonts w:asciiTheme="majorHAnsi" w:hAnsiTheme="majorHAnsi"/>
          <w:lang w:val="en-US"/>
        </w:rPr>
        <w:t>,</w:t>
      </w:r>
      <w:r w:rsidR="002F0E28" w:rsidRPr="004154A5">
        <w:rPr>
          <w:rFonts w:asciiTheme="majorHAnsi" w:hAnsiTheme="majorHAnsi"/>
          <w:lang w:val="en-US"/>
        </w:rPr>
        <w:t xml:space="preserve"> or for a financial service such as </w:t>
      </w:r>
      <w:r w:rsidR="00FD5DD8" w:rsidRPr="004154A5">
        <w:rPr>
          <w:rFonts w:asciiTheme="majorHAnsi" w:hAnsiTheme="majorHAnsi"/>
          <w:lang w:val="en-US"/>
        </w:rPr>
        <w:t>insurance</w:t>
      </w:r>
      <w:r w:rsidR="002F0E28" w:rsidRPr="004154A5">
        <w:rPr>
          <w:rFonts w:asciiTheme="majorHAnsi" w:hAnsiTheme="majorHAnsi"/>
          <w:lang w:val="en-US"/>
        </w:rPr>
        <w:t xml:space="preserve">.  Following amendments </w:t>
      </w:r>
      <w:r w:rsidR="007457E4" w:rsidRPr="004154A5">
        <w:rPr>
          <w:rFonts w:asciiTheme="majorHAnsi" w:hAnsiTheme="majorHAnsi"/>
          <w:lang w:val="en-US"/>
        </w:rPr>
        <w:t>in Section 139 of the Legal Aid, Sentencing and Punishment of Offenders Act 2012</w:t>
      </w:r>
      <w:r w:rsidR="00D44B4A" w:rsidRPr="004154A5">
        <w:rPr>
          <w:rFonts w:asciiTheme="majorHAnsi" w:hAnsiTheme="majorHAnsi"/>
          <w:lang w:val="en-US"/>
        </w:rPr>
        <w:t xml:space="preserve"> (LASPO)</w:t>
      </w:r>
      <w:r w:rsidR="007457E4" w:rsidRPr="004154A5">
        <w:rPr>
          <w:rFonts w:asciiTheme="majorHAnsi" w:hAnsiTheme="majorHAnsi"/>
          <w:lang w:val="en-US"/>
        </w:rPr>
        <w:t>, the rehabilitation periods in the ROA were reduced in length and the protection</w:t>
      </w:r>
      <w:r w:rsidR="00FD5DD8" w:rsidRPr="004154A5">
        <w:rPr>
          <w:rFonts w:asciiTheme="majorHAnsi" w:hAnsiTheme="majorHAnsi"/>
          <w:lang w:val="en-US"/>
        </w:rPr>
        <w:t>s</w:t>
      </w:r>
      <w:r w:rsidR="007457E4" w:rsidRPr="004154A5">
        <w:rPr>
          <w:rFonts w:asciiTheme="majorHAnsi" w:hAnsiTheme="majorHAnsi"/>
          <w:lang w:val="en-US"/>
        </w:rPr>
        <w:t xml:space="preserve"> of the Act extended to include those sentenced to terms of imprisonment up to and including four years</w:t>
      </w:r>
      <w:r w:rsidR="00D44B4A" w:rsidRPr="004154A5">
        <w:rPr>
          <w:rFonts w:asciiTheme="majorHAnsi" w:hAnsiTheme="majorHAnsi"/>
          <w:lang w:val="en-US"/>
        </w:rPr>
        <w:t xml:space="preserve"> (see Table 1)</w:t>
      </w:r>
      <w:r w:rsidR="007457E4" w:rsidRPr="004154A5">
        <w:rPr>
          <w:rFonts w:asciiTheme="majorHAnsi" w:hAnsiTheme="majorHAnsi"/>
          <w:lang w:val="en-US"/>
        </w:rPr>
        <w:t>.</w:t>
      </w:r>
      <w:r w:rsidR="00FD5DD8" w:rsidRPr="004154A5">
        <w:rPr>
          <w:rFonts w:asciiTheme="majorHAnsi" w:hAnsiTheme="majorHAnsi"/>
          <w:lang w:val="en-US"/>
        </w:rPr>
        <w:t xml:space="preserve">  Prior to this, the Act had only applied to those sentenced to 30 months or less.</w:t>
      </w:r>
    </w:p>
    <w:p w:rsidR="00D44B4A" w:rsidRPr="004154A5" w:rsidRDefault="00D44B4A" w:rsidP="00347A60">
      <w:pPr>
        <w:spacing w:after="0" w:line="360" w:lineRule="auto"/>
        <w:rPr>
          <w:rFonts w:asciiTheme="majorHAnsi" w:hAnsiTheme="majorHAnsi"/>
          <w:b/>
        </w:rPr>
      </w:pPr>
    </w:p>
    <w:p w:rsidR="007457E4" w:rsidRPr="004154A5" w:rsidRDefault="005E0D7F" w:rsidP="00347A60">
      <w:pPr>
        <w:tabs>
          <w:tab w:val="left" w:pos="6137"/>
        </w:tabs>
        <w:spacing w:line="360" w:lineRule="auto"/>
        <w:jc w:val="center"/>
        <w:rPr>
          <w:rFonts w:asciiTheme="majorHAnsi" w:hAnsiTheme="majorHAnsi"/>
          <w:b/>
        </w:rPr>
      </w:pPr>
      <w:r w:rsidRPr="004154A5">
        <w:rPr>
          <w:rFonts w:asciiTheme="majorHAnsi" w:hAnsiTheme="majorHAnsi"/>
          <w:b/>
        </w:rPr>
        <w:t>TABLE 1 ABOUT HERE</w:t>
      </w:r>
    </w:p>
    <w:p w:rsidR="000C4956" w:rsidRPr="004154A5" w:rsidRDefault="00674B15" w:rsidP="00347A60">
      <w:pPr>
        <w:spacing w:after="0" w:line="360" w:lineRule="auto"/>
        <w:jc w:val="both"/>
        <w:rPr>
          <w:rFonts w:asciiTheme="majorHAnsi" w:hAnsiTheme="majorHAnsi"/>
          <w:lang w:val="en-US"/>
        </w:rPr>
      </w:pPr>
      <w:r w:rsidRPr="004154A5">
        <w:rPr>
          <w:rFonts w:asciiTheme="majorHAnsi" w:hAnsiTheme="majorHAnsi"/>
          <w:lang w:val="en-US"/>
        </w:rPr>
        <w:t xml:space="preserve">The amendments to rehabilitation periods followed earlier criticisms </w:t>
      </w:r>
      <w:r w:rsidR="00FD5DD8" w:rsidRPr="004154A5">
        <w:rPr>
          <w:rFonts w:asciiTheme="majorHAnsi" w:hAnsiTheme="majorHAnsi"/>
          <w:lang w:val="en-US"/>
        </w:rPr>
        <w:t xml:space="preserve">of the ROA </w:t>
      </w:r>
      <w:r w:rsidRPr="004154A5">
        <w:rPr>
          <w:rFonts w:asciiTheme="majorHAnsi" w:hAnsiTheme="majorHAnsi"/>
          <w:lang w:val="en-US"/>
        </w:rPr>
        <w:t xml:space="preserve">in </w:t>
      </w:r>
      <w:r w:rsidR="00AE6836" w:rsidRPr="004154A5">
        <w:rPr>
          <w:rFonts w:asciiTheme="majorHAnsi" w:hAnsiTheme="majorHAnsi"/>
          <w:lang w:val="en-US"/>
        </w:rPr>
        <w:t>the Home Office (2002</w:t>
      </w:r>
      <w:r w:rsidR="00F67DE0" w:rsidRPr="004154A5">
        <w:rPr>
          <w:rFonts w:asciiTheme="majorHAnsi" w:hAnsiTheme="majorHAnsi"/>
          <w:lang w:val="en-US"/>
        </w:rPr>
        <w:t xml:space="preserve">) report </w:t>
      </w:r>
      <w:r w:rsidR="00AE6836" w:rsidRPr="004154A5">
        <w:rPr>
          <w:rFonts w:asciiTheme="majorHAnsi" w:hAnsiTheme="majorHAnsi"/>
          <w:i/>
          <w:lang w:val="en-US"/>
        </w:rPr>
        <w:t>Breaking the Circle</w:t>
      </w:r>
      <w:r w:rsidR="00F67DE0" w:rsidRPr="004154A5">
        <w:rPr>
          <w:rFonts w:asciiTheme="majorHAnsi" w:hAnsiTheme="majorHAnsi"/>
          <w:i/>
          <w:lang w:val="en-US"/>
        </w:rPr>
        <w:t>: A Report of the Review of the Rehabilitation of Offenders Act</w:t>
      </w:r>
      <w:r w:rsidR="00AE6836" w:rsidRPr="004154A5">
        <w:rPr>
          <w:rFonts w:asciiTheme="majorHAnsi" w:hAnsiTheme="majorHAnsi"/>
          <w:lang w:val="en-US"/>
        </w:rPr>
        <w:t>.  This report</w:t>
      </w:r>
      <w:r w:rsidRPr="004154A5">
        <w:rPr>
          <w:rFonts w:asciiTheme="majorHAnsi" w:hAnsiTheme="majorHAnsi"/>
          <w:lang w:val="en-US"/>
        </w:rPr>
        <w:t xml:space="preserve"> suggested that the Act was ‘no longer considered to be wholly effective’, that it was ‘not achieving the right balance between resettlement and protection’, and that it was ‘confusing’, lacking in ‘proportionality and clarity’ and ‘failing to achieve the protection for ex-offenders’ which had originally been aspired to (</w:t>
      </w:r>
      <w:r w:rsidR="00AE6836" w:rsidRPr="004154A5">
        <w:rPr>
          <w:rFonts w:asciiTheme="majorHAnsi" w:hAnsiTheme="majorHAnsi"/>
          <w:lang w:val="en-US"/>
        </w:rPr>
        <w:t>pp.</w:t>
      </w:r>
      <w:r w:rsidRPr="004154A5">
        <w:rPr>
          <w:rFonts w:asciiTheme="majorHAnsi" w:hAnsiTheme="majorHAnsi"/>
          <w:lang w:val="en-US"/>
        </w:rPr>
        <w:t xml:space="preserve"> 5-6).  Whilst the limited </w:t>
      </w:r>
      <w:r w:rsidR="00AE6836" w:rsidRPr="004154A5">
        <w:rPr>
          <w:rFonts w:asciiTheme="majorHAnsi" w:hAnsiTheme="majorHAnsi"/>
          <w:lang w:val="en-US"/>
        </w:rPr>
        <w:t>amendments</w:t>
      </w:r>
      <w:r w:rsidRPr="004154A5">
        <w:rPr>
          <w:rFonts w:asciiTheme="majorHAnsi" w:hAnsiTheme="majorHAnsi"/>
          <w:lang w:val="en-US"/>
        </w:rPr>
        <w:t xml:space="preserve"> </w:t>
      </w:r>
      <w:r w:rsidR="00AE6836" w:rsidRPr="004154A5">
        <w:rPr>
          <w:rFonts w:asciiTheme="majorHAnsi" w:hAnsiTheme="majorHAnsi"/>
          <w:lang w:val="en-US"/>
        </w:rPr>
        <w:t xml:space="preserve">eventually introduced by the LASPO Act </w:t>
      </w:r>
      <w:r w:rsidRPr="004154A5">
        <w:rPr>
          <w:rFonts w:asciiTheme="majorHAnsi" w:hAnsiTheme="majorHAnsi"/>
          <w:lang w:val="en-US"/>
        </w:rPr>
        <w:t xml:space="preserve">did not go nearly as far as those recommended by </w:t>
      </w:r>
      <w:r w:rsidR="007A6F36" w:rsidRPr="004154A5">
        <w:rPr>
          <w:rFonts w:asciiTheme="majorHAnsi" w:hAnsiTheme="majorHAnsi"/>
          <w:lang w:val="en-US"/>
        </w:rPr>
        <w:t>this report</w:t>
      </w:r>
      <w:r w:rsidRPr="004154A5">
        <w:rPr>
          <w:rFonts w:asciiTheme="majorHAnsi" w:hAnsiTheme="majorHAnsi"/>
          <w:lang w:val="en-US"/>
        </w:rPr>
        <w:t xml:space="preserve"> a decade </w:t>
      </w:r>
      <w:r w:rsidR="00C26536" w:rsidRPr="004154A5">
        <w:rPr>
          <w:rFonts w:asciiTheme="majorHAnsi" w:hAnsiTheme="majorHAnsi"/>
          <w:lang w:val="en-US"/>
        </w:rPr>
        <w:t>earlier</w:t>
      </w:r>
      <w:r w:rsidR="007A6F36" w:rsidRPr="004154A5">
        <w:rPr>
          <w:rFonts w:asciiTheme="majorHAnsi" w:hAnsiTheme="majorHAnsi"/>
          <w:lang w:val="en-US"/>
        </w:rPr>
        <w:t xml:space="preserve"> (it had advocated including </w:t>
      </w:r>
      <w:r w:rsidR="007A6F36" w:rsidRPr="004154A5">
        <w:rPr>
          <w:rFonts w:asciiTheme="majorHAnsi" w:hAnsiTheme="majorHAnsi"/>
          <w:i/>
          <w:lang w:val="en-US"/>
        </w:rPr>
        <w:t>all</w:t>
      </w:r>
      <w:r w:rsidR="007A6F36" w:rsidRPr="004154A5">
        <w:rPr>
          <w:rFonts w:asciiTheme="majorHAnsi" w:hAnsiTheme="majorHAnsi"/>
          <w:lang w:val="en-US"/>
        </w:rPr>
        <w:t xml:space="preserve"> determinate sentenced prisoners)</w:t>
      </w:r>
      <w:r w:rsidRPr="004154A5">
        <w:rPr>
          <w:rFonts w:asciiTheme="majorHAnsi" w:hAnsiTheme="majorHAnsi"/>
          <w:lang w:val="en-US"/>
        </w:rPr>
        <w:t xml:space="preserve">, the campaigning </w:t>
      </w:r>
      <w:r w:rsidR="00D44B4A" w:rsidRPr="004154A5">
        <w:rPr>
          <w:rFonts w:asciiTheme="majorHAnsi" w:hAnsiTheme="majorHAnsi"/>
          <w:lang w:val="en-US"/>
        </w:rPr>
        <w:t xml:space="preserve">work </w:t>
      </w:r>
      <w:r w:rsidRPr="004154A5">
        <w:rPr>
          <w:rFonts w:asciiTheme="majorHAnsi" w:hAnsiTheme="majorHAnsi"/>
          <w:lang w:val="en-US"/>
        </w:rPr>
        <w:t xml:space="preserve">of organisations such as Unlock (the charity for people with convictions) </w:t>
      </w:r>
      <w:r w:rsidR="00AE6836" w:rsidRPr="004154A5">
        <w:rPr>
          <w:rFonts w:asciiTheme="majorHAnsi" w:hAnsiTheme="majorHAnsi"/>
          <w:lang w:val="en-US"/>
        </w:rPr>
        <w:t xml:space="preserve">has </w:t>
      </w:r>
      <w:r w:rsidR="00AE6836" w:rsidRPr="004154A5">
        <w:rPr>
          <w:rFonts w:asciiTheme="majorHAnsi" w:hAnsiTheme="majorHAnsi"/>
          <w:lang w:val="en-US"/>
        </w:rPr>
        <w:lastRenderedPageBreak/>
        <w:t xml:space="preserve">kept ROA reform on the agenda </w:t>
      </w:r>
      <w:r w:rsidR="002E712F" w:rsidRPr="004154A5">
        <w:rPr>
          <w:rFonts w:asciiTheme="majorHAnsi" w:hAnsiTheme="majorHAnsi"/>
          <w:lang w:val="en-US"/>
        </w:rPr>
        <w:t xml:space="preserve">and </w:t>
      </w:r>
      <w:r w:rsidRPr="004154A5">
        <w:rPr>
          <w:rFonts w:asciiTheme="majorHAnsi" w:hAnsiTheme="majorHAnsi"/>
          <w:lang w:val="en-US"/>
        </w:rPr>
        <w:t xml:space="preserve">ensured </w:t>
      </w:r>
      <w:r w:rsidR="002E712F" w:rsidRPr="004154A5">
        <w:rPr>
          <w:rFonts w:asciiTheme="majorHAnsi" w:hAnsiTheme="majorHAnsi"/>
          <w:lang w:val="en-US"/>
        </w:rPr>
        <w:t xml:space="preserve">that </w:t>
      </w:r>
      <w:r w:rsidRPr="004154A5">
        <w:rPr>
          <w:rFonts w:asciiTheme="majorHAnsi" w:hAnsiTheme="majorHAnsi"/>
          <w:lang w:val="en-US"/>
        </w:rPr>
        <w:t xml:space="preserve">at least some progress </w:t>
      </w:r>
      <w:r w:rsidR="00AE6836" w:rsidRPr="004154A5">
        <w:rPr>
          <w:rFonts w:asciiTheme="majorHAnsi" w:hAnsiTheme="majorHAnsi"/>
          <w:lang w:val="en-US"/>
        </w:rPr>
        <w:t xml:space="preserve">has been </w:t>
      </w:r>
      <w:r w:rsidRPr="004154A5">
        <w:rPr>
          <w:rFonts w:asciiTheme="majorHAnsi" w:hAnsiTheme="majorHAnsi"/>
          <w:lang w:val="en-US"/>
        </w:rPr>
        <w:t>made</w:t>
      </w:r>
      <w:r w:rsidR="00C26536" w:rsidRPr="004154A5">
        <w:rPr>
          <w:rFonts w:asciiTheme="majorHAnsi" w:hAnsiTheme="majorHAnsi"/>
          <w:lang w:val="en-US"/>
        </w:rPr>
        <w:t xml:space="preserve"> in reducing the burden of disclosure</w:t>
      </w:r>
      <w:r w:rsidR="002E712F" w:rsidRPr="004154A5">
        <w:rPr>
          <w:rFonts w:asciiTheme="majorHAnsi" w:hAnsiTheme="majorHAnsi"/>
          <w:lang w:val="en-US"/>
        </w:rPr>
        <w:t>.</w:t>
      </w:r>
      <w:r w:rsidR="00AE6836" w:rsidRPr="004154A5">
        <w:rPr>
          <w:rStyle w:val="FootnoteReference"/>
          <w:rFonts w:asciiTheme="majorHAnsi" w:hAnsiTheme="majorHAnsi"/>
          <w:lang w:val="en-US"/>
        </w:rPr>
        <w:footnoteReference w:id="1"/>
      </w:r>
    </w:p>
    <w:p w:rsidR="004D267C" w:rsidRPr="004154A5" w:rsidRDefault="002E712F" w:rsidP="00347A60">
      <w:pPr>
        <w:spacing w:after="0" w:line="360" w:lineRule="auto"/>
        <w:jc w:val="both"/>
        <w:rPr>
          <w:rFonts w:asciiTheme="majorHAnsi" w:hAnsiTheme="majorHAnsi"/>
          <w:b/>
          <w:lang w:val="en-US"/>
        </w:rPr>
      </w:pPr>
      <w:r w:rsidRPr="004154A5">
        <w:rPr>
          <w:rFonts w:asciiTheme="majorHAnsi" w:hAnsiTheme="majorHAnsi"/>
          <w:lang w:val="en-US"/>
        </w:rPr>
        <w:tab/>
      </w:r>
      <w:r w:rsidR="002461FE" w:rsidRPr="004154A5">
        <w:rPr>
          <w:rFonts w:asciiTheme="majorHAnsi" w:hAnsiTheme="majorHAnsi"/>
          <w:lang w:val="en-US"/>
        </w:rPr>
        <w:t xml:space="preserve">A </w:t>
      </w:r>
      <w:r w:rsidRPr="004154A5">
        <w:rPr>
          <w:rFonts w:asciiTheme="majorHAnsi" w:hAnsiTheme="majorHAnsi"/>
          <w:lang w:val="en-US"/>
        </w:rPr>
        <w:t xml:space="preserve">number of </w:t>
      </w:r>
      <w:r w:rsidR="002461FE" w:rsidRPr="004154A5">
        <w:rPr>
          <w:rFonts w:asciiTheme="majorHAnsi" w:hAnsiTheme="majorHAnsi"/>
          <w:lang w:val="en-US"/>
        </w:rPr>
        <w:t xml:space="preserve">fundamental </w:t>
      </w:r>
      <w:r w:rsidRPr="004154A5">
        <w:rPr>
          <w:rFonts w:asciiTheme="majorHAnsi" w:hAnsiTheme="majorHAnsi"/>
          <w:lang w:val="en-US"/>
        </w:rPr>
        <w:t>issues with the ROA remain</w:t>
      </w:r>
      <w:r w:rsidR="002461FE" w:rsidRPr="004154A5">
        <w:rPr>
          <w:rFonts w:asciiTheme="majorHAnsi" w:hAnsiTheme="majorHAnsi"/>
          <w:lang w:val="en-US"/>
        </w:rPr>
        <w:t>, however</w:t>
      </w:r>
      <w:r w:rsidRPr="004154A5">
        <w:rPr>
          <w:rFonts w:asciiTheme="majorHAnsi" w:hAnsiTheme="majorHAnsi"/>
          <w:lang w:val="en-US"/>
        </w:rPr>
        <w:t xml:space="preserve">.  </w:t>
      </w:r>
      <w:r w:rsidR="004D267C" w:rsidRPr="004154A5">
        <w:rPr>
          <w:rFonts w:asciiTheme="majorHAnsi" w:hAnsiTheme="majorHAnsi"/>
          <w:lang w:val="en-US"/>
        </w:rPr>
        <w:t>Firstly, many exemptions to the principle of a ‘spent conviction’ have been made – particularly in the area of employment</w:t>
      </w:r>
      <w:r w:rsidR="002461FE" w:rsidRPr="004154A5">
        <w:rPr>
          <w:rFonts w:asciiTheme="majorHAnsi" w:hAnsiTheme="majorHAnsi"/>
          <w:lang w:val="en-US"/>
        </w:rPr>
        <w:t xml:space="preserve"> – through both the Rehabilitation of Offenders Act (Exceptions) Order 1975 and its subsequent expansion</w:t>
      </w:r>
      <w:r w:rsidR="004D267C" w:rsidRPr="004154A5">
        <w:rPr>
          <w:rFonts w:asciiTheme="majorHAnsi" w:hAnsiTheme="majorHAnsi"/>
          <w:lang w:val="en-US"/>
        </w:rPr>
        <w:t xml:space="preserve">. </w:t>
      </w:r>
      <w:r w:rsidR="002461FE" w:rsidRPr="004154A5">
        <w:rPr>
          <w:rFonts w:asciiTheme="majorHAnsi" w:hAnsiTheme="majorHAnsi"/>
          <w:lang w:val="en-US"/>
        </w:rPr>
        <w:t>S</w:t>
      </w:r>
      <w:r w:rsidR="004D267C" w:rsidRPr="004154A5">
        <w:rPr>
          <w:rFonts w:asciiTheme="majorHAnsi" w:hAnsiTheme="majorHAnsi"/>
          <w:lang w:val="en-US"/>
        </w:rPr>
        <w:t xml:space="preserve">uch exemptions are </w:t>
      </w:r>
      <w:r w:rsidR="002461FE" w:rsidRPr="004154A5">
        <w:rPr>
          <w:rFonts w:asciiTheme="majorHAnsi" w:hAnsiTheme="majorHAnsi"/>
          <w:lang w:val="en-US"/>
        </w:rPr>
        <w:t xml:space="preserve">not </w:t>
      </w:r>
      <w:r w:rsidR="007A6F36" w:rsidRPr="004154A5">
        <w:rPr>
          <w:rFonts w:asciiTheme="majorHAnsi" w:hAnsiTheme="majorHAnsi"/>
          <w:lang w:val="en-US"/>
        </w:rPr>
        <w:t xml:space="preserve">only </w:t>
      </w:r>
      <w:r w:rsidR="004D267C" w:rsidRPr="004154A5">
        <w:rPr>
          <w:rFonts w:asciiTheme="majorHAnsi" w:hAnsiTheme="majorHAnsi"/>
          <w:lang w:val="en-US"/>
        </w:rPr>
        <w:t>restricted to occupations which involve working with children and vulnerable adults</w:t>
      </w:r>
      <w:r w:rsidR="002461FE" w:rsidRPr="004154A5">
        <w:rPr>
          <w:rFonts w:asciiTheme="majorHAnsi" w:hAnsiTheme="majorHAnsi"/>
          <w:lang w:val="en-US"/>
        </w:rPr>
        <w:t xml:space="preserve"> </w:t>
      </w:r>
      <w:r w:rsidR="007A6F36" w:rsidRPr="004154A5">
        <w:rPr>
          <w:rFonts w:asciiTheme="majorHAnsi" w:hAnsiTheme="majorHAnsi"/>
          <w:lang w:val="en-US"/>
        </w:rPr>
        <w:t xml:space="preserve">(e.g. in </w:t>
      </w:r>
      <w:r w:rsidR="002461FE" w:rsidRPr="004154A5">
        <w:rPr>
          <w:rFonts w:asciiTheme="majorHAnsi" w:hAnsiTheme="majorHAnsi"/>
          <w:lang w:val="en-US"/>
        </w:rPr>
        <w:t>education, training and healthcare settings</w:t>
      </w:r>
      <w:r w:rsidR="007A6F36" w:rsidRPr="004154A5">
        <w:rPr>
          <w:rFonts w:asciiTheme="majorHAnsi" w:hAnsiTheme="majorHAnsi"/>
          <w:lang w:val="en-US"/>
        </w:rPr>
        <w:t>)</w:t>
      </w:r>
      <w:r w:rsidR="002461FE" w:rsidRPr="004154A5">
        <w:rPr>
          <w:rFonts w:asciiTheme="majorHAnsi" w:hAnsiTheme="majorHAnsi"/>
          <w:lang w:val="en-US"/>
        </w:rPr>
        <w:t>.  Instead</w:t>
      </w:r>
      <w:r w:rsidR="007A6F36" w:rsidRPr="004154A5">
        <w:rPr>
          <w:rFonts w:asciiTheme="majorHAnsi" w:hAnsiTheme="majorHAnsi"/>
          <w:lang w:val="en-US"/>
        </w:rPr>
        <w:t>,</w:t>
      </w:r>
      <w:r w:rsidR="002461FE" w:rsidRPr="004154A5">
        <w:rPr>
          <w:rFonts w:asciiTheme="majorHAnsi" w:hAnsiTheme="majorHAnsi"/>
          <w:lang w:val="en-US"/>
        </w:rPr>
        <w:t xml:space="preserve"> the current list of exempted professions includes: veterinary practitioners;</w:t>
      </w:r>
      <w:r w:rsidR="004D267C" w:rsidRPr="004154A5">
        <w:rPr>
          <w:rFonts w:asciiTheme="majorHAnsi" w:hAnsiTheme="majorHAnsi"/>
          <w:lang w:val="en-US"/>
        </w:rPr>
        <w:t xml:space="preserve"> employment concerned with health</w:t>
      </w:r>
      <w:r w:rsidR="002461FE" w:rsidRPr="004154A5">
        <w:rPr>
          <w:rFonts w:asciiTheme="majorHAnsi" w:hAnsiTheme="majorHAnsi"/>
          <w:lang w:val="en-US"/>
        </w:rPr>
        <w:t>care; traffic wardens; locksmiths; certain professions in the financial sector;</w:t>
      </w:r>
      <w:r w:rsidR="004D267C" w:rsidRPr="004154A5">
        <w:rPr>
          <w:rFonts w:asciiTheme="majorHAnsi" w:hAnsiTheme="majorHAnsi"/>
          <w:lang w:val="en-US"/>
        </w:rPr>
        <w:t xml:space="preserve"> drivers of private hire vehic</w:t>
      </w:r>
      <w:r w:rsidR="002461FE" w:rsidRPr="004154A5">
        <w:rPr>
          <w:rFonts w:asciiTheme="majorHAnsi" w:hAnsiTheme="majorHAnsi"/>
          <w:lang w:val="en-US"/>
        </w:rPr>
        <w:t>les like taxis;</w:t>
      </w:r>
      <w:r w:rsidR="004D267C" w:rsidRPr="004154A5">
        <w:rPr>
          <w:rFonts w:asciiTheme="majorHAnsi" w:hAnsiTheme="majorHAnsi"/>
          <w:lang w:val="en-US"/>
        </w:rPr>
        <w:t xml:space="preserve"> </w:t>
      </w:r>
      <w:r w:rsidR="002461FE" w:rsidRPr="004154A5">
        <w:rPr>
          <w:rFonts w:asciiTheme="majorHAnsi" w:hAnsiTheme="majorHAnsi"/>
          <w:lang w:val="en-US"/>
        </w:rPr>
        <w:t>those involved in the administration of justice; and</w:t>
      </w:r>
      <w:r w:rsidR="004D267C" w:rsidRPr="004154A5">
        <w:rPr>
          <w:rFonts w:asciiTheme="majorHAnsi" w:hAnsiTheme="majorHAnsi"/>
          <w:lang w:val="en-US"/>
        </w:rPr>
        <w:t xml:space="preserve"> employment in the private security industry</w:t>
      </w:r>
      <w:r w:rsidR="005857A8" w:rsidRPr="004154A5">
        <w:rPr>
          <w:rFonts w:asciiTheme="majorHAnsi" w:hAnsiTheme="majorHAnsi"/>
          <w:lang w:val="en-US"/>
        </w:rPr>
        <w:t xml:space="preserve"> (see Thomas 2007: 98-100)</w:t>
      </w:r>
      <w:r w:rsidR="004D267C" w:rsidRPr="004154A5">
        <w:rPr>
          <w:rFonts w:asciiTheme="majorHAnsi" w:hAnsiTheme="majorHAnsi"/>
          <w:lang w:val="en-US"/>
        </w:rPr>
        <w:t xml:space="preserve">.  </w:t>
      </w:r>
      <w:r w:rsidR="002461FE" w:rsidRPr="004154A5">
        <w:rPr>
          <w:rFonts w:asciiTheme="majorHAnsi" w:hAnsiTheme="majorHAnsi"/>
          <w:lang w:val="en-US"/>
        </w:rPr>
        <w:t xml:space="preserve">For such occupations </w:t>
      </w:r>
      <w:r w:rsidR="00C26536" w:rsidRPr="004154A5">
        <w:rPr>
          <w:rFonts w:asciiTheme="majorHAnsi" w:hAnsiTheme="majorHAnsi"/>
          <w:lang w:val="en-US"/>
        </w:rPr>
        <w:t xml:space="preserve">‘standard’ and ‘enhanced’ </w:t>
      </w:r>
      <w:r w:rsidR="002461FE" w:rsidRPr="004154A5">
        <w:rPr>
          <w:rFonts w:asciiTheme="majorHAnsi" w:hAnsiTheme="majorHAnsi"/>
          <w:lang w:val="en-US"/>
        </w:rPr>
        <w:t xml:space="preserve">criminal </w:t>
      </w:r>
      <w:r w:rsidR="001E6021" w:rsidRPr="004154A5">
        <w:rPr>
          <w:rFonts w:asciiTheme="majorHAnsi" w:hAnsiTheme="majorHAnsi"/>
          <w:lang w:val="en-US"/>
        </w:rPr>
        <w:t>records</w:t>
      </w:r>
      <w:r w:rsidR="002461FE" w:rsidRPr="004154A5">
        <w:rPr>
          <w:rFonts w:asciiTheme="majorHAnsi" w:hAnsiTheme="majorHAnsi"/>
          <w:lang w:val="en-US"/>
        </w:rPr>
        <w:t xml:space="preserve"> checks conducted by the Disclosure and Barring Service (DBS) are available which reveal both unspent and spent convictions to prospective employer</w:t>
      </w:r>
      <w:r w:rsidR="00841DEC" w:rsidRPr="004154A5">
        <w:rPr>
          <w:rFonts w:asciiTheme="majorHAnsi" w:hAnsiTheme="majorHAnsi"/>
          <w:lang w:val="en-US"/>
        </w:rPr>
        <w:t>s</w:t>
      </w:r>
      <w:r w:rsidR="00C26536" w:rsidRPr="004154A5">
        <w:rPr>
          <w:rFonts w:asciiTheme="majorHAnsi" w:hAnsiTheme="majorHAnsi"/>
          <w:lang w:val="en-US"/>
        </w:rPr>
        <w:t xml:space="preserve"> (as well as a host of ‘non-conviction’ information in the case of enhanced </w:t>
      </w:r>
      <w:r w:rsidR="001E6021" w:rsidRPr="004154A5">
        <w:rPr>
          <w:rFonts w:asciiTheme="majorHAnsi" w:hAnsiTheme="majorHAnsi"/>
          <w:lang w:val="en-US"/>
        </w:rPr>
        <w:t>checks</w:t>
      </w:r>
      <w:r w:rsidR="00C26536" w:rsidRPr="004154A5">
        <w:rPr>
          <w:rFonts w:asciiTheme="majorHAnsi" w:hAnsiTheme="majorHAnsi"/>
          <w:lang w:val="en-US"/>
        </w:rPr>
        <w:t>, see Larrauri 2014a)</w:t>
      </w:r>
      <w:r w:rsidR="002461FE" w:rsidRPr="004154A5">
        <w:rPr>
          <w:rFonts w:asciiTheme="majorHAnsi" w:hAnsiTheme="majorHAnsi"/>
          <w:lang w:val="en-US"/>
        </w:rPr>
        <w:t xml:space="preserve">.  </w:t>
      </w:r>
      <w:r w:rsidR="004D267C" w:rsidRPr="004154A5">
        <w:rPr>
          <w:rFonts w:asciiTheme="majorHAnsi" w:hAnsiTheme="majorHAnsi"/>
          <w:lang w:val="en-US"/>
        </w:rPr>
        <w:t xml:space="preserve">This </w:t>
      </w:r>
      <w:r w:rsidR="00CA2CAE" w:rsidRPr="004154A5">
        <w:rPr>
          <w:rFonts w:asciiTheme="majorHAnsi" w:hAnsiTheme="majorHAnsi"/>
          <w:lang w:val="en-US"/>
        </w:rPr>
        <w:t xml:space="preserve">potentially restricts </w:t>
      </w:r>
      <w:r w:rsidR="004D267C" w:rsidRPr="004154A5">
        <w:rPr>
          <w:rFonts w:asciiTheme="majorHAnsi" w:hAnsiTheme="majorHAnsi"/>
          <w:lang w:val="en-US"/>
        </w:rPr>
        <w:t xml:space="preserve">people with convictions to an increasingly narrow range of </w:t>
      </w:r>
      <w:r w:rsidR="000B3E65" w:rsidRPr="004154A5">
        <w:rPr>
          <w:rFonts w:asciiTheme="majorHAnsi" w:hAnsiTheme="majorHAnsi"/>
          <w:lang w:val="en-US"/>
        </w:rPr>
        <w:t>possible occupations.</w:t>
      </w:r>
    </w:p>
    <w:p w:rsidR="004D267C" w:rsidRPr="004154A5" w:rsidRDefault="000B3E65" w:rsidP="00347A60">
      <w:pPr>
        <w:spacing w:after="0" w:line="360" w:lineRule="auto"/>
        <w:jc w:val="both"/>
        <w:rPr>
          <w:rFonts w:asciiTheme="majorHAnsi" w:hAnsiTheme="majorHAnsi"/>
          <w:b/>
          <w:lang w:val="en-US"/>
        </w:rPr>
      </w:pPr>
      <w:r w:rsidRPr="004154A5">
        <w:rPr>
          <w:rFonts w:asciiTheme="majorHAnsi" w:hAnsiTheme="majorHAnsi"/>
          <w:b/>
          <w:lang w:val="en-US"/>
        </w:rPr>
        <w:tab/>
      </w:r>
      <w:r w:rsidRPr="004154A5">
        <w:rPr>
          <w:rFonts w:asciiTheme="majorHAnsi" w:hAnsiTheme="majorHAnsi"/>
          <w:lang w:val="en-US"/>
        </w:rPr>
        <w:t xml:space="preserve">Secondly, the ‘spent model’ of dealing with old criminal records requires people with convictions to tell a ‘legal lie’ </w:t>
      </w:r>
      <w:r w:rsidR="00603E49" w:rsidRPr="004154A5">
        <w:rPr>
          <w:rFonts w:asciiTheme="majorHAnsi" w:hAnsiTheme="majorHAnsi"/>
          <w:lang w:val="en-US"/>
        </w:rPr>
        <w:t xml:space="preserve">about their past </w:t>
      </w:r>
      <w:r w:rsidRPr="004154A5">
        <w:rPr>
          <w:rFonts w:asciiTheme="majorHAnsi" w:hAnsiTheme="majorHAnsi"/>
          <w:lang w:val="en-US"/>
        </w:rPr>
        <w:t xml:space="preserve">after a set period of time.  That is, </w:t>
      </w:r>
      <w:r w:rsidR="00603E49" w:rsidRPr="004154A5">
        <w:rPr>
          <w:rFonts w:asciiTheme="majorHAnsi" w:hAnsiTheme="majorHAnsi"/>
          <w:lang w:val="en-US"/>
        </w:rPr>
        <w:t xml:space="preserve">to answer ‘no’ to any question about whether they have a criminal record if it has become spent under the ROA, rather than prohibiting employers, insurers and others from asking such a question in the first place or restricting such questions to </w:t>
      </w:r>
      <w:r w:rsidR="007A6F36" w:rsidRPr="004154A5">
        <w:rPr>
          <w:rFonts w:asciiTheme="majorHAnsi" w:hAnsiTheme="majorHAnsi"/>
          <w:lang w:val="en-US"/>
        </w:rPr>
        <w:t xml:space="preserve">only </w:t>
      </w:r>
      <w:r w:rsidR="00603E49" w:rsidRPr="004154A5">
        <w:rPr>
          <w:rFonts w:asciiTheme="majorHAnsi" w:hAnsiTheme="majorHAnsi"/>
          <w:lang w:val="en-US"/>
        </w:rPr>
        <w:t>those offences which might be deemed to have a ‘close nexus’ with the purposes of the enquiry (for instance, motoring offences and applications for driving jobs or car insurance) (</w:t>
      </w:r>
      <w:r w:rsidRPr="004154A5">
        <w:rPr>
          <w:rFonts w:asciiTheme="majorHAnsi" w:hAnsiTheme="majorHAnsi"/>
          <w:lang w:val="en-US"/>
        </w:rPr>
        <w:t>see Larrauri 2014</w:t>
      </w:r>
      <w:r w:rsidR="00C26536" w:rsidRPr="004154A5">
        <w:rPr>
          <w:rFonts w:asciiTheme="majorHAnsi" w:hAnsiTheme="majorHAnsi"/>
          <w:lang w:val="en-US"/>
        </w:rPr>
        <w:t>b</w:t>
      </w:r>
      <w:r w:rsidRPr="004154A5">
        <w:rPr>
          <w:rFonts w:asciiTheme="majorHAnsi" w:hAnsiTheme="majorHAnsi"/>
          <w:lang w:val="en-US"/>
        </w:rPr>
        <w:t>).</w:t>
      </w:r>
    </w:p>
    <w:p w:rsidR="00E85E91" w:rsidRPr="004154A5" w:rsidRDefault="00963735" w:rsidP="00347A60">
      <w:pPr>
        <w:spacing w:after="0" w:line="360" w:lineRule="auto"/>
        <w:jc w:val="both"/>
        <w:rPr>
          <w:rFonts w:asciiTheme="majorHAnsi" w:hAnsiTheme="majorHAnsi"/>
          <w:lang w:val="en-US"/>
        </w:rPr>
      </w:pPr>
      <w:r w:rsidRPr="004154A5">
        <w:rPr>
          <w:rFonts w:asciiTheme="majorHAnsi" w:hAnsiTheme="majorHAnsi"/>
          <w:b/>
          <w:lang w:val="en-US"/>
        </w:rPr>
        <w:tab/>
      </w:r>
      <w:r w:rsidRPr="004154A5">
        <w:rPr>
          <w:rFonts w:asciiTheme="majorHAnsi" w:hAnsiTheme="majorHAnsi"/>
          <w:lang w:val="en-US"/>
        </w:rPr>
        <w:t xml:space="preserve">Thirdly, the ‘spent model’ renders the legal rehabilitation of former lawbreakers an ‘active’ rather than a ‘passive’ process’ (see </w:t>
      </w:r>
      <w:r w:rsidR="008C5B74" w:rsidRPr="004154A5">
        <w:rPr>
          <w:rFonts w:asciiTheme="majorHAnsi" w:hAnsiTheme="majorHAnsi"/>
          <w:lang w:val="en-US"/>
        </w:rPr>
        <w:t>Maruna 2011</w:t>
      </w:r>
      <w:r w:rsidRPr="004154A5">
        <w:rPr>
          <w:rFonts w:asciiTheme="majorHAnsi" w:hAnsiTheme="majorHAnsi"/>
          <w:lang w:val="en-US"/>
        </w:rPr>
        <w:t>).  That is, rather than having any</w:t>
      </w:r>
      <w:r w:rsidR="00D44B4A" w:rsidRPr="004154A5">
        <w:rPr>
          <w:rFonts w:asciiTheme="majorHAnsi" w:hAnsiTheme="majorHAnsi"/>
          <w:lang w:val="en-US"/>
        </w:rPr>
        <w:t xml:space="preserve"> progress made sinc</w:t>
      </w:r>
      <w:r w:rsidRPr="004154A5">
        <w:rPr>
          <w:rFonts w:asciiTheme="majorHAnsi" w:hAnsiTheme="majorHAnsi"/>
          <w:lang w:val="en-US"/>
        </w:rPr>
        <w:t>e the end of a sentence recognized</w:t>
      </w:r>
      <w:r w:rsidR="00D44B4A" w:rsidRPr="004154A5">
        <w:rPr>
          <w:rFonts w:asciiTheme="majorHAnsi" w:hAnsiTheme="majorHAnsi"/>
          <w:lang w:val="en-US"/>
        </w:rPr>
        <w:t xml:space="preserve"> </w:t>
      </w:r>
      <w:r w:rsidRPr="004154A5">
        <w:rPr>
          <w:rFonts w:asciiTheme="majorHAnsi" w:hAnsiTheme="majorHAnsi"/>
          <w:lang w:val="en-US"/>
        </w:rPr>
        <w:t>in law</w:t>
      </w:r>
      <w:r w:rsidR="00D44B4A" w:rsidRPr="004154A5">
        <w:rPr>
          <w:rFonts w:asciiTheme="majorHAnsi" w:hAnsiTheme="majorHAnsi"/>
          <w:lang w:val="en-US"/>
        </w:rPr>
        <w:t xml:space="preserve"> when desistance from offending actually occurs</w:t>
      </w:r>
      <w:r w:rsidR="007A6F36" w:rsidRPr="004154A5">
        <w:rPr>
          <w:rFonts w:asciiTheme="majorHAnsi" w:hAnsiTheme="majorHAnsi"/>
          <w:lang w:val="en-US"/>
        </w:rPr>
        <w:t>,</w:t>
      </w:r>
      <w:r w:rsidR="00D44B4A" w:rsidRPr="004154A5">
        <w:rPr>
          <w:rFonts w:asciiTheme="majorHAnsi" w:hAnsiTheme="majorHAnsi"/>
          <w:lang w:val="en-US"/>
        </w:rPr>
        <w:t xml:space="preserve"> </w:t>
      </w:r>
      <w:r w:rsidR="007A6F36" w:rsidRPr="004154A5">
        <w:rPr>
          <w:rFonts w:asciiTheme="majorHAnsi" w:hAnsiTheme="majorHAnsi"/>
          <w:lang w:val="en-US"/>
        </w:rPr>
        <w:t xml:space="preserve">or when the sentence plan and any rehabilitative interventions have been completed, </w:t>
      </w:r>
      <w:r w:rsidRPr="004154A5">
        <w:rPr>
          <w:rFonts w:asciiTheme="majorHAnsi" w:hAnsiTheme="majorHAnsi"/>
          <w:lang w:val="en-US"/>
        </w:rPr>
        <w:t>a person with convictions</w:t>
      </w:r>
      <w:r w:rsidR="00D44B4A" w:rsidRPr="004154A5">
        <w:rPr>
          <w:rFonts w:asciiTheme="majorHAnsi" w:hAnsiTheme="majorHAnsi"/>
          <w:lang w:val="en-US"/>
        </w:rPr>
        <w:t xml:space="preserve"> simply has to wait for an extended period of time to be officially </w:t>
      </w:r>
      <w:r w:rsidR="007A6F36" w:rsidRPr="004154A5">
        <w:rPr>
          <w:rFonts w:asciiTheme="majorHAnsi" w:hAnsiTheme="majorHAnsi"/>
          <w:lang w:val="en-US"/>
        </w:rPr>
        <w:t>recognised</w:t>
      </w:r>
      <w:r w:rsidR="00D44B4A" w:rsidRPr="004154A5">
        <w:rPr>
          <w:rFonts w:asciiTheme="majorHAnsi" w:hAnsiTheme="majorHAnsi"/>
          <w:lang w:val="en-US"/>
        </w:rPr>
        <w:t xml:space="preserve"> as a ‘rehabilitated person’</w:t>
      </w:r>
      <w:r w:rsidRPr="004154A5">
        <w:rPr>
          <w:rFonts w:asciiTheme="majorHAnsi" w:hAnsiTheme="majorHAnsi"/>
          <w:lang w:val="en-US"/>
        </w:rPr>
        <w:t xml:space="preserve">.  There </w:t>
      </w:r>
      <w:r w:rsidR="007A6F36" w:rsidRPr="004154A5">
        <w:rPr>
          <w:rFonts w:asciiTheme="majorHAnsi" w:hAnsiTheme="majorHAnsi"/>
          <w:lang w:val="en-US"/>
        </w:rPr>
        <w:t>would</w:t>
      </w:r>
      <w:r w:rsidRPr="004154A5">
        <w:rPr>
          <w:rFonts w:asciiTheme="majorHAnsi" w:hAnsiTheme="majorHAnsi"/>
          <w:lang w:val="en-US"/>
        </w:rPr>
        <w:t xml:space="preserve">, for example, </w:t>
      </w:r>
      <w:r w:rsidR="007A6F36" w:rsidRPr="004154A5">
        <w:rPr>
          <w:rFonts w:asciiTheme="majorHAnsi" w:hAnsiTheme="majorHAnsi"/>
          <w:lang w:val="en-US"/>
        </w:rPr>
        <w:t xml:space="preserve">be </w:t>
      </w:r>
      <w:r w:rsidRPr="004154A5">
        <w:rPr>
          <w:rFonts w:asciiTheme="majorHAnsi" w:hAnsiTheme="majorHAnsi"/>
          <w:lang w:val="en-US"/>
        </w:rPr>
        <w:t xml:space="preserve">no distinction made between two individuals serving two year custodial sentences – </w:t>
      </w:r>
      <w:r w:rsidR="007A6F36" w:rsidRPr="004154A5">
        <w:rPr>
          <w:rFonts w:asciiTheme="majorHAnsi" w:hAnsiTheme="majorHAnsi"/>
          <w:lang w:val="en-US"/>
        </w:rPr>
        <w:t xml:space="preserve">where </w:t>
      </w:r>
      <w:r w:rsidRPr="004154A5">
        <w:rPr>
          <w:rFonts w:asciiTheme="majorHAnsi" w:hAnsiTheme="majorHAnsi"/>
          <w:lang w:val="en-US"/>
        </w:rPr>
        <w:t xml:space="preserve">one </w:t>
      </w:r>
      <w:r w:rsidR="007A6F36" w:rsidRPr="004154A5">
        <w:rPr>
          <w:rFonts w:asciiTheme="majorHAnsi" w:hAnsiTheme="majorHAnsi"/>
          <w:lang w:val="en-US"/>
        </w:rPr>
        <w:t>complied</w:t>
      </w:r>
      <w:r w:rsidRPr="004154A5">
        <w:rPr>
          <w:rFonts w:asciiTheme="majorHAnsi" w:hAnsiTheme="majorHAnsi"/>
          <w:lang w:val="en-US"/>
        </w:rPr>
        <w:t xml:space="preserve"> fully with all requirements of their sentence a</w:t>
      </w:r>
      <w:r w:rsidR="00841DEC" w:rsidRPr="004154A5">
        <w:rPr>
          <w:rFonts w:asciiTheme="majorHAnsi" w:hAnsiTheme="majorHAnsi"/>
          <w:lang w:val="en-US"/>
        </w:rPr>
        <w:t>nd any supervision period, and an</w:t>
      </w:r>
      <w:r w:rsidRPr="004154A5">
        <w:rPr>
          <w:rFonts w:asciiTheme="majorHAnsi" w:hAnsiTheme="majorHAnsi"/>
          <w:lang w:val="en-US"/>
        </w:rPr>
        <w:t xml:space="preserve">other </w:t>
      </w:r>
      <w:r w:rsidR="00841DEC" w:rsidRPr="004154A5">
        <w:rPr>
          <w:rFonts w:asciiTheme="majorHAnsi" w:hAnsiTheme="majorHAnsi"/>
          <w:lang w:val="en-US"/>
        </w:rPr>
        <w:t xml:space="preserve">who </w:t>
      </w:r>
      <w:r w:rsidR="007A6F36" w:rsidRPr="004154A5">
        <w:rPr>
          <w:rFonts w:asciiTheme="majorHAnsi" w:hAnsiTheme="majorHAnsi"/>
          <w:lang w:val="en-US"/>
        </w:rPr>
        <w:t>refused</w:t>
      </w:r>
      <w:r w:rsidRPr="004154A5">
        <w:rPr>
          <w:rFonts w:asciiTheme="majorHAnsi" w:hAnsiTheme="majorHAnsi"/>
          <w:lang w:val="en-US"/>
        </w:rPr>
        <w:t xml:space="preserve"> to engage with their sentence</w:t>
      </w:r>
      <w:r w:rsidR="007A6F36" w:rsidRPr="004154A5">
        <w:rPr>
          <w:rFonts w:asciiTheme="majorHAnsi" w:hAnsiTheme="majorHAnsi"/>
          <w:lang w:val="en-US"/>
        </w:rPr>
        <w:t xml:space="preserve"> planning</w:t>
      </w:r>
      <w:r w:rsidRPr="004154A5">
        <w:rPr>
          <w:rFonts w:asciiTheme="majorHAnsi" w:hAnsiTheme="majorHAnsi"/>
          <w:lang w:val="en-US"/>
        </w:rPr>
        <w:t xml:space="preserve"> and </w:t>
      </w:r>
      <w:r w:rsidR="007A6F36" w:rsidRPr="004154A5">
        <w:rPr>
          <w:rFonts w:asciiTheme="majorHAnsi" w:hAnsiTheme="majorHAnsi"/>
          <w:lang w:val="en-US"/>
        </w:rPr>
        <w:t xml:space="preserve">was </w:t>
      </w:r>
      <w:r w:rsidRPr="004154A5">
        <w:rPr>
          <w:rFonts w:asciiTheme="majorHAnsi" w:hAnsiTheme="majorHAnsi"/>
          <w:lang w:val="en-US"/>
        </w:rPr>
        <w:t xml:space="preserve">recalled almost immediately to custody due to </w:t>
      </w:r>
      <w:r w:rsidR="00841DEC" w:rsidRPr="004154A5">
        <w:rPr>
          <w:rFonts w:asciiTheme="majorHAnsi" w:hAnsiTheme="majorHAnsi"/>
          <w:lang w:val="en-US"/>
        </w:rPr>
        <w:t xml:space="preserve">a </w:t>
      </w:r>
      <w:r w:rsidRPr="004154A5">
        <w:rPr>
          <w:rFonts w:asciiTheme="majorHAnsi" w:hAnsiTheme="majorHAnsi"/>
          <w:lang w:val="en-US"/>
        </w:rPr>
        <w:t xml:space="preserve">breach of licence conditions.  Under the ROA both </w:t>
      </w:r>
      <w:r w:rsidR="007A6F36" w:rsidRPr="004154A5">
        <w:rPr>
          <w:rFonts w:asciiTheme="majorHAnsi" w:hAnsiTheme="majorHAnsi"/>
          <w:lang w:val="en-US"/>
        </w:rPr>
        <w:t xml:space="preserve">would </w:t>
      </w:r>
      <w:r w:rsidRPr="004154A5">
        <w:rPr>
          <w:rFonts w:asciiTheme="majorHAnsi" w:hAnsiTheme="majorHAnsi"/>
          <w:lang w:val="en-US"/>
        </w:rPr>
        <w:t xml:space="preserve">achieve legal rehabilitation at the same </w:t>
      </w:r>
      <w:r w:rsidRPr="004154A5">
        <w:rPr>
          <w:rFonts w:asciiTheme="majorHAnsi" w:hAnsiTheme="majorHAnsi"/>
          <w:lang w:val="en-US"/>
        </w:rPr>
        <w:lastRenderedPageBreak/>
        <w:t xml:space="preserve">time if no further convictions </w:t>
      </w:r>
      <w:r w:rsidR="007A6F36" w:rsidRPr="004154A5">
        <w:rPr>
          <w:rFonts w:asciiTheme="majorHAnsi" w:hAnsiTheme="majorHAnsi"/>
          <w:lang w:val="en-US"/>
        </w:rPr>
        <w:t>were</w:t>
      </w:r>
      <w:r w:rsidRPr="004154A5">
        <w:rPr>
          <w:rFonts w:asciiTheme="majorHAnsi" w:hAnsiTheme="majorHAnsi"/>
          <w:lang w:val="en-US"/>
        </w:rPr>
        <w:t xml:space="preserve"> acquired</w:t>
      </w:r>
      <w:r w:rsidR="003C2EC0" w:rsidRPr="004154A5">
        <w:rPr>
          <w:rFonts w:asciiTheme="majorHAnsi" w:hAnsiTheme="majorHAnsi"/>
          <w:lang w:val="en-US"/>
        </w:rPr>
        <w:t xml:space="preserve"> because ‘rehabilitation period</w:t>
      </w:r>
      <w:r w:rsidR="00841DEC" w:rsidRPr="004154A5">
        <w:rPr>
          <w:rFonts w:asciiTheme="majorHAnsi" w:hAnsiTheme="majorHAnsi"/>
          <w:lang w:val="en-US"/>
        </w:rPr>
        <w:t>s</w:t>
      </w:r>
      <w:r w:rsidR="003C2EC0" w:rsidRPr="004154A5">
        <w:rPr>
          <w:rFonts w:asciiTheme="majorHAnsi" w:hAnsiTheme="majorHAnsi"/>
          <w:lang w:val="en-US"/>
        </w:rPr>
        <w:t xml:space="preserve">’ </w:t>
      </w:r>
      <w:r w:rsidR="00841DEC" w:rsidRPr="004154A5">
        <w:rPr>
          <w:rFonts w:asciiTheme="majorHAnsi" w:hAnsiTheme="majorHAnsi"/>
          <w:lang w:val="en-US"/>
        </w:rPr>
        <w:t>are</w:t>
      </w:r>
      <w:r w:rsidR="003C2EC0" w:rsidRPr="004154A5">
        <w:rPr>
          <w:rFonts w:asciiTheme="majorHAnsi" w:hAnsiTheme="majorHAnsi"/>
          <w:lang w:val="en-US"/>
        </w:rPr>
        <w:t xml:space="preserve"> calculated from the sentence expiry date rather than point of release from custody</w:t>
      </w:r>
      <w:r w:rsidRPr="004154A5">
        <w:rPr>
          <w:rFonts w:asciiTheme="majorHAnsi" w:hAnsiTheme="majorHAnsi"/>
          <w:lang w:val="en-US"/>
        </w:rPr>
        <w:t xml:space="preserve">.  </w:t>
      </w:r>
      <w:r w:rsidR="003C2EC0" w:rsidRPr="004154A5">
        <w:rPr>
          <w:rFonts w:asciiTheme="majorHAnsi" w:hAnsiTheme="majorHAnsi"/>
          <w:lang w:val="en-US"/>
        </w:rPr>
        <w:t>Therefore, in the above</w:t>
      </w:r>
      <w:r w:rsidRPr="004154A5">
        <w:rPr>
          <w:rFonts w:asciiTheme="majorHAnsi" w:hAnsiTheme="majorHAnsi"/>
          <w:lang w:val="en-US"/>
        </w:rPr>
        <w:t xml:space="preserve"> example, the compliant individual </w:t>
      </w:r>
      <w:r w:rsidR="007A6F36" w:rsidRPr="004154A5">
        <w:rPr>
          <w:rFonts w:asciiTheme="majorHAnsi" w:hAnsiTheme="majorHAnsi"/>
          <w:lang w:val="en-US"/>
        </w:rPr>
        <w:t>would</w:t>
      </w:r>
      <w:r w:rsidRPr="004154A5">
        <w:rPr>
          <w:rFonts w:asciiTheme="majorHAnsi" w:hAnsiTheme="majorHAnsi"/>
          <w:lang w:val="en-US"/>
        </w:rPr>
        <w:t xml:space="preserve"> face potential discrimination in the community for </w:t>
      </w:r>
      <w:r w:rsidRPr="004154A5">
        <w:rPr>
          <w:rFonts w:asciiTheme="majorHAnsi" w:hAnsiTheme="majorHAnsi"/>
          <w:i/>
          <w:lang w:val="en-US"/>
        </w:rPr>
        <w:t>longer</w:t>
      </w:r>
      <w:r w:rsidRPr="004154A5">
        <w:rPr>
          <w:rFonts w:asciiTheme="majorHAnsi" w:hAnsiTheme="majorHAnsi"/>
          <w:lang w:val="en-US"/>
        </w:rPr>
        <w:t xml:space="preserve"> than the individual who serve</w:t>
      </w:r>
      <w:r w:rsidR="007A6F36" w:rsidRPr="004154A5">
        <w:rPr>
          <w:rFonts w:asciiTheme="majorHAnsi" w:hAnsiTheme="majorHAnsi"/>
          <w:lang w:val="en-US"/>
        </w:rPr>
        <w:t>d</w:t>
      </w:r>
      <w:r w:rsidRPr="004154A5">
        <w:rPr>
          <w:rFonts w:asciiTheme="majorHAnsi" w:hAnsiTheme="majorHAnsi"/>
          <w:lang w:val="en-US"/>
        </w:rPr>
        <w:t xml:space="preserve"> nearly their whole sentence in custody. </w:t>
      </w:r>
    </w:p>
    <w:p w:rsidR="00AC19CB" w:rsidRPr="004154A5" w:rsidRDefault="00E85E91" w:rsidP="00347A60">
      <w:pPr>
        <w:spacing w:after="0" w:line="360" w:lineRule="auto"/>
        <w:ind w:firstLine="720"/>
        <w:jc w:val="both"/>
        <w:rPr>
          <w:rFonts w:asciiTheme="majorHAnsi" w:hAnsiTheme="majorHAnsi"/>
          <w:b/>
        </w:rPr>
      </w:pPr>
      <w:r w:rsidRPr="004154A5">
        <w:rPr>
          <w:rFonts w:asciiTheme="majorHAnsi" w:hAnsiTheme="majorHAnsi"/>
          <w:lang w:val="en-US"/>
        </w:rPr>
        <w:t>The issue of former lawbreakers having to passively wait for legal rehabilitation to occur can be likened a sort of</w:t>
      </w:r>
      <w:r w:rsidR="004D267C" w:rsidRPr="004154A5">
        <w:rPr>
          <w:rFonts w:asciiTheme="majorHAnsi" w:hAnsiTheme="majorHAnsi"/>
          <w:lang w:val="en-US"/>
        </w:rPr>
        <w:t xml:space="preserve"> ‘civic purgatory</w:t>
      </w:r>
      <w:r w:rsidRPr="004154A5">
        <w:rPr>
          <w:rFonts w:asciiTheme="majorHAnsi" w:hAnsiTheme="majorHAnsi"/>
          <w:lang w:val="en-US"/>
        </w:rPr>
        <w:t>’ whereby a person may have served their sentence in full, but are not yet regarded as being entitled to equitable treatment with other citizens</w:t>
      </w:r>
      <w:r w:rsidR="00C26536" w:rsidRPr="004154A5">
        <w:rPr>
          <w:rFonts w:asciiTheme="majorHAnsi" w:hAnsiTheme="majorHAnsi"/>
          <w:lang w:val="en-US"/>
        </w:rPr>
        <w:t xml:space="preserve"> (</w:t>
      </w:r>
      <w:r w:rsidR="000C2E3F" w:rsidRPr="004154A5">
        <w:rPr>
          <w:rFonts w:asciiTheme="majorHAnsi" w:hAnsiTheme="majorHAnsi"/>
          <w:lang w:val="en-US"/>
        </w:rPr>
        <w:t>Henley 2017a; 2018</w:t>
      </w:r>
      <w:r w:rsidR="00C95ED1" w:rsidRPr="004154A5">
        <w:rPr>
          <w:rFonts w:asciiTheme="majorHAnsi" w:hAnsiTheme="majorHAnsi"/>
          <w:lang w:val="en-US"/>
        </w:rPr>
        <w:t>)</w:t>
      </w:r>
      <w:r w:rsidRPr="004154A5">
        <w:rPr>
          <w:rFonts w:asciiTheme="majorHAnsi" w:hAnsiTheme="majorHAnsi"/>
          <w:lang w:val="en-US"/>
        </w:rPr>
        <w:t>.  Indeed, as Larrauri (2014</w:t>
      </w:r>
      <w:r w:rsidR="00C26536" w:rsidRPr="004154A5">
        <w:rPr>
          <w:rFonts w:asciiTheme="majorHAnsi" w:hAnsiTheme="majorHAnsi"/>
          <w:lang w:val="en-US"/>
        </w:rPr>
        <w:t>b</w:t>
      </w:r>
      <w:r w:rsidRPr="004154A5">
        <w:rPr>
          <w:rFonts w:asciiTheme="majorHAnsi" w:hAnsiTheme="majorHAnsi"/>
          <w:lang w:val="en-US"/>
        </w:rPr>
        <w:t>) has noted, the ‘spent model’ of dealing with previous convictions</w:t>
      </w:r>
      <w:r w:rsidR="004D267C" w:rsidRPr="004154A5">
        <w:rPr>
          <w:rFonts w:asciiTheme="majorHAnsi" w:hAnsiTheme="majorHAnsi"/>
          <w:lang w:val="en-US"/>
        </w:rPr>
        <w:t xml:space="preserve"> accepts far too readily that people with convictions will be discriminated against </w:t>
      </w:r>
      <w:r w:rsidR="004D267C" w:rsidRPr="004154A5">
        <w:rPr>
          <w:rFonts w:asciiTheme="majorHAnsi" w:hAnsiTheme="majorHAnsi"/>
          <w:i/>
          <w:lang w:val="en-US"/>
        </w:rPr>
        <w:t>whilst they wait for their conviction to become spent</w:t>
      </w:r>
      <w:r w:rsidRPr="004154A5">
        <w:rPr>
          <w:rFonts w:asciiTheme="majorHAnsi" w:hAnsiTheme="majorHAnsi"/>
          <w:lang w:val="en-US"/>
        </w:rPr>
        <w:t xml:space="preserve">.  </w:t>
      </w:r>
      <w:r w:rsidR="007A6F36" w:rsidRPr="004154A5">
        <w:rPr>
          <w:rFonts w:asciiTheme="majorHAnsi" w:hAnsiTheme="majorHAnsi"/>
          <w:lang w:val="en-US"/>
        </w:rPr>
        <w:t xml:space="preserve">That is, people are most vulnerable to discrimination during the key period when they may be attempting to desist from offending. </w:t>
      </w:r>
      <w:r w:rsidRPr="004154A5">
        <w:rPr>
          <w:rFonts w:asciiTheme="majorHAnsi" w:hAnsiTheme="majorHAnsi"/>
          <w:lang w:val="en-US"/>
        </w:rPr>
        <w:t xml:space="preserve">Additionally, there is the issue that the ROA never allows any conviction resulting in a sentence of more than four years imprisonment, or any indeterminate prison term, to become spent regardless of future conduct. </w:t>
      </w:r>
      <w:r w:rsidR="00AD083B" w:rsidRPr="004154A5">
        <w:rPr>
          <w:rStyle w:val="FootnoteReference"/>
          <w:rFonts w:asciiTheme="majorHAnsi" w:hAnsiTheme="majorHAnsi"/>
          <w:lang w:val="en-US"/>
        </w:rPr>
        <w:footnoteReference w:id="2"/>
      </w:r>
      <w:r w:rsidRPr="004154A5">
        <w:rPr>
          <w:rFonts w:asciiTheme="majorHAnsi" w:hAnsiTheme="majorHAnsi"/>
          <w:lang w:val="en-US"/>
        </w:rPr>
        <w:t xml:space="preserve"> </w:t>
      </w:r>
    </w:p>
    <w:p w:rsidR="00FF2962" w:rsidRPr="004154A5" w:rsidRDefault="00F050B2" w:rsidP="00347A60">
      <w:pPr>
        <w:spacing w:after="0" w:line="360" w:lineRule="auto"/>
        <w:jc w:val="both"/>
        <w:rPr>
          <w:rFonts w:asciiTheme="majorHAnsi" w:hAnsiTheme="majorHAnsi"/>
          <w:b/>
        </w:rPr>
      </w:pPr>
      <w:r w:rsidRPr="004154A5">
        <w:rPr>
          <w:rFonts w:asciiTheme="majorHAnsi" w:hAnsiTheme="majorHAnsi"/>
          <w:b/>
        </w:rPr>
        <w:tab/>
      </w:r>
      <w:r w:rsidRPr="004154A5">
        <w:rPr>
          <w:rFonts w:asciiTheme="majorHAnsi" w:hAnsiTheme="majorHAnsi"/>
        </w:rPr>
        <w:t xml:space="preserve">In its green paper </w:t>
      </w:r>
      <w:r w:rsidRPr="004154A5">
        <w:rPr>
          <w:rFonts w:asciiTheme="majorHAnsi" w:hAnsiTheme="majorHAnsi"/>
          <w:i/>
        </w:rPr>
        <w:t>Breaking the Cycle: Effective Punishment, Rehabilitation and Sentencing of Offenders</w:t>
      </w:r>
      <w:r w:rsidRPr="004154A5">
        <w:rPr>
          <w:rFonts w:asciiTheme="majorHAnsi" w:hAnsiTheme="majorHAnsi"/>
        </w:rPr>
        <w:t xml:space="preserve"> (Ministry of Justice 2010) the </w:t>
      </w:r>
      <w:r w:rsidR="00FF2962" w:rsidRPr="004154A5">
        <w:rPr>
          <w:rFonts w:asciiTheme="majorHAnsi" w:hAnsiTheme="majorHAnsi"/>
        </w:rPr>
        <w:t>Conservative-Liberal Democrat c</w:t>
      </w:r>
      <w:r w:rsidRPr="004154A5">
        <w:rPr>
          <w:rFonts w:asciiTheme="majorHAnsi" w:hAnsiTheme="majorHAnsi"/>
        </w:rPr>
        <w:t xml:space="preserve">oalition </w:t>
      </w:r>
      <w:r w:rsidR="00FF2962" w:rsidRPr="004154A5">
        <w:rPr>
          <w:rFonts w:asciiTheme="majorHAnsi" w:hAnsiTheme="majorHAnsi"/>
        </w:rPr>
        <w:t>g</w:t>
      </w:r>
      <w:r w:rsidRPr="004154A5">
        <w:rPr>
          <w:rFonts w:asciiTheme="majorHAnsi" w:hAnsiTheme="majorHAnsi"/>
        </w:rPr>
        <w:t xml:space="preserve">overnment acknowledged many of the issues with the </w:t>
      </w:r>
      <w:r w:rsidR="00FF2962" w:rsidRPr="004154A5">
        <w:rPr>
          <w:rFonts w:asciiTheme="majorHAnsi" w:hAnsiTheme="majorHAnsi"/>
        </w:rPr>
        <w:t xml:space="preserve">UK’s </w:t>
      </w:r>
      <w:r w:rsidRPr="004154A5">
        <w:rPr>
          <w:rFonts w:asciiTheme="majorHAnsi" w:hAnsiTheme="majorHAnsi"/>
        </w:rPr>
        <w:t xml:space="preserve">current approach to criminal records.  However, despite </w:t>
      </w:r>
      <w:r w:rsidR="00FF2962" w:rsidRPr="004154A5">
        <w:rPr>
          <w:rFonts w:asciiTheme="majorHAnsi" w:hAnsiTheme="majorHAnsi"/>
        </w:rPr>
        <w:t xml:space="preserve">claiming to ‘want to reduce unnecessary obstacles to successful rehabilitation’ (p33) and </w:t>
      </w:r>
      <w:r w:rsidRPr="004154A5">
        <w:rPr>
          <w:rFonts w:asciiTheme="majorHAnsi" w:hAnsiTheme="majorHAnsi"/>
        </w:rPr>
        <w:t xml:space="preserve">inviting </w:t>
      </w:r>
      <w:r w:rsidR="00FF2962" w:rsidRPr="004154A5">
        <w:rPr>
          <w:rFonts w:asciiTheme="majorHAnsi" w:hAnsiTheme="majorHAnsi"/>
        </w:rPr>
        <w:t>‘</w:t>
      </w:r>
      <w:r w:rsidRPr="004154A5">
        <w:rPr>
          <w:rFonts w:asciiTheme="majorHAnsi" w:hAnsiTheme="majorHAnsi"/>
        </w:rPr>
        <w:t>ideas for more radical reform of the Rehabilitation of Offenders Act’</w:t>
      </w:r>
      <w:r w:rsidR="00FF2962" w:rsidRPr="004154A5">
        <w:rPr>
          <w:rFonts w:asciiTheme="majorHAnsi" w:hAnsiTheme="majorHAnsi"/>
        </w:rPr>
        <w:t xml:space="preserve"> (p34) the government ultimately failed</w:t>
      </w:r>
      <w:r w:rsidRPr="004154A5">
        <w:rPr>
          <w:rFonts w:asciiTheme="majorHAnsi" w:hAnsiTheme="majorHAnsi"/>
        </w:rPr>
        <w:t xml:space="preserve"> to address the fundamental </w:t>
      </w:r>
      <w:r w:rsidR="00FF2962" w:rsidRPr="004154A5">
        <w:rPr>
          <w:rFonts w:asciiTheme="majorHAnsi" w:hAnsiTheme="majorHAnsi"/>
        </w:rPr>
        <w:t xml:space="preserve">problems </w:t>
      </w:r>
      <w:r w:rsidRPr="004154A5">
        <w:rPr>
          <w:rFonts w:asciiTheme="majorHAnsi" w:hAnsiTheme="majorHAnsi"/>
        </w:rPr>
        <w:t xml:space="preserve">with the </w:t>
      </w:r>
      <w:r w:rsidR="00FF2962" w:rsidRPr="004154A5">
        <w:rPr>
          <w:rFonts w:asciiTheme="majorHAnsi" w:hAnsiTheme="majorHAnsi"/>
        </w:rPr>
        <w:t xml:space="preserve">‘spent model’ </w:t>
      </w:r>
      <w:r w:rsidR="00C6218F" w:rsidRPr="004154A5">
        <w:rPr>
          <w:rFonts w:asciiTheme="majorHAnsi" w:hAnsiTheme="majorHAnsi"/>
        </w:rPr>
        <w:t xml:space="preserve">of convictions </w:t>
      </w:r>
      <w:r w:rsidR="00FF2962" w:rsidRPr="004154A5">
        <w:rPr>
          <w:rFonts w:asciiTheme="majorHAnsi" w:hAnsiTheme="majorHAnsi"/>
        </w:rPr>
        <w:t>outlined above</w:t>
      </w:r>
      <w:r w:rsidR="00C6218F" w:rsidRPr="004154A5">
        <w:rPr>
          <w:rFonts w:asciiTheme="majorHAnsi" w:hAnsiTheme="majorHAnsi"/>
        </w:rPr>
        <w:t>.  Instead, as already discussed they</w:t>
      </w:r>
      <w:r w:rsidR="00FF2962" w:rsidRPr="004154A5">
        <w:rPr>
          <w:rFonts w:asciiTheme="majorHAnsi" w:hAnsiTheme="majorHAnsi"/>
        </w:rPr>
        <w:t xml:space="preserve"> merely </w:t>
      </w:r>
      <w:r w:rsidR="00755876" w:rsidRPr="004154A5">
        <w:rPr>
          <w:rFonts w:asciiTheme="majorHAnsi" w:hAnsiTheme="majorHAnsi"/>
        </w:rPr>
        <w:t>revised</w:t>
      </w:r>
      <w:r w:rsidR="00FF2962" w:rsidRPr="004154A5">
        <w:rPr>
          <w:rFonts w:asciiTheme="majorHAnsi" w:hAnsiTheme="majorHAnsi"/>
        </w:rPr>
        <w:t xml:space="preserve"> rehabilitation periods in the </w:t>
      </w:r>
      <w:r w:rsidR="00755876" w:rsidRPr="004154A5">
        <w:rPr>
          <w:rFonts w:asciiTheme="majorHAnsi" w:hAnsiTheme="majorHAnsi"/>
        </w:rPr>
        <w:t xml:space="preserve">existing </w:t>
      </w:r>
      <w:r w:rsidR="00FF2962" w:rsidRPr="004154A5">
        <w:rPr>
          <w:rFonts w:asciiTheme="majorHAnsi" w:hAnsiTheme="majorHAnsi"/>
        </w:rPr>
        <w:t xml:space="preserve">ROA resulting in the periods shown in Table 1 </w:t>
      </w:r>
      <w:r w:rsidR="00C6218F" w:rsidRPr="004154A5">
        <w:rPr>
          <w:rFonts w:asciiTheme="majorHAnsi" w:hAnsiTheme="majorHAnsi"/>
        </w:rPr>
        <w:t>(</w:t>
      </w:r>
      <w:r w:rsidR="00FF2962" w:rsidRPr="004154A5">
        <w:rPr>
          <w:rFonts w:asciiTheme="majorHAnsi" w:hAnsiTheme="majorHAnsi"/>
        </w:rPr>
        <w:t xml:space="preserve">above).  </w:t>
      </w:r>
      <w:r w:rsidR="00CB4672" w:rsidRPr="004154A5">
        <w:rPr>
          <w:rFonts w:asciiTheme="majorHAnsi" w:hAnsiTheme="majorHAnsi"/>
        </w:rPr>
        <w:t xml:space="preserve">Whilst these shortened the </w:t>
      </w:r>
      <w:r w:rsidR="00C6218F" w:rsidRPr="004154A5">
        <w:rPr>
          <w:rFonts w:asciiTheme="majorHAnsi" w:hAnsiTheme="majorHAnsi"/>
        </w:rPr>
        <w:t>waiting time</w:t>
      </w:r>
      <w:r w:rsidR="00755876" w:rsidRPr="004154A5">
        <w:rPr>
          <w:rFonts w:asciiTheme="majorHAnsi" w:hAnsiTheme="majorHAnsi"/>
        </w:rPr>
        <w:t xml:space="preserve"> required</w:t>
      </w:r>
      <w:r w:rsidR="00C6218F" w:rsidRPr="004154A5">
        <w:rPr>
          <w:rFonts w:asciiTheme="majorHAnsi" w:hAnsiTheme="majorHAnsi"/>
        </w:rPr>
        <w:t xml:space="preserve"> to achieve legal rehabilitation</w:t>
      </w:r>
      <w:r w:rsidR="00CB4672" w:rsidRPr="004154A5">
        <w:rPr>
          <w:rFonts w:asciiTheme="majorHAnsi" w:hAnsiTheme="majorHAnsi"/>
        </w:rPr>
        <w:t xml:space="preserve"> in most cases, they retained the idea that certain individuals could </w:t>
      </w:r>
      <w:r w:rsidR="00CB4672" w:rsidRPr="004154A5">
        <w:rPr>
          <w:rFonts w:asciiTheme="majorHAnsi" w:hAnsiTheme="majorHAnsi"/>
          <w:i/>
        </w:rPr>
        <w:t>never be legally rehabilitated</w:t>
      </w:r>
      <w:r w:rsidR="00CB4672" w:rsidRPr="004154A5">
        <w:rPr>
          <w:rFonts w:asciiTheme="majorHAnsi" w:hAnsiTheme="majorHAnsi"/>
        </w:rPr>
        <w:t xml:space="preserve">. </w:t>
      </w:r>
      <w:r w:rsidR="00CB4672" w:rsidRPr="004154A5">
        <w:rPr>
          <w:rFonts w:asciiTheme="majorHAnsi" w:hAnsiTheme="majorHAnsi"/>
          <w:b/>
        </w:rPr>
        <w:t xml:space="preserve"> </w:t>
      </w:r>
      <w:r w:rsidR="00FF2962" w:rsidRPr="004154A5">
        <w:rPr>
          <w:rFonts w:asciiTheme="majorHAnsi" w:hAnsiTheme="majorHAnsi"/>
        </w:rPr>
        <w:t>These amendments took effect on 10</w:t>
      </w:r>
      <w:r w:rsidR="00FF2962" w:rsidRPr="004154A5">
        <w:rPr>
          <w:rFonts w:asciiTheme="majorHAnsi" w:hAnsiTheme="majorHAnsi"/>
          <w:vertAlign w:val="superscript"/>
        </w:rPr>
        <w:t>th</w:t>
      </w:r>
      <w:r w:rsidR="00FF2962" w:rsidRPr="004154A5">
        <w:rPr>
          <w:rFonts w:asciiTheme="majorHAnsi" w:hAnsiTheme="majorHAnsi"/>
        </w:rPr>
        <w:t xml:space="preserve"> March 2014 just </w:t>
      </w:r>
      <w:r w:rsidR="004D267C" w:rsidRPr="004154A5">
        <w:rPr>
          <w:rFonts w:asciiTheme="majorHAnsi" w:hAnsiTheme="majorHAnsi"/>
          <w:i/>
        </w:rPr>
        <w:t>three days</w:t>
      </w:r>
      <w:r w:rsidR="004D267C" w:rsidRPr="004154A5">
        <w:rPr>
          <w:rFonts w:asciiTheme="majorHAnsi" w:hAnsiTheme="majorHAnsi"/>
        </w:rPr>
        <w:t xml:space="preserve"> </w:t>
      </w:r>
      <w:r w:rsidR="00FF2962" w:rsidRPr="004154A5">
        <w:rPr>
          <w:rFonts w:asciiTheme="majorHAnsi" w:hAnsiTheme="majorHAnsi"/>
        </w:rPr>
        <w:t>before the Royal Assent of another piece of legislation which was ostensibly concerned with furthering the cause of rehabilitati</w:t>
      </w:r>
      <w:r w:rsidR="00C6218F" w:rsidRPr="004154A5">
        <w:rPr>
          <w:rFonts w:asciiTheme="majorHAnsi" w:hAnsiTheme="majorHAnsi"/>
        </w:rPr>
        <w:t>ng</w:t>
      </w:r>
      <w:r w:rsidR="00FF2962" w:rsidRPr="004154A5">
        <w:rPr>
          <w:rFonts w:asciiTheme="majorHAnsi" w:hAnsiTheme="majorHAnsi"/>
        </w:rPr>
        <w:t xml:space="preserve"> </w:t>
      </w:r>
      <w:r w:rsidR="00C6218F" w:rsidRPr="004154A5">
        <w:rPr>
          <w:rFonts w:asciiTheme="majorHAnsi" w:hAnsiTheme="majorHAnsi"/>
        </w:rPr>
        <w:t>lawbreakers</w:t>
      </w:r>
      <w:r w:rsidR="00FF2962" w:rsidRPr="004154A5">
        <w:rPr>
          <w:rFonts w:asciiTheme="majorHAnsi" w:hAnsiTheme="majorHAnsi"/>
        </w:rPr>
        <w:t>.</w:t>
      </w:r>
    </w:p>
    <w:p w:rsidR="00CB4672" w:rsidRPr="004154A5" w:rsidRDefault="00CB4672" w:rsidP="00347A60">
      <w:pPr>
        <w:spacing w:after="0" w:line="360" w:lineRule="auto"/>
        <w:rPr>
          <w:rFonts w:asciiTheme="majorHAnsi" w:hAnsiTheme="majorHAnsi"/>
          <w:b/>
        </w:rPr>
      </w:pPr>
    </w:p>
    <w:p w:rsidR="00C06077" w:rsidRPr="004154A5" w:rsidRDefault="00C06077" w:rsidP="00347A60">
      <w:pPr>
        <w:spacing w:after="0" w:line="360" w:lineRule="auto"/>
        <w:rPr>
          <w:rFonts w:asciiTheme="majorHAnsi" w:hAnsiTheme="majorHAnsi"/>
          <w:i/>
          <w:sz w:val="24"/>
        </w:rPr>
      </w:pPr>
      <w:r w:rsidRPr="004154A5">
        <w:rPr>
          <w:rFonts w:asciiTheme="majorHAnsi" w:hAnsiTheme="majorHAnsi"/>
          <w:i/>
          <w:sz w:val="24"/>
        </w:rPr>
        <w:t>The Offender Rehabilitation Act 2014</w:t>
      </w:r>
    </w:p>
    <w:p w:rsidR="00C06077" w:rsidRPr="004154A5" w:rsidRDefault="00C06077" w:rsidP="00347A60">
      <w:pPr>
        <w:spacing w:after="0" w:line="360" w:lineRule="auto"/>
        <w:rPr>
          <w:rFonts w:asciiTheme="majorHAnsi" w:hAnsiTheme="majorHAnsi"/>
          <w:b/>
        </w:rPr>
      </w:pPr>
    </w:p>
    <w:p w:rsidR="006A7DAE" w:rsidRPr="004154A5" w:rsidRDefault="004F2F0F" w:rsidP="00347A60">
      <w:pPr>
        <w:spacing w:after="0" w:line="360" w:lineRule="auto"/>
        <w:jc w:val="both"/>
        <w:rPr>
          <w:rFonts w:asciiTheme="majorHAnsi" w:hAnsiTheme="majorHAnsi"/>
        </w:rPr>
      </w:pPr>
      <w:r w:rsidRPr="004154A5">
        <w:rPr>
          <w:rFonts w:asciiTheme="majorHAnsi" w:hAnsiTheme="majorHAnsi"/>
        </w:rPr>
        <w:lastRenderedPageBreak/>
        <w:t xml:space="preserve">The Offender Rehabilitation Act 2014 (ORA) was vaunted by former Conservative Justice Secretary Chris Grayling as a key milestone in the ‘rehabilitation revolution’ which the </w:t>
      </w:r>
      <w:r w:rsidRPr="004154A5">
        <w:rPr>
          <w:rFonts w:asciiTheme="majorHAnsi" w:hAnsiTheme="majorHAnsi"/>
          <w:i/>
        </w:rPr>
        <w:t>Breaking the Cycle</w:t>
      </w:r>
      <w:r w:rsidRPr="004154A5">
        <w:rPr>
          <w:rFonts w:asciiTheme="majorHAnsi" w:hAnsiTheme="majorHAnsi"/>
        </w:rPr>
        <w:t xml:space="preserve"> green paper had promised.  In the months prior to the introduction of this legislation into parliament, </w:t>
      </w:r>
      <w:r w:rsidR="000F7532" w:rsidRPr="004154A5">
        <w:rPr>
          <w:rFonts w:asciiTheme="majorHAnsi" w:hAnsiTheme="majorHAnsi"/>
        </w:rPr>
        <w:t>the Ministry of Justice (2012)</w:t>
      </w:r>
      <w:r w:rsidRPr="004154A5">
        <w:rPr>
          <w:rFonts w:asciiTheme="majorHAnsi" w:hAnsiTheme="majorHAnsi"/>
        </w:rPr>
        <w:t xml:space="preserve"> announced that reforms would </w:t>
      </w:r>
      <w:r w:rsidR="007D3223" w:rsidRPr="004154A5">
        <w:rPr>
          <w:rFonts w:asciiTheme="majorHAnsi" w:hAnsiTheme="majorHAnsi"/>
        </w:rPr>
        <w:t>make use of</w:t>
      </w:r>
      <w:r w:rsidR="001F4C90" w:rsidRPr="004154A5">
        <w:rPr>
          <w:rFonts w:asciiTheme="majorHAnsi" w:hAnsiTheme="majorHAnsi"/>
        </w:rPr>
        <w:t xml:space="preserve"> ‘greater</w:t>
      </w:r>
      <w:r w:rsidR="007D3223" w:rsidRPr="004154A5">
        <w:rPr>
          <w:rFonts w:asciiTheme="majorHAnsi" w:hAnsiTheme="majorHAnsi"/>
        </w:rPr>
        <w:t xml:space="preserve"> </w:t>
      </w:r>
      <w:r w:rsidR="001F4C90" w:rsidRPr="004154A5">
        <w:rPr>
          <w:rFonts w:asciiTheme="majorHAnsi" w:hAnsiTheme="majorHAnsi"/>
        </w:rPr>
        <w:t>competition</w:t>
      </w:r>
      <w:r w:rsidR="007D3223" w:rsidRPr="004154A5">
        <w:rPr>
          <w:rFonts w:asciiTheme="majorHAnsi" w:hAnsiTheme="majorHAnsi"/>
        </w:rPr>
        <w:t xml:space="preserve"> to drive value</w:t>
      </w:r>
      <w:r w:rsidR="001F4C90" w:rsidRPr="004154A5">
        <w:rPr>
          <w:rFonts w:asciiTheme="majorHAnsi" w:hAnsiTheme="majorHAnsi"/>
        </w:rPr>
        <w:t xml:space="preserve">’ with a ‘greater role for the private and voluntary sectors’ </w:t>
      </w:r>
      <w:r w:rsidR="007D3223" w:rsidRPr="004154A5">
        <w:rPr>
          <w:rFonts w:asciiTheme="majorHAnsi" w:hAnsiTheme="majorHAnsi"/>
        </w:rPr>
        <w:t xml:space="preserve">in order to tackle perennially high rates of re-offending and thus provide savings to the Treasury.  This </w:t>
      </w:r>
      <w:r w:rsidR="001F4C90" w:rsidRPr="004154A5">
        <w:rPr>
          <w:rFonts w:asciiTheme="majorHAnsi" w:hAnsiTheme="majorHAnsi"/>
        </w:rPr>
        <w:t xml:space="preserve">occurred within the context of </w:t>
      </w:r>
      <w:r w:rsidR="007D3223" w:rsidRPr="004154A5">
        <w:rPr>
          <w:rFonts w:asciiTheme="majorHAnsi" w:hAnsiTheme="majorHAnsi"/>
        </w:rPr>
        <w:t xml:space="preserve">a prolonged period of economic austerity in the wake of the Global Financial Crisis of 2008.  However, the widespread marketization of criminal justice in England and Wales (involving not only offender supervision, but also prisons and resettlement services) </w:t>
      </w:r>
      <w:r w:rsidR="008F030C" w:rsidRPr="004154A5">
        <w:rPr>
          <w:rFonts w:asciiTheme="majorHAnsi" w:hAnsiTheme="majorHAnsi"/>
        </w:rPr>
        <w:t>wa</w:t>
      </w:r>
      <w:r w:rsidR="007D3223" w:rsidRPr="004154A5">
        <w:rPr>
          <w:rFonts w:asciiTheme="majorHAnsi" w:hAnsiTheme="majorHAnsi"/>
        </w:rPr>
        <w:t>s a longer-standing phenomena i</w:t>
      </w:r>
      <w:r w:rsidR="002F0FEA" w:rsidRPr="004154A5">
        <w:rPr>
          <w:rFonts w:asciiTheme="majorHAnsi" w:hAnsiTheme="majorHAnsi"/>
        </w:rPr>
        <w:t>nvolving both New Labour and coalition governments</w:t>
      </w:r>
      <w:r w:rsidR="007D3223" w:rsidRPr="004154A5">
        <w:rPr>
          <w:rFonts w:asciiTheme="majorHAnsi" w:hAnsiTheme="majorHAnsi"/>
        </w:rPr>
        <w:t xml:space="preserve"> </w:t>
      </w:r>
      <w:r w:rsidR="001F4C90" w:rsidRPr="004154A5">
        <w:rPr>
          <w:rFonts w:asciiTheme="majorHAnsi" w:hAnsiTheme="majorHAnsi"/>
        </w:rPr>
        <w:t>(for a discussion</w:t>
      </w:r>
      <w:r w:rsidR="00C571EA" w:rsidRPr="004154A5">
        <w:rPr>
          <w:rFonts w:asciiTheme="majorHAnsi" w:hAnsiTheme="majorHAnsi"/>
        </w:rPr>
        <w:t>,</w:t>
      </w:r>
      <w:r w:rsidR="001F4C90" w:rsidRPr="004154A5">
        <w:rPr>
          <w:rFonts w:asciiTheme="majorHAnsi" w:hAnsiTheme="majorHAnsi"/>
        </w:rPr>
        <w:t xml:space="preserve"> </w:t>
      </w:r>
      <w:r w:rsidR="000F7532" w:rsidRPr="004154A5">
        <w:rPr>
          <w:rFonts w:asciiTheme="majorHAnsi" w:hAnsiTheme="majorHAnsi"/>
        </w:rPr>
        <w:t>see Corcoran 2014).</w:t>
      </w:r>
      <w:r w:rsidR="001F4C90" w:rsidRPr="004154A5">
        <w:rPr>
          <w:rFonts w:asciiTheme="majorHAnsi" w:hAnsiTheme="majorHAnsi"/>
        </w:rPr>
        <w:t xml:space="preserve">   </w:t>
      </w:r>
    </w:p>
    <w:p w:rsidR="00CF5D32" w:rsidRPr="004154A5" w:rsidRDefault="001F4C90" w:rsidP="00347A60">
      <w:pPr>
        <w:spacing w:after="0" w:line="360" w:lineRule="auto"/>
        <w:ind w:firstLine="720"/>
        <w:jc w:val="both"/>
        <w:rPr>
          <w:rFonts w:asciiTheme="majorHAnsi" w:hAnsiTheme="majorHAnsi"/>
        </w:rPr>
      </w:pPr>
      <w:r w:rsidRPr="004154A5">
        <w:rPr>
          <w:rFonts w:asciiTheme="majorHAnsi" w:hAnsiTheme="majorHAnsi"/>
        </w:rPr>
        <w:t>Amidst much concern and criticism (see</w:t>
      </w:r>
      <w:r w:rsidR="00F67DE0" w:rsidRPr="004154A5">
        <w:rPr>
          <w:rFonts w:asciiTheme="majorHAnsi" w:hAnsiTheme="majorHAnsi"/>
        </w:rPr>
        <w:t>, for instance, McNeill 2013</w:t>
      </w:r>
      <w:r w:rsidR="00345B61" w:rsidRPr="004154A5">
        <w:rPr>
          <w:rFonts w:asciiTheme="majorHAnsi" w:hAnsiTheme="majorHAnsi"/>
        </w:rPr>
        <w:t>; Gilbert 2013; Calder and Goodman 2013</w:t>
      </w:r>
      <w:r w:rsidRPr="004154A5">
        <w:rPr>
          <w:rFonts w:asciiTheme="majorHAnsi" w:hAnsiTheme="majorHAnsi"/>
        </w:rPr>
        <w:t xml:space="preserve">) the ORA </w:t>
      </w:r>
      <w:r w:rsidR="002F0FEA" w:rsidRPr="004154A5">
        <w:rPr>
          <w:rFonts w:asciiTheme="majorHAnsi" w:hAnsiTheme="majorHAnsi"/>
        </w:rPr>
        <w:t>introduced measures aimed at</w:t>
      </w:r>
      <w:r w:rsidRPr="004154A5">
        <w:rPr>
          <w:rFonts w:asciiTheme="majorHAnsi" w:hAnsiTheme="majorHAnsi"/>
        </w:rPr>
        <w:t xml:space="preserve"> ‘</w:t>
      </w:r>
      <w:r w:rsidR="002F0FEA" w:rsidRPr="004154A5">
        <w:rPr>
          <w:rFonts w:asciiTheme="majorHAnsi" w:hAnsiTheme="majorHAnsi"/>
        </w:rPr>
        <w:t>addressing the gap in the criminal justice system where those serving under 12 months are released with no supervision or support</w:t>
      </w:r>
      <w:r w:rsidRPr="004154A5">
        <w:rPr>
          <w:rFonts w:asciiTheme="majorHAnsi" w:hAnsiTheme="majorHAnsi"/>
        </w:rPr>
        <w:t>’</w:t>
      </w:r>
      <w:r w:rsidR="002F0FEA" w:rsidRPr="004154A5">
        <w:rPr>
          <w:rFonts w:asciiTheme="majorHAnsi" w:hAnsiTheme="majorHAnsi"/>
        </w:rPr>
        <w:t xml:space="preserve"> (Ministry of Justice 2012).</w:t>
      </w:r>
      <w:r w:rsidRPr="004154A5">
        <w:rPr>
          <w:rFonts w:asciiTheme="majorHAnsi" w:hAnsiTheme="majorHAnsi"/>
        </w:rPr>
        <w:t xml:space="preserve"> </w:t>
      </w:r>
      <w:r w:rsidR="002F0FEA" w:rsidRPr="004154A5">
        <w:rPr>
          <w:rFonts w:asciiTheme="majorHAnsi" w:hAnsiTheme="majorHAnsi"/>
        </w:rPr>
        <w:t xml:space="preserve">The government’s promotion of the ORA as a measure to tackle re-offending on the grounds of this ‘gap’ was </w:t>
      </w:r>
      <w:r w:rsidR="007D3223" w:rsidRPr="004154A5">
        <w:rPr>
          <w:rFonts w:asciiTheme="majorHAnsi" w:hAnsiTheme="majorHAnsi"/>
        </w:rPr>
        <w:t>a controversial point, not</w:t>
      </w:r>
      <w:r w:rsidR="002F0FEA" w:rsidRPr="004154A5">
        <w:rPr>
          <w:rFonts w:asciiTheme="majorHAnsi" w:hAnsiTheme="majorHAnsi"/>
        </w:rPr>
        <w:t xml:space="preserve"> least because </w:t>
      </w:r>
      <w:r w:rsidR="007D3223" w:rsidRPr="004154A5">
        <w:rPr>
          <w:rFonts w:asciiTheme="majorHAnsi" w:hAnsiTheme="majorHAnsi"/>
        </w:rPr>
        <w:t>public sector probation service</w:t>
      </w:r>
      <w:r w:rsidR="002F0FEA" w:rsidRPr="004154A5">
        <w:rPr>
          <w:rFonts w:asciiTheme="majorHAnsi" w:hAnsiTheme="majorHAnsi"/>
        </w:rPr>
        <w:t>s</w:t>
      </w:r>
      <w:r w:rsidR="007D3223" w:rsidRPr="004154A5">
        <w:rPr>
          <w:rFonts w:asciiTheme="majorHAnsi" w:hAnsiTheme="majorHAnsi"/>
        </w:rPr>
        <w:t xml:space="preserve"> had hitherto </w:t>
      </w:r>
      <w:r w:rsidR="002F0FEA" w:rsidRPr="004154A5">
        <w:rPr>
          <w:rFonts w:asciiTheme="majorHAnsi" w:hAnsiTheme="majorHAnsi"/>
        </w:rPr>
        <w:t>been given no statutory responsibility to provide supervision in such cases.</w:t>
      </w:r>
      <w:r w:rsidR="00755876" w:rsidRPr="004154A5">
        <w:rPr>
          <w:rFonts w:asciiTheme="majorHAnsi" w:hAnsiTheme="majorHAnsi"/>
        </w:rPr>
        <w:t xml:space="preserve">  </w:t>
      </w:r>
      <w:r w:rsidR="00932C51" w:rsidRPr="004154A5">
        <w:rPr>
          <w:rFonts w:asciiTheme="majorHAnsi" w:hAnsiTheme="majorHAnsi"/>
        </w:rPr>
        <w:t xml:space="preserve">The ORA </w:t>
      </w:r>
      <w:r w:rsidR="004D267C" w:rsidRPr="004154A5">
        <w:rPr>
          <w:rFonts w:asciiTheme="majorHAnsi" w:hAnsiTheme="majorHAnsi"/>
        </w:rPr>
        <w:t xml:space="preserve">introduced a mandatory </w:t>
      </w:r>
      <w:r w:rsidR="00932C51" w:rsidRPr="004154A5">
        <w:rPr>
          <w:rFonts w:asciiTheme="majorHAnsi" w:hAnsiTheme="majorHAnsi"/>
        </w:rPr>
        <w:t xml:space="preserve">minimum </w:t>
      </w:r>
      <w:r w:rsidR="004D267C" w:rsidRPr="004154A5">
        <w:rPr>
          <w:rFonts w:asciiTheme="majorHAnsi" w:hAnsiTheme="majorHAnsi"/>
        </w:rPr>
        <w:t>twelve month period of</w:t>
      </w:r>
      <w:r w:rsidR="00932C51" w:rsidRPr="004154A5">
        <w:rPr>
          <w:rFonts w:asciiTheme="majorHAnsi" w:hAnsiTheme="majorHAnsi"/>
        </w:rPr>
        <w:t xml:space="preserve"> </w:t>
      </w:r>
      <w:r w:rsidR="004D267C" w:rsidRPr="004154A5">
        <w:rPr>
          <w:rFonts w:asciiTheme="majorHAnsi" w:hAnsiTheme="majorHAnsi"/>
        </w:rPr>
        <w:t xml:space="preserve">supervision for </w:t>
      </w:r>
      <w:r w:rsidR="004D267C" w:rsidRPr="004154A5">
        <w:rPr>
          <w:rFonts w:asciiTheme="majorHAnsi" w:hAnsiTheme="majorHAnsi"/>
          <w:i/>
        </w:rPr>
        <w:t xml:space="preserve">all </w:t>
      </w:r>
      <w:r w:rsidR="004D267C" w:rsidRPr="004154A5">
        <w:rPr>
          <w:rFonts w:asciiTheme="majorHAnsi" w:hAnsiTheme="majorHAnsi"/>
        </w:rPr>
        <w:t>people sentenced to custody</w:t>
      </w:r>
      <w:r w:rsidR="00841DEC" w:rsidRPr="004154A5">
        <w:rPr>
          <w:rFonts w:asciiTheme="majorHAnsi" w:hAnsiTheme="majorHAnsi"/>
        </w:rPr>
        <w:t>,</w:t>
      </w:r>
      <w:r w:rsidR="00CF5D32" w:rsidRPr="004154A5">
        <w:rPr>
          <w:rFonts w:asciiTheme="majorHAnsi" w:hAnsiTheme="majorHAnsi"/>
        </w:rPr>
        <w:t xml:space="preserve"> </w:t>
      </w:r>
      <w:r w:rsidR="00841DEC" w:rsidRPr="004154A5">
        <w:rPr>
          <w:rFonts w:asciiTheme="majorHAnsi" w:hAnsiTheme="majorHAnsi"/>
        </w:rPr>
        <w:t xml:space="preserve">often </w:t>
      </w:r>
      <w:r w:rsidR="00CF5D32" w:rsidRPr="004154A5">
        <w:rPr>
          <w:rFonts w:asciiTheme="majorHAnsi" w:hAnsiTheme="majorHAnsi"/>
        </w:rPr>
        <w:t>delivered by 21 new Community Rehabilitation Companies (CRCs)</w:t>
      </w:r>
      <w:r w:rsidR="00841DEC" w:rsidRPr="004154A5">
        <w:rPr>
          <w:rFonts w:asciiTheme="majorHAnsi" w:hAnsiTheme="majorHAnsi"/>
        </w:rPr>
        <w:t>.  These were</w:t>
      </w:r>
      <w:r w:rsidR="0071178B" w:rsidRPr="004154A5">
        <w:rPr>
          <w:rFonts w:asciiTheme="majorHAnsi" w:hAnsiTheme="majorHAnsi"/>
        </w:rPr>
        <w:t xml:space="preserve"> formed </w:t>
      </w:r>
      <w:r w:rsidR="00841DEC" w:rsidRPr="004154A5">
        <w:rPr>
          <w:rFonts w:asciiTheme="majorHAnsi" w:hAnsiTheme="majorHAnsi"/>
        </w:rPr>
        <w:t>by</w:t>
      </w:r>
      <w:r w:rsidR="0071178B" w:rsidRPr="004154A5">
        <w:rPr>
          <w:rFonts w:asciiTheme="majorHAnsi" w:hAnsiTheme="majorHAnsi"/>
        </w:rPr>
        <w:t xml:space="preserve"> partnerships between</w:t>
      </w:r>
      <w:r w:rsidR="00CF5D32" w:rsidRPr="004154A5">
        <w:rPr>
          <w:rFonts w:asciiTheme="majorHAnsi" w:hAnsiTheme="majorHAnsi"/>
        </w:rPr>
        <w:t xml:space="preserve"> private sector </w:t>
      </w:r>
      <w:r w:rsidR="005F4D6D" w:rsidRPr="004154A5">
        <w:rPr>
          <w:rFonts w:asciiTheme="majorHAnsi" w:hAnsiTheme="majorHAnsi"/>
        </w:rPr>
        <w:t xml:space="preserve">organisations </w:t>
      </w:r>
      <w:r w:rsidR="0071178B" w:rsidRPr="004154A5">
        <w:rPr>
          <w:rFonts w:asciiTheme="majorHAnsi" w:hAnsiTheme="majorHAnsi"/>
        </w:rPr>
        <w:t>such as</w:t>
      </w:r>
      <w:r w:rsidR="005F4D6D" w:rsidRPr="004154A5">
        <w:rPr>
          <w:rFonts w:asciiTheme="majorHAnsi" w:hAnsiTheme="majorHAnsi"/>
        </w:rPr>
        <w:t xml:space="preserve"> Sodexo, Amey, Interserve</w:t>
      </w:r>
      <w:r w:rsidR="0071178B" w:rsidRPr="004154A5">
        <w:rPr>
          <w:rFonts w:asciiTheme="majorHAnsi" w:hAnsiTheme="majorHAnsi"/>
        </w:rPr>
        <w:t xml:space="preserve"> and</w:t>
      </w:r>
      <w:r w:rsidR="005F4D6D" w:rsidRPr="004154A5">
        <w:rPr>
          <w:rFonts w:asciiTheme="majorHAnsi" w:hAnsiTheme="majorHAnsi"/>
        </w:rPr>
        <w:t xml:space="preserve"> </w:t>
      </w:r>
      <w:r w:rsidR="0071178B" w:rsidRPr="004154A5">
        <w:rPr>
          <w:rFonts w:asciiTheme="majorHAnsi" w:hAnsiTheme="majorHAnsi"/>
        </w:rPr>
        <w:t>Ingeus UK</w:t>
      </w:r>
      <w:r w:rsidR="005F4D6D" w:rsidRPr="004154A5">
        <w:rPr>
          <w:rFonts w:asciiTheme="majorHAnsi" w:hAnsiTheme="majorHAnsi"/>
        </w:rPr>
        <w:t xml:space="preserve"> and charities </w:t>
      </w:r>
      <w:r w:rsidR="0071178B" w:rsidRPr="004154A5">
        <w:rPr>
          <w:rFonts w:asciiTheme="majorHAnsi" w:hAnsiTheme="majorHAnsi"/>
        </w:rPr>
        <w:t>such as</w:t>
      </w:r>
      <w:r w:rsidR="005F4D6D" w:rsidRPr="004154A5">
        <w:rPr>
          <w:rFonts w:asciiTheme="majorHAnsi" w:hAnsiTheme="majorHAnsi"/>
        </w:rPr>
        <w:t xml:space="preserve"> Nacro, </w:t>
      </w:r>
      <w:r w:rsidR="00841DEC" w:rsidRPr="004154A5">
        <w:rPr>
          <w:rFonts w:asciiTheme="majorHAnsi" w:hAnsiTheme="majorHAnsi"/>
        </w:rPr>
        <w:t>the St. Giles Trust and</w:t>
      </w:r>
      <w:r w:rsidR="005F4D6D" w:rsidRPr="004154A5">
        <w:rPr>
          <w:rFonts w:asciiTheme="majorHAnsi" w:hAnsiTheme="majorHAnsi"/>
        </w:rPr>
        <w:t xml:space="preserve"> Shelter</w:t>
      </w:r>
      <w:r w:rsidR="0071178B" w:rsidRPr="004154A5">
        <w:rPr>
          <w:rFonts w:asciiTheme="majorHAnsi" w:hAnsiTheme="majorHAnsi"/>
        </w:rPr>
        <w:t xml:space="preserve">.   As well as working with an estimated 50,000 </w:t>
      </w:r>
      <w:r w:rsidR="00A55922" w:rsidRPr="004154A5">
        <w:rPr>
          <w:rFonts w:asciiTheme="majorHAnsi" w:hAnsiTheme="majorHAnsi"/>
        </w:rPr>
        <w:t xml:space="preserve">additional </w:t>
      </w:r>
      <w:r w:rsidR="0071178B" w:rsidRPr="004154A5">
        <w:rPr>
          <w:rFonts w:asciiTheme="majorHAnsi" w:hAnsiTheme="majorHAnsi"/>
        </w:rPr>
        <w:t>short-term prisoners per year subject to</w:t>
      </w:r>
      <w:r w:rsidR="00A55922" w:rsidRPr="004154A5">
        <w:rPr>
          <w:rFonts w:asciiTheme="majorHAnsi" w:hAnsiTheme="majorHAnsi"/>
        </w:rPr>
        <w:t xml:space="preserve"> the new mandatory supervision arrangements, it was planned that the</w:t>
      </w:r>
      <w:r w:rsidR="0071178B" w:rsidRPr="004154A5">
        <w:rPr>
          <w:rFonts w:asciiTheme="majorHAnsi" w:hAnsiTheme="majorHAnsi"/>
        </w:rPr>
        <w:t xml:space="preserve"> CRCs</w:t>
      </w:r>
      <w:r w:rsidR="00A55922" w:rsidRPr="004154A5">
        <w:rPr>
          <w:rFonts w:asciiTheme="majorHAnsi" w:hAnsiTheme="majorHAnsi"/>
        </w:rPr>
        <w:t xml:space="preserve"> would take responsibility for approximately 70 per cent of the resettlement functions previously undertaken by the public probation service.  Under the ORA, management of the remaining ‘high risk’ cases (including those subject to MAPPA supervision) and duties such as court reports, parole assessments, management of approved premises and victim liaison work fell to the new National Probation Service, founded after the abolition of existing regional probation trusts in 2013.</w:t>
      </w:r>
    </w:p>
    <w:p w:rsidR="006B1F33" w:rsidRPr="004154A5" w:rsidRDefault="00A55922" w:rsidP="00347A60">
      <w:pPr>
        <w:spacing w:after="0" w:line="360" w:lineRule="auto"/>
        <w:ind w:firstLine="720"/>
        <w:jc w:val="both"/>
        <w:rPr>
          <w:rFonts w:asciiTheme="majorHAnsi" w:hAnsiTheme="majorHAnsi"/>
        </w:rPr>
      </w:pPr>
      <w:r w:rsidRPr="004154A5">
        <w:rPr>
          <w:rFonts w:asciiTheme="majorHAnsi" w:hAnsiTheme="majorHAnsi"/>
        </w:rPr>
        <w:t>Whilst s</w:t>
      </w:r>
      <w:r w:rsidR="00CF5D32" w:rsidRPr="004154A5">
        <w:rPr>
          <w:rFonts w:asciiTheme="majorHAnsi" w:hAnsiTheme="majorHAnsi"/>
        </w:rPr>
        <w:t xml:space="preserve">ection 2 of the </w:t>
      </w:r>
      <w:r w:rsidRPr="004154A5">
        <w:rPr>
          <w:rFonts w:asciiTheme="majorHAnsi" w:hAnsiTheme="majorHAnsi"/>
        </w:rPr>
        <w:t>ORA stated</w:t>
      </w:r>
      <w:r w:rsidR="00CF5D32" w:rsidRPr="004154A5">
        <w:rPr>
          <w:rFonts w:asciiTheme="majorHAnsi" w:hAnsiTheme="majorHAnsi"/>
        </w:rPr>
        <w:t xml:space="preserve"> that: ‘The purpose of the supervision period is the rehabilitation of the offender’</w:t>
      </w:r>
      <w:r w:rsidRPr="004154A5">
        <w:rPr>
          <w:rFonts w:asciiTheme="majorHAnsi" w:hAnsiTheme="majorHAnsi"/>
        </w:rPr>
        <w:t>,</w:t>
      </w:r>
      <w:r w:rsidR="00CF5D32" w:rsidRPr="004154A5">
        <w:rPr>
          <w:rFonts w:asciiTheme="majorHAnsi" w:hAnsiTheme="majorHAnsi"/>
        </w:rPr>
        <w:t xml:space="preserve"> the </w:t>
      </w:r>
      <w:r w:rsidRPr="004154A5">
        <w:rPr>
          <w:rFonts w:asciiTheme="majorHAnsi" w:hAnsiTheme="majorHAnsi"/>
        </w:rPr>
        <w:t>Act</w:t>
      </w:r>
      <w:r w:rsidR="00CF5D32" w:rsidRPr="004154A5">
        <w:rPr>
          <w:rFonts w:asciiTheme="majorHAnsi" w:hAnsiTheme="majorHAnsi"/>
        </w:rPr>
        <w:t xml:space="preserve"> </w:t>
      </w:r>
      <w:r w:rsidR="005F4D6D" w:rsidRPr="004154A5">
        <w:rPr>
          <w:rFonts w:asciiTheme="majorHAnsi" w:hAnsiTheme="majorHAnsi"/>
        </w:rPr>
        <w:t>did</w:t>
      </w:r>
      <w:r w:rsidR="00CF5D32" w:rsidRPr="004154A5">
        <w:rPr>
          <w:rFonts w:asciiTheme="majorHAnsi" w:hAnsiTheme="majorHAnsi"/>
        </w:rPr>
        <w:t xml:space="preserve"> not </w:t>
      </w:r>
      <w:r w:rsidR="005F4D6D" w:rsidRPr="004154A5">
        <w:rPr>
          <w:rFonts w:asciiTheme="majorHAnsi" w:hAnsiTheme="majorHAnsi"/>
        </w:rPr>
        <w:t xml:space="preserve">seek to achieve this by </w:t>
      </w:r>
      <w:r w:rsidR="00CF5D32" w:rsidRPr="004154A5">
        <w:rPr>
          <w:rFonts w:asciiTheme="majorHAnsi" w:hAnsiTheme="majorHAnsi"/>
        </w:rPr>
        <w:t>introduc</w:t>
      </w:r>
      <w:r w:rsidR="005F4D6D" w:rsidRPr="004154A5">
        <w:rPr>
          <w:rFonts w:asciiTheme="majorHAnsi" w:hAnsiTheme="majorHAnsi"/>
        </w:rPr>
        <w:t>ing</w:t>
      </w:r>
      <w:r w:rsidR="00CF5D32" w:rsidRPr="004154A5">
        <w:rPr>
          <w:rFonts w:asciiTheme="majorHAnsi" w:hAnsiTheme="majorHAnsi"/>
        </w:rPr>
        <w:t xml:space="preserve"> any specific measures </w:t>
      </w:r>
      <w:r w:rsidR="005F4D6D" w:rsidRPr="004154A5">
        <w:rPr>
          <w:rFonts w:asciiTheme="majorHAnsi" w:hAnsiTheme="majorHAnsi"/>
        </w:rPr>
        <w:t xml:space="preserve">designed </w:t>
      </w:r>
      <w:r w:rsidR="00CF5D32" w:rsidRPr="004154A5">
        <w:rPr>
          <w:rFonts w:asciiTheme="majorHAnsi" w:hAnsiTheme="majorHAnsi"/>
        </w:rPr>
        <w:t>to tackle the social stigma associated with a record of imprisonment</w:t>
      </w:r>
      <w:r w:rsidR="005F4D6D" w:rsidRPr="004154A5">
        <w:rPr>
          <w:rFonts w:asciiTheme="majorHAnsi" w:hAnsiTheme="majorHAnsi"/>
        </w:rPr>
        <w:t>.</w:t>
      </w:r>
      <w:r w:rsidR="00CF5D32" w:rsidRPr="004154A5">
        <w:rPr>
          <w:rFonts w:asciiTheme="majorHAnsi" w:hAnsiTheme="majorHAnsi"/>
        </w:rPr>
        <w:t xml:space="preserve">  Instead</w:t>
      </w:r>
      <w:r w:rsidR="004D267C" w:rsidRPr="004154A5">
        <w:rPr>
          <w:rFonts w:asciiTheme="majorHAnsi" w:hAnsiTheme="majorHAnsi"/>
        </w:rPr>
        <w:t xml:space="preserve">, </w:t>
      </w:r>
      <w:r w:rsidR="00CF5D32" w:rsidRPr="004154A5">
        <w:rPr>
          <w:rFonts w:asciiTheme="majorHAnsi" w:hAnsiTheme="majorHAnsi"/>
        </w:rPr>
        <w:t>the Act provide</w:t>
      </w:r>
      <w:r w:rsidR="005F4D6D" w:rsidRPr="004154A5">
        <w:rPr>
          <w:rFonts w:asciiTheme="majorHAnsi" w:hAnsiTheme="majorHAnsi"/>
        </w:rPr>
        <w:t>d</w:t>
      </w:r>
      <w:r w:rsidR="00CF5D32" w:rsidRPr="004154A5">
        <w:rPr>
          <w:rFonts w:asciiTheme="majorHAnsi" w:hAnsiTheme="majorHAnsi"/>
        </w:rPr>
        <w:t xml:space="preserve"> that non-compliance with the </w:t>
      </w:r>
      <w:r w:rsidR="006B1F33" w:rsidRPr="004154A5">
        <w:rPr>
          <w:rFonts w:asciiTheme="majorHAnsi" w:hAnsiTheme="majorHAnsi"/>
        </w:rPr>
        <w:t xml:space="preserve">‘rehabilitation’ </w:t>
      </w:r>
      <w:r w:rsidR="00CF5D32" w:rsidRPr="004154A5">
        <w:rPr>
          <w:rFonts w:asciiTheme="majorHAnsi" w:hAnsiTheme="majorHAnsi"/>
        </w:rPr>
        <w:t>on offer from CRCs c</w:t>
      </w:r>
      <w:r w:rsidR="005F4D6D" w:rsidRPr="004154A5">
        <w:rPr>
          <w:rFonts w:asciiTheme="majorHAnsi" w:hAnsiTheme="majorHAnsi"/>
        </w:rPr>
        <w:t>ould</w:t>
      </w:r>
      <w:r w:rsidR="00CF5D32" w:rsidRPr="004154A5">
        <w:rPr>
          <w:rFonts w:asciiTheme="majorHAnsi" w:hAnsiTheme="majorHAnsi"/>
        </w:rPr>
        <w:t xml:space="preserve"> result in a further punitive sanction including a fine or up to 14 days in prison.  </w:t>
      </w:r>
      <w:r w:rsidR="005F4D6D" w:rsidRPr="004154A5">
        <w:rPr>
          <w:rFonts w:asciiTheme="majorHAnsi" w:hAnsiTheme="majorHAnsi"/>
        </w:rPr>
        <w:t xml:space="preserve">The ORA thus showed no concern for the </w:t>
      </w:r>
      <w:r w:rsidR="005F4D6D" w:rsidRPr="004154A5">
        <w:rPr>
          <w:rFonts w:asciiTheme="majorHAnsi" w:hAnsiTheme="majorHAnsi"/>
          <w:i/>
        </w:rPr>
        <w:t>legal</w:t>
      </w:r>
      <w:r w:rsidR="005F4D6D" w:rsidRPr="004154A5">
        <w:rPr>
          <w:rFonts w:asciiTheme="majorHAnsi" w:hAnsiTheme="majorHAnsi"/>
        </w:rPr>
        <w:t xml:space="preserve"> rehabilitation of lawbreakers, but </w:t>
      </w:r>
      <w:r w:rsidR="00345B61" w:rsidRPr="004154A5">
        <w:rPr>
          <w:rFonts w:asciiTheme="majorHAnsi" w:hAnsiTheme="majorHAnsi"/>
        </w:rPr>
        <w:t xml:space="preserve">did expand the period in </w:t>
      </w:r>
      <w:r w:rsidR="00345B61" w:rsidRPr="004154A5">
        <w:rPr>
          <w:rFonts w:asciiTheme="majorHAnsi" w:hAnsiTheme="majorHAnsi"/>
        </w:rPr>
        <w:lastRenderedPageBreak/>
        <w:t>which they</w:t>
      </w:r>
      <w:r w:rsidR="005F4D6D" w:rsidRPr="004154A5">
        <w:rPr>
          <w:rFonts w:asciiTheme="majorHAnsi" w:hAnsiTheme="majorHAnsi"/>
        </w:rPr>
        <w:t xml:space="preserve"> might be subject to </w:t>
      </w:r>
      <w:r w:rsidR="0071178B" w:rsidRPr="004154A5">
        <w:rPr>
          <w:rFonts w:asciiTheme="majorHAnsi" w:hAnsiTheme="majorHAnsi"/>
        </w:rPr>
        <w:t xml:space="preserve">a range of </w:t>
      </w:r>
      <w:r w:rsidR="005F4D6D" w:rsidRPr="004154A5">
        <w:rPr>
          <w:rFonts w:asciiTheme="majorHAnsi" w:hAnsiTheme="majorHAnsi"/>
        </w:rPr>
        <w:t xml:space="preserve">interventions aimed at bringing about </w:t>
      </w:r>
      <w:r w:rsidR="005F4D6D" w:rsidRPr="004154A5">
        <w:rPr>
          <w:rFonts w:asciiTheme="majorHAnsi" w:hAnsiTheme="majorHAnsi"/>
          <w:i/>
        </w:rPr>
        <w:t>psychological</w:t>
      </w:r>
      <w:r w:rsidR="005F4D6D" w:rsidRPr="004154A5">
        <w:rPr>
          <w:rFonts w:asciiTheme="majorHAnsi" w:hAnsiTheme="majorHAnsi"/>
        </w:rPr>
        <w:t xml:space="preserve"> and </w:t>
      </w:r>
      <w:r w:rsidR="005F4D6D" w:rsidRPr="004154A5">
        <w:rPr>
          <w:rFonts w:asciiTheme="majorHAnsi" w:hAnsiTheme="majorHAnsi"/>
          <w:i/>
        </w:rPr>
        <w:t>social</w:t>
      </w:r>
      <w:r w:rsidR="005F4D6D" w:rsidRPr="004154A5">
        <w:rPr>
          <w:rFonts w:asciiTheme="majorHAnsi" w:hAnsiTheme="majorHAnsi"/>
        </w:rPr>
        <w:t xml:space="preserve"> rehabilitation.  </w:t>
      </w:r>
    </w:p>
    <w:p w:rsidR="00B334E9" w:rsidRPr="004154A5" w:rsidRDefault="006B1F33" w:rsidP="00347A60">
      <w:pPr>
        <w:spacing w:after="0" w:line="360" w:lineRule="auto"/>
        <w:ind w:firstLine="720"/>
        <w:jc w:val="both"/>
        <w:rPr>
          <w:rFonts w:asciiTheme="majorHAnsi" w:hAnsiTheme="majorHAnsi"/>
          <w:b/>
        </w:rPr>
      </w:pPr>
      <w:r w:rsidRPr="004154A5">
        <w:rPr>
          <w:rFonts w:asciiTheme="majorHAnsi" w:hAnsiTheme="majorHAnsi"/>
        </w:rPr>
        <w:t>In</w:t>
      </w:r>
      <w:r w:rsidR="007B2CC7" w:rsidRPr="004154A5">
        <w:rPr>
          <w:rFonts w:asciiTheme="majorHAnsi" w:hAnsiTheme="majorHAnsi"/>
        </w:rPr>
        <w:t xml:space="preserve"> reality</w:t>
      </w:r>
      <w:r w:rsidRPr="004154A5">
        <w:rPr>
          <w:rFonts w:asciiTheme="majorHAnsi" w:hAnsiTheme="majorHAnsi"/>
        </w:rPr>
        <w:t>, the implementation</w:t>
      </w:r>
      <w:r w:rsidR="007B2CC7" w:rsidRPr="004154A5">
        <w:rPr>
          <w:rFonts w:asciiTheme="majorHAnsi" w:hAnsiTheme="majorHAnsi"/>
        </w:rPr>
        <w:t xml:space="preserve"> of the Transforming Rehabilitation agenda has proven highly problematic with the foreword to a HM Inspectorate of Probation</w:t>
      </w:r>
      <w:r w:rsidRPr="004154A5">
        <w:rPr>
          <w:rFonts w:asciiTheme="majorHAnsi" w:hAnsiTheme="majorHAnsi"/>
        </w:rPr>
        <w:t xml:space="preserve"> (HMIP)</w:t>
      </w:r>
      <w:r w:rsidR="007B2CC7" w:rsidRPr="004154A5">
        <w:rPr>
          <w:rFonts w:asciiTheme="majorHAnsi" w:hAnsiTheme="majorHAnsi"/>
        </w:rPr>
        <w:t xml:space="preserve"> (2016</w:t>
      </w:r>
      <w:r w:rsidR="00953B4F" w:rsidRPr="004154A5">
        <w:rPr>
          <w:rFonts w:asciiTheme="majorHAnsi" w:hAnsiTheme="majorHAnsi"/>
        </w:rPr>
        <w:t>: 4</w:t>
      </w:r>
      <w:r w:rsidR="007B2CC7" w:rsidRPr="004154A5">
        <w:rPr>
          <w:rFonts w:asciiTheme="majorHAnsi" w:hAnsiTheme="majorHAnsi"/>
        </w:rPr>
        <w:t>) report highlighting ‘poor or patchy morale’ amongst CRC staff, some of whom ‘expressed concern about their competence to undertake their roles’.  Moreover, ‘training had not always been delivered in a timely way to equip them with the skills required to enable</w:t>
      </w:r>
      <w:r w:rsidR="00953B4F" w:rsidRPr="004154A5">
        <w:rPr>
          <w:rFonts w:asciiTheme="majorHAnsi" w:hAnsiTheme="majorHAnsi"/>
        </w:rPr>
        <w:t xml:space="preserve"> </w:t>
      </w:r>
      <w:r w:rsidR="007B2CC7" w:rsidRPr="004154A5">
        <w:rPr>
          <w:rFonts w:asciiTheme="majorHAnsi" w:hAnsiTheme="majorHAnsi"/>
        </w:rPr>
        <w:t>them to undertake new or changed roles</w:t>
      </w:r>
      <w:r w:rsidR="00953B4F" w:rsidRPr="004154A5">
        <w:rPr>
          <w:rFonts w:asciiTheme="majorHAnsi" w:hAnsiTheme="majorHAnsi"/>
        </w:rPr>
        <w:t xml:space="preserve">’ and </w:t>
      </w:r>
      <w:r w:rsidR="007B2CC7" w:rsidRPr="004154A5">
        <w:rPr>
          <w:rFonts w:asciiTheme="majorHAnsi" w:hAnsiTheme="majorHAnsi"/>
        </w:rPr>
        <w:t>‘in a substantial proportion of cases, not enough had been done before release to help the individuals with their accommodation, employment or finances’</w:t>
      </w:r>
      <w:r w:rsidR="00953B4F" w:rsidRPr="004154A5">
        <w:rPr>
          <w:rFonts w:asciiTheme="majorHAnsi" w:hAnsiTheme="majorHAnsi"/>
        </w:rPr>
        <w:t xml:space="preserve">.  </w:t>
      </w:r>
      <w:r w:rsidRPr="004154A5">
        <w:rPr>
          <w:rFonts w:asciiTheme="majorHAnsi" w:hAnsiTheme="majorHAnsi"/>
        </w:rPr>
        <w:t xml:space="preserve">A </w:t>
      </w:r>
      <w:r w:rsidR="003273DF" w:rsidRPr="004154A5">
        <w:rPr>
          <w:rFonts w:asciiTheme="majorHAnsi" w:hAnsiTheme="majorHAnsi"/>
        </w:rPr>
        <w:t>separate</w:t>
      </w:r>
      <w:r w:rsidR="00F97FD2" w:rsidRPr="004154A5">
        <w:rPr>
          <w:rFonts w:asciiTheme="majorHAnsi" w:hAnsiTheme="majorHAnsi"/>
        </w:rPr>
        <w:t xml:space="preserve"> thematic </w:t>
      </w:r>
      <w:r w:rsidRPr="004154A5">
        <w:rPr>
          <w:rFonts w:asciiTheme="majorHAnsi" w:hAnsiTheme="majorHAnsi"/>
        </w:rPr>
        <w:t>review of Rehabilitation Activity Requirements (RARs</w:t>
      </w:r>
      <w:r w:rsidR="003273DF" w:rsidRPr="004154A5">
        <w:rPr>
          <w:rFonts w:asciiTheme="majorHAnsi" w:hAnsiTheme="majorHAnsi"/>
        </w:rPr>
        <w:t xml:space="preserve">) introduced </w:t>
      </w:r>
      <w:r w:rsidRPr="004154A5">
        <w:rPr>
          <w:rFonts w:asciiTheme="majorHAnsi" w:hAnsiTheme="majorHAnsi"/>
        </w:rPr>
        <w:t xml:space="preserve">by the ORA for Community Orders and Suspended Sentence Orders </w:t>
      </w:r>
      <w:r w:rsidR="003273DF" w:rsidRPr="004154A5">
        <w:rPr>
          <w:rFonts w:asciiTheme="majorHAnsi" w:hAnsiTheme="majorHAnsi"/>
        </w:rPr>
        <w:t xml:space="preserve">also </w:t>
      </w:r>
      <w:r w:rsidRPr="004154A5">
        <w:rPr>
          <w:rFonts w:asciiTheme="majorHAnsi" w:hAnsiTheme="majorHAnsi"/>
        </w:rPr>
        <w:t xml:space="preserve">reported </w:t>
      </w:r>
      <w:r w:rsidR="003273DF" w:rsidRPr="004154A5">
        <w:rPr>
          <w:rFonts w:asciiTheme="majorHAnsi" w:hAnsiTheme="majorHAnsi"/>
        </w:rPr>
        <w:t xml:space="preserve">significant problems with their implementation and delivery </w:t>
      </w:r>
      <w:r w:rsidRPr="004154A5">
        <w:rPr>
          <w:rFonts w:asciiTheme="majorHAnsi" w:hAnsiTheme="majorHAnsi"/>
        </w:rPr>
        <w:t>(</w:t>
      </w:r>
      <w:r w:rsidR="006B686D" w:rsidRPr="004154A5">
        <w:rPr>
          <w:rFonts w:asciiTheme="majorHAnsi" w:hAnsiTheme="majorHAnsi"/>
        </w:rPr>
        <w:t>HMIP</w:t>
      </w:r>
      <w:r w:rsidRPr="004154A5">
        <w:rPr>
          <w:rFonts w:asciiTheme="majorHAnsi" w:hAnsiTheme="majorHAnsi"/>
        </w:rPr>
        <w:t xml:space="preserve"> 2017).</w:t>
      </w:r>
    </w:p>
    <w:p w:rsidR="001A4233" w:rsidRPr="004154A5" w:rsidRDefault="00AD083B" w:rsidP="00347A60">
      <w:pPr>
        <w:spacing w:after="0" w:line="360" w:lineRule="auto"/>
        <w:rPr>
          <w:rFonts w:asciiTheme="majorHAnsi" w:hAnsiTheme="majorHAnsi"/>
          <w:b/>
          <w:sz w:val="28"/>
        </w:rPr>
      </w:pPr>
      <w:r w:rsidRPr="004154A5">
        <w:rPr>
          <w:rFonts w:asciiTheme="majorHAnsi" w:hAnsiTheme="majorHAnsi"/>
          <w:b/>
          <w:sz w:val="28"/>
        </w:rPr>
        <w:t>A new kind of ‘gap’</w:t>
      </w:r>
      <w:r w:rsidR="001A4233" w:rsidRPr="004154A5">
        <w:rPr>
          <w:rFonts w:asciiTheme="majorHAnsi" w:hAnsiTheme="majorHAnsi"/>
          <w:b/>
          <w:sz w:val="28"/>
        </w:rPr>
        <w:t xml:space="preserve"> </w:t>
      </w:r>
    </w:p>
    <w:p w:rsidR="001A4233" w:rsidRPr="004154A5" w:rsidRDefault="001A4233" w:rsidP="00347A60">
      <w:pPr>
        <w:spacing w:after="0" w:line="360" w:lineRule="auto"/>
        <w:rPr>
          <w:rFonts w:asciiTheme="majorHAnsi" w:hAnsiTheme="majorHAnsi"/>
          <w:b/>
        </w:rPr>
      </w:pPr>
    </w:p>
    <w:p w:rsidR="00CD1AB2" w:rsidRPr="004154A5" w:rsidRDefault="00393BB7" w:rsidP="00347A60">
      <w:pPr>
        <w:spacing w:after="0" w:line="360" w:lineRule="auto"/>
        <w:jc w:val="both"/>
        <w:rPr>
          <w:rFonts w:asciiTheme="majorHAnsi" w:hAnsiTheme="majorHAnsi"/>
        </w:rPr>
      </w:pPr>
      <w:r w:rsidRPr="004154A5">
        <w:rPr>
          <w:rFonts w:asciiTheme="majorHAnsi" w:hAnsiTheme="majorHAnsi"/>
        </w:rPr>
        <w:t>The passage of the ORA again led to a pronouncement that a ‘major gap in the criminal justice system’ had been addressed (Ministry of Justice 2014).   However, d</w:t>
      </w:r>
      <w:r w:rsidR="0047682C" w:rsidRPr="004154A5">
        <w:rPr>
          <w:rFonts w:asciiTheme="majorHAnsi" w:hAnsiTheme="majorHAnsi"/>
        </w:rPr>
        <w:t xml:space="preserve">espite </w:t>
      </w:r>
      <w:r w:rsidRPr="004154A5">
        <w:rPr>
          <w:rFonts w:asciiTheme="majorHAnsi" w:hAnsiTheme="majorHAnsi"/>
        </w:rPr>
        <w:t>this</w:t>
      </w:r>
      <w:r w:rsidR="0047682C" w:rsidRPr="004154A5">
        <w:rPr>
          <w:rFonts w:asciiTheme="majorHAnsi" w:hAnsiTheme="majorHAnsi"/>
        </w:rPr>
        <w:t xml:space="preserve"> claim, a closer analysis of the impact of the ORA and its relationship with the </w:t>
      </w:r>
      <w:r w:rsidRPr="004154A5">
        <w:rPr>
          <w:rFonts w:asciiTheme="majorHAnsi" w:hAnsiTheme="majorHAnsi"/>
        </w:rPr>
        <w:t xml:space="preserve">pre-existing </w:t>
      </w:r>
      <w:r w:rsidR="0047682C" w:rsidRPr="004154A5">
        <w:rPr>
          <w:rFonts w:asciiTheme="majorHAnsi" w:hAnsiTheme="majorHAnsi"/>
        </w:rPr>
        <w:t xml:space="preserve">ROA reveals that a new kind of ‘gap’ has, in fact, been opened up by the legislation – particularly for those sentenced to custody.  This gap results from the failure </w:t>
      </w:r>
      <w:r w:rsidR="00D900D8" w:rsidRPr="004154A5">
        <w:rPr>
          <w:rFonts w:asciiTheme="majorHAnsi" w:hAnsiTheme="majorHAnsi"/>
        </w:rPr>
        <w:t xml:space="preserve">of the government </w:t>
      </w:r>
      <w:r w:rsidR="0047682C" w:rsidRPr="004154A5">
        <w:rPr>
          <w:rFonts w:asciiTheme="majorHAnsi" w:hAnsiTheme="majorHAnsi"/>
        </w:rPr>
        <w:t>to synchronise the period of time for which lawbreakers are subject to increased supervision aimed at ‘the rehabilitation of the offender’ (</w:t>
      </w:r>
      <w:r w:rsidRPr="004154A5">
        <w:rPr>
          <w:rFonts w:asciiTheme="majorHAnsi" w:hAnsiTheme="majorHAnsi"/>
        </w:rPr>
        <w:t xml:space="preserve">under </w:t>
      </w:r>
      <w:r w:rsidR="0047682C" w:rsidRPr="004154A5">
        <w:rPr>
          <w:rFonts w:asciiTheme="majorHAnsi" w:hAnsiTheme="majorHAnsi"/>
        </w:rPr>
        <w:t xml:space="preserve">s.2 of the ORA) </w:t>
      </w:r>
      <w:r w:rsidRPr="004154A5">
        <w:rPr>
          <w:rFonts w:asciiTheme="majorHAnsi" w:hAnsiTheme="majorHAnsi"/>
        </w:rPr>
        <w:t>with</w:t>
      </w:r>
      <w:r w:rsidR="0047682C" w:rsidRPr="004154A5">
        <w:rPr>
          <w:rFonts w:asciiTheme="majorHAnsi" w:hAnsiTheme="majorHAnsi"/>
        </w:rPr>
        <w:t xml:space="preserve"> the period before </w:t>
      </w:r>
      <w:r w:rsidRPr="004154A5">
        <w:rPr>
          <w:rFonts w:asciiTheme="majorHAnsi" w:hAnsiTheme="majorHAnsi"/>
        </w:rPr>
        <w:t xml:space="preserve">which they can </w:t>
      </w:r>
      <w:r w:rsidR="0047682C" w:rsidRPr="004154A5">
        <w:rPr>
          <w:rFonts w:asciiTheme="majorHAnsi" w:hAnsiTheme="majorHAnsi"/>
        </w:rPr>
        <w:t xml:space="preserve">be treated </w:t>
      </w:r>
      <w:r w:rsidR="0047682C" w:rsidRPr="004154A5">
        <w:rPr>
          <w:rFonts w:asciiTheme="majorHAnsi" w:hAnsiTheme="majorHAnsi"/>
          <w:i/>
        </w:rPr>
        <w:t>in law</w:t>
      </w:r>
      <w:r w:rsidR="0047682C" w:rsidRPr="004154A5">
        <w:rPr>
          <w:rFonts w:asciiTheme="majorHAnsi" w:hAnsiTheme="majorHAnsi"/>
        </w:rPr>
        <w:t xml:space="preserve"> as a ‘rehabilitated person’ under the ROA</w:t>
      </w:r>
      <w:r w:rsidRPr="004154A5">
        <w:rPr>
          <w:rFonts w:asciiTheme="majorHAnsi" w:hAnsiTheme="majorHAnsi"/>
        </w:rPr>
        <w:t xml:space="preserve">.  </w:t>
      </w:r>
      <w:r w:rsidR="0047682C" w:rsidRPr="004154A5">
        <w:rPr>
          <w:rFonts w:asciiTheme="majorHAnsi" w:hAnsiTheme="majorHAnsi"/>
        </w:rPr>
        <w:t xml:space="preserve">To explain, in the majority of determinate custodial sentences, the prisoner is released at the halfway point </w:t>
      </w:r>
      <w:r w:rsidR="00D900D8" w:rsidRPr="004154A5">
        <w:rPr>
          <w:rFonts w:asciiTheme="majorHAnsi" w:hAnsiTheme="majorHAnsi"/>
        </w:rPr>
        <w:t>of their sentence and</w:t>
      </w:r>
      <w:r w:rsidRPr="004154A5">
        <w:rPr>
          <w:rFonts w:asciiTheme="majorHAnsi" w:hAnsiTheme="majorHAnsi"/>
        </w:rPr>
        <w:t>,</w:t>
      </w:r>
      <w:r w:rsidR="00D900D8" w:rsidRPr="004154A5">
        <w:rPr>
          <w:rFonts w:asciiTheme="majorHAnsi" w:hAnsiTheme="majorHAnsi"/>
        </w:rPr>
        <w:t xml:space="preserve"> prior to the ORA</w:t>
      </w:r>
      <w:r w:rsidRPr="004154A5">
        <w:rPr>
          <w:rFonts w:asciiTheme="majorHAnsi" w:hAnsiTheme="majorHAnsi"/>
        </w:rPr>
        <w:t>,</w:t>
      </w:r>
      <w:r w:rsidR="00D900D8" w:rsidRPr="004154A5">
        <w:rPr>
          <w:rFonts w:asciiTheme="majorHAnsi" w:hAnsiTheme="majorHAnsi"/>
        </w:rPr>
        <w:t xml:space="preserve"> would have served the remainder of the term on licence </w:t>
      </w:r>
      <w:r w:rsidRPr="004154A5">
        <w:rPr>
          <w:rFonts w:asciiTheme="majorHAnsi" w:hAnsiTheme="majorHAnsi"/>
        </w:rPr>
        <w:t>(</w:t>
      </w:r>
      <w:r w:rsidR="00D900D8" w:rsidRPr="004154A5">
        <w:rPr>
          <w:rFonts w:asciiTheme="majorHAnsi" w:hAnsiTheme="majorHAnsi"/>
        </w:rPr>
        <w:t>with those serving sentences of more than 12 months subject to probation supervision</w:t>
      </w:r>
      <w:r w:rsidRPr="004154A5">
        <w:rPr>
          <w:rFonts w:asciiTheme="majorHAnsi" w:hAnsiTheme="majorHAnsi"/>
        </w:rPr>
        <w:t>)</w:t>
      </w:r>
      <w:r w:rsidR="00D900D8" w:rsidRPr="004154A5">
        <w:rPr>
          <w:rFonts w:asciiTheme="majorHAnsi" w:hAnsiTheme="majorHAnsi"/>
        </w:rPr>
        <w:t xml:space="preserve">.  As discussed above, the ORA has </w:t>
      </w:r>
      <w:r w:rsidRPr="004154A5">
        <w:rPr>
          <w:rFonts w:asciiTheme="majorHAnsi" w:hAnsiTheme="majorHAnsi"/>
        </w:rPr>
        <w:t xml:space="preserve">subsequently </w:t>
      </w:r>
      <w:r w:rsidR="00357336" w:rsidRPr="004154A5">
        <w:rPr>
          <w:rFonts w:asciiTheme="majorHAnsi" w:hAnsiTheme="majorHAnsi"/>
        </w:rPr>
        <w:t>directed</w:t>
      </w:r>
      <w:r w:rsidR="00D900D8" w:rsidRPr="004154A5">
        <w:rPr>
          <w:rFonts w:asciiTheme="majorHAnsi" w:hAnsiTheme="majorHAnsi"/>
        </w:rPr>
        <w:t xml:space="preserve"> that all prison sentences now require a minimum of 12 months post-custodial supervision, ostensibly for the purposes of </w:t>
      </w:r>
      <w:r w:rsidR="00841DEC" w:rsidRPr="004154A5">
        <w:rPr>
          <w:rFonts w:asciiTheme="majorHAnsi" w:hAnsiTheme="majorHAnsi"/>
        </w:rPr>
        <w:t>‘</w:t>
      </w:r>
      <w:r w:rsidR="00D900D8" w:rsidRPr="004154A5">
        <w:rPr>
          <w:rFonts w:asciiTheme="majorHAnsi" w:hAnsiTheme="majorHAnsi"/>
        </w:rPr>
        <w:t>rehabilitation</w:t>
      </w:r>
      <w:r w:rsidR="00841DEC" w:rsidRPr="004154A5">
        <w:rPr>
          <w:rFonts w:asciiTheme="majorHAnsi" w:hAnsiTheme="majorHAnsi"/>
        </w:rPr>
        <w:t>’</w:t>
      </w:r>
      <w:r w:rsidR="00D900D8" w:rsidRPr="004154A5">
        <w:rPr>
          <w:rFonts w:asciiTheme="majorHAnsi" w:hAnsiTheme="majorHAnsi"/>
        </w:rPr>
        <w:t xml:space="preserve">.  However, due to the lengthy waiting times before </w:t>
      </w:r>
      <w:r w:rsidR="00D900D8" w:rsidRPr="004154A5">
        <w:rPr>
          <w:rFonts w:asciiTheme="majorHAnsi" w:hAnsiTheme="majorHAnsi"/>
          <w:i/>
        </w:rPr>
        <w:t>legal rehabilitation</w:t>
      </w:r>
      <w:r w:rsidR="00D900D8" w:rsidRPr="004154A5">
        <w:rPr>
          <w:rFonts w:asciiTheme="majorHAnsi" w:hAnsiTheme="majorHAnsi"/>
        </w:rPr>
        <w:t xml:space="preserve"> can take place under the ROA, the individual is effectively cast into a state of ‘civic purgatory’ </w:t>
      </w:r>
      <w:r w:rsidRPr="004154A5">
        <w:rPr>
          <w:rFonts w:asciiTheme="majorHAnsi" w:hAnsiTheme="majorHAnsi"/>
        </w:rPr>
        <w:t xml:space="preserve">between the conclusion of any rehabilitative interventions and the </w:t>
      </w:r>
      <w:r w:rsidRPr="004154A5">
        <w:rPr>
          <w:rFonts w:asciiTheme="majorHAnsi" w:hAnsiTheme="majorHAnsi"/>
          <w:i/>
        </w:rPr>
        <w:t>recognition</w:t>
      </w:r>
      <w:r w:rsidRPr="004154A5">
        <w:rPr>
          <w:rFonts w:asciiTheme="majorHAnsi" w:hAnsiTheme="majorHAnsi"/>
        </w:rPr>
        <w:t xml:space="preserve"> of </w:t>
      </w:r>
      <w:r w:rsidR="00841DEC" w:rsidRPr="004154A5">
        <w:rPr>
          <w:rFonts w:asciiTheme="majorHAnsi" w:hAnsiTheme="majorHAnsi"/>
        </w:rPr>
        <w:t xml:space="preserve">that </w:t>
      </w:r>
      <w:r w:rsidRPr="004154A5">
        <w:rPr>
          <w:rFonts w:asciiTheme="majorHAnsi" w:hAnsiTheme="majorHAnsi"/>
        </w:rPr>
        <w:t xml:space="preserve">rehabilitation in law.  </w:t>
      </w:r>
      <w:r w:rsidR="00294528" w:rsidRPr="004154A5">
        <w:rPr>
          <w:rFonts w:asciiTheme="majorHAnsi" w:hAnsiTheme="majorHAnsi"/>
        </w:rPr>
        <w:t xml:space="preserve">That is, where the individual is no longer strictly an ‘offender’ to be punished, managed and supervised by criminal justice agencies but is also not able to enjoy unencumbered access to the full range of rights and entitlements that ‘citizens’ do. </w:t>
      </w:r>
      <w:r w:rsidR="000A0BEB" w:rsidRPr="004154A5">
        <w:rPr>
          <w:rFonts w:asciiTheme="majorHAnsi" w:hAnsiTheme="majorHAnsi"/>
        </w:rPr>
        <w:t xml:space="preserve">There have, of course, always been long waiting times between the completion of a sentence and legal rehabilitation under the ROA.  However, despite reducing these waiting times just three days earlier, the government’s introduction of the ORA embedded an </w:t>
      </w:r>
      <w:r w:rsidR="000A0BEB" w:rsidRPr="004154A5">
        <w:rPr>
          <w:rFonts w:asciiTheme="majorHAnsi" w:hAnsiTheme="majorHAnsi"/>
          <w:i/>
        </w:rPr>
        <w:t>additional gap</w:t>
      </w:r>
      <w:r w:rsidR="000A0BEB" w:rsidRPr="004154A5">
        <w:rPr>
          <w:rFonts w:asciiTheme="majorHAnsi" w:hAnsiTheme="majorHAnsi"/>
        </w:rPr>
        <w:t xml:space="preserve"> between the termination of statutory supervision arrangements and the </w:t>
      </w:r>
      <w:r w:rsidR="000A0BEB" w:rsidRPr="004154A5">
        <w:rPr>
          <w:rFonts w:asciiTheme="majorHAnsi" w:hAnsiTheme="majorHAnsi"/>
        </w:rPr>
        <w:lastRenderedPageBreak/>
        <w:t xml:space="preserve">achievement of a spent conviction. </w:t>
      </w:r>
      <w:r w:rsidR="00841DEC" w:rsidRPr="004154A5">
        <w:rPr>
          <w:rFonts w:asciiTheme="majorHAnsi" w:hAnsiTheme="majorHAnsi"/>
        </w:rPr>
        <w:t>Thus</w:t>
      </w:r>
      <w:r w:rsidR="00357336" w:rsidRPr="004154A5">
        <w:rPr>
          <w:rFonts w:asciiTheme="majorHAnsi" w:hAnsiTheme="majorHAnsi"/>
        </w:rPr>
        <w:t>,</w:t>
      </w:r>
      <w:r w:rsidR="00D900D8" w:rsidRPr="004154A5">
        <w:rPr>
          <w:rFonts w:asciiTheme="majorHAnsi" w:hAnsiTheme="majorHAnsi"/>
        </w:rPr>
        <w:t xml:space="preserve"> </w:t>
      </w:r>
      <w:r w:rsidR="000A0BEB" w:rsidRPr="004154A5">
        <w:rPr>
          <w:rFonts w:asciiTheme="majorHAnsi" w:hAnsiTheme="majorHAnsi"/>
        </w:rPr>
        <w:t>for many lawbreakers, whilst</w:t>
      </w:r>
      <w:r w:rsidR="00D900D8" w:rsidRPr="004154A5">
        <w:rPr>
          <w:rFonts w:asciiTheme="majorHAnsi" w:hAnsiTheme="majorHAnsi"/>
        </w:rPr>
        <w:t xml:space="preserve"> supervision and contact with either the NPS or a CRC may come to an end</w:t>
      </w:r>
      <w:r w:rsidR="00357336" w:rsidRPr="004154A5">
        <w:rPr>
          <w:rFonts w:asciiTheme="majorHAnsi" w:hAnsiTheme="majorHAnsi"/>
        </w:rPr>
        <w:t>,</w:t>
      </w:r>
      <w:r w:rsidR="00D900D8" w:rsidRPr="004154A5">
        <w:rPr>
          <w:rFonts w:asciiTheme="majorHAnsi" w:hAnsiTheme="majorHAnsi"/>
        </w:rPr>
        <w:t xml:space="preserve"> they </w:t>
      </w:r>
      <w:r w:rsidR="000A0BEB" w:rsidRPr="004154A5">
        <w:rPr>
          <w:rFonts w:asciiTheme="majorHAnsi" w:hAnsiTheme="majorHAnsi"/>
        </w:rPr>
        <w:t xml:space="preserve">will face an effective period of </w:t>
      </w:r>
      <w:r w:rsidR="00294528" w:rsidRPr="004154A5">
        <w:rPr>
          <w:rFonts w:asciiTheme="majorHAnsi" w:hAnsiTheme="majorHAnsi"/>
        </w:rPr>
        <w:t>civic purgatory</w:t>
      </w:r>
      <w:r w:rsidR="000A0BEB" w:rsidRPr="004154A5">
        <w:rPr>
          <w:rFonts w:asciiTheme="majorHAnsi" w:hAnsiTheme="majorHAnsi"/>
        </w:rPr>
        <w:t xml:space="preserve"> before their status as</w:t>
      </w:r>
      <w:r w:rsidR="00D900D8" w:rsidRPr="004154A5">
        <w:rPr>
          <w:rFonts w:asciiTheme="majorHAnsi" w:hAnsiTheme="majorHAnsi"/>
        </w:rPr>
        <w:t xml:space="preserve"> a ‘rehabilitated person’ </w:t>
      </w:r>
      <w:r w:rsidR="000A0BEB" w:rsidRPr="004154A5">
        <w:rPr>
          <w:rFonts w:asciiTheme="majorHAnsi" w:hAnsiTheme="majorHAnsi"/>
        </w:rPr>
        <w:t>under</w:t>
      </w:r>
      <w:r w:rsidR="00D900D8" w:rsidRPr="004154A5">
        <w:rPr>
          <w:rFonts w:asciiTheme="majorHAnsi" w:hAnsiTheme="majorHAnsi"/>
        </w:rPr>
        <w:t xml:space="preserve"> the ROA offers </w:t>
      </w:r>
      <w:r w:rsidR="000A0BEB" w:rsidRPr="004154A5">
        <w:rPr>
          <w:rFonts w:asciiTheme="majorHAnsi" w:hAnsiTheme="majorHAnsi"/>
        </w:rPr>
        <w:t xml:space="preserve">them </w:t>
      </w:r>
      <w:r w:rsidR="00287F32" w:rsidRPr="004154A5">
        <w:rPr>
          <w:rFonts w:asciiTheme="majorHAnsi" w:hAnsiTheme="majorHAnsi"/>
        </w:rPr>
        <w:t xml:space="preserve">at least </w:t>
      </w:r>
      <w:r w:rsidR="000A0BEB" w:rsidRPr="004154A5">
        <w:rPr>
          <w:rFonts w:asciiTheme="majorHAnsi" w:hAnsiTheme="majorHAnsi"/>
        </w:rPr>
        <w:t xml:space="preserve">some protection against social discrimination </w:t>
      </w:r>
      <w:r w:rsidR="00D900D8" w:rsidRPr="004154A5">
        <w:rPr>
          <w:rFonts w:asciiTheme="majorHAnsi" w:hAnsiTheme="majorHAnsi"/>
        </w:rPr>
        <w:t xml:space="preserve">(for example, </w:t>
      </w:r>
      <w:r w:rsidR="000A0BEB" w:rsidRPr="004154A5">
        <w:rPr>
          <w:rFonts w:asciiTheme="majorHAnsi" w:hAnsiTheme="majorHAnsi"/>
        </w:rPr>
        <w:t>in the labour market</w:t>
      </w:r>
      <w:r w:rsidR="00D900D8" w:rsidRPr="004154A5">
        <w:rPr>
          <w:rFonts w:asciiTheme="majorHAnsi" w:hAnsiTheme="majorHAnsi"/>
        </w:rPr>
        <w:t xml:space="preserve">). </w:t>
      </w:r>
      <w:r w:rsidRPr="004154A5">
        <w:rPr>
          <w:rFonts w:asciiTheme="majorHAnsi" w:hAnsiTheme="majorHAnsi"/>
        </w:rPr>
        <w:t xml:space="preserve"> </w:t>
      </w:r>
      <w:r w:rsidR="00D900D8" w:rsidRPr="004154A5">
        <w:rPr>
          <w:rFonts w:asciiTheme="majorHAnsi" w:hAnsiTheme="majorHAnsi"/>
        </w:rPr>
        <w:t>Table 2 demonstrates the length of this period for a selection of different custodial sentences.</w:t>
      </w:r>
    </w:p>
    <w:p w:rsidR="0047682C" w:rsidRPr="004154A5" w:rsidRDefault="0047682C" w:rsidP="00347A60">
      <w:pPr>
        <w:spacing w:after="0" w:line="360" w:lineRule="auto"/>
        <w:jc w:val="both"/>
        <w:rPr>
          <w:rFonts w:asciiTheme="majorHAnsi" w:hAnsiTheme="majorHAnsi"/>
        </w:rPr>
      </w:pPr>
    </w:p>
    <w:p w:rsidR="005E0D7F" w:rsidRPr="004154A5" w:rsidRDefault="005E0D7F" w:rsidP="00347A60">
      <w:pPr>
        <w:spacing w:after="0" w:line="360" w:lineRule="auto"/>
        <w:jc w:val="center"/>
        <w:rPr>
          <w:rFonts w:asciiTheme="majorHAnsi" w:hAnsiTheme="majorHAnsi"/>
          <w:b/>
        </w:rPr>
      </w:pPr>
      <w:r w:rsidRPr="004154A5">
        <w:rPr>
          <w:rFonts w:asciiTheme="majorHAnsi" w:hAnsiTheme="majorHAnsi"/>
          <w:b/>
        </w:rPr>
        <w:t>TABLE 2 ABOUT HERE</w:t>
      </w:r>
    </w:p>
    <w:p w:rsidR="005E0D7F" w:rsidRPr="004154A5" w:rsidRDefault="005E0D7F" w:rsidP="00347A60">
      <w:pPr>
        <w:spacing w:after="0" w:line="360" w:lineRule="auto"/>
        <w:jc w:val="both"/>
        <w:rPr>
          <w:rFonts w:asciiTheme="majorHAnsi" w:hAnsiTheme="majorHAnsi"/>
          <w:b/>
        </w:rPr>
      </w:pPr>
    </w:p>
    <w:p w:rsidR="00357336" w:rsidRPr="004154A5" w:rsidRDefault="00357336" w:rsidP="00347A60">
      <w:pPr>
        <w:spacing w:after="0" w:line="360" w:lineRule="auto"/>
        <w:jc w:val="both"/>
        <w:rPr>
          <w:rFonts w:asciiTheme="majorHAnsi" w:hAnsiTheme="majorHAnsi"/>
        </w:rPr>
      </w:pPr>
      <w:r w:rsidRPr="004154A5">
        <w:rPr>
          <w:rFonts w:asciiTheme="majorHAnsi" w:hAnsiTheme="majorHAnsi"/>
        </w:rPr>
        <w:t xml:space="preserve">To use the example of a person sentenced to 18 months imprisonment from Table 2: </w:t>
      </w:r>
    </w:p>
    <w:p w:rsidR="00357336" w:rsidRPr="004154A5" w:rsidRDefault="00357336" w:rsidP="00347A60">
      <w:pPr>
        <w:spacing w:after="0" w:line="360" w:lineRule="auto"/>
        <w:jc w:val="both"/>
        <w:rPr>
          <w:rFonts w:asciiTheme="majorHAnsi" w:hAnsiTheme="majorHAnsi"/>
        </w:rPr>
      </w:pPr>
    </w:p>
    <w:p w:rsidR="00357336" w:rsidRPr="004154A5" w:rsidRDefault="00357336" w:rsidP="00347A60">
      <w:pPr>
        <w:pStyle w:val="ListParagraph"/>
        <w:numPr>
          <w:ilvl w:val="0"/>
          <w:numId w:val="5"/>
        </w:numPr>
        <w:spacing w:after="0" w:line="360" w:lineRule="auto"/>
        <w:jc w:val="both"/>
        <w:rPr>
          <w:rFonts w:asciiTheme="majorHAnsi" w:hAnsiTheme="majorHAnsi"/>
        </w:rPr>
      </w:pPr>
      <w:r w:rsidRPr="004154A5">
        <w:rPr>
          <w:rFonts w:asciiTheme="majorHAnsi" w:hAnsiTheme="majorHAnsi"/>
        </w:rPr>
        <w:t xml:space="preserve">the person is released from custody after nine months; </w:t>
      </w:r>
    </w:p>
    <w:p w:rsidR="00E96A53" w:rsidRPr="004154A5" w:rsidRDefault="00357336" w:rsidP="00347A60">
      <w:pPr>
        <w:pStyle w:val="ListParagraph"/>
        <w:numPr>
          <w:ilvl w:val="0"/>
          <w:numId w:val="5"/>
        </w:numPr>
        <w:spacing w:after="0" w:line="360" w:lineRule="auto"/>
        <w:jc w:val="both"/>
        <w:rPr>
          <w:rFonts w:asciiTheme="majorHAnsi" w:hAnsiTheme="majorHAnsi"/>
        </w:rPr>
      </w:pPr>
      <w:r w:rsidRPr="004154A5">
        <w:rPr>
          <w:rFonts w:asciiTheme="majorHAnsi" w:hAnsiTheme="majorHAnsi"/>
        </w:rPr>
        <w:t xml:space="preserve">they then undergo a 12 month period of supervision (comprised of the nine months mandated by their licence plus a further three months to meet the requirements of the ORA); </w:t>
      </w:r>
    </w:p>
    <w:p w:rsidR="00357336" w:rsidRPr="004154A5" w:rsidRDefault="00357336" w:rsidP="00347A60">
      <w:pPr>
        <w:pStyle w:val="ListParagraph"/>
        <w:numPr>
          <w:ilvl w:val="0"/>
          <w:numId w:val="5"/>
        </w:numPr>
        <w:spacing w:after="0" w:line="360" w:lineRule="auto"/>
        <w:jc w:val="both"/>
        <w:rPr>
          <w:rFonts w:asciiTheme="majorHAnsi" w:hAnsiTheme="majorHAnsi"/>
        </w:rPr>
      </w:pPr>
      <w:r w:rsidRPr="004154A5">
        <w:rPr>
          <w:rFonts w:asciiTheme="majorHAnsi" w:hAnsiTheme="majorHAnsi"/>
        </w:rPr>
        <w:t>their contact with either the NPS or a CRC thus ends after 21 months;</w:t>
      </w:r>
    </w:p>
    <w:p w:rsidR="00357336" w:rsidRPr="004154A5" w:rsidRDefault="00357336" w:rsidP="00347A60">
      <w:pPr>
        <w:pStyle w:val="ListParagraph"/>
        <w:numPr>
          <w:ilvl w:val="0"/>
          <w:numId w:val="5"/>
        </w:numPr>
        <w:spacing w:after="0" w:line="360" w:lineRule="auto"/>
        <w:jc w:val="both"/>
        <w:rPr>
          <w:rFonts w:asciiTheme="majorHAnsi" w:hAnsiTheme="majorHAnsi"/>
        </w:rPr>
      </w:pPr>
      <w:r w:rsidRPr="004154A5">
        <w:rPr>
          <w:rFonts w:asciiTheme="majorHAnsi" w:hAnsiTheme="majorHAnsi"/>
        </w:rPr>
        <w:t>the conviction will take a total period of 66 months to become ‘spent’ under the ROA (the length of the 18 month sentence, plus a 48 month ‘buffer period</w:t>
      </w:r>
      <w:r w:rsidR="00841DEC" w:rsidRPr="004154A5">
        <w:rPr>
          <w:rFonts w:asciiTheme="majorHAnsi" w:hAnsiTheme="majorHAnsi"/>
        </w:rPr>
        <w:t>’</w:t>
      </w:r>
      <w:r w:rsidRPr="004154A5">
        <w:rPr>
          <w:rFonts w:asciiTheme="majorHAnsi" w:hAnsiTheme="majorHAnsi"/>
        </w:rPr>
        <w:t>);</w:t>
      </w:r>
    </w:p>
    <w:p w:rsidR="00357336" w:rsidRPr="004154A5" w:rsidRDefault="00841DEC" w:rsidP="00347A60">
      <w:pPr>
        <w:pStyle w:val="ListParagraph"/>
        <w:numPr>
          <w:ilvl w:val="0"/>
          <w:numId w:val="5"/>
        </w:numPr>
        <w:spacing w:after="0" w:line="360" w:lineRule="auto"/>
        <w:jc w:val="both"/>
        <w:rPr>
          <w:rFonts w:asciiTheme="majorHAnsi" w:hAnsiTheme="majorHAnsi"/>
        </w:rPr>
      </w:pPr>
      <w:r w:rsidRPr="004154A5">
        <w:rPr>
          <w:rFonts w:asciiTheme="majorHAnsi" w:hAnsiTheme="majorHAnsi"/>
        </w:rPr>
        <w:t>there is then</w:t>
      </w:r>
      <w:r w:rsidR="00357336" w:rsidRPr="004154A5">
        <w:rPr>
          <w:rFonts w:asciiTheme="majorHAnsi" w:hAnsiTheme="majorHAnsi"/>
        </w:rPr>
        <w:t xml:space="preserve"> a ‘gap’ of </w:t>
      </w:r>
      <w:r w:rsidR="008B722F" w:rsidRPr="004154A5">
        <w:rPr>
          <w:rFonts w:asciiTheme="majorHAnsi" w:hAnsiTheme="majorHAnsi"/>
        </w:rPr>
        <w:t>some 45 months between the termination of supervision arrangements and the achievement of legal rehabilitation.</w:t>
      </w:r>
    </w:p>
    <w:p w:rsidR="008B722F" w:rsidRPr="004154A5" w:rsidRDefault="008B722F" w:rsidP="00347A60">
      <w:pPr>
        <w:spacing w:after="0" w:line="360" w:lineRule="auto"/>
        <w:jc w:val="both"/>
        <w:rPr>
          <w:rFonts w:asciiTheme="majorHAnsi" w:hAnsiTheme="majorHAnsi"/>
        </w:rPr>
      </w:pPr>
    </w:p>
    <w:p w:rsidR="008B722F" w:rsidRPr="004154A5" w:rsidRDefault="00D75BB3" w:rsidP="00347A60">
      <w:pPr>
        <w:spacing w:after="0" w:line="360" w:lineRule="auto"/>
        <w:jc w:val="both"/>
        <w:rPr>
          <w:rFonts w:asciiTheme="majorHAnsi" w:hAnsiTheme="majorHAnsi"/>
          <w:lang w:val="en-US"/>
        </w:rPr>
      </w:pPr>
      <w:r w:rsidRPr="004154A5">
        <w:rPr>
          <w:rFonts w:asciiTheme="majorHAnsi" w:hAnsiTheme="majorHAnsi"/>
        </w:rPr>
        <w:t>In addition to the impact of this gap on determinate sentenced prisoners with short to medium length custodial terms (including the estimated additional 50,000</w:t>
      </w:r>
      <w:r w:rsidR="00287F32" w:rsidRPr="004154A5">
        <w:rPr>
          <w:rFonts w:asciiTheme="majorHAnsi" w:hAnsiTheme="majorHAnsi"/>
        </w:rPr>
        <w:t xml:space="preserve"> people</w:t>
      </w:r>
      <w:r w:rsidRPr="004154A5">
        <w:rPr>
          <w:rFonts w:asciiTheme="majorHAnsi" w:hAnsiTheme="majorHAnsi"/>
        </w:rPr>
        <w:t xml:space="preserve"> subject to post-custody supervision </w:t>
      </w:r>
      <w:r w:rsidR="00287F32" w:rsidRPr="004154A5">
        <w:rPr>
          <w:rFonts w:asciiTheme="majorHAnsi" w:hAnsiTheme="majorHAnsi"/>
        </w:rPr>
        <w:t xml:space="preserve">following </w:t>
      </w:r>
      <w:r w:rsidRPr="004154A5">
        <w:rPr>
          <w:rFonts w:asciiTheme="majorHAnsi" w:hAnsiTheme="majorHAnsi"/>
        </w:rPr>
        <w:t>the ORA),</w:t>
      </w:r>
      <w:r w:rsidR="008B722F" w:rsidRPr="004154A5">
        <w:rPr>
          <w:rFonts w:asciiTheme="majorHAnsi" w:hAnsiTheme="majorHAnsi"/>
        </w:rPr>
        <w:t xml:space="preserve"> it re</w:t>
      </w:r>
      <w:r w:rsidRPr="004154A5">
        <w:rPr>
          <w:rFonts w:asciiTheme="majorHAnsi" w:hAnsiTheme="majorHAnsi"/>
        </w:rPr>
        <w:t>mains the case that anybody</w:t>
      </w:r>
      <w:r w:rsidR="008B722F" w:rsidRPr="004154A5">
        <w:rPr>
          <w:rFonts w:asciiTheme="majorHAnsi" w:hAnsiTheme="majorHAnsi"/>
        </w:rPr>
        <w:t xml:space="preserve"> sentenced to more than four years imprisonment or an indeterminate term is never eligible for legal rehabilitation under the ROA, regardless of </w:t>
      </w:r>
      <w:r w:rsidRPr="004154A5">
        <w:rPr>
          <w:rFonts w:asciiTheme="majorHAnsi" w:hAnsiTheme="majorHAnsi"/>
        </w:rPr>
        <w:t xml:space="preserve">their </w:t>
      </w:r>
      <w:r w:rsidR="008B722F" w:rsidRPr="004154A5">
        <w:rPr>
          <w:rFonts w:asciiTheme="majorHAnsi" w:hAnsiTheme="majorHAnsi"/>
        </w:rPr>
        <w:t>subsequent conduct</w:t>
      </w:r>
      <w:r w:rsidRPr="004154A5">
        <w:rPr>
          <w:rFonts w:asciiTheme="majorHAnsi" w:hAnsiTheme="majorHAnsi"/>
        </w:rPr>
        <w:t xml:space="preserve"> or engagement with supervision arrangements</w:t>
      </w:r>
      <w:r w:rsidR="008B722F" w:rsidRPr="004154A5">
        <w:rPr>
          <w:rFonts w:asciiTheme="majorHAnsi" w:hAnsiTheme="majorHAnsi"/>
        </w:rPr>
        <w:t xml:space="preserve">.  </w:t>
      </w:r>
      <w:r w:rsidR="008B722F" w:rsidRPr="004154A5">
        <w:rPr>
          <w:rFonts w:asciiTheme="majorHAnsi" w:hAnsiTheme="majorHAnsi"/>
          <w:lang w:val="en-US"/>
        </w:rPr>
        <w:t>Table 3 reveals that in the five years wh</w:t>
      </w:r>
      <w:r w:rsidRPr="004154A5">
        <w:rPr>
          <w:rFonts w:asciiTheme="majorHAnsi" w:hAnsiTheme="majorHAnsi"/>
          <w:lang w:val="en-US"/>
        </w:rPr>
        <w:t xml:space="preserve">ich have followed the LASPO Act and its </w:t>
      </w:r>
      <w:r w:rsidR="008B722F" w:rsidRPr="004154A5">
        <w:rPr>
          <w:rFonts w:asciiTheme="majorHAnsi" w:hAnsiTheme="majorHAnsi"/>
          <w:lang w:val="en-US"/>
        </w:rPr>
        <w:t xml:space="preserve">promised ‘rehabilitation revolution’, </w:t>
      </w:r>
      <w:r w:rsidR="00287F32" w:rsidRPr="004154A5">
        <w:rPr>
          <w:rFonts w:asciiTheme="majorHAnsi" w:hAnsiTheme="majorHAnsi"/>
          <w:lang w:val="en-US"/>
        </w:rPr>
        <w:t>a significant</w:t>
      </w:r>
      <w:r w:rsidR="008B722F" w:rsidRPr="004154A5">
        <w:rPr>
          <w:rFonts w:asciiTheme="majorHAnsi" w:hAnsiTheme="majorHAnsi"/>
          <w:lang w:val="en-US"/>
        </w:rPr>
        <w:t xml:space="preserve"> number of sentences have been handed down in England and Wales which fall into this category.  Moreover, the number of such sentences appears to have increased during this period compared to the 2013 baseline.</w:t>
      </w:r>
      <w:r w:rsidRPr="004154A5">
        <w:rPr>
          <w:rFonts w:asciiTheme="majorHAnsi" w:hAnsiTheme="majorHAnsi"/>
          <w:lang w:val="en-US"/>
        </w:rPr>
        <w:t xml:space="preserve">  Th</w:t>
      </w:r>
      <w:r w:rsidR="00841DEC" w:rsidRPr="004154A5">
        <w:rPr>
          <w:rFonts w:asciiTheme="majorHAnsi" w:hAnsiTheme="majorHAnsi"/>
          <w:lang w:val="en-US"/>
        </w:rPr>
        <w:t>erefore</w:t>
      </w:r>
      <w:r w:rsidRPr="004154A5">
        <w:rPr>
          <w:rFonts w:asciiTheme="majorHAnsi" w:hAnsiTheme="majorHAnsi"/>
          <w:lang w:val="en-US"/>
        </w:rPr>
        <w:t xml:space="preserve">, a growing </w:t>
      </w:r>
      <w:r w:rsidR="00287F32" w:rsidRPr="004154A5">
        <w:rPr>
          <w:rFonts w:asciiTheme="majorHAnsi" w:hAnsiTheme="majorHAnsi"/>
          <w:lang w:val="en-US"/>
        </w:rPr>
        <w:t>number</w:t>
      </w:r>
      <w:r w:rsidRPr="004154A5">
        <w:rPr>
          <w:rFonts w:asciiTheme="majorHAnsi" w:hAnsiTheme="majorHAnsi"/>
          <w:lang w:val="en-US"/>
        </w:rPr>
        <w:t xml:space="preserve"> of people with convictions are permanently regarded in law as </w:t>
      </w:r>
      <w:r w:rsidRPr="004154A5">
        <w:rPr>
          <w:rFonts w:asciiTheme="majorHAnsi" w:hAnsiTheme="majorHAnsi"/>
          <w:i/>
          <w:lang w:val="en-US"/>
        </w:rPr>
        <w:t xml:space="preserve">beyond </w:t>
      </w:r>
      <w:r w:rsidR="00287F32" w:rsidRPr="004154A5">
        <w:rPr>
          <w:rFonts w:asciiTheme="majorHAnsi" w:hAnsiTheme="majorHAnsi"/>
          <w:i/>
          <w:lang w:val="en-US"/>
        </w:rPr>
        <w:t xml:space="preserve">legal </w:t>
      </w:r>
      <w:r w:rsidRPr="004154A5">
        <w:rPr>
          <w:rFonts w:asciiTheme="majorHAnsi" w:hAnsiTheme="majorHAnsi"/>
          <w:i/>
          <w:lang w:val="en-US"/>
        </w:rPr>
        <w:t>rehabilitation</w:t>
      </w:r>
      <w:r w:rsidR="00287F32" w:rsidRPr="004154A5">
        <w:rPr>
          <w:rFonts w:asciiTheme="majorHAnsi" w:hAnsiTheme="majorHAnsi"/>
          <w:lang w:val="en-US"/>
        </w:rPr>
        <w:t>.</w:t>
      </w:r>
    </w:p>
    <w:p w:rsidR="008B722F" w:rsidRPr="004154A5" w:rsidRDefault="008B722F" w:rsidP="00347A60">
      <w:pPr>
        <w:spacing w:after="0" w:line="360" w:lineRule="auto"/>
        <w:jc w:val="both"/>
        <w:rPr>
          <w:rFonts w:asciiTheme="majorHAnsi" w:hAnsiTheme="majorHAnsi"/>
          <w:lang w:val="en-US"/>
        </w:rPr>
      </w:pPr>
    </w:p>
    <w:p w:rsidR="008B722F" w:rsidRPr="004154A5" w:rsidRDefault="008B722F" w:rsidP="00347A60">
      <w:pPr>
        <w:spacing w:after="0" w:line="360" w:lineRule="auto"/>
        <w:jc w:val="center"/>
        <w:rPr>
          <w:rFonts w:asciiTheme="majorHAnsi" w:hAnsiTheme="majorHAnsi"/>
          <w:b/>
        </w:rPr>
      </w:pPr>
      <w:r w:rsidRPr="004154A5">
        <w:rPr>
          <w:rFonts w:asciiTheme="majorHAnsi" w:hAnsiTheme="majorHAnsi"/>
          <w:b/>
        </w:rPr>
        <w:t>TABLE 3 ABOUT HERE</w:t>
      </w:r>
    </w:p>
    <w:p w:rsidR="008B722F" w:rsidRPr="004154A5" w:rsidRDefault="008B722F" w:rsidP="00347A60">
      <w:pPr>
        <w:spacing w:after="0" w:line="360" w:lineRule="auto"/>
        <w:jc w:val="both"/>
        <w:rPr>
          <w:rFonts w:asciiTheme="majorHAnsi" w:hAnsiTheme="majorHAnsi"/>
        </w:rPr>
      </w:pPr>
    </w:p>
    <w:p w:rsidR="00294528" w:rsidRPr="004154A5" w:rsidRDefault="002F0E28" w:rsidP="00347A60">
      <w:pPr>
        <w:spacing w:after="0" w:line="360" w:lineRule="auto"/>
        <w:jc w:val="both"/>
        <w:rPr>
          <w:rFonts w:asciiTheme="majorHAnsi" w:hAnsiTheme="majorHAnsi"/>
          <w:lang w:val="en-US"/>
        </w:rPr>
      </w:pPr>
      <w:r w:rsidRPr="004154A5">
        <w:rPr>
          <w:rFonts w:asciiTheme="majorHAnsi" w:hAnsiTheme="majorHAnsi"/>
          <w:lang w:val="en-US"/>
        </w:rPr>
        <w:t xml:space="preserve">The </w:t>
      </w:r>
      <w:r w:rsidR="00DC60AF" w:rsidRPr="004154A5">
        <w:rPr>
          <w:rFonts w:asciiTheme="majorHAnsi" w:hAnsiTheme="majorHAnsi"/>
          <w:lang w:val="en-US"/>
        </w:rPr>
        <w:t xml:space="preserve">lengthy </w:t>
      </w:r>
      <w:r w:rsidRPr="004154A5">
        <w:rPr>
          <w:rFonts w:asciiTheme="majorHAnsi" w:hAnsiTheme="majorHAnsi"/>
          <w:lang w:val="en-US"/>
        </w:rPr>
        <w:t>buffer periods</w:t>
      </w:r>
      <w:r w:rsidR="00D76B45" w:rsidRPr="004154A5">
        <w:rPr>
          <w:rFonts w:asciiTheme="majorHAnsi" w:hAnsiTheme="majorHAnsi"/>
          <w:lang w:val="en-US"/>
        </w:rPr>
        <w:t xml:space="preserve"> contained within many rehabilitation laws such as the ROA</w:t>
      </w:r>
      <w:r w:rsidRPr="004154A5">
        <w:rPr>
          <w:rFonts w:asciiTheme="majorHAnsi" w:hAnsiTheme="majorHAnsi"/>
          <w:lang w:val="en-US"/>
        </w:rPr>
        <w:t xml:space="preserve"> usually last for several years and are justified by the argument that a convicted person might remain at </w:t>
      </w:r>
      <w:r w:rsidRPr="004154A5">
        <w:rPr>
          <w:rFonts w:asciiTheme="majorHAnsi" w:hAnsiTheme="majorHAnsi"/>
          <w:lang w:val="en-US"/>
        </w:rPr>
        <w:lastRenderedPageBreak/>
        <w:t>risk of further offending for a certain period of time after having served their sentence</w:t>
      </w:r>
      <w:r w:rsidR="00D76B45" w:rsidRPr="004154A5">
        <w:rPr>
          <w:rFonts w:asciiTheme="majorHAnsi" w:hAnsiTheme="majorHAnsi"/>
          <w:lang w:val="en-US"/>
        </w:rPr>
        <w:t>.  However,</w:t>
      </w:r>
      <w:r w:rsidRPr="004154A5">
        <w:rPr>
          <w:rFonts w:asciiTheme="majorHAnsi" w:hAnsiTheme="majorHAnsi"/>
          <w:lang w:val="en-US"/>
        </w:rPr>
        <w:t xml:space="preserve"> research demonstrates that </w:t>
      </w:r>
      <w:r w:rsidR="00D76B45" w:rsidRPr="004154A5">
        <w:rPr>
          <w:rFonts w:asciiTheme="majorHAnsi" w:hAnsiTheme="majorHAnsi"/>
          <w:lang w:val="en-US"/>
        </w:rPr>
        <w:t>the ability of</w:t>
      </w:r>
      <w:r w:rsidRPr="004154A5">
        <w:rPr>
          <w:rFonts w:asciiTheme="majorHAnsi" w:hAnsiTheme="majorHAnsi"/>
          <w:lang w:val="en-US"/>
        </w:rPr>
        <w:t xml:space="preserve"> c</w:t>
      </w:r>
      <w:r w:rsidR="00D76B45" w:rsidRPr="004154A5">
        <w:rPr>
          <w:rFonts w:asciiTheme="majorHAnsi" w:hAnsiTheme="majorHAnsi"/>
          <w:lang w:val="en-US"/>
        </w:rPr>
        <w:t>riminal records</w:t>
      </w:r>
      <w:r w:rsidRPr="004154A5">
        <w:rPr>
          <w:rFonts w:asciiTheme="majorHAnsi" w:hAnsiTheme="majorHAnsi"/>
          <w:lang w:val="en-US"/>
        </w:rPr>
        <w:t xml:space="preserve"> </w:t>
      </w:r>
      <w:r w:rsidR="00D76B45" w:rsidRPr="004154A5">
        <w:rPr>
          <w:rFonts w:asciiTheme="majorHAnsi" w:hAnsiTheme="majorHAnsi"/>
          <w:lang w:val="en-US"/>
        </w:rPr>
        <w:t xml:space="preserve">to predict future offending </w:t>
      </w:r>
      <w:r w:rsidRPr="004154A5">
        <w:rPr>
          <w:rFonts w:asciiTheme="majorHAnsi" w:hAnsiTheme="majorHAnsi"/>
          <w:lang w:val="en-US"/>
        </w:rPr>
        <w:t xml:space="preserve">declines </w:t>
      </w:r>
      <w:r w:rsidR="005C6554" w:rsidRPr="004154A5">
        <w:rPr>
          <w:rFonts w:asciiTheme="majorHAnsi" w:hAnsiTheme="majorHAnsi"/>
          <w:lang w:val="en-US"/>
        </w:rPr>
        <w:t xml:space="preserve">over time with reported rates of offending </w:t>
      </w:r>
      <w:r w:rsidRPr="004154A5">
        <w:rPr>
          <w:rFonts w:asciiTheme="majorHAnsi" w:hAnsiTheme="majorHAnsi"/>
          <w:lang w:val="en-US"/>
        </w:rPr>
        <w:t>becom</w:t>
      </w:r>
      <w:r w:rsidR="005C6554" w:rsidRPr="004154A5">
        <w:rPr>
          <w:rFonts w:asciiTheme="majorHAnsi" w:hAnsiTheme="majorHAnsi"/>
          <w:lang w:val="en-US"/>
        </w:rPr>
        <w:t>ing</w:t>
      </w:r>
      <w:r w:rsidRPr="004154A5">
        <w:rPr>
          <w:rFonts w:asciiTheme="majorHAnsi" w:hAnsiTheme="majorHAnsi"/>
          <w:lang w:val="en-US"/>
        </w:rPr>
        <w:t xml:space="preserve"> similar to (or </w:t>
      </w:r>
      <w:r w:rsidR="005C6554" w:rsidRPr="004154A5">
        <w:rPr>
          <w:rFonts w:asciiTheme="majorHAnsi" w:hAnsiTheme="majorHAnsi"/>
          <w:lang w:val="en-US"/>
        </w:rPr>
        <w:t xml:space="preserve">even lower than) those for previously </w:t>
      </w:r>
      <w:r w:rsidRPr="004154A5">
        <w:rPr>
          <w:rFonts w:asciiTheme="majorHAnsi" w:hAnsiTheme="majorHAnsi"/>
          <w:lang w:val="en-US"/>
        </w:rPr>
        <w:t>un-convicted people</w:t>
      </w:r>
      <w:r w:rsidR="00D76B45" w:rsidRPr="004154A5">
        <w:rPr>
          <w:rFonts w:asciiTheme="majorHAnsi" w:hAnsiTheme="majorHAnsi"/>
          <w:lang w:val="en-US"/>
        </w:rPr>
        <w:t xml:space="preserve"> after approximately seven years</w:t>
      </w:r>
      <w:r w:rsidR="00DC60AF" w:rsidRPr="004154A5">
        <w:rPr>
          <w:rFonts w:asciiTheme="majorHAnsi" w:hAnsiTheme="majorHAnsi"/>
          <w:lang w:val="en-US"/>
        </w:rPr>
        <w:t xml:space="preserve"> (</w:t>
      </w:r>
      <w:r w:rsidR="005C6554" w:rsidRPr="004154A5">
        <w:rPr>
          <w:rFonts w:asciiTheme="majorHAnsi" w:hAnsiTheme="majorHAnsi"/>
          <w:lang w:val="en-US"/>
        </w:rPr>
        <w:t xml:space="preserve">see </w:t>
      </w:r>
      <w:r w:rsidR="0046216E" w:rsidRPr="004154A5">
        <w:rPr>
          <w:rFonts w:asciiTheme="majorHAnsi" w:hAnsiTheme="majorHAnsi"/>
          <w:lang w:val="en-US"/>
        </w:rPr>
        <w:t>Kurlychek et al. 2006, 2007</w:t>
      </w:r>
      <w:r w:rsidR="00DC60AF" w:rsidRPr="004154A5">
        <w:rPr>
          <w:rFonts w:asciiTheme="majorHAnsi" w:hAnsiTheme="majorHAnsi"/>
          <w:lang w:val="en-US"/>
        </w:rPr>
        <w:t xml:space="preserve">; </w:t>
      </w:r>
      <w:r w:rsidR="000D3557" w:rsidRPr="004154A5">
        <w:rPr>
          <w:rFonts w:asciiTheme="majorHAnsi" w:hAnsiTheme="majorHAnsi"/>
          <w:lang w:val="en-US"/>
        </w:rPr>
        <w:t xml:space="preserve">Soothill and Francis 2007; </w:t>
      </w:r>
      <w:r w:rsidR="00DC60AF" w:rsidRPr="004154A5">
        <w:rPr>
          <w:rFonts w:asciiTheme="majorHAnsi" w:hAnsiTheme="majorHAnsi"/>
          <w:lang w:val="en-US"/>
        </w:rPr>
        <w:t>Bushway et al. 2011)</w:t>
      </w:r>
      <w:r w:rsidRPr="004154A5">
        <w:rPr>
          <w:rFonts w:asciiTheme="majorHAnsi" w:hAnsiTheme="majorHAnsi"/>
          <w:lang w:val="en-US"/>
        </w:rPr>
        <w:t>.</w:t>
      </w:r>
      <w:r w:rsidR="008B722F" w:rsidRPr="004154A5">
        <w:rPr>
          <w:rFonts w:asciiTheme="majorHAnsi" w:hAnsiTheme="majorHAnsi"/>
          <w:lang w:val="en-US"/>
        </w:rPr>
        <w:t xml:space="preserve">  </w:t>
      </w:r>
      <w:r w:rsidR="00D76B45" w:rsidRPr="004154A5">
        <w:rPr>
          <w:rFonts w:asciiTheme="majorHAnsi" w:hAnsiTheme="majorHAnsi"/>
          <w:lang w:val="en-US"/>
        </w:rPr>
        <w:t>Crucially</w:t>
      </w:r>
      <w:r w:rsidR="008B722F" w:rsidRPr="004154A5">
        <w:rPr>
          <w:rFonts w:asciiTheme="majorHAnsi" w:hAnsiTheme="majorHAnsi"/>
          <w:lang w:val="en-US"/>
        </w:rPr>
        <w:t xml:space="preserve">, it is not known to what extent the reoffending which occurs during this period is a result of </w:t>
      </w:r>
      <w:r w:rsidR="00DC60AF" w:rsidRPr="004154A5">
        <w:rPr>
          <w:rFonts w:asciiTheme="majorHAnsi" w:hAnsiTheme="majorHAnsi"/>
          <w:lang w:val="en-US"/>
        </w:rPr>
        <w:t xml:space="preserve">the stigma attached to a criminal record.  </w:t>
      </w:r>
      <w:r w:rsidR="00D76B45" w:rsidRPr="004154A5">
        <w:rPr>
          <w:rFonts w:asciiTheme="majorHAnsi" w:hAnsiTheme="majorHAnsi"/>
          <w:lang w:val="en-US"/>
        </w:rPr>
        <w:t xml:space="preserve">One </w:t>
      </w:r>
      <w:r w:rsidR="00CE215C" w:rsidRPr="004154A5">
        <w:rPr>
          <w:rFonts w:asciiTheme="majorHAnsi" w:hAnsiTheme="majorHAnsi"/>
          <w:lang w:val="en-US"/>
        </w:rPr>
        <w:t xml:space="preserve">significant </w:t>
      </w:r>
      <w:r w:rsidR="00D76B45" w:rsidRPr="004154A5">
        <w:rPr>
          <w:rFonts w:asciiTheme="majorHAnsi" w:hAnsiTheme="majorHAnsi"/>
          <w:lang w:val="en-US"/>
        </w:rPr>
        <w:t xml:space="preserve">area where </w:t>
      </w:r>
      <w:r w:rsidR="005C6554" w:rsidRPr="004154A5">
        <w:rPr>
          <w:rFonts w:asciiTheme="majorHAnsi" w:hAnsiTheme="majorHAnsi"/>
          <w:lang w:val="en-US"/>
        </w:rPr>
        <w:t xml:space="preserve">criminal </w:t>
      </w:r>
      <w:r w:rsidR="00D76B45" w:rsidRPr="004154A5">
        <w:rPr>
          <w:rFonts w:asciiTheme="majorHAnsi" w:hAnsiTheme="majorHAnsi"/>
          <w:lang w:val="en-US"/>
        </w:rPr>
        <w:t xml:space="preserve">stigmatisation </w:t>
      </w:r>
      <w:r w:rsidR="00CE215C" w:rsidRPr="004154A5">
        <w:rPr>
          <w:rFonts w:asciiTheme="majorHAnsi" w:hAnsiTheme="majorHAnsi"/>
          <w:lang w:val="en-US"/>
        </w:rPr>
        <w:t>is known to manifest itself is</w:t>
      </w:r>
      <w:r w:rsidR="00D76B45" w:rsidRPr="004154A5">
        <w:rPr>
          <w:rFonts w:asciiTheme="majorHAnsi" w:hAnsiTheme="majorHAnsi"/>
          <w:lang w:val="en-US"/>
        </w:rPr>
        <w:t xml:space="preserve"> within the labour market</w:t>
      </w:r>
      <w:r w:rsidR="00287F32" w:rsidRPr="004154A5">
        <w:rPr>
          <w:rFonts w:asciiTheme="majorHAnsi" w:hAnsiTheme="majorHAnsi"/>
          <w:lang w:val="en-US"/>
        </w:rPr>
        <w:t xml:space="preserve"> (see Working Links 2010).  This is a worrying phenomenon</w:t>
      </w:r>
      <w:r w:rsidR="00D76B45" w:rsidRPr="004154A5">
        <w:rPr>
          <w:rFonts w:asciiTheme="majorHAnsi" w:hAnsiTheme="majorHAnsi"/>
          <w:lang w:val="en-US"/>
        </w:rPr>
        <w:t xml:space="preserve"> since </w:t>
      </w:r>
      <w:r w:rsidR="00DC60AF" w:rsidRPr="004154A5">
        <w:rPr>
          <w:rFonts w:asciiTheme="majorHAnsi" w:hAnsiTheme="majorHAnsi"/>
          <w:lang w:val="en-US"/>
        </w:rPr>
        <w:t>stable employment has been shown to reduce re-offending by between 30 and 50 per cent (Social Exclusion Unit 2002)</w:t>
      </w:r>
      <w:r w:rsidR="005C6554" w:rsidRPr="004154A5">
        <w:rPr>
          <w:rFonts w:asciiTheme="majorHAnsi" w:hAnsiTheme="majorHAnsi"/>
          <w:lang w:val="en-US"/>
        </w:rPr>
        <w:t xml:space="preserve">.  </w:t>
      </w:r>
    </w:p>
    <w:p w:rsidR="000D3557" w:rsidRPr="004154A5" w:rsidRDefault="000D3557" w:rsidP="00347A60">
      <w:pPr>
        <w:spacing w:after="0" w:line="360" w:lineRule="auto"/>
        <w:rPr>
          <w:rFonts w:asciiTheme="majorHAnsi" w:hAnsiTheme="majorHAnsi"/>
          <w:b/>
          <w:sz w:val="28"/>
        </w:rPr>
      </w:pPr>
    </w:p>
    <w:p w:rsidR="00BA3C7F" w:rsidRPr="004154A5" w:rsidRDefault="009D3A8A" w:rsidP="00347A60">
      <w:pPr>
        <w:spacing w:after="0" w:line="360" w:lineRule="auto"/>
        <w:rPr>
          <w:rFonts w:asciiTheme="majorHAnsi" w:hAnsiTheme="majorHAnsi"/>
          <w:b/>
          <w:sz w:val="28"/>
        </w:rPr>
      </w:pPr>
      <w:r w:rsidRPr="004154A5">
        <w:rPr>
          <w:rFonts w:asciiTheme="majorHAnsi" w:hAnsiTheme="majorHAnsi"/>
          <w:b/>
          <w:sz w:val="28"/>
        </w:rPr>
        <w:t>Problematising civic purgatory</w:t>
      </w:r>
      <w:r w:rsidR="00A83700" w:rsidRPr="004154A5">
        <w:rPr>
          <w:rFonts w:asciiTheme="majorHAnsi" w:hAnsiTheme="majorHAnsi"/>
          <w:b/>
          <w:sz w:val="28"/>
        </w:rPr>
        <w:t xml:space="preserve"> </w:t>
      </w:r>
    </w:p>
    <w:p w:rsidR="00C571EA" w:rsidRPr="004154A5" w:rsidRDefault="00C571EA" w:rsidP="00347A60">
      <w:pPr>
        <w:spacing w:after="0" w:line="360" w:lineRule="auto"/>
        <w:jc w:val="both"/>
        <w:rPr>
          <w:rFonts w:asciiTheme="majorHAnsi" w:hAnsiTheme="majorHAnsi"/>
        </w:rPr>
      </w:pPr>
    </w:p>
    <w:p w:rsidR="00A2390F" w:rsidRPr="004154A5" w:rsidRDefault="0072627A" w:rsidP="00347A60">
      <w:pPr>
        <w:spacing w:after="0" w:line="360" w:lineRule="auto"/>
        <w:jc w:val="both"/>
        <w:rPr>
          <w:rFonts w:asciiTheme="majorHAnsi" w:hAnsiTheme="majorHAnsi"/>
        </w:rPr>
      </w:pPr>
      <w:r w:rsidRPr="004154A5">
        <w:rPr>
          <w:rFonts w:asciiTheme="majorHAnsi" w:hAnsiTheme="majorHAnsi"/>
        </w:rPr>
        <w:t xml:space="preserve">As discussed elsewhere </w:t>
      </w:r>
      <w:r w:rsidR="009F4C05" w:rsidRPr="004154A5">
        <w:rPr>
          <w:rFonts w:asciiTheme="majorHAnsi" w:hAnsiTheme="majorHAnsi"/>
        </w:rPr>
        <w:t>a number of ‘pains of criminalisation’ may stem from the stigma associated with a criminal record (</w:t>
      </w:r>
      <w:r w:rsidR="000C2E3F" w:rsidRPr="004154A5">
        <w:rPr>
          <w:rFonts w:asciiTheme="majorHAnsi" w:hAnsiTheme="majorHAnsi"/>
        </w:rPr>
        <w:t>Henley 2018</w:t>
      </w:r>
      <w:r w:rsidR="009F4C05" w:rsidRPr="004154A5">
        <w:rPr>
          <w:rFonts w:asciiTheme="majorHAnsi" w:hAnsiTheme="majorHAnsi"/>
        </w:rPr>
        <w:t xml:space="preserve">).  In addition to problems with fair access to employment, these can include: problems with accessing financial products such as insurance and mortgages; difficulties securing a tenancy; </w:t>
      </w:r>
      <w:r w:rsidR="0061288B" w:rsidRPr="004154A5">
        <w:rPr>
          <w:rFonts w:asciiTheme="majorHAnsi" w:hAnsiTheme="majorHAnsi"/>
        </w:rPr>
        <w:t xml:space="preserve">problems with attaining travel visas for certain counties; </w:t>
      </w:r>
      <w:r w:rsidR="009F4C05" w:rsidRPr="004154A5">
        <w:rPr>
          <w:rFonts w:asciiTheme="majorHAnsi" w:hAnsiTheme="majorHAnsi"/>
        </w:rPr>
        <w:t>restrictions on parti</w:t>
      </w:r>
      <w:r w:rsidR="0061288B" w:rsidRPr="004154A5">
        <w:rPr>
          <w:rFonts w:asciiTheme="majorHAnsi" w:hAnsiTheme="majorHAnsi"/>
        </w:rPr>
        <w:t>cipating in civil society (e.g. through election to various public offices</w:t>
      </w:r>
      <w:r w:rsidR="009F4C05" w:rsidRPr="004154A5">
        <w:rPr>
          <w:rFonts w:asciiTheme="majorHAnsi" w:hAnsiTheme="majorHAnsi"/>
        </w:rPr>
        <w:t xml:space="preserve">) and even </w:t>
      </w:r>
      <w:r w:rsidR="0061288B" w:rsidRPr="004154A5">
        <w:rPr>
          <w:rFonts w:asciiTheme="majorHAnsi" w:hAnsiTheme="majorHAnsi"/>
        </w:rPr>
        <w:t>the possibility of obtaining compensation as a victim of serious crime (</w:t>
      </w:r>
      <w:r w:rsidR="00841DEC" w:rsidRPr="004154A5">
        <w:rPr>
          <w:rFonts w:asciiTheme="majorHAnsi" w:hAnsiTheme="majorHAnsi"/>
        </w:rPr>
        <w:t>ibid.</w:t>
      </w:r>
      <w:r w:rsidR="0061288B" w:rsidRPr="004154A5">
        <w:rPr>
          <w:rFonts w:asciiTheme="majorHAnsi" w:hAnsiTheme="majorHAnsi"/>
        </w:rPr>
        <w:t xml:space="preserve">).  </w:t>
      </w:r>
      <w:r w:rsidR="009F4C05" w:rsidRPr="004154A5">
        <w:rPr>
          <w:rFonts w:asciiTheme="majorHAnsi" w:hAnsiTheme="majorHAnsi"/>
        </w:rPr>
        <w:t xml:space="preserve">Such negative outcomes are often referred to as the ‘collateral consequences of a conviction’ although in many cases their impact may be experienced </w:t>
      </w:r>
      <w:r w:rsidR="0061288B" w:rsidRPr="004154A5">
        <w:rPr>
          <w:rFonts w:asciiTheme="majorHAnsi" w:hAnsiTheme="majorHAnsi"/>
        </w:rPr>
        <w:t xml:space="preserve">as </w:t>
      </w:r>
      <w:r w:rsidR="009F4C05" w:rsidRPr="004154A5">
        <w:rPr>
          <w:rFonts w:asciiTheme="majorHAnsi" w:hAnsiTheme="majorHAnsi"/>
          <w:i/>
        </w:rPr>
        <w:t>more severe</w:t>
      </w:r>
      <w:r w:rsidR="009F4C05" w:rsidRPr="004154A5">
        <w:rPr>
          <w:rFonts w:asciiTheme="majorHAnsi" w:hAnsiTheme="majorHAnsi"/>
        </w:rPr>
        <w:t xml:space="preserve"> than the initial punishment </w:t>
      </w:r>
      <w:r w:rsidR="0061288B" w:rsidRPr="004154A5">
        <w:rPr>
          <w:rFonts w:asciiTheme="majorHAnsi" w:hAnsiTheme="majorHAnsi"/>
        </w:rPr>
        <w:t>for an offence.  T</w:t>
      </w:r>
      <w:r w:rsidR="009F4C05" w:rsidRPr="004154A5">
        <w:rPr>
          <w:rFonts w:asciiTheme="majorHAnsi" w:hAnsiTheme="majorHAnsi"/>
        </w:rPr>
        <w:t>hus</w:t>
      </w:r>
      <w:r w:rsidR="0061288B" w:rsidRPr="004154A5">
        <w:rPr>
          <w:rFonts w:asciiTheme="majorHAnsi" w:hAnsiTheme="majorHAnsi"/>
        </w:rPr>
        <w:t>,</w:t>
      </w:r>
      <w:r w:rsidR="009F4C05" w:rsidRPr="004154A5">
        <w:rPr>
          <w:rFonts w:asciiTheme="majorHAnsi" w:hAnsiTheme="majorHAnsi"/>
        </w:rPr>
        <w:t xml:space="preserve"> the extent to which they are merely ‘collateral’ for </w:t>
      </w:r>
      <w:r w:rsidR="0061288B" w:rsidRPr="004154A5">
        <w:rPr>
          <w:rFonts w:asciiTheme="majorHAnsi" w:hAnsiTheme="majorHAnsi"/>
        </w:rPr>
        <w:t xml:space="preserve">many </w:t>
      </w:r>
      <w:r w:rsidR="009F4C05" w:rsidRPr="004154A5">
        <w:rPr>
          <w:rFonts w:asciiTheme="majorHAnsi" w:hAnsiTheme="majorHAnsi"/>
        </w:rPr>
        <w:t>former lawbreakers is highly debatable.</w:t>
      </w:r>
      <w:r w:rsidR="0061288B" w:rsidRPr="004154A5">
        <w:rPr>
          <w:rFonts w:asciiTheme="majorHAnsi" w:hAnsiTheme="majorHAnsi"/>
        </w:rPr>
        <w:t xml:space="preserve"> In this final section, I discuss several reasons why this condition of ‘civic purgatory’ – resulting from the gaps between sentence completion, the cessation of supervision arrangements and legal rehabilitation - should be regarded as particularly problematic.  </w:t>
      </w:r>
    </w:p>
    <w:p w:rsidR="00D12D4C" w:rsidRPr="004154A5" w:rsidRDefault="00D12D4C" w:rsidP="00347A60">
      <w:pPr>
        <w:spacing w:after="0" w:line="360" w:lineRule="auto"/>
        <w:jc w:val="both"/>
        <w:rPr>
          <w:rFonts w:asciiTheme="majorHAnsi" w:hAnsiTheme="majorHAnsi"/>
        </w:rPr>
      </w:pPr>
    </w:p>
    <w:p w:rsidR="00A2390F" w:rsidRPr="004154A5" w:rsidRDefault="00A2390F" w:rsidP="00347A60">
      <w:pPr>
        <w:spacing w:after="0" w:line="360" w:lineRule="auto"/>
        <w:jc w:val="both"/>
        <w:rPr>
          <w:rFonts w:asciiTheme="majorHAnsi" w:hAnsiTheme="majorHAnsi"/>
          <w:i/>
          <w:sz w:val="24"/>
        </w:rPr>
      </w:pPr>
      <w:r w:rsidRPr="004154A5">
        <w:rPr>
          <w:rFonts w:asciiTheme="majorHAnsi" w:hAnsiTheme="majorHAnsi"/>
          <w:i/>
          <w:sz w:val="24"/>
        </w:rPr>
        <w:t>The</w:t>
      </w:r>
      <w:r w:rsidR="005D6C3D" w:rsidRPr="004154A5">
        <w:rPr>
          <w:rFonts w:asciiTheme="majorHAnsi" w:hAnsiTheme="majorHAnsi"/>
          <w:i/>
          <w:sz w:val="24"/>
        </w:rPr>
        <w:t xml:space="preserve"> problem of</w:t>
      </w:r>
      <w:r w:rsidRPr="004154A5">
        <w:rPr>
          <w:rFonts w:asciiTheme="majorHAnsi" w:hAnsiTheme="majorHAnsi"/>
          <w:i/>
          <w:sz w:val="24"/>
        </w:rPr>
        <w:t xml:space="preserve"> </w:t>
      </w:r>
      <w:r w:rsidR="005D6C3D" w:rsidRPr="004154A5">
        <w:rPr>
          <w:rFonts w:asciiTheme="majorHAnsi" w:hAnsiTheme="majorHAnsi"/>
          <w:i/>
          <w:sz w:val="24"/>
        </w:rPr>
        <w:t>unnecessary confusion</w:t>
      </w:r>
    </w:p>
    <w:p w:rsidR="005D6C3D" w:rsidRPr="004154A5" w:rsidRDefault="005D6C3D" w:rsidP="00347A60">
      <w:pPr>
        <w:spacing w:after="0" w:line="360" w:lineRule="auto"/>
        <w:jc w:val="both"/>
        <w:rPr>
          <w:rFonts w:asciiTheme="majorHAnsi" w:hAnsiTheme="majorHAnsi"/>
          <w:i/>
        </w:rPr>
      </w:pPr>
    </w:p>
    <w:p w:rsidR="009D3A8A" w:rsidRPr="004154A5" w:rsidRDefault="00A2390F" w:rsidP="00347A60">
      <w:pPr>
        <w:spacing w:after="0" w:line="360" w:lineRule="auto"/>
        <w:jc w:val="both"/>
        <w:rPr>
          <w:rFonts w:asciiTheme="majorHAnsi" w:hAnsiTheme="majorHAnsi"/>
        </w:rPr>
      </w:pPr>
      <w:r w:rsidRPr="004154A5">
        <w:rPr>
          <w:rFonts w:asciiTheme="majorHAnsi" w:hAnsiTheme="majorHAnsi"/>
        </w:rPr>
        <w:t xml:space="preserve">In the first instance, the period of civic purgatory after sentence completion is unnecessarily confusing for people with convictions (who need to understand the complexity of rules around when they are required to disclose convictions), practitioners working in the criminal justice sector (who may be asked for advice from their clients about those rules) and employers, financial service providers and others (who need to understand precisely what kind of information about convictions they are allowed to ask about and in what circumstances they are </w:t>
      </w:r>
      <w:r w:rsidRPr="004154A5">
        <w:rPr>
          <w:rFonts w:asciiTheme="majorHAnsi" w:hAnsiTheme="majorHAnsi"/>
        </w:rPr>
        <w:lastRenderedPageBreak/>
        <w:t xml:space="preserve">legally allowed to consider this information).  Indeed, in </w:t>
      </w:r>
      <w:r w:rsidR="00CE0A13" w:rsidRPr="004154A5">
        <w:rPr>
          <w:rFonts w:asciiTheme="majorHAnsi" w:hAnsiTheme="majorHAnsi"/>
        </w:rPr>
        <w:t xml:space="preserve">addition to the Home Office (2002) review of the ROA, </w:t>
      </w:r>
      <w:r w:rsidRPr="004154A5">
        <w:rPr>
          <w:rFonts w:asciiTheme="majorHAnsi" w:hAnsiTheme="majorHAnsi"/>
        </w:rPr>
        <w:t xml:space="preserve">research on financial </w:t>
      </w:r>
      <w:r w:rsidR="00841DEC" w:rsidRPr="004154A5">
        <w:rPr>
          <w:rFonts w:asciiTheme="majorHAnsi" w:hAnsiTheme="majorHAnsi"/>
        </w:rPr>
        <w:t>literacy amongst</w:t>
      </w:r>
      <w:r w:rsidR="00AD4AA8" w:rsidRPr="004154A5">
        <w:rPr>
          <w:rFonts w:asciiTheme="majorHAnsi" w:hAnsiTheme="majorHAnsi"/>
        </w:rPr>
        <w:t xml:space="preserve"> prisoners</w:t>
      </w:r>
      <w:r w:rsidR="00CE0A13" w:rsidRPr="004154A5">
        <w:rPr>
          <w:rFonts w:asciiTheme="majorHAnsi" w:hAnsiTheme="majorHAnsi"/>
        </w:rPr>
        <w:t xml:space="preserve"> (Bath and Edgar 2010) found that the rules surrounding spent convictions were poorly understood by people with convictions</w:t>
      </w:r>
      <w:r w:rsidR="00AD4AA8" w:rsidRPr="004154A5">
        <w:rPr>
          <w:rFonts w:asciiTheme="majorHAnsi" w:hAnsiTheme="majorHAnsi"/>
        </w:rPr>
        <w:t>,</w:t>
      </w:r>
      <w:r w:rsidR="00CE0A13" w:rsidRPr="004154A5">
        <w:rPr>
          <w:rFonts w:asciiTheme="majorHAnsi" w:hAnsiTheme="majorHAnsi"/>
        </w:rPr>
        <w:t xml:space="preserve"> with some assuming that the term ‘spent’ </w:t>
      </w:r>
      <w:r w:rsidR="00DA6A8E" w:rsidRPr="004154A5">
        <w:rPr>
          <w:rFonts w:asciiTheme="majorHAnsi" w:hAnsiTheme="majorHAnsi"/>
        </w:rPr>
        <w:t xml:space="preserve">referred to the serving of the </w:t>
      </w:r>
      <w:r w:rsidR="00CE0A13" w:rsidRPr="004154A5">
        <w:rPr>
          <w:rFonts w:asciiTheme="majorHAnsi" w:hAnsiTheme="majorHAnsi"/>
          <w:i/>
        </w:rPr>
        <w:t>actual sentence</w:t>
      </w:r>
      <w:r w:rsidR="00CE0A13" w:rsidRPr="004154A5">
        <w:rPr>
          <w:rFonts w:asciiTheme="majorHAnsi" w:hAnsiTheme="majorHAnsi"/>
        </w:rPr>
        <w:t xml:space="preserve"> </w:t>
      </w:r>
      <w:r w:rsidR="00CE0A13" w:rsidRPr="004154A5">
        <w:rPr>
          <w:rFonts w:asciiTheme="majorHAnsi" w:hAnsiTheme="majorHAnsi"/>
          <w:i/>
        </w:rPr>
        <w:t>rather than the post-sentence rehabilitation period</w:t>
      </w:r>
      <w:r w:rsidR="00CE0A13" w:rsidRPr="004154A5">
        <w:rPr>
          <w:rFonts w:asciiTheme="majorHAnsi" w:hAnsiTheme="majorHAnsi"/>
        </w:rPr>
        <w:t xml:space="preserve"> prescribed by the ROA.</w:t>
      </w:r>
      <w:r w:rsidR="00590244" w:rsidRPr="004154A5">
        <w:rPr>
          <w:rFonts w:asciiTheme="majorHAnsi" w:hAnsiTheme="majorHAnsi"/>
        </w:rPr>
        <w:t xml:space="preserve">  There is thus a case for a </w:t>
      </w:r>
      <w:r w:rsidR="00DA6A8E" w:rsidRPr="004154A5">
        <w:rPr>
          <w:rFonts w:asciiTheme="majorHAnsi" w:hAnsiTheme="majorHAnsi"/>
        </w:rPr>
        <w:t xml:space="preserve">greatly </w:t>
      </w:r>
      <w:r w:rsidR="00590244" w:rsidRPr="004154A5">
        <w:rPr>
          <w:rFonts w:asciiTheme="majorHAnsi" w:hAnsiTheme="majorHAnsi"/>
        </w:rPr>
        <w:t>simplified system of dealing with criminal record disclosures post-sentence which is more clearly understood by all</w:t>
      </w:r>
      <w:r w:rsidR="00DA6A8E" w:rsidRPr="004154A5">
        <w:rPr>
          <w:rFonts w:asciiTheme="majorHAnsi" w:hAnsiTheme="majorHAnsi"/>
        </w:rPr>
        <w:t xml:space="preserve"> the</w:t>
      </w:r>
      <w:r w:rsidR="00590244" w:rsidRPr="004154A5">
        <w:rPr>
          <w:rFonts w:asciiTheme="majorHAnsi" w:hAnsiTheme="majorHAnsi"/>
        </w:rPr>
        <w:t xml:space="preserve"> relevant stakeholders.</w:t>
      </w:r>
      <w:r w:rsidR="004F3179" w:rsidRPr="004154A5">
        <w:rPr>
          <w:rFonts w:asciiTheme="majorHAnsi" w:hAnsiTheme="majorHAnsi"/>
        </w:rPr>
        <w:t xml:space="preserve">  </w:t>
      </w:r>
      <w:r w:rsidR="000C1BCF" w:rsidRPr="004154A5">
        <w:rPr>
          <w:rFonts w:asciiTheme="majorHAnsi" w:hAnsiTheme="majorHAnsi"/>
        </w:rPr>
        <w:t>Indeed, if this were not the case, t</w:t>
      </w:r>
      <w:r w:rsidR="004F3179" w:rsidRPr="004154A5">
        <w:rPr>
          <w:rFonts w:asciiTheme="majorHAnsi" w:hAnsiTheme="majorHAnsi"/>
        </w:rPr>
        <w:t>he charity Unlock</w:t>
      </w:r>
      <w:r w:rsidR="000C1BCF" w:rsidRPr="004154A5">
        <w:rPr>
          <w:rFonts w:asciiTheme="majorHAnsi" w:hAnsiTheme="majorHAnsi"/>
        </w:rPr>
        <w:t xml:space="preserve"> (</w:t>
      </w:r>
      <w:r w:rsidR="004F3179" w:rsidRPr="004154A5">
        <w:rPr>
          <w:rFonts w:asciiTheme="majorHAnsi" w:hAnsiTheme="majorHAnsi"/>
        </w:rPr>
        <w:t xml:space="preserve">which provides information and advice </w:t>
      </w:r>
      <w:r w:rsidR="000C1BCF" w:rsidRPr="004154A5">
        <w:rPr>
          <w:rFonts w:asciiTheme="majorHAnsi" w:hAnsiTheme="majorHAnsi"/>
        </w:rPr>
        <w:t>on issues surrounding criminal records) would not receive so many thousands of contacts each year from</w:t>
      </w:r>
      <w:r w:rsidR="004F3179" w:rsidRPr="004154A5">
        <w:rPr>
          <w:rFonts w:asciiTheme="majorHAnsi" w:hAnsiTheme="majorHAnsi"/>
        </w:rPr>
        <w:t xml:space="preserve"> people with convictions seeking clarification about the rules surrounding disclosure</w:t>
      </w:r>
      <w:r w:rsidR="000C1BCF" w:rsidRPr="004154A5">
        <w:rPr>
          <w:rFonts w:asciiTheme="majorHAnsi" w:hAnsiTheme="majorHAnsi"/>
        </w:rPr>
        <w:t>.</w:t>
      </w:r>
    </w:p>
    <w:p w:rsidR="000C1BCF" w:rsidRPr="004154A5" w:rsidRDefault="000C1BCF" w:rsidP="00347A60">
      <w:pPr>
        <w:spacing w:after="0" w:line="360" w:lineRule="auto"/>
        <w:jc w:val="both"/>
        <w:rPr>
          <w:rFonts w:asciiTheme="majorHAnsi" w:hAnsiTheme="majorHAnsi"/>
          <w:i/>
          <w:sz w:val="24"/>
        </w:rPr>
      </w:pPr>
    </w:p>
    <w:p w:rsidR="00CE0A13" w:rsidRPr="004154A5" w:rsidRDefault="000C1BCF" w:rsidP="00347A60">
      <w:pPr>
        <w:spacing w:after="0" w:line="360" w:lineRule="auto"/>
        <w:rPr>
          <w:rFonts w:asciiTheme="majorHAnsi" w:hAnsiTheme="majorHAnsi"/>
          <w:i/>
          <w:sz w:val="24"/>
        </w:rPr>
      </w:pPr>
      <w:r w:rsidRPr="004154A5">
        <w:rPr>
          <w:rFonts w:asciiTheme="majorHAnsi" w:hAnsiTheme="majorHAnsi"/>
          <w:i/>
          <w:sz w:val="24"/>
        </w:rPr>
        <w:t>The problem of public confidence in rehabilitative interventions</w:t>
      </w:r>
    </w:p>
    <w:p w:rsidR="00590244" w:rsidRPr="004154A5" w:rsidRDefault="00590244" w:rsidP="00347A60">
      <w:pPr>
        <w:spacing w:after="0" w:line="360" w:lineRule="auto"/>
        <w:rPr>
          <w:rFonts w:asciiTheme="majorHAnsi" w:hAnsiTheme="majorHAnsi"/>
        </w:rPr>
      </w:pPr>
    </w:p>
    <w:p w:rsidR="00C571EA" w:rsidRPr="004154A5" w:rsidRDefault="00590244" w:rsidP="00347A60">
      <w:pPr>
        <w:spacing w:after="0" w:line="360" w:lineRule="auto"/>
        <w:jc w:val="both"/>
        <w:rPr>
          <w:rFonts w:asciiTheme="majorHAnsi" w:hAnsiTheme="majorHAnsi"/>
        </w:rPr>
      </w:pPr>
      <w:r w:rsidRPr="004154A5">
        <w:rPr>
          <w:rFonts w:asciiTheme="majorHAnsi" w:hAnsiTheme="majorHAnsi"/>
        </w:rPr>
        <w:t xml:space="preserve">In the second instance, failing to treat individuals who have completed their sentences and, in many cases, </w:t>
      </w:r>
      <w:r w:rsidR="00DA6A8E" w:rsidRPr="004154A5">
        <w:rPr>
          <w:rFonts w:asciiTheme="majorHAnsi" w:hAnsiTheme="majorHAnsi"/>
        </w:rPr>
        <w:t xml:space="preserve">who may </w:t>
      </w:r>
      <w:r w:rsidRPr="004154A5">
        <w:rPr>
          <w:rFonts w:asciiTheme="majorHAnsi" w:hAnsiTheme="majorHAnsi"/>
        </w:rPr>
        <w:t xml:space="preserve">have engaged with </w:t>
      </w:r>
      <w:r w:rsidR="00DA6A8E" w:rsidRPr="004154A5">
        <w:rPr>
          <w:rFonts w:asciiTheme="majorHAnsi" w:hAnsiTheme="majorHAnsi"/>
        </w:rPr>
        <w:t>their sentence planning and any interventions aimed at promot</w:t>
      </w:r>
      <w:r w:rsidR="00841DEC" w:rsidRPr="004154A5">
        <w:rPr>
          <w:rFonts w:asciiTheme="majorHAnsi" w:hAnsiTheme="majorHAnsi"/>
        </w:rPr>
        <w:t>ing individual level reform (</w:t>
      </w:r>
      <w:r w:rsidR="00DA6A8E" w:rsidRPr="004154A5">
        <w:rPr>
          <w:rFonts w:asciiTheme="majorHAnsi" w:hAnsiTheme="majorHAnsi"/>
          <w:i/>
        </w:rPr>
        <w:t>psychological</w:t>
      </w:r>
      <w:r w:rsidR="00DA6A8E" w:rsidRPr="004154A5">
        <w:rPr>
          <w:rFonts w:asciiTheme="majorHAnsi" w:hAnsiTheme="majorHAnsi"/>
        </w:rPr>
        <w:t xml:space="preserve"> rehabilitation) </w:t>
      </w:r>
      <w:r w:rsidRPr="004154A5">
        <w:rPr>
          <w:rFonts w:asciiTheme="majorHAnsi" w:hAnsiTheme="majorHAnsi"/>
        </w:rPr>
        <w:t>runs the risk of sending out a message that the government lacks faith in</w:t>
      </w:r>
      <w:r w:rsidR="00577C11" w:rsidRPr="004154A5">
        <w:rPr>
          <w:rFonts w:asciiTheme="majorHAnsi" w:hAnsiTheme="majorHAnsi"/>
        </w:rPr>
        <w:t xml:space="preserve"> the efficacy</w:t>
      </w:r>
      <w:r w:rsidRPr="004154A5">
        <w:rPr>
          <w:rFonts w:asciiTheme="majorHAnsi" w:hAnsiTheme="majorHAnsi"/>
        </w:rPr>
        <w:t xml:space="preserve"> its own measures to reduce</w:t>
      </w:r>
      <w:r w:rsidR="00DA6A8E" w:rsidRPr="004154A5">
        <w:rPr>
          <w:rFonts w:asciiTheme="majorHAnsi" w:hAnsiTheme="majorHAnsi"/>
        </w:rPr>
        <w:t xml:space="preserve"> the risk</w:t>
      </w:r>
      <w:r w:rsidRPr="004154A5">
        <w:rPr>
          <w:rFonts w:asciiTheme="majorHAnsi" w:hAnsiTheme="majorHAnsi"/>
        </w:rPr>
        <w:t xml:space="preserve"> re-offending.</w:t>
      </w:r>
      <w:r w:rsidR="00DA6A8E" w:rsidRPr="004154A5">
        <w:rPr>
          <w:rFonts w:asciiTheme="majorHAnsi" w:hAnsiTheme="majorHAnsi"/>
        </w:rPr>
        <w:t xml:space="preserve">  That is, by maintaining a period of civic purgatory, the post-sentence status of the convicted individual is rendered highly ambiguous since members of the public may assume that if a conviction remains unspent then this is indicative of an ongoing risk on the part of the individual concerned, regardless of any claims of personal reform underpinned by their engagement with rehabilitative activities.  </w:t>
      </w:r>
      <w:r w:rsidR="00C43BC7" w:rsidRPr="004154A5">
        <w:rPr>
          <w:rFonts w:asciiTheme="majorHAnsi" w:hAnsiTheme="majorHAnsi"/>
        </w:rPr>
        <w:t xml:space="preserve">In short, given that one of the stated aims of sentencing is ‘reforming and rehabilitating the offender’ (Sentencing Council 2017) it sends a very confusing message to the public if the law does not </w:t>
      </w:r>
      <w:r w:rsidR="00C43BC7" w:rsidRPr="004154A5">
        <w:rPr>
          <w:rFonts w:asciiTheme="majorHAnsi" w:hAnsiTheme="majorHAnsi"/>
          <w:i/>
        </w:rPr>
        <w:t>recognise rehabilitation</w:t>
      </w:r>
      <w:r w:rsidR="00C43BC7" w:rsidRPr="004154A5">
        <w:rPr>
          <w:rFonts w:asciiTheme="majorHAnsi" w:hAnsiTheme="majorHAnsi"/>
        </w:rPr>
        <w:t xml:space="preserve"> once the sentence is complete.  This runs the risk of undermining the social rehabilitation of the former lawbreaker.  </w:t>
      </w:r>
      <w:r w:rsidR="00577C11" w:rsidRPr="004154A5">
        <w:rPr>
          <w:rFonts w:asciiTheme="majorHAnsi" w:hAnsiTheme="majorHAnsi"/>
        </w:rPr>
        <w:t xml:space="preserve">Indeed, when making a determination about whether or not to offer a job to a person, the employer is likely to be confused by a situation in which an individual claims to have been rehabilitated when the law is not yet prepared to </w:t>
      </w:r>
      <w:r w:rsidR="00841DEC" w:rsidRPr="004154A5">
        <w:rPr>
          <w:rFonts w:asciiTheme="majorHAnsi" w:hAnsiTheme="majorHAnsi"/>
        </w:rPr>
        <w:t>accept</w:t>
      </w:r>
      <w:r w:rsidR="00577C11" w:rsidRPr="004154A5">
        <w:rPr>
          <w:rFonts w:asciiTheme="majorHAnsi" w:hAnsiTheme="majorHAnsi"/>
        </w:rPr>
        <w:t xml:space="preserve"> that rehabilitation. </w:t>
      </w:r>
      <w:r w:rsidR="00DA6A8E" w:rsidRPr="004154A5">
        <w:rPr>
          <w:rFonts w:asciiTheme="majorHAnsi" w:hAnsiTheme="majorHAnsi"/>
        </w:rPr>
        <w:t xml:space="preserve">This situation is also problematic because, as stated above, the utility of criminal records to predict future offending diminishes steadily over time.  Moreover, </w:t>
      </w:r>
      <w:r w:rsidR="00577C11" w:rsidRPr="004154A5">
        <w:rPr>
          <w:rFonts w:asciiTheme="majorHAnsi" w:hAnsiTheme="majorHAnsi"/>
        </w:rPr>
        <w:t xml:space="preserve">as Larrauri (2014b) has highlighted, </w:t>
      </w:r>
      <w:r w:rsidR="00DA6A8E" w:rsidRPr="004154A5">
        <w:rPr>
          <w:rFonts w:asciiTheme="majorHAnsi" w:hAnsiTheme="majorHAnsi"/>
        </w:rPr>
        <w:t>the disclosure of a full criminal record</w:t>
      </w:r>
      <w:r w:rsidR="00A10748" w:rsidRPr="004154A5">
        <w:rPr>
          <w:rFonts w:asciiTheme="majorHAnsi" w:hAnsiTheme="majorHAnsi"/>
        </w:rPr>
        <w:t xml:space="preserve"> (including</w:t>
      </w:r>
      <w:r w:rsidR="00DA6A8E" w:rsidRPr="004154A5">
        <w:rPr>
          <w:rFonts w:asciiTheme="majorHAnsi" w:hAnsiTheme="majorHAnsi"/>
        </w:rPr>
        <w:t xml:space="preserve"> unspent or spent</w:t>
      </w:r>
      <w:r w:rsidR="00A10748" w:rsidRPr="004154A5">
        <w:rPr>
          <w:rFonts w:asciiTheme="majorHAnsi" w:hAnsiTheme="majorHAnsi"/>
        </w:rPr>
        <w:t xml:space="preserve"> convictions and cautions</w:t>
      </w:r>
      <w:r w:rsidR="00DA6A8E" w:rsidRPr="004154A5">
        <w:rPr>
          <w:rFonts w:asciiTheme="majorHAnsi" w:hAnsiTheme="majorHAnsi"/>
        </w:rPr>
        <w:t xml:space="preserve"> depending on the level of </w:t>
      </w:r>
      <w:r w:rsidR="001E6021" w:rsidRPr="004154A5">
        <w:rPr>
          <w:rFonts w:asciiTheme="majorHAnsi" w:hAnsiTheme="majorHAnsi"/>
        </w:rPr>
        <w:t>background check</w:t>
      </w:r>
      <w:r w:rsidR="00A10748" w:rsidRPr="004154A5">
        <w:rPr>
          <w:rFonts w:asciiTheme="majorHAnsi" w:hAnsiTheme="majorHAnsi"/>
        </w:rPr>
        <w:t xml:space="preserve"> performed) may not always be a good proxy for the risk that employers in particular hope to avoid.  For instance, the disclosure of an unspent common assault </w:t>
      </w:r>
      <w:r w:rsidR="001E6021" w:rsidRPr="004154A5">
        <w:rPr>
          <w:rFonts w:asciiTheme="majorHAnsi" w:hAnsiTheme="majorHAnsi"/>
        </w:rPr>
        <w:t>conviction on a ‘basic’ level criminal records check</w:t>
      </w:r>
      <w:r w:rsidR="00A10748" w:rsidRPr="004154A5">
        <w:rPr>
          <w:rFonts w:asciiTheme="majorHAnsi" w:hAnsiTheme="majorHAnsi"/>
        </w:rPr>
        <w:t xml:space="preserve"> tells the employer nothing about an underlying alcohol problem which poses the real risk for a job as a courier.</w:t>
      </w:r>
      <w:r w:rsidR="004313E6" w:rsidRPr="004154A5">
        <w:rPr>
          <w:rFonts w:asciiTheme="majorHAnsi" w:hAnsiTheme="majorHAnsi"/>
        </w:rPr>
        <w:t xml:space="preserve">  </w:t>
      </w:r>
    </w:p>
    <w:p w:rsidR="00590244" w:rsidRPr="004154A5" w:rsidRDefault="00590244" w:rsidP="00347A60">
      <w:pPr>
        <w:spacing w:after="0" w:line="360" w:lineRule="auto"/>
        <w:rPr>
          <w:rFonts w:asciiTheme="majorHAnsi" w:hAnsiTheme="majorHAnsi"/>
        </w:rPr>
      </w:pPr>
    </w:p>
    <w:p w:rsidR="00C43BC7" w:rsidRPr="004154A5" w:rsidRDefault="000C1BCF" w:rsidP="00347A60">
      <w:pPr>
        <w:spacing w:after="0" w:line="360" w:lineRule="auto"/>
        <w:rPr>
          <w:rFonts w:asciiTheme="majorHAnsi" w:hAnsiTheme="majorHAnsi"/>
          <w:i/>
          <w:sz w:val="24"/>
        </w:rPr>
      </w:pPr>
      <w:r w:rsidRPr="004154A5">
        <w:rPr>
          <w:rFonts w:asciiTheme="majorHAnsi" w:hAnsiTheme="majorHAnsi"/>
          <w:i/>
          <w:sz w:val="24"/>
        </w:rPr>
        <w:lastRenderedPageBreak/>
        <w:t>The problem of perceived legitimacy</w:t>
      </w:r>
    </w:p>
    <w:p w:rsidR="00C43BC7" w:rsidRPr="004154A5" w:rsidRDefault="00C43BC7" w:rsidP="00347A60">
      <w:pPr>
        <w:spacing w:after="0" w:line="360" w:lineRule="auto"/>
        <w:rPr>
          <w:rFonts w:asciiTheme="majorHAnsi" w:hAnsiTheme="majorHAnsi"/>
        </w:rPr>
      </w:pPr>
    </w:p>
    <w:p w:rsidR="003D0431" w:rsidRPr="004154A5" w:rsidRDefault="004F3179" w:rsidP="00347A60">
      <w:pPr>
        <w:spacing w:after="0" w:line="360" w:lineRule="auto"/>
        <w:jc w:val="both"/>
        <w:rPr>
          <w:rFonts w:asciiTheme="majorHAnsi" w:hAnsiTheme="majorHAnsi"/>
        </w:rPr>
      </w:pPr>
      <w:r w:rsidRPr="004154A5">
        <w:rPr>
          <w:rFonts w:asciiTheme="majorHAnsi" w:hAnsiTheme="majorHAnsi"/>
        </w:rPr>
        <w:t xml:space="preserve">A third and </w:t>
      </w:r>
      <w:r w:rsidR="003D0431" w:rsidRPr="004154A5">
        <w:rPr>
          <w:rFonts w:asciiTheme="majorHAnsi" w:hAnsiTheme="majorHAnsi"/>
        </w:rPr>
        <w:t>critically important</w:t>
      </w:r>
      <w:r w:rsidRPr="004154A5">
        <w:rPr>
          <w:rFonts w:asciiTheme="majorHAnsi" w:hAnsiTheme="majorHAnsi"/>
        </w:rPr>
        <w:t xml:space="preserve"> problem arising from the state of civic purgatory is that it may undermine the perceived legitimacy of rehabilitative interventions from the perspective of those required to engage in them.</w:t>
      </w:r>
      <w:r w:rsidR="000C1BCF" w:rsidRPr="004154A5">
        <w:rPr>
          <w:rFonts w:asciiTheme="majorHAnsi" w:hAnsiTheme="majorHAnsi"/>
        </w:rPr>
        <w:t xml:space="preserve">  That is, for those lawbreakers who have been required to undergo supervision and to engage with rehabilitative activities, a sense of injustice is likely to arise if, following the successful completion of a sentence, they discover that the law does not treat them as a ‘rehabilitated person’</w:t>
      </w:r>
      <w:r w:rsidR="00CF2312" w:rsidRPr="004154A5">
        <w:rPr>
          <w:rFonts w:asciiTheme="majorHAnsi" w:hAnsiTheme="majorHAnsi"/>
        </w:rPr>
        <w:t xml:space="preserve"> for a lengthy period afterwards (if ever).  If</w:t>
      </w:r>
      <w:r w:rsidR="00864795" w:rsidRPr="004154A5">
        <w:rPr>
          <w:rFonts w:asciiTheme="majorHAnsi" w:hAnsiTheme="majorHAnsi"/>
        </w:rPr>
        <w:t xml:space="preserve"> </w:t>
      </w:r>
      <w:r w:rsidR="00CF2312" w:rsidRPr="004154A5">
        <w:rPr>
          <w:rFonts w:asciiTheme="majorHAnsi" w:hAnsiTheme="majorHAnsi"/>
        </w:rPr>
        <w:t>we accept the idea that punishment serves an expressive purpose of communicating social disapproval to lawbreakers</w:t>
      </w:r>
      <w:r w:rsidR="00691F77" w:rsidRPr="004154A5">
        <w:rPr>
          <w:rFonts w:asciiTheme="majorHAnsi" w:hAnsiTheme="majorHAnsi"/>
        </w:rPr>
        <w:t xml:space="preserve"> (following Duff 2001)</w:t>
      </w:r>
      <w:r w:rsidR="00CF2312" w:rsidRPr="004154A5">
        <w:rPr>
          <w:rFonts w:asciiTheme="majorHAnsi" w:hAnsiTheme="majorHAnsi"/>
        </w:rPr>
        <w:t xml:space="preserve">, the failure to formally recognise and legally protect the status of a person who has complied with supervision and engaged </w:t>
      </w:r>
      <w:r w:rsidR="00691F77" w:rsidRPr="004154A5">
        <w:rPr>
          <w:rFonts w:asciiTheme="majorHAnsi" w:hAnsiTheme="majorHAnsi"/>
        </w:rPr>
        <w:t xml:space="preserve">fully </w:t>
      </w:r>
      <w:r w:rsidR="00CF2312" w:rsidRPr="004154A5">
        <w:rPr>
          <w:rFonts w:asciiTheme="majorHAnsi" w:hAnsiTheme="majorHAnsi"/>
        </w:rPr>
        <w:t xml:space="preserve">with </w:t>
      </w:r>
      <w:r w:rsidR="00841DEC" w:rsidRPr="004154A5">
        <w:rPr>
          <w:rFonts w:asciiTheme="majorHAnsi" w:hAnsiTheme="majorHAnsi"/>
        </w:rPr>
        <w:t xml:space="preserve">any </w:t>
      </w:r>
      <w:r w:rsidR="00CF2312" w:rsidRPr="004154A5">
        <w:rPr>
          <w:rFonts w:asciiTheme="majorHAnsi" w:hAnsiTheme="majorHAnsi"/>
        </w:rPr>
        <w:t xml:space="preserve">rehabilitative interventions sends </w:t>
      </w:r>
      <w:r w:rsidR="00691F77" w:rsidRPr="004154A5">
        <w:rPr>
          <w:rFonts w:asciiTheme="majorHAnsi" w:hAnsiTheme="majorHAnsi"/>
        </w:rPr>
        <w:t>a particularly</w:t>
      </w:r>
      <w:r w:rsidR="00CF2312" w:rsidRPr="004154A5">
        <w:rPr>
          <w:rFonts w:asciiTheme="majorHAnsi" w:hAnsiTheme="majorHAnsi"/>
        </w:rPr>
        <w:t xml:space="preserve"> harsh message – not only to them, but also to other </w:t>
      </w:r>
      <w:r w:rsidR="00691F77" w:rsidRPr="004154A5">
        <w:rPr>
          <w:rFonts w:asciiTheme="majorHAnsi" w:hAnsiTheme="majorHAnsi"/>
        </w:rPr>
        <w:t>potential</w:t>
      </w:r>
      <w:r w:rsidR="00CF2312" w:rsidRPr="004154A5">
        <w:rPr>
          <w:rFonts w:asciiTheme="majorHAnsi" w:hAnsiTheme="majorHAnsi"/>
        </w:rPr>
        <w:t xml:space="preserve"> desisters</w:t>
      </w:r>
      <w:r w:rsidR="003D0431" w:rsidRPr="004154A5">
        <w:rPr>
          <w:rFonts w:asciiTheme="majorHAnsi" w:hAnsiTheme="majorHAnsi"/>
        </w:rPr>
        <w:t xml:space="preserve"> -</w:t>
      </w:r>
      <w:r w:rsidR="00691F77" w:rsidRPr="004154A5">
        <w:rPr>
          <w:rFonts w:asciiTheme="majorHAnsi" w:hAnsiTheme="majorHAnsi"/>
        </w:rPr>
        <w:t xml:space="preserve"> that the law, the state and society are not prepared to reciprocate when genuine efforts at ‘making good’ (Maruna 2001) take place</w:t>
      </w:r>
      <w:r w:rsidR="00CF2312" w:rsidRPr="004154A5">
        <w:rPr>
          <w:rFonts w:asciiTheme="majorHAnsi" w:hAnsiTheme="majorHAnsi"/>
        </w:rPr>
        <w:t xml:space="preserve">.  </w:t>
      </w:r>
    </w:p>
    <w:p w:rsidR="004F3179" w:rsidRPr="004154A5" w:rsidRDefault="00CF2312" w:rsidP="00347A60">
      <w:pPr>
        <w:spacing w:after="0" w:line="360" w:lineRule="auto"/>
        <w:ind w:firstLine="720"/>
        <w:jc w:val="both"/>
        <w:rPr>
          <w:rFonts w:asciiTheme="majorHAnsi" w:hAnsiTheme="majorHAnsi"/>
        </w:rPr>
      </w:pPr>
      <w:r w:rsidRPr="004154A5">
        <w:rPr>
          <w:rFonts w:asciiTheme="majorHAnsi" w:hAnsiTheme="majorHAnsi"/>
        </w:rPr>
        <w:t xml:space="preserve">The period of civic purgatory </w:t>
      </w:r>
      <w:r w:rsidR="00691F77" w:rsidRPr="004154A5">
        <w:rPr>
          <w:rFonts w:asciiTheme="majorHAnsi" w:hAnsiTheme="majorHAnsi"/>
        </w:rPr>
        <w:t>following a sentence is therefore likely to lead to feelings of injustice.  This is important, since Tyler (1990) has argued that people do not comply with the law simply because they fear punishment but because they feel that legal authorities are legitimate and that their actions are generally fair</w:t>
      </w:r>
      <w:r w:rsidR="002308C6" w:rsidRPr="004154A5">
        <w:rPr>
          <w:rFonts w:asciiTheme="majorHAnsi" w:hAnsiTheme="majorHAnsi"/>
        </w:rPr>
        <w:t xml:space="preserve"> (for a discussion see Bottoms and Tankebe 2012)</w:t>
      </w:r>
      <w:r w:rsidR="00691F77" w:rsidRPr="004154A5">
        <w:rPr>
          <w:rFonts w:asciiTheme="majorHAnsi" w:hAnsiTheme="majorHAnsi"/>
        </w:rPr>
        <w:t>.</w:t>
      </w:r>
      <w:r w:rsidR="00864795" w:rsidRPr="004154A5">
        <w:rPr>
          <w:rFonts w:asciiTheme="majorHAnsi" w:hAnsiTheme="majorHAnsi"/>
        </w:rPr>
        <w:t xml:space="preserve">  Given that </w:t>
      </w:r>
      <w:r w:rsidR="002308C6" w:rsidRPr="004154A5">
        <w:rPr>
          <w:rFonts w:asciiTheme="majorHAnsi" w:hAnsiTheme="majorHAnsi"/>
        </w:rPr>
        <w:t>many thousands</w:t>
      </w:r>
      <w:r w:rsidR="00864795" w:rsidRPr="004154A5">
        <w:rPr>
          <w:rFonts w:asciiTheme="majorHAnsi" w:hAnsiTheme="majorHAnsi"/>
        </w:rPr>
        <w:t xml:space="preserve"> more people each year are </w:t>
      </w:r>
      <w:r w:rsidR="00CE3212" w:rsidRPr="004154A5">
        <w:rPr>
          <w:rFonts w:asciiTheme="majorHAnsi" w:hAnsiTheme="majorHAnsi"/>
        </w:rPr>
        <w:t xml:space="preserve">now </w:t>
      </w:r>
      <w:r w:rsidR="002308C6" w:rsidRPr="004154A5">
        <w:rPr>
          <w:rFonts w:asciiTheme="majorHAnsi" w:hAnsiTheme="majorHAnsi"/>
        </w:rPr>
        <w:t>required to participate in</w:t>
      </w:r>
      <w:r w:rsidR="00864795" w:rsidRPr="004154A5">
        <w:rPr>
          <w:rFonts w:asciiTheme="majorHAnsi" w:hAnsiTheme="majorHAnsi"/>
        </w:rPr>
        <w:t xml:space="preserve"> rehabilitative activity as a result of the ORA</w:t>
      </w:r>
      <w:r w:rsidR="00CE3212" w:rsidRPr="004154A5">
        <w:rPr>
          <w:rFonts w:asciiTheme="majorHAnsi" w:hAnsiTheme="majorHAnsi"/>
        </w:rPr>
        <w:t xml:space="preserve"> and</w:t>
      </w:r>
      <w:r w:rsidR="00864795" w:rsidRPr="004154A5">
        <w:rPr>
          <w:rFonts w:asciiTheme="majorHAnsi" w:hAnsiTheme="majorHAnsi"/>
        </w:rPr>
        <w:t xml:space="preserve"> that approximately seven thousand people each year </w:t>
      </w:r>
      <w:r w:rsidR="00CE3212" w:rsidRPr="004154A5">
        <w:rPr>
          <w:rFonts w:asciiTheme="majorHAnsi" w:hAnsiTheme="majorHAnsi"/>
        </w:rPr>
        <w:t>receive</w:t>
      </w:r>
      <w:r w:rsidR="00864795" w:rsidRPr="004154A5">
        <w:rPr>
          <w:rFonts w:asciiTheme="majorHAnsi" w:hAnsiTheme="majorHAnsi"/>
        </w:rPr>
        <w:t xml:space="preserve"> a sentence which cannot become spent under the ROA (see Table 3)</w:t>
      </w:r>
      <w:r w:rsidR="00CE3212" w:rsidRPr="004154A5">
        <w:rPr>
          <w:rFonts w:asciiTheme="majorHAnsi" w:hAnsiTheme="majorHAnsi"/>
        </w:rPr>
        <w:t>,</w:t>
      </w:r>
      <w:r w:rsidR="00864795" w:rsidRPr="004154A5">
        <w:rPr>
          <w:rFonts w:asciiTheme="majorHAnsi" w:hAnsiTheme="majorHAnsi"/>
        </w:rPr>
        <w:t xml:space="preserve"> this </w:t>
      </w:r>
      <w:r w:rsidR="00927015" w:rsidRPr="004154A5">
        <w:rPr>
          <w:rFonts w:asciiTheme="majorHAnsi" w:hAnsiTheme="majorHAnsi"/>
        </w:rPr>
        <w:t xml:space="preserve">problem of perceived legitimacy </w:t>
      </w:r>
      <w:r w:rsidR="00864795" w:rsidRPr="004154A5">
        <w:rPr>
          <w:rFonts w:asciiTheme="majorHAnsi" w:hAnsiTheme="majorHAnsi"/>
        </w:rPr>
        <w:t xml:space="preserve">would appear to be </w:t>
      </w:r>
      <w:r w:rsidR="00927015" w:rsidRPr="004154A5">
        <w:rPr>
          <w:rFonts w:asciiTheme="majorHAnsi" w:hAnsiTheme="majorHAnsi"/>
        </w:rPr>
        <w:t xml:space="preserve">both </w:t>
      </w:r>
      <w:r w:rsidR="00864795" w:rsidRPr="004154A5">
        <w:rPr>
          <w:rFonts w:asciiTheme="majorHAnsi" w:hAnsiTheme="majorHAnsi"/>
        </w:rPr>
        <w:t xml:space="preserve">a substantial and growing </w:t>
      </w:r>
      <w:r w:rsidR="00927015" w:rsidRPr="004154A5">
        <w:rPr>
          <w:rFonts w:asciiTheme="majorHAnsi" w:hAnsiTheme="majorHAnsi"/>
        </w:rPr>
        <w:t>one</w:t>
      </w:r>
      <w:r w:rsidR="00864795" w:rsidRPr="004154A5">
        <w:rPr>
          <w:rFonts w:asciiTheme="majorHAnsi" w:hAnsiTheme="majorHAnsi"/>
        </w:rPr>
        <w:t>.</w:t>
      </w:r>
    </w:p>
    <w:p w:rsidR="00347A60" w:rsidRPr="004154A5" w:rsidRDefault="00347A60" w:rsidP="00347A60">
      <w:pPr>
        <w:spacing w:after="0" w:line="360" w:lineRule="auto"/>
        <w:jc w:val="both"/>
        <w:rPr>
          <w:rFonts w:asciiTheme="majorHAnsi" w:hAnsiTheme="majorHAnsi"/>
          <w:b/>
          <w:sz w:val="28"/>
        </w:rPr>
      </w:pPr>
    </w:p>
    <w:p w:rsidR="00864795" w:rsidRPr="004154A5" w:rsidRDefault="00864795" w:rsidP="00347A60">
      <w:pPr>
        <w:spacing w:after="0" w:line="360" w:lineRule="auto"/>
        <w:jc w:val="both"/>
        <w:rPr>
          <w:rFonts w:asciiTheme="majorHAnsi" w:hAnsiTheme="majorHAnsi"/>
          <w:b/>
          <w:sz w:val="28"/>
        </w:rPr>
      </w:pPr>
      <w:r w:rsidRPr="004154A5">
        <w:rPr>
          <w:rFonts w:asciiTheme="majorHAnsi" w:hAnsiTheme="majorHAnsi"/>
          <w:b/>
          <w:sz w:val="28"/>
        </w:rPr>
        <w:t>Reconciling sentencing, supervision and legal rehabilitation</w:t>
      </w:r>
    </w:p>
    <w:p w:rsidR="004F3179" w:rsidRPr="004154A5" w:rsidRDefault="004F3179" w:rsidP="00347A60">
      <w:pPr>
        <w:spacing w:after="0" w:line="360" w:lineRule="auto"/>
        <w:jc w:val="both"/>
        <w:rPr>
          <w:rFonts w:asciiTheme="majorHAnsi" w:hAnsiTheme="majorHAnsi"/>
          <w:color w:val="FF0000"/>
        </w:rPr>
      </w:pPr>
    </w:p>
    <w:p w:rsidR="00AA1750" w:rsidRPr="004154A5" w:rsidRDefault="00AA1750" w:rsidP="00347A60">
      <w:pPr>
        <w:spacing w:after="0" w:line="360" w:lineRule="auto"/>
        <w:jc w:val="both"/>
        <w:rPr>
          <w:rFonts w:asciiTheme="majorHAnsi" w:hAnsiTheme="majorHAnsi"/>
        </w:rPr>
      </w:pPr>
      <w:r w:rsidRPr="004154A5">
        <w:rPr>
          <w:rFonts w:asciiTheme="majorHAnsi" w:eastAsia="Times New Roman" w:hAnsiTheme="majorHAnsi" w:cs="Arial"/>
          <w:szCs w:val="19"/>
          <w:lang w:eastAsia="en-GB"/>
        </w:rPr>
        <w:t>There is, arguably,</w:t>
      </w:r>
      <w:r w:rsidRPr="004154A5">
        <w:rPr>
          <w:rFonts w:asciiTheme="majorHAnsi" w:hAnsiTheme="majorHAnsi"/>
        </w:rPr>
        <w:t xml:space="preserve"> an inherent absurdity of intervening </w:t>
      </w:r>
      <w:r w:rsidR="00944588" w:rsidRPr="004154A5">
        <w:rPr>
          <w:rFonts w:asciiTheme="majorHAnsi" w:hAnsiTheme="majorHAnsi"/>
        </w:rPr>
        <w:t>further</w:t>
      </w:r>
      <w:r w:rsidRPr="004154A5">
        <w:rPr>
          <w:rFonts w:asciiTheme="majorHAnsi" w:hAnsiTheme="majorHAnsi"/>
        </w:rPr>
        <w:t xml:space="preserve"> in the lives of </w:t>
      </w:r>
      <w:r w:rsidR="00944588" w:rsidRPr="004154A5">
        <w:rPr>
          <w:rFonts w:asciiTheme="majorHAnsi" w:hAnsiTheme="majorHAnsi"/>
        </w:rPr>
        <w:t xml:space="preserve">more </w:t>
      </w:r>
      <w:r w:rsidRPr="004154A5">
        <w:rPr>
          <w:rFonts w:asciiTheme="majorHAnsi" w:hAnsiTheme="majorHAnsi"/>
        </w:rPr>
        <w:t xml:space="preserve">lawbreakers through an expanded system of </w:t>
      </w:r>
      <w:r w:rsidR="00944588" w:rsidRPr="004154A5">
        <w:rPr>
          <w:rFonts w:asciiTheme="majorHAnsi" w:hAnsiTheme="majorHAnsi"/>
        </w:rPr>
        <w:t>statutory</w:t>
      </w:r>
      <w:r w:rsidRPr="004154A5">
        <w:rPr>
          <w:rFonts w:asciiTheme="majorHAnsi" w:hAnsiTheme="majorHAnsi"/>
        </w:rPr>
        <w:t xml:space="preserve"> supervision but then undermining the efforts of those involved in probation work by attempting to ‘resettle’ people with convictions in a hostile social climate where discrimination based on criminal records is widespread.  Moreover, as alluded to above, if the government has any confidence in the efficacy of its rehabilitation programs, natural justice demands that the law also treat the individual as rehabilitated after the conclusion</w:t>
      </w:r>
      <w:r w:rsidR="00944588" w:rsidRPr="004154A5">
        <w:rPr>
          <w:rFonts w:asciiTheme="majorHAnsi" w:hAnsiTheme="majorHAnsi"/>
        </w:rPr>
        <w:t xml:space="preserve"> of the</w:t>
      </w:r>
      <w:r w:rsidRPr="004154A5">
        <w:rPr>
          <w:rFonts w:asciiTheme="majorHAnsi" w:hAnsiTheme="majorHAnsi"/>
        </w:rPr>
        <w:t xml:space="preserve"> sentence.  To do otherwise suggests that the government is unwilling to commit to the requalification of former lawbreakers as citizens of equal merit once attempts at social and psychological rehabilitation are complete.  However, legal rehabilitation evidently </w:t>
      </w:r>
      <w:r w:rsidRPr="004154A5">
        <w:rPr>
          <w:rFonts w:asciiTheme="majorHAnsi" w:hAnsiTheme="majorHAnsi"/>
        </w:rPr>
        <w:lastRenderedPageBreak/>
        <w:t xml:space="preserve">remains something of an afterthought within </w:t>
      </w:r>
      <w:r w:rsidR="00944588" w:rsidRPr="004154A5">
        <w:rPr>
          <w:rFonts w:asciiTheme="majorHAnsi" w:hAnsiTheme="majorHAnsi"/>
        </w:rPr>
        <w:t xml:space="preserve">the </w:t>
      </w:r>
      <w:r w:rsidRPr="004154A5">
        <w:rPr>
          <w:rFonts w:asciiTheme="majorHAnsi" w:hAnsiTheme="majorHAnsi"/>
        </w:rPr>
        <w:t>current approach</w:t>
      </w:r>
      <w:r w:rsidR="00944588" w:rsidRPr="004154A5">
        <w:rPr>
          <w:rFonts w:asciiTheme="majorHAnsi" w:hAnsiTheme="majorHAnsi"/>
        </w:rPr>
        <w:t xml:space="preserve"> resulting in</w:t>
      </w:r>
      <w:r w:rsidRPr="004154A5">
        <w:rPr>
          <w:rFonts w:asciiTheme="majorHAnsi" w:hAnsiTheme="majorHAnsi"/>
        </w:rPr>
        <w:t xml:space="preserve"> the problems of civic purgatory identified </w:t>
      </w:r>
      <w:r w:rsidR="00944588" w:rsidRPr="004154A5">
        <w:rPr>
          <w:rFonts w:asciiTheme="majorHAnsi" w:hAnsiTheme="majorHAnsi"/>
        </w:rPr>
        <w:t>above</w:t>
      </w:r>
      <w:r w:rsidRPr="004154A5">
        <w:rPr>
          <w:rFonts w:asciiTheme="majorHAnsi" w:hAnsiTheme="majorHAnsi"/>
        </w:rPr>
        <w:t>.</w:t>
      </w:r>
    </w:p>
    <w:p w:rsidR="003817B8" w:rsidRPr="004154A5" w:rsidRDefault="008474A8" w:rsidP="00347A60">
      <w:pPr>
        <w:spacing w:after="0" w:line="360" w:lineRule="auto"/>
        <w:ind w:firstLine="720"/>
        <w:jc w:val="both"/>
        <w:rPr>
          <w:rFonts w:asciiTheme="majorHAnsi" w:hAnsiTheme="majorHAnsi"/>
        </w:rPr>
      </w:pPr>
      <w:r w:rsidRPr="004154A5">
        <w:rPr>
          <w:rFonts w:asciiTheme="majorHAnsi" w:hAnsiTheme="majorHAnsi"/>
        </w:rPr>
        <w:t xml:space="preserve">In order to both mitigate the problematic elements of civic purgatory and to reconcile the processes of sentencing, supervision and legal rehabilitation, I contend that there is a pressing need to work towards a fully-integrated approach to rehabilitation which achieves greater parity between the four elements of rehabilitation (psychological, moral, social and legal) in McNeill’s (2012) model.  </w:t>
      </w:r>
      <w:r w:rsidR="003817B8" w:rsidRPr="004154A5">
        <w:rPr>
          <w:rFonts w:asciiTheme="majorHAnsi" w:hAnsiTheme="majorHAnsi"/>
        </w:rPr>
        <w:t>Whilst the points made here are about legal rehabilitation,</w:t>
      </w:r>
      <w:r w:rsidR="003817B8" w:rsidRPr="004154A5">
        <w:rPr>
          <w:rFonts w:asciiTheme="majorHAnsi" w:hAnsiTheme="majorHAnsi"/>
          <w:b/>
        </w:rPr>
        <w:t xml:space="preserve"> </w:t>
      </w:r>
      <w:r w:rsidR="003817B8" w:rsidRPr="004154A5">
        <w:rPr>
          <w:rFonts w:asciiTheme="majorHAnsi" w:hAnsiTheme="majorHAnsi"/>
        </w:rPr>
        <w:t xml:space="preserve">McNeill has argued that the lack of social rehabilitation is at the root of a ‘hostile correctional climate…and it lies behind the mistranslation, corruption, and misuse of rehabilitation theories’ (p.15).  Indeed, Mawby and Worrall (2011; 2103) have noted how the occupational culture of probation workers has been shifted away from its traditional ‘social-work’ foundations and towards ‘offender management’ approaches which are heavily invested in compliance, enforcement and risk-prevention.  </w:t>
      </w:r>
    </w:p>
    <w:p w:rsidR="003817B8" w:rsidRPr="004154A5" w:rsidRDefault="008474A8" w:rsidP="00347A60">
      <w:pPr>
        <w:spacing w:after="0" w:line="360" w:lineRule="auto"/>
        <w:ind w:firstLine="720"/>
        <w:jc w:val="both"/>
        <w:rPr>
          <w:rFonts w:asciiTheme="majorHAnsi" w:eastAsia="Times New Roman" w:hAnsiTheme="majorHAnsi" w:cs="Arial"/>
          <w:szCs w:val="19"/>
          <w:lang w:eastAsia="en-GB"/>
        </w:rPr>
      </w:pPr>
      <w:r w:rsidRPr="004154A5">
        <w:rPr>
          <w:rFonts w:asciiTheme="majorHAnsi" w:eastAsia="Times New Roman" w:hAnsiTheme="majorHAnsi" w:cs="Arial"/>
          <w:szCs w:val="19"/>
          <w:lang w:eastAsia="en-GB"/>
        </w:rPr>
        <w:t xml:space="preserve">In moving towards </w:t>
      </w:r>
      <w:r w:rsidR="003817B8" w:rsidRPr="004154A5">
        <w:rPr>
          <w:rFonts w:asciiTheme="majorHAnsi" w:eastAsia="Times New Roman" w:hAnsiTheme="majorHAnsi" w:cs="Arial"/>
          <w:szCs w:val="19"/>
          <w:lang w:eastAsia="en-GB"/>
        </w:rPr>
        <w:t xml:space="preserve">such a more ‘integrated’ </w:t>
      </w:r>
      <w:r w:rsidRPr="004154A5">
        <w:rPr>
          <w:rFonts w:asciiTheme="majorHAnsi" w:eastAsia="Times New Roman" w:hAnsiTheme="majorHAnsi" w:cs="Arial"/>
          <w:szCs w:val="19"/>
          <w:lang w:eastAsia="en-GB"/>
        </w:rPr>
        <w:t>approach it will be necessary to rethink the dominant utilitarian penal philosophy which seems to take precedence over any 'ethics of duty' in rehabilitation.  To explain, the Transforming Rehabilitation agenda has largely been advanced on utilitarian grounds of reducing public expenditure and maximising public protection rather than through a deontological approach which ‘says that we should rehabilitate offenders because it is just…because each individual has moral importance and we should make every reasonable attempt to assist offenders in the transformation from criminal to law abiding citizen’ (Brooks 2012: 52).  The deontological grounding for rehabilitation matters precisely because the perceived legitimacy of criminal justice</w:t>
      </w:r>
      <w:r w:rsidR="00CE3212" w:rsidRPr="004154A5">
        <w:rPr>
          <w:rFonts w:asciiTheme="majorHAnsi" w:eastAsia="Times New Roman" w:hAnsiTheme="majorHAnsi" w:cs="Arial"/>
          <w:szCs w:val="19"/>
          <w:lang w:eastAsia="en-GB"/>
        </w:rPr>
        <w:t xml:space="preserve"> sanctions is</w:t>
      </w:r>
      <w:r w:rsidRPr="004154A5">
        <w:rPr>
          <w:rFonts w:asciiTheme="majorHAnsi" w:eastAsia="Times New Roman" w:hAnsiTheme="majorHAnsi" w:cs="Arial"/>
          <w:szCs w:val="19"/>
          <w:lang w:eastAsia="en-GB"/>
        </w:rPr>
        <w:t xml:space="preserve"> undermined by civic purgatory not only for those </w:t>
      </w:r>
      <w:r w:rsidRPr="004154A5">
        <w:rPr>
          <w:rFonts w:asciiTheme="majorHAnsi" w:eastAsia="Times New Roman" w:hAnsiTheme="majorHAnsi" w:cs="Arial"/>
          <w:i/>
          <w:szCs w:val="19"/>
          <w:lang w:eastAsia="en-GB"/>
        </w:rPr>
        <w:t>currently</w:t>
      </w:r>
      <w:r w:rsidRPr="004154A5">
        <w:rPr>
          <w:rFonts w:asciiTheme="majorHAnsi" w:eastAsia="Times New Roman" w:hAnsiTheme="majorHAnsi" w:cs="Arial"/>
          <w:szCs w:val="19"/>
          <w:lang w:eastAsia="en-GB"/>
        </w:rPr>
        <w:t xml:space="preserve"> serving sentences</w:t>
      </w:r>
      <w:r w:rsidR="00CE3212" w:rsidRPr="004154A5">
        <w:rPr>
          <w:rFonts w:asciiTheme="majorHAnsi" w:eastAsia="Times New Roman" w:hAnsiTheme="majorHAnsi" w:cs="Arial"/>
          <w:szCs w:val="19"/>
          <w:lang w:eastAsia="en-GB"/>
        </w:rPr>
        <w:t xml:space="preserve"> but also for the over 11 million people in the UK who have a potentially disclosable criminal record recorded on the Police National Computer (Home Office 2017).  </w:t>
      </w:r>
    </w:p>
    <w:p w:rsidR="003817B8" w:rsidRPr="004154A5" w:rsidRDefault="00CE3212" w:rsidP="00347A60">
      <w:pPr>
        <w:spacing w:after="0" w:line="360" w:lineRule="auto"/>
        <w:ind w:firstLine="720"/>
        <w:jc w:val="both"/>
        <w:rPr>
          <w:rFonts w:asciiTheme="majorHAnsi" w:hAnsiTheme="majorHAnsi"/>
        </w:rPr>
      </w:pPr>
      <w:r w:rsidRPr="004154A5">
        <w:rPr>
          <w:rFonts w:asciiTheme="majorHAnsi" w:eastAsia="Times New Roman" w:hAnsiTheme="majorHAnsi" w:cs="Arial"/>
          <w:szCs w:val="19"/>
          <w:lang w:eastAsia="en-GB"/>
        </w:rPr>
        <w:t>In order for these people to perceive sentencing and supervision arrangements as ‘just’ they must feel that they have been genuinely given a ‘second chance’.  Thus there is a moral duty to return people to society unencumbered by the stigma of their punishment.</w:t>
      </w:r>
      <w:r w:rsidR="0027183F" w:rsidRPr="004154A5">
        <w:rPr>
          <w:rFonts w:asciiTheme="majorHAnsi" w:eastAsia="Times New Roman" w:hAnsiTheme="majorHAnsi" w:cs="Arial"/>
          <w:szCs w:val="19"/>
          <w:lang w:eastAsia="en-GB"/>
        </w:rPr>
        <w:t xml:space="preserve">  </w:t>
      </w:r>
      <w:r w:rsidR="003817B8" w:rsidRPr="004154A5">
        <w:rPr>
          <w:rFonts w:asciiTheme="majorHAnsi" w:hAnsiTheme="majorHAnsi"/>
        </w:rPr>
        <w:t xml:space="preserve">However, this is not </w:t>
      </w:r>
      <w:r w:rsidR="001D3157" w:rsidRPr="004154A5">
        <w:rPr>
          <w:rFonts w:asciiTheme="majorHAnsi" w:hAnsiTheme="majorHAnsi"/>
        </w:rPr>
        <w:t xml:space="preserve">to undermine other competing demands </w:t>
      </w:r>
      <w:r w:rsidR="00944588" w:rsidRPr="004154A5">
        <w:rPr>
          <w:rFonts w:asciiTheme="majorHAnsi" w:hAnsiTheme="majorHAnsi"/>
        </w:rPr>
        <w:t xml:space="preserve">on sentencers </w:t>
      </w:r>
      <w:r w:rsidR="001D3157" w:rsidRPr="004154A5">
        <w:rPr>
          <w:rFonts w:asciiTheme="majorHAnsi" w:hAnsiTheme="majorHAnsi"/>
        </w:rPr>
        <w:t xml:space="preserve">that lawbreakers should receive their ‘just deserts’ for wrongdoing.  </w:t>
      </w:r>
      <w:r w:rsidR="003817B8" w:rsidRPr="004154A5">
        <w:rPr>
          <w:rFonts w:asciiTheme="majorHAnsi" w:hAnsiTheme="majorHAnsi"/>
        </w:rPr>
        <w:t xml:space="preserve">Canton (2017) has argued that the ‘right to rehabilitation’, far from being at being at odds with more retributive approaches to criminal justice, is in fact </w:t>
      </w:r>
      <w:r w:rsidR="003817B8" w:rsidRPr="004154A5">
        <w:rPr>
          <w:rFonts w:asciiTheme="majorHAnsi" w:hAnsiTheme="majorHAnsi"/>
          <w:i/>
        </w:rPr>
        <w:t>required</w:t>
      </w:r>
      <w:r w:rsidR="003817B8" w:rsidRPr="004154A5">
        <w:rPr>
          <w:rFonts w:asciiTheme="majorHAnsi" w:hAnsiTheme="majorHAnsi"/>
        </w:rPr>
        <w:t xml:space="preserve"> by the retributivist demand for proportion in punishment</w:t>
      </w:r>
      <w:r w:rsidR="00944588" w:rsidRPr="004154A5">
        <w:rPr>
          <w:rFonts w:asciiTheme="majorHAnsi" w:hAnsiTheme="majorHAnsi"/>
        </w:rPr>
        <w:t>.  He suggests that</w:t>
      </w:r>
      <w:r w:rsidR="003817B8" w:rsidRPr="004154A5">
        <w:rPr>
          <w:rFonts w:asciiTheme="majorHAnsi" w:hAnsiTheme="majorHAnsi"/>
        </w:rPr>
        <w:t xml:space="preserve">: </w:t>
      </w:r>
    </w:p>
    <w:p w:rsidR="003817B8" w:rsidRPr="004154A5" w:rsidRDefault="003817B8" w:rsidP="00347A60">
      <w:pPr>
        <w:spacing w:after="0" w:line="360" w:lineRule="auto"/>
        <w:ind w:firstLine="720"/>
        <w:jc w:val="both"/>
        <w:rPr>
          <w:rFonts w:asciiTheme="majorHAnsi" w:hAnsiTheme="majorHAnsi"/>
        </w:rPr>
      </w:pPr>
    </w:p>
    <w:p w:rsidR="003817B8" w:rsidRPr="004154A5" w:rsidRDefault="003817B8" w:rsidP="00347A60">
      <w:pPr>
        <w:spacing w:line="360" w:lineRule="auto"/>
        <w:ind w:left="567" w:right="521"/>
        <w:jc w:val="both"/>
        <w:rPr>
          <w:rFonts w:asciiTheme="majorHAnsi" w:hAnsiTheme="majorHAnsi"/>
        </w:rPr>
      </w:pPr>
      <w:r w:rsidRPr="004154A5">
        <w:rPr>
          <w:rFonts w:asciiTheme="majorHAnsi" w:hAnsiTheme="majorHAnsi"/>
        </w:rPr>
        <w:t xml:space="preserve">once the punishment has been served, the standing of the ex-offender should be the same as that of anybody else, and retributivists ought to welcome attempts to restore people to their due status.  Moreover, unintended punitive elements - </w:t>
      </w:r>
      <w:r w:rsidRPr="004154A5">
        <w:rPr>
          <w:rFonts w:asciiTheme="majorHAnsi" w:hAnsiTheme="majorHAnsi"/>
        </w:rPr>
        <w:lastRenderedPageBreak/>
        <w:t xml:space="preserve">deprivations or hardships that </w:t>
      </w:r>
      <w:r w:rsidR="001D3157" w:rsidRPr="004154A5">
        <w:rPr>
          <w:rFonts w:asciiTheme="majorHAnsi" w:hAnsiTheme="majorHAnsi"/>
        </w:rPr>
        <w:t xml:space="preserve">are </w:t>
      </w:r>
      <w:r w:rsidRPr="004154A5">
        <w:rPr>
          <w:rFonts w:asciiTheme="majorHAnsi" w:hAnsiTheme="majorHAnsi"/>
        </w:rPr>
        <w:t>not part of the justly imposed sentence but may follow from it (like loss of accommodation, unemployment, stigma) – are retributively unjust and therefore ough</w:t>
      </w:r>
      <w:r w:rsidR="00944588" w:rsidRPr="004154A5">
        <w:rPr>
          <w:rFonts w:asciiTheme="majorHAnsi" w:hAnsiTheme="majorHAnsi"/>
        </w:rPr>
        <w:t>t to be minimised or redressed.</w:t>
      </w:r>
      <w:r w:rsidRPr="004154A5">
        <w:rPr>
          <w:rFonts w:asciiTheme="majorHAnsi" w:hAnsiTheme="majorHAnsi"/>
        </w:rPr>
        <w:t xml:space="preserve"> (pp. 120-121)</w:t>
      </w:r>
    </w:p>
    <w:p w:rsidR="00E02B30" w:rsidRPr="004154A5" w:rsidRDefault="00B21C4F" w:rsidP="00347A60">
      <w:pPr>
        <w:spacing w:after="0" w:line="360" w:lineRule="auto"/>
        <w:jc w:val="both"/>
        <w:rPr>
          <w:rFonts w:asciiTheme="majorHAnsi" w:hAnsiTheme="majorHAnsi"/>
        </w:rPr>
      </w:pPr>
      <w:r w:rsidRPr="004154A5">
        <w:rPr>
          <w:rFonts w:asciiTheme="majorHAnsi" w:hAnsiTheme="majorHAnsi"/>
        </w:rPr>
        <w:t xml:space="preserve">There is thus </w:t>
      </w:r>
      <w:r w:rsidR="001D3157" w:rsidRPr="004154A5">
        <w:rPr>
          <w:rFonts w:asciiTheme="majorHAnsi" w:hAnsiTheme="majorHAnsi"/>
        </w:rPr>
        <w:t>a strong moral basis</w:t>
      </w:r>
      <w:r w:rsidRPr="004154A5">
        <w:rPr>
          <w:rFonts w:asciiTheme="majorHAnsi" w:hAnsiTheme="majorHAnsi"/>
        </w:rPr>
        <w:t xml:space="preserve"> for the promotion and protection social rehabilitation through </w:t>
      </w:r>
      <w:r w:rsidR="001D3157" w:rsidRPr="004154A5">
        <w:rPr>
          <w:rFonts w:asciiTheme="majorHAnsi" w:hAnsiTheme="majorHAnsi"/>
        </w:rPr>
        <w:t>measures which also advance the legal rehabilitation of former lawbreakers</w:t>
      </w:r>
      <w:r w:rsidRPr="004154A5">
        <w:rPr>
          <w:rFonts w:asciiTheme="majorHAnsi" w:hAnsiTheme="majorHAnsi"/>
        </w:rPr>
        <w:t xml:space="preserve">. </w:t>
      </w:r>
      <w:r w:rsidR="001D3157" w:rsidRPr="004154A5">
        <w:rPr>
          <w:rFonts w:asciiTheme="majorHAnsi" w:hAnsiTheme="majorHAnsi"/>
        </w:rPr>
        <w:t xml:space="preserve"> However, given some of the practical problems of the ROA, it may be necessary</w:t>
      </w:r>
      <w:r w:rsidRPr="004154A5">
        <w:rPr>
          <w:rFonts w:asciiTheme="majorHAnsi" w:hAnsiTheme="majorHAnsi"/>
        </w:rPr>
        <w:t xml:space="preserve"> to </w:t>
      </w:r>
      <w:r w:rsidR="001D3157" w:rsidRPr="004154A5">
        <w:rPr>
          <w:rFonts w:asciiTheme="majorHAnsi" w:hAnsiTheme="majorHAnsi"/>
        </w:rPr>
        <w:t xml:space="preserve">introduce ways of </w:t>
      </w:r>
      <w:r w:rsidRPr="004154A5">
        <w:rPr>
          <w:rFonts w:asciiTheme="majorHAnsi" w:hAnsiTheme="majorHAnsi"/>
        </w:rPr>
        <w:t>protect</w:t>
      </w:r>
      <w:r w:rsidR="001D3157" w:rsidRPr="004154A5">
        <w:rPr>
          <w:rFonts w:asciiTheme="majorHAnsi" w:hAnsiTheme="majorHAnsi"/>
        </w:rPr>
        <w:t>ing</w:t>
      </w:r>
      <w:r w:rsidRPr="004154A5">
        <w:rPr>
          <w:rFonts w:asciiTheme="majorHAnsi" w:hAnsiTheme="majorHAnsi"/>
        </w:rPr>
        <w:t xml:space="preserve"> the legal and social status of people with convictions </w:t>
      </w:r>
      <w:r w:rsidR="001D3157" w:rsidRPr="004154A5">
        <w:rPr>
          <w:rFonts w:asciiTheme="majorHAnsi" w:hAnsiTheme="majorHAnsi"/>
        </w:rPr>
        <w:t>post-</w:t>
      </w:r>
      <w:r w:rsidRPr="004154A5">
        <w:rPr>
          <w:rFonts w:asciiTheme="majorHAnsi" w:hAnsiTheme="majorHAnsi"/>
        </w:rPr>
        <w:t xml:space="preserve">sentence </w:t>
      </w:r>
      <w:r w:rsidR="001D3157" w:rsidRPr="004154A5">
        <w:rPr>
          <w:rFonts w:asciiTheme="majorHAnsi" w:hAnsiTheme="majorHAnsi"/>
        </w:rPr>
        <w:t>by considering the possible impacts of their criminal records</w:t>
      </w:r>
      <w:r w:rsidRPr="004154A5">
        <w:rPr>
          <w:rFonts w:asciiTheme="majorHAnsi" w:hAnsiTheme="majorHAnsi"/>
        </w:rPr>
        <w:t xml:space="preserve"> </w:t>
      </w:r>
      <w:r w:rsidR="00944588" w:rsidRPr="004154A5">
        <w:rPr>
          <w:rFonts w:asciiTheme="majorHAnsi" w:hAnsiTheme="majorHAnsi"/>
        </w:rPr>
        <w:t xml:space="preserve">at the same time as when </w:t>
      </w:r>
      <w:r w:rsidR="009E3E57" w:rsidRPr="004154A5">
        <w:rPr>
          <w:rFonts w:asciiTheme="majorHAnsi" w:hAnsiTheme="majorHAnsi"/>
        </w:rPr>
        <w:t>punishment and</w:t>
      </w:r>
      <w:r w:rsidRPr="004154A5">
        <w:rPr>
          <w:rFonts w:asciiTheme="majorHAnsi" w:hAnsiTheme="majorHAnsi"/>
        </w:rPr>
        <w:t xml:space="preserve"> supervision </w:t>
      </w:r>
      <w:r w:rsidR="009E3E57" w:rsidRPr="004154A5">
        <w:rPr>
          <w:rFonts w:asciiTheme="majorHAnsi" w:hAnsiTheme="majorHAnsi"/>
        </w:rPr>
        <w:t xml:space="preserve">arrangements are formalised – </w:t>
      </w:r>
      <w:r w:rsidR="00944588" w:rsidRPr="004154A5">
        <w:rPr>
          <w:rFonts w:asciiTheme="majorHAnsi" w:hAnsiTheme="majorHAnsi"/>
        </w:rPr>
        <w:t xml:space="preserve">i.e. </w:t>
      </w:r>
      <w:r w:rsidR="009E3E57" w:rsidRPr="004154A5">
        <w:rPr>
          <w:rFonts w:asciiTheme="majorHAnsi" w:hAnsiTheme="majorHAnsi"/>
        </w:rPr>
        <w:t>at the point of sentencing.</w:t>
      </w:r>
      <w:r w:rsidR="0098377C" w:rsidRPr="004154A5">
        <w:rPr>
          <w:rFonts w:asciiTheme="majorHAnsi" w:hAnsiTheme="majorHAnsi"/>
        </w:rPr>
        <w:t xml:space="preserve">  </w:t>
      </w:r>
      <w:r w:rsidR="00E02B30" w:rsidRPr="004154A5">
        <w:rPr>
          <w:rFonts w:asciiTheme="majorHAnsi" w:hAnsiTheme="majorHAnsi"/>
        </w:rPr>
        <w:t xml:space="preserve">This might be achieved by adopting an approach suggested by </w:t>
      </w:r>
      <w:r w:rsidR="0098377C" w:rsidRPr="004154A5">
        <w:rPr>
          <w:rFonts w:asciiTheme="majorHAnsi" w:hAnsiTheme="majorHAnsi"/>
        </w:rPr>
        <w:t xml:space="preserve">Larrauri (2014b) </w:t>
      </w:r>
      <w:r w:rsidR="00E02B30" w:rsidRPr="004154A5">
        <w:rPr>
          <w:rFonts w:asciiTheme="majorHAnsi" w:hAnsiTheme="majorHAnsi"/>
        </w:rPr>
        <w:t>who argues</w:t>
      </w:r>
      <w:r w:rsidR="0098377C" w:rsidRPr="004154A5">
        <w:rPr>
          <w:rFonts w:asciiTheme="majorHAnsi" w:hAnsiTheme="majorHAnsi"/>
        </w:rPr>
        <w:t xml:space="preserve"> that </w:t>
      </w:r>
      <w:r w:rsidR="00E02B30" w:rsidRPr="004154A5">
        <w:rPr>
          <w:rFonts w:asciiTheme="majorHAnsi" w:hAnsiTheme="majorHAnsi"/>
        </w:rPr>
        <w:t xml:space="preserve">the mitigation of future risk and issues of public protection – which form the </w:t>
      </w:r>
      <w:r w:rsidR="00944588" w:rsidRPr="004154A5">
        <w:rPr>
          <w:rFonts w:asciiTheme="majorHAnsi" w:hAnsiTheme="majorHAnsi"/>
        </w:rPr>
        <w:t xml:space="preserve">main </w:t>
      </w:r>
      <w:r w:rsidR="00E02B30" w:rsidRPr="004154A5">
        <w:rPr>
          <w:rFonts w:asciiTheme="majorHAnsi" w:hAnsiTheme="majorHAnsi"/>
        </w:rPr>
        <w:t xml:space="preserve">rationale for criminal record disclosure – might be advanced more appropriately by allowing the judiciary to impose occupational disqualification orders on lawbreakers.  These would bar individuals from specific occupational groups (such as driving offences or work in the financial sector) and replace the existing system of blanket criminal record disclosure which occurs in many standard and enhanced DBS checks.  Thus, employers and others would be allowed to ask only for information which </w:t>
      </w:r>
      <w:r w:rsidR="00AA1750" w:rsidRPr="004154A5">
        <w:rPr>
          <w:rFonts w:asciiTheme="majorHAnsi" w:hAnsiTheme="majorHAnsi"/>
        </w:rPr>
        <w:t>was strictly</w:t>
      </w:r>
      <w:r w:rsidR="00E02B30" w:rsidRPr="004154A5">
        <w:rPr>
          <w:rFonts w:asciiTheme="majorHAnsi" w:hAnsiTheme="majorHAnsi"/>
        </w:rPr>
        <w:t xml:space="preserve"> relevant to the</w:t>
      </w:r>
      <w:r w:rsidR="001E6021" w:rsidRPr="004154A5">
        <w:rPr>
          <w:rFonts w:asciiTheme="majorHAnsi" w:hAnsiTheme="majorHAnsi"/>
        </w:rPr>
        <w:t xml:space="preserve"> circumstances for which a check</w:t>
      </w:r>
      <w:r w:rsidR="00AA1750" w:rsidRPr="004154A5">
        <w:rPr>
          <w:rFonts w:asciiTheme="majorHAnsi" w:hAnsiTheme="majorHAnsi"/>
        </w:rPr>
        <w:t xml:space="preserve"> wa</w:t>
      </w:r>
      <w:r w:rsidR="00E02B30" w:rsidRPr="004154A5">
        <w:rPr>
          <w:rFonts w:asciiTheme="majorHAnsi" w:hAnsiTheme="majorHAnsi"/>
        </w:rPr>
        <w:t xml:space="preserve">s being conducted.  </w:t>
      </w:r>
      <w:r w:rsidR="00AA1750" w:rsidRPr="004154A5">
        <w:rPr>
          <w:rFonts w:asciiTheme="majorHAnsi" w:hAnsiTheme="majorHAnsi"/>
        </w:rPr>
        <w:t xml:space="preserve">Since existing statutory bars exist for work involving children and vulnerable people, a more refined </w:t>
      </w:r>
      <w:r w:rsidR="00944588" w:rsidRPr="004154A5">
        <w:rPr>
          <w:rFonts w:asciiTheme="majorHAnsi" w:hAnsiTheme="majorHAnsi"/>
        </w:rPr>
        <w:t xml:space="preserve">system such as this </w:t>
      </w:r>
      <w:r w:rsidR="00AA1750" w:rsidRPr="004154A5">
        <w:rPr>
          <w:rFonts w:asciiTheme="majorHAnsi" w:hAnsiTheme="majorHAnsi"/>
        </w:rPr>
        <w:t xml:space="preserve">is eminently achievable. Other than such bars, </w:t>
      </w:r>
      <w:r w:rsidR="00D12D4C" w:rsidRPr="004154A5">
        <w:rPr>
          <w:rFonts w:asciiTheme="majorHAnsi" w:hAnsiTheme="majorHAnsi"/>
        </w:rPr>
        <w:t xml:space="preserve">a fundamental </w:t>
      </w:r>
      <w:r w:rsidR="00D12D4C" w:rsidRPr="004154A5">
        <w:rPr>
          <w:rFonts w:asciiTheme="majorHAnsi" w:hAnsiTheme="majorHAnsi"/>
          <w:i/>
        </w:rPr>
        <w:t>right</w:t>
      </w:r>
      <w:r w:rsidR="00D12D4C" w:rsidRPr="004154A5">
        <w:rPr>
          <w:rFonts w:asciiTheme="majorHAnsi" w:hAnsiTheme="majorHAnsi"/>
        </w:rPr>
        <w:t xml:space="preserve"> of </w:t>
      </w:r>
      <w:r w:rsidR="00AA1750" w:rsidRPr="004154A5">
        <w:rPr>
          <w:rFonts w:asciiTheme="majorHAnsi" w:hAnsiTheme="majorHAnsi"/>
        </w:rPr>
        <w:t xml:space="preserve">to be treated as rehabilitated could be asserted for people with convictions </w:t>
      </w:r>
      <w:r w:rsidR="00D12D4C" w:rsidRPr="004154A5">
        <w:rPr>
          <w:rFonts w:asciiTheme="majorHAnsi" w:hAnsiTheme="majorHAnsi"/>
        </w:rPr>
        <w:t>once</w:t>
      </w:r>
      <w:r w:rsidR="00AA1750" w:rsidRPr="004154A5">
        <w:rPr>
          <w:rFonts w:asciiTheme="majorHAnsi" w:hAnsiTheme="majorHAnsi"/>
        </w:rPr>
        <w:t xml:space="preserve"> a sentence and any supervision arrangements have </w:t>
      </w:r>
      <w:r w:rsidR="00D12D4C" w:rsidRPr="004154A5">
        <w:rPr>
          <w:rFonts w:asciiTheme="majorHAnsi" w:hAnsiTheme="majorHAnsi"/>
        </w:rPr>
        <w:t>been duly completed</w:t>
      </w:r>
      <w:r w:rsidR="00AA1750" w:rsidRPr="004154A5">
        <w:rPr>
          <w:rFonts w:asciiTheme="majorHAnsi" w:hAnsiTheme="majorHAnsi"/>
        </w:rPr>
        <w:t>.</w:t>
      </w:r>
      <w:r w:rsidR="00D12D4C" w:rsidRPr="004154A5">
        <w:rPr>
          <w:rFonts w:asciiTheme="majorHAnsi" w:hAnsiTheme="majorHAnsi"/>
        </w:rPr>
        <w:t xml:space="preserve"> </w:t>
      </w:r>
      <w:r w:rsidR="00AA1750" w:rsidRPr="004154A5">
        <w:rPr>
          <w:rFonts w:asciiTheme="majorHAnsi" w:hAnsiTheme="majorHAnsi"/>
        </w:rPr>
        <w:t>Such a</w:t>
      </w:r>
      <w:r w:rsidR="00944588" w:rsidRPr="004154A5">
        <w:rPr>
          <w:rFonts w:asciiTheme="majorHAnsi" w:hAnsiTheme="majorHAnsi"/>
        </w:rPr>
        <w:t>n approach</w:t>
      </w:r>
      <w:r w:rsidR="00AA1750" w:rsidRPr="004154A5">
        <w:rPr>
          <w:rFonts w:asciiTheme="majorHAnsi" w:hAnsiTheme="majorHAnsi"/>
        </w:rPr>
        <w:t xml:space="preserve"> would be </w:t>
      </w:r>
      <w:r w:rsidR="00944588" w:rsidRPr="004154A5">
        <w:rPr>
          <w:rFonts w:asciiTheme="majorHAnsi" w:hAnsiTheme="majorHAnsi"/>
        </w:rPr>
        <w:t>considerably</w:t>
      </w:r>
      <w:r w:rsidR="00AA1750" w:rsidRPr="004154A5">
        <w:rPr>
          <w:rFonts w:asciiTheme="majorHAnsi" w:hAnsiTheme="majorHAnsi"/>
        </w:rPr>
        <w:t xml:space="preserve"> less complicated that</w:t>
      </w:r>
      <w:r w:rsidR="00D12D4C" w:rsidRPr="004154A5">
        <w:rPr>
          <w:rFonts w:asciiTheme="majorHAnsi" w:hAnsiTheme="majorHAnsi"/>
        </w:rPr>
        <w:t xml:space="preserve"> the current system of spent convictions which – after </w:t>
      </w:r>
      <w:r w:rsidR="00944588" w:rsidRPr="004154A5">
        <w:rPr>
          <w:rFonts w:asciiTheme="majorHAnsi" w:hAnsiTheme="majorHAnsi"/>
        </w:rPr>
        <w:t xml:space="preserve">inflicting </w:t>
      </w:r>
      <w:r w:rsidR="00D12D4C" w:rsidRPr="004154A5">
        <w:rPr>
          <w:rFonts w:asciiTheme="majorHAnsi" w:hAnsiTheme="majorHAnsi"/>
        </w:rPr>
        <w:t>lengthy period</w:t>
      </w:r>
      <w:r w:rsidR="00944588" w:rsidRPr="004154A5">
        <w:rPr>
          <w:rFonts w:asciiTheme="majorHAnsi" w:hAnsiTheme="majorHAnsi"/>
        </w:rPr>
        <w:t>s</w:t>
      </w:r>
      <w:r w:rsidR="00D12D4C" w:rsidRPr="004154A5">
        <w:rPr>
          <w:rFonts w:asciiTheme="majorHAnsi" w:hAnsiTheme="majorHAnsi"/>
        </w:rPr>
        <w:t xml:space="preserve"> of civic purgatory - retrospectively rewards </w:t>
      </w:r>
      <w:r w:rsidR="00AA1750" w:rsidRPr="004154A5">
        <w:rPr>
          <w:rFonts w:asciiTheme="majorHAnsi" w:hAnsiTheme="majorHAnsi"/>
          <w:i/>
        </w:rPr>
        <w:t xml:space="preserve">only </w:t>
      </w:r>
      <w:r w:rsidR="00D12D4C" w:rsidRPr="004154A5">
        <w:rPr>
          <w:rFonts w:asciiTheme="majorHAnsi" w:hAnsiTheme="majorHAnsi"/>
          <w:i/>
        </w:rPr>
        <w:t>some</w:t>
      </w:r>
      <w:r w:rsidR="00D12D4C" w:rsidRPr="004154A5">
        <w:rPr>
          <w:rFonts w:asciiTheme="majorHAnsi" w:hAnsiTheme="majorHAnsi"/>
        </w:rPr>
        <w:t xml:space="preserve"> former lawbreakers</w:t>
      </w:r>
      <w:r w:rsidR="00AA1750" w:rsidRPr="004154A5">
        <w:rPr>
          <w:rFonts w:asciiTheme="majorHAnsi" w:hAnsiTheme="majorHAnsi"/>
        </w:rPr>
        <w:t xml:space="preserve"> for </w:t>
      </w:r>
      <w:r w:rsidR="00944588" w:rsidRPr="004154A5">
        <w:rPr>
          <w:rFonts w:asciiTheme="majorHAnsi" w:hAnsiTheme="majorHAnsi"/>
        </w:rPr>
        <w:t>successful</w:t>
      </w:r>
      <w:r w:rsidR="00AA1750" w:rsidRPr="004154A5">
        <w:rPr>
          <w:rFonts w:asciiTheme="majorHAnsi" w:hAnsiTheme="majorHAnsi"/>
        </w:rPr>
        <w:t xml:space="preserve"> desistance</w:t>
      </w:r>
      <w:r w:rsidR="00D12D4C" w:rsidRPr="004154A5">
        <w:rPr>
          <w:rFonts w:asciiTheme="majorHAnsi" w:hAnsiTheme="majorHAnsi"/>
        </w:rPr>
        <w:t>, often years after p</w:t>
      </w:r>
      <w:r w:rsidR="00AA1750" w:rsidRPr="004154A5">
        <w:rPr>
          <w:rFonts w:asciiTheme="majorHAnsi" w:hAnsiTheme="majorHAnsi"/>
        </w:rPr>
        <w:t xml:space="preserve">sychological, </w:t>
      </w:r>
      <w:r w:rsidR="00D12D4C" w:rsidRPr="004154A5">
        <w:rPr>
          <w:rFonts w:asciiTheme="majorHAnsi" w:hAnsiTheme="majorHAnsi"/>
        </w:rPr>
        <w:t xml:space="preserve">moral </w:t>
      </w:r>
      <w:r w:rsidR="00AA1750" w:rsidRPr="004154A5">
        <w:rPr>
          <w:rFonts w:asciiTheme="majorHAnsi" w:hAnsiTheme="majorHAnsi"/>
        </w:rPr>
        <w:t xml:space="preserve">and social </w:t>
      </w:r>
      <w:r w:rsidR="00D12D4C" w:rsidRPr="004154A5">
        <w:rPr>
          <w:rFonts w:asciiTheme="majorHAnsi" w:hAnsiTheme="majorHAnsi"/>
        </w:rPr>
        <w:t>rehabilitation has already occurred</w:t>
      </w:r>
      <w:r w:rsidR="00AA1750" w:rsidRPr="004154A5">
        <w:rPr>
          <w:rFonts w:asciiTheme="majorHAnsi" w:hAnsiTheme="majorHAnsi"/>
        </w:rPr>
        <w:t>, often against great adversity</w:t>
      </w:r>
      <w:r w:rsidR="00D12D4C" w:rsidRPr="004154A5">
        <w:rPr>
          <w:rFonts w:asciiTheme="majorHAnsi" w:hAnsiTheme="majorHAnsi"/>
        </w:rPr>
        <w:t xml:space="preserve">.  </w:t>
      </w:r>
    </w:p>
    <w:p w:rsidR="0086117E" w:rsidRPr="004154A5" w:rsidRDefault="0086117E" w:rsidP="0086117E">
      <w:pPr>
        <w:spacing w:after="0"/>
        <w:jc w:val="both"/>
        <w:rPr>
          <w:rFonts w:asciiTheme="majorHAnsi" w:hAnsiTheme="majorHAnsi"/>
        </w:rPr>
      </w:pPr>
    </w:p>
    <w:p w:rsidR="00CD1AB2" w:rsidRPr="004154A5" w:rsidRDefault="00CD1AB2" w:rsidP="005C0B17">
      <w:pPr>
        <w:spacing w:after="0"/>
        <w:rPr>
          <w:rFonts w:asciiTheme="majorHAnsi" w:hAnsiTheme="majorHAnsi"/>
          <w:b/>
          <w:sz w:val="28"/>
        </w:rPr>
      </w:pPr>
      <w:r w:rsidRPr="004154A5">
        <w:rPr>
          <w:rFonts w:asciiTheme="majorHAnsi" w:hAnsiTheme="majorHAnsi"/>
          <w:b/>
          <w:sz w:val="28"/>
        </w:rPr>
        <w:t>References</w:t>
      </w:r>
    </w:p>
    <w:p w:rsidR="009D3A8A" w:rsidRPr="004154A5" w:rsidRDefault="009D3A8A" w:rsidP="005C0B17">
      <w:pPr>
        <w:spacing w:after="0"/>
        <w:ind w:left="567" w:hanging="567"/>
        <w:rPr>
          <w:rFonts w:asciiTheme="majorHAnsi" w:hAnsiTheme="majorHAnsi"/>
        </w:rPr>
      </w:pPr>
    </w:p>
    <w:p w:rsidR="00200EA8" w:rsidRPr="004154A5" w:rsidRDefault="000F41C4" w:rsidP="005C0B17">
      <w:pPr>
        <w:spacing w:after="0"/>
        <w:ind w:left="567" w:hanging="567"/>
        <w:rPr>
          <w:rFonts w:asciiTheme="majorHAnsi" w:hAnsiTheme="majorHAnsi"/>
        </w:rPr>
      </w:pPr>
      <w:r w:rsidRPr="004154A5">
        <w:rPr>
          <w:rFonts w:asciiTheme="majorHAnsi" w:hAnsiTheme="majorHAnsi"/>
        </w:rPr>
        <w:t xml:space="preserve">Ashworth, A.; Zedner, L. and Tomlin, P. (eds.) (2013) </w:t>
      </w:r>
      <w:r w:rsidRPr="004154A5">
        <w:rPr>
          <w:rFonts w:asciiTheme="majorHAnsi" w:hAnsiTheme="majorHAnsi"/>
          <w:i/>
        </w:rPr>
        <w:t>Prevention and the Limits of the Criminal Law.</w:t>
      </w:r>
      <w:r w:rsidRPr="004154A5">
        <w:rPr>
          <w:rFonts w:asciiTheme="majorHAnsi" w:hAnsiTheme="majorHAnsi"/>
        </w:rPr>
        <w:t xml:space="preserve">  </w:t>
      </w:r>
      <w:r w:rsidR="00200EA8" w:rsidRPr="004154A5">
        <w:rPr>
          <w:rFonts w:asciiTheme="majorHAnsi" w:hAnsiTheme="majorHAnsi"/>
        </w:rPr>
        <w:t>Oxford: Oxford University Press</w:t>
      </w:r>
    </w:p>
    <w:p w:rsidR="000C1BCF" w:rsidRPr="004154A5" w:rsidRDefault="000C1BCF" w:rsidP="000C1BCF">
      <w:pPr>
        <w:spacing w:after="0"/>
        <w:ind w:left="567" w:hanging="567"/>
        <w:rPr>
          <w:rFonts w:asciiTheme="majorHAnsi" w:hAnsiTheme="majorHAnsi"/>
        </w:rPr>
      </w:pPr>
      <w:r w:rsidRPr="004154A5">
        <w:rPr>
          <w:rFonts w:asciiTheme="majorHAnsi" w:hAnsiTheme="majorHAnsi"/>
        </w:rPr>
        <w:t xml:space="preserve">Bath, C. and Edgar, K. (2010) </w:t>
      </w:r>
      <w:r w:rsidRPr="004154A5">
        <w:rPr>
          <w:rFonts w:asciiTheme="majorHAnsi" w:hAnsiTheme="majorHAnsi"/>
          <w:i/>
          <w:iCs/>
        </w:rPr>
        <w:t>Time is money: Financial responsibility after prison</w:t>
      </w:r>
      <w:r w:rsidRPr="004154A5">
        <w:rPr>
          <w:rFonts w:asciiTheme="majorHAnsi" w:hAnsiTheme="majorHAnsi"/>
        </w:rPr>
        <w:t xml:space="preserve">. London: Prison Reform Trust </w:t>
      </w:r>
    </w:p>
    <w:p w:rsidR="002308C6" w:rsidRPr="004154A5" w:rsidRDefault="002308C6" w:rsidP="005C0B17">
      <w:pPr>
        <w:spacing w:after="0"/>
        <w:ind w:left="567" w:hanging="567"/>
        <w:rPr>
          <w:rFonts w:asciiTheme="majorHAnsi" w:hAnsiTheme="majorHAnsi"/>
        </w:rPr>
      </w:pPr>
      <w:r w:rsidRPr="004154A5">
        <w:rPr>
          <w:rFonts w:asciiTheme="majorHAnsi" w:hAnsiTheme="majorHAnsi"/>
        </w:rPr>
        <w:t xml:space="preserve">Bottoms, A., and Tankebe, J. (2012) 'Beyond Procedural Justice: A Dialogic Approach to Legitimacy in Criminal Justice', </w:t>
      </w:r>
      <w:r w:rsidRPr="004154A5">
        <w:rPr>
          <w:rFonts w:asciiTheme="majorHAnsi" w:hAnsiTheme="majorHAnsi"/>
          <w:i/>
        </w:rPr>
        <w:t xml:space="preserve">Journal of Criminal Law and Criminology, </w:t>
      </w:r>
      <w:r w:rsidRPr="004154A5">
        <w:rPr>
          <w:rFonts w:asciiTheme="majorHAnsi" w:hAnsiTheme="majorHAnsi"/>
        </w:rPr>
        <w:t>102: 119-170</w:t>
      </w:r>
    </w:p>
    <w:p w:rsidR="00C95ED1" w:rsidRPr="004154A5" w:rsidRDefault="00C95ED1" w:rsidP="005C0B17">
      <w:pPr>
        <w:spacing w:after="0"/>
        <w:ind w:left="567" w:hanging="567"/>
        <w:rPr>
          <w:rFonts w:asciiTheme="majorHAnsi" w:hAnsiTheme="majorHAnsi"/>
        </w:rPr>
      </w:pPr>
      <w:r w:rsidRPr="004154A5">
        <w:rPr>
          <w:rFonts w:asciiTheme="majorHAnsi" w:hAnsiTheme="majorHAnsi"/>
        </w:rPr>
        <w:t xml:space="preserve">Braithwaite, J. (1989) </w:t>
      </w:r>
      <w:r w:rsidRPr="004154A5">
        <w:rPr>
          <w:rFonts w:asciiTheme="majorHAnsi" w:hAnsiTheme="majorHAnsi"/>
          <w:i/>
        </w:rPr>
        <w:t xml:space="preserve">Crime, shame and reintegration. </w:t>
      </w:r>
      <w:r w:rsidRPr="004154A5">
        <w:rPr>
          <w:rFonts w:asciiTheme="majorHAnsi" w:hAnsiTheme="majorHAnsi"/>
        </w:rPr>
        <w:t>Cambridge: Cambridge University Press</w:t>
      </w:r>
    </w:p>
    <w:p w:rsidR="00200EA8" w:rsidRPr="004154A5" w:rsidRDefault="004F35F3" w:rsidP="005C0B17">
      <w:pPr>
        <w:spacing w:after="0"/>
        <w:ind w:left="567" w:hanging="567"/>
        <w:rPr>
          <w:rFonts w:asciiTheme="majorHAnsi" w:hAnsiTheme="majorHAnsi"/>
          <w:i/>
        </w:rPr>
      </w:pPr>
      <w:r w:rsidRPr="004154A5">
        <w:rPr>
          <w:rFonts w:asciiTheme="majorHAnsi" w:hAnsiTheme="majorHAnsi"/>
        </w:rPr>
        <w:t xml:space="preserve">Braithwaite, J. (2002) </w:t>
      </w:r>
      <w:r w:rsidRPr="004154A5">
        <w:rPr>
          <w:rFonts w:asciiTheme="majorHAnsi" w:hAnsiTheme="majorHAnsi"/>
          <w:i/>
        </w:rPr>
        <w:t>Restorative Justice &amp; Responsive Regulation</w:t>
      </w:r>
      <w:r w:rsidRPr="004154A5">
        <w:rPr>
          <w:rFonts w:asciiTheme="majorHAnsi" w:hAnsiTheme="majorHAnsi"/>
        </w:rPr>
        <w:t>.  Oxford: Oxford University Press</w:t>
      </w:r>
    </w:p>
    <w:p w:rsidR="00200EA8" w:rsidRPr="004154A5" w:rsidRDefault="00C95ED1" w:rsidP="005C0B17">
      <w:pPr>
        <w:spacing w:after="0"/>
        <w:ind w:left="567" w:hanging="567"/>
        <w:rPr>
          <w:rFonts w:asciiTheme="majorHAnsi" w:hAnsiTheme="majorHAnsi"/>
          <w:i/>
        </w:rPr>
      </w:pPr>
      <w:r w:rsidRPr="004154A5">
        <w:rPr>
          <w:rFonts w:asciiTheme="majorHAnsi" w:hAnsiTheme="majorHAnsi"/>
        </w:rPr>
        <w:lastRenderedPageBreak/>
        <w:t xml:space="preserve">Breed, B. (1987) </w:t>
      </w:r>
      <w:r w:rsidRPr="004154A5">
        <w:rPr>
          <w:rFonts w:asciiTheme="majorHAnsi" w:hAnsiTheme="majorHAnsi"/>
          <w:i/>
        </w:rPr>
        <w:t xml:space="preserve">Off </w:t>
      </w:r>
      <w:r w:rsidR="000C5F62" w:rsidRPr="004154A5">
        <w:rPr>
          <w:rFonts w:asciiTheme="majorHAnsi" w:hAnsiTheme="majorHAnsi"/>
          <w:i/>
        </w:rPr>
        <w:t>t</w:t>
      </w:r>
      <w:r w:rsidRPr="004154A5">
        <w:rPr>
          <w:rFonts w:asciiTheme="majorHAnsi" w:hAnsiTheme="majorHAnsi"/>
          <w:i/>
        </w:rPr>
        <w:t>he</w:t>
      </w:r>
      <w:r w:rsidR="000C5F62" w:rsidRPr="004154A5">
        <w:rPr>
          <w:rFonts w:asciiTheme="majorHAnsi" w:hAnsiTheme="majorHAnsi"/>
          <w:i/>
        </w:rPr>
        <w:t xml:space="preserve"> r</w:t>
      </w:r>
      <w:r w:rsidRPr="004154A5">
        <w:rPr>
          <w:rFonts w:asciiTheme="majorHAnsi" w:hAnsiTheme="majorHAnsi"/>
          <w:i/>
        </w:rPr>
        <w:t>ecord: The first ever thorough examination of the workings of the Rehabilitation of Offenders Act.</w:t>
      </w:r>
      <w:r w:rsidRPr="004154A5">
        <w:rPr>
          <w:rFonts w:asciiTheme="majorHAnsi" w:hAnsiTheme="majorHAnsi"/>
        </w:rPr>
        <w:t xml:space="preserve">  London: John Clare Books</w:t>
      </w:r>
    </w:p>
    <w:p w:rsidR="00200EA8" w:rsidRPr="004154A5" w:rsidRDefault="000E5446" w:rsidP="005C0B17">
      <w:pPr>
        <w:spacing w:after="0"/>
        <w:ind w:left="567" w:hanging="567"/>
        <w:rPr>
          <w:rFonts w:asciiTheme="majorHAnsi" w:hAnsiTheme="majorHAnsi"/>
        </w:rPr>
      </w:pPr>
      <w:r w:rsidRPr="004154A5">
        <w:rPr>
          <w:rFonts w:asciiTheme="majorHAnsi" w:hAnsiTheme="majorHAnsi"/>
        </w:rPr>
        <w:t xml:space="preserve">Brooks, T. (2012) </w:t>
      </w:r>
      <w:r w:rsidRPr="004154A5">
        <w:rPr>
          <w:rFonts w:asciiTheme="majorHAnsi" w:hAnsiTheme="majorHAnsi"/>
          <w:i/>
        </w:rPr>
        <w:t>Punishment.</w:t>
      </w:r>
      <w:r w:rsidR="007C74EB" w:rsidRPr="004154A5">
        <w:rPr>
          <w:rFonts w:asciiTheme="majorHAnsi" w:hAnsiTheme="majorHAnsi"/>
        </w:rPr>
        <w:t xml:space="preserve">  London: Routledge</w:t>
      </w:r>
    </w:p>
    <w:p w:rsidR="007C74EB" w:rsidRPr="004154A5" w:rsidRDefault="007C74EB" w:rsidP="005C0B17">
      <w:pPr>
        <w:spacing w:after="0"/>
        <w:ind w:left="567" w:hanging="567"/>
        <w:rPr>
          <w:rFonts w:asciiTheme="majorHAnsi" w:hAnsiTheme="majorHAnsi"/>
        </w:rPr>
      </w:pPr>
      <w:r w:rsidRPr="004154A5">
        <w:rPr>
          <w:rFonts w:asciiTheme="majorHAnsi" w:hAnsiTheme="majorHAnsi"/>
        </w:rPr>
        <w:t xml:space="preserve">Bushway, S.D., Nieuwbeerta, P. and Blokland A. (2011) ‘The predictive value of criminal background checks: Do age and criminal history affect time to redemption?’, </w:t>
      </w:r>
      <w:r w:rsidRPr="004154A5">
        <w:rPr>
          <w:rFonts w:asciiTheme="majorHAnsi" w:hAnsiTheme="majorHAnsi"/>
          <w:i/>
        </w:rPr>
        <w:t xml:space="preserve">Criminology, </w:t>
      </w:r>
      <w:r w:rsidRPr="004154A5">
        <w:rPr>
          <w:rFonts w:asciiTheme="majorHAnsi" w:hAnsiTheme="majorHAnsi"/>
        </w:rPr>
        <w:t>49(1): 27–60</w:t>
      </w:r>
    </w:p>
    <w:p w:rsidR="00345B61" w:rsidRPr="004154A5" w:rsidRDefault="00345B61" w:rsidP="005C0B17">
      <w:pPr>
        <w:spacing w:after="0"/>
        <w:ind w:left="567" w:hanging="567"/>
        <w:rPr>
          <w:rFonts w:asciiTheme="majorHAnsi" w:hAnsiTheme="majorHAnsi"/>
        </w:rPr>
      </w:pPr>
      <w:r w:rsidRPr="004154A5">
        <w:rPr>
          <w:rFonts w:asciiTheme="majorHAnsi" w:hAnsiTheme="majorHAnsi"/>
        </w:rPr>
        <w:t>Calder, S. D. and Goodman, A. H. (2013) ‘Transforming Rehabilitation, a fiscal motivated approach to offender management’,</w:t>
      </w:r>
      <w:r w:rsidRPr="004154A5">
        <w:rPr>
          <w:rFonts w:asciiTheme="majorHAnsi" w:hAnsiTheme="majorHAnsi"/>
          <w:iCs/>
        </w:rPr>
        <w:t> </w:t>
      </w:r>
      <w:r w:rsidRPr="004154A5">
        <w:rPr>
          <w:rFonts w:asciiTheme="majorHAnsi" w:hAnsiTheme="majorHAnsi"/>
          <w:i/>
          <w:iCs/>
        </w:rPr>
        <w:t>British Journal of Community Justice</w:t>
      </w:r>
      <w:r w:rsidRPr="004154A5">
        <w:rPr>
          <w:rFonts w:asciiTheme="majorHAnsi" w:hAnsiTheme="majorHAnsi"/>
          <w:iCs/>
        </w:rPr>
        <w:t>, 11</w:t>
      </w:r>
      <w:r w:rsidRPr="004154A5">
        <w:rPr>
          <w:rFonts w:asciiTheme="majorHAnsi" w:hAnsiTheme="majorHAnsi"/>
        </w:rPr>
        <w:t>(2): 175-188</w:t>
      </w:r>
    </w:p>
    <w:p w:rsidR="00200EA8" w:rsidRPr="004154A5" w:rsidRDefault="00ED12D7" w:rsidP="005C0B17">
      <w:pPr>
        <w:spacing w:after="0"/>
        <w:ind w:left="567" w:hanging="567"/>
        <w:rPr>
          <w:rFonts w:asciiTheme="majorHAnsi" w:hAnsiTheme="majorHAnsi"/>
          <w:i/>
        </w:rPr>
      </w:pPr>
      <w:r w:rsidRPr="004154A5">
        <w:rPr>
          <w:rFonts w:asciiTheme="majorHAnsi" w:hAnsiTheme="majorHAnsi"/>
        </w:rPr>
        <w:t>Canton</w:t>
      </w:r>
      <w:r w:rsidR="000C5F62" w:rsidRPr="004154A5">
        <w:rPr>
          <w:rFonts w:asciiTheme="majorHAnsi" w:hAnsiTheme="majorHAnsi"/>
        </w:rPr>
        <w:t>, R.</w:t>
      </w:r>
      <w:r w:rsidRPr="004154A5">
        <w:rPr>
          <w:rFonts w:asciiTheme="majorHAnsi" w:hAnsiTheme="majorHAnsi"/>
        </w:rPr>
        <w:t xml:space="preserve"> (2017)</w:t>
      </w:r>
      <w:r w:rsidR="000C5F62" w:rsidRPr="004154A5">
        <w:rPr>
          <w:rFonts w:asciiTheme="majorHAnsi" w:hAnsiTheme="majorHAnsi"/>
        </w:rPr>
        <w:t xml:space="preserve"> </w:t>
      </w:r>
      <w:r w:rsidR="000C5F62" w:rsidRPr="004154A5">
        <w:rPr>
          <w:rFonts w:asciiTheme="majorHAnsi" w:hAnsiTheme="majorHAnsi"/>
          <w:i/>
        </w:rPr>
        <w:t xml:space="preserve">Why punish? An Introduction to the Philosophy of Punishment. </w:t>
      </w:r>
      <w:r w:rsidR="000C5F62" w:rsidRPr="004154A5">
        <w:rPr>
          <w:rFonts w:asciiTheme="majorHAnsi" w:hAnsiTheme="majorHAnsi"/>
        </w:rPr>
        <w:t>London: Palgrave</w:t>
      </w:r>
    </w:p>
    <w:p w:rsidR="00200EA8" w:rsidRPr="004154A5" w:rsidRDefault="000E5446" w:rsidP="005C0B17">
      <w:pPr>
        <w:spacing w:after="0"/>
        <w:ind w:left="567" w:hanging="567"/>
        <w:rPr>
          <w:rFonts w:asciiTheme="majorHAnsi" w:hAnsiTheme="majorHAnsi"/>
        </w:rPr>
      </w:pPr>
      <w:r w:rsidRPr="004154A5">
        <w:rPr>
          <w:rFonts w:asciiTheme="majorHAnsi" w:hAnsiTheme="majorHAnsi"/>
        </w:rPr>
        <w:t>Carlen, P. (2013)</w:t>
      </w:r>
      <w:r w:rsidRPr="004154A5">
        <w:rPr>
          <w:rFonts w:asciiTheme="majorHAnsi" w:hAnsiTheme="majorHAnsi" w:cs="Times New Roman"/>
        </w:rPr>
        <w:t xml:space="preserve"> </w:t>
      </w:r>
      <w:r w:rsidRPr="004154A5">
        <w:rPr>
          <w:rFonts w:asciiTheme="majorHAnsi" w:hAnsiTheme="majorHAnsi"/>
        </w:rPr>
        <w:t xml:space="preserve">‘Against rehabilitation: for reparative justice’, in </w:t>
      </w:r>
      <w:r w:rsidR="000F7532" w:rsidRPr="004154A5">
        <w:rPr>
          <w:rFonts w:asciiTheme="majorHAnsi" w:hAnsiTheme="majorHAnsi"/>
        </w:rPr>
        <w:t>K. Carrington, M. Ball, E. O’Brien and J. Tuari</w:t>
      </w:r>
      <w:r w:rsidRPr="004154A5">
        <w:rPr>
          <w:rFonts w:asciiTheme="majorHAnsi" w:hAnsiTheme="majorHAnsi"/>
        </w:rPr>
        <w:t xml:space="preserve"> (eds.) </w:t>
      </w:r>
      <w:r w:rsidRPr="004154A5">
        <w:rPr>
          <w:rFonts w:asciiTheme="majorHAnsi" w:hAnsiTheme="majorHAnsi"/>
          <w:i/>
        </w:rPr>
        <w:t>Crime, Justice and Social Democracy: International Perspectives</w:t>
      </w:r>
      <w:r w:rsidRPr="004154A5">
        <w:rPr>
          <w:rFonts w:asciiTheme="majorHAnsi" w:hAnsiTheme="majorHAnsi"/>
        </w:rPr>
        <w:t xml:space="preserve">, </w:t>
      </w:r>
      <w:r w:rsidR="000F7532" w:rsidRPr="004154A5">
        <w:rPr>
          <w:rFonts w:asciiTheme="majorHAnsi" w:hAnsiTheme="majorHAnsi"/>
        </w:rPr>
        <w:t xml:space="preserve">pp. 89-104. </w:t>
      </w:r>
      <w:r w:rsidRPr="004154A5">
        <w:rPr>
          <w:rFonts w:asciiTheme="majorHAnsi" w:hAnsiTheme="majorHAnsi"/>
        </w:rPr>
        <w:t>Basings</w:t>
      </w:r>
      <w:r w:rsidR="000F7532" w:rsidRPr="004154A5">
        <w:rPr>
          <w:rFonts w:asciiTheme="majorHAnsi" w:hAnsiTheme="majorHAnsi"/>
        </w:rPr>
        <w:t>toke: Palgrave Macmillan</w:t>
      </w:r>
    </w:p>
    <w:p w:rsidR="00200EA8" w:rsidRPr="004154A5" w:rsidRDefault="000C5F62" w:rsidP="005C0B17">
      <w:pPr>
        <w:spacing w:after="0"/>
        <w:ind w:left="567" w:hanging="567"/>
        <w:rPr>
          <w:rFonts w:asciiTheme="majorHAnsi" w:hAnsiTheme="majorHAnsi"/>
          <w:i/>
        </w:rPr>
      </w:pPr>
      <w:r w:rsidRPr="004154A5">
        <w:rPr>
          <w:rFonts w:asciiTheme="majorHAnsi" w:hAnsiTheme="majorHAnsi"/>
          <w:lang w:val="en"/>
        </w:rPr>
        <w:t xml:space="preserve">Corcoran, M.S. (2014) ‘The Trajectory of Penal Markets in a Period of Austerity: The Case of England and Wales’, in M. Deflem (ed.) </w:t>
      </w:r>
      <w:r w:rsidRPr="004154A5">
        <w:rPr>
          <w:rFonts w:asciiTheme="majorHAnsi" w:hAnsiTheme="majorHAnsi"/>
          <w:i/>
          <w:iCs/>
          <w:lang w:val="en"/>
        </w:rPr>
        <w:t xml:space="preserve">Punishment and Incarceration: A Global Perspective (Sociology of Crime, Law and Deviance, Volume 19), </w:t>
      </w:r>
      <w:r w:rsidRPr="004154A5">
        <w:rPr>
          <w:rFonts w:asciiTheme="majorHAnsi" w:hAnsiTheme="majorHAnsi"/>
          <w:iCs/>
          <w:lang w:val="en"/>
        </w:rPr>
        <w:t>pp.53–74. Bingley:</w:t>
      </w:r>
      <w:r w:rsidRPr="004154A5">
        <w:rPr>
          <w:rFonts w:asciiTheme="majorHAnsi" w:hAnsiTheme="majorHAnsi"/>
          <w:i/>
          <w:iCs/>
          <w:lang w:val="en"/>
        </w:rPr>
        <w:t xml:space="preserve"> </w:t>
      </w:r>
      <w:r w:rsidRPr="004154A5">
        <w:rPr>
          <w:rFonts w:asciiTheme="majorHAnsi" w:hAnsiTheme="majorHAnsi"/>
          <w:lang w:val="en"/>
        </w:rPr>
        <w:t>Emerald Group Publishing Limited</w:t>
      </w:r>
    </w:p>
    <w:p w:rsidR="00200EA8" w:rsidRPr="004154A5" w:rsidRDefault="000E5446" w:rsidP="005C0B17">
      <w:pPr>
        <w:spacing w:after="0"/>
        <w:ind w:left="567" w:hanging="567"/>
        <w:rPr>
          <w:rFonts w:asciiTheme="majorHAnsi" w:hAnsiTheme="majorHAnsi"/>
          <w:i/>
        </w:rPr>
      </w:pPr>
      <w:r w:rsidRPr="004154A5">
        <w:rPr>
          <w:rFonts w:asciiTheme="majorHAnsi" w:hAnsiTheme="majorHAnsi"/>
        </w:rPr>
        <w:t xml:space="preserve">Duff, R.A. (2001) </w:t>
      </w:r>
      <w:r w:rsidRPr="004154A5">
        <w:rPr>
          <w:rFonts w:asciiTheme="majorHAnsi" w:hAnsiTheme="majorHAnsi"/>
          <w:i/>
        </w:rPr>
        <w:t>Punishment, Communication and Community</w:t>
      </w:r>
      <w:r w:rsidRPr="004154A5">
        <w:rPr>
          <w:rFonts w:asciiTheme="majorHAnsi" w:hAnsiTheme="majorHAnsi"/>
        </w:rPr>
        <w:t>. Oxford: Oxford University Press</w:t>
      </w:r>
    </w:p>
    <w:p w:rsidR="00200EA8" w:rsidRPr="004154A5" w:rsidRDefault="000E5446" w:rsidP="005C0B17">
      <w:pPr>
        <w:spacing w:after="0"/>
        <w:ind w:left="567" w:hanging="567"/>
        <w:rPr>
          <w:rFonts w:asciiTheme="majorHAnsi" w:hAnsiTheme="majorHAnsi"/>
          <w:i/>
        </w:rPr>
      </w:pPr>
      <w:r w:rsidRPr="004154A5">
        <w:rPr>
          <w:rFonts w:asciiTheme="majorHAnsi" w:hAnsiTheme="majorHAnsi"/>
        </w:rPr>
        <w:t xml:space="preserve">Foucault, M. (1977) </w:t>
      </w:r>
      <w:r w:rsidRPr="004154A5">
        <w:rPr>
          <w:rFonts w:asciiTheme="majorHAnsi" w:hAnsiTheme="majorHAnsi"/>
          <w:i/>
        </w:rPr>
        <w:t>Discipline and Punish: The Birth of the Prison.</w:t>
      </w:r>
      <w:r w:rsidRPr="004154A5">
        <w:rPr>
          <w:rFonts w:asciiTheme="majorHAnsi" w:hAnsiTheme="majorHAnsi"/>
        </w:rPr>
        <w:t xml:space="preserve"> (Trans. A. SHERIDAN) London: Penguin.</w:t>
      </w:r>
    </w:p>
    <w:p w:rsidR="00345B61" w:rsidRPr="004154A5" w:rsidRDefault="00345B61" w:rsidP="005C0B17">
      <w:pPr>
        <w:spacing w:after="0"/>
        <w:ind w:left="567" w:hanging="567"/>
        <w:rPr>
          <w:rFonts w:asciiTheme="majorHAnsi" w:hAnsiTheme="majorHAnsi"/>
        </w:rPr>
      </w:pPr>
      <w:r w:rsidRPr="004154A5">
        <w:rPr>
          <w:rFonts w:asciiTheme="majorHAnsi" w:hAnsiTheme="majorHAnsi"/>
        </w:rPr>
        <w:t>Gilbert, B. (2013) ‘Public protection? The implications of Grayling's 'Transforming Rehabilitation' agenda on the safety of women and children’,</w:t>
      </w:r>
      <w:r w:rsidRPr="004154A5">
        <w:rPr>
          <w:rFonts w:asciiTheme="majorHAnsi" w:hAnsiTheme="majorHAnsi"/>
          <w:i/>
          <w:iCs/>
        </w:rPr>
        <w:t> British Journal of Community Justice, </w:t>
      </w:r>
      <w:r w:rsidRPr="004154A5">
        <w:rPr>
          <w:rFonts w:asciiTheme="majorHAnsi" w:hAnsiTheme="majorHAnsi"/>
          <w:iCs/>
        </w:rPr>
        <w:t>11</w:t>
      </w:r>
      <w:r w:rsidRPr="004154A5">
        <w:rPr>
          <w:rFonts w:asciiTheme="majorHAnsi" w:hAnsiTheme="majorHAnsi"/>
        </w:rPr>
        <w:t xml:space="preserve">(2): 123-134 </w:t>
      </w:r>
    </w:p>
    <w:p w:rsidR="000C2E3F" w:rsidRPr="004154A5" w:rsidRDefault="000C2E3F" w:rsidP="000C2E3F">
      <w:pPr>
        <w:spacing w:after="0"/>
        <w:ind w:left="567" w:hanging="567"/>
        <w:rPr>
          <w:rFonts w:asciiTheme="majorHAnsi" w:hAnsiTheme="majorHAnsi"/>
          <w:i/>
        </w:rPr>
      </w:pPr>
      <w:r w:rsidRPr="004154A5">
        <w:rPr>
          <w:rFonts w:asciiTheme="majorHAnsi" w:hAnsiTheme="majorHAnsi"/>
        </w:rPr>
        <w:t xml:space="preserve">Henley, A.J. (2014) ‘Abolishing the stigma of punishments served’, </w:t>
      </w:r>
      <w:r w:rsidRPr="004154A5">
        <w:rPr>
          <w:rFonts w:asciiTheme="majorHAnsi" w:hAnsiTheme="majorHAnsi"/>
          <w:i/>
        </w:rPr>
        <w:t>Criminal Justice Matters</w:t>
      </w:r>
      <w:r w:rsidRPr="004154A5">
        <w:rPr>
          <w:rFonts w:asciiTheme="majorHAnsi" w:hAnsiTheme="majorHAnsi"/>
        </w:rPr>
        <w:t xml:space="preserve">, 97 (1): 22-23 </w:t>
      </w:r>
    </w:p>
    <w:p w:rsidR="000C2E3F" w:rsidRPr="004154A5" w:rsidRDefault="000C2E3F" w:rsidP="000C2E3F">
      <w:pPr>
        <w:spacing w:after="0"/>
        <w:ind w:left="567" w:hanging="567"/>
        <w:rPr>
          <w:rFonts w:asciiTheme="majorHAnsi" w:hAnsiTheme="majorHAnsi"/>
          <w:i/>
        </w:rPr>
      </w:pPr>
      <w:r w:rsidRPr="004154A5">
        <w:rPr>
          <w:rFonts w:asciiTheme="majorHAnsi" w:hAnsiTheme="majorHAnsi"/>
        </w:rPr>
        <w:t xml:space="preserve">Henley, A.J. (2017a) ‘Criminal records and conditional citizenship: towards a critical sociology of post-sentence discrimination’, in S. Fletcher and H. White (eds.), </w:t>
      </w:r>
      <w:r w:rsidRPr="004154A5">
        <w:rPr>
          <w:rFonts w:asciiTheme="majorHAnsi" w:hAnsiTheme="majorHAnsi"/>
          <w:i/>
        </w:rPr>
        <w:t xml:space="preserve">Emerging Voices: Critical Social Research by European Group Postgraduate and Early Career Researchers, </w:t>
      </w:r>
      <w:r w:rsidRPr="004154A5">
        <w:rPr>
          <w:rFonts w:asciiTheme="majorHAnsi" w:hAnsiTheme="majorHAnsi"/>
        </w:rPr>
        <w:t>pp.119-128</w:t>
      </w:r>
      <w:r w:rsidRPr="004154A5">
        <w:rPr>
          <w:rFonts w:asciiTheme="majorHAnsi" w:hAnsiTheme="majorHAnsi"/>
          <w:i/>
        </w:rPr>
        <w:t>.</w:t>
      </w:r>
      <w:r w:rsidRPr="004154A5">
        <w:rPr>
          <w:rFonts w:asciiTheme="majorHAnsi" w:hAnsiTheme="majorHAnsi"/>
        </w:rPr>
        <w:t xml:space="preserve"> London: European Group Press</w:t>
      </w:r>
    </w:p>
    <w:p w:rsidR="000C2E3F" w:rsidRPr="004154A5" w:rsidRDefault="000C2E3F" w:rsidP="000C2E3F">
      <w:pPr>
        <w:spacing w:after="0"/>
        <w:ind w:left="567" w:hanging="567"/>
        <w:rPr>
          <w:rFonts w:asciiTheme="majorHAnsi" w:hAnsiTheme="majorHAnsi"/>
          <w:i/>
        </w:rPr>
      </w:pPr>
      <w:r w:rsidRPr="004154A5">
        <w:rPr>
          <w:rFonts w:asciiTheme="majorHAnsi" w:hAnsiTheme="majorHAnsi"/>
        </w:rPr>
        <w:t xml:space="preserve">Henley, A.J. (2017b) </w:t>
      </w:r>
      <w:r w:rsidRPr="004154A5">
        <w:rPr>
          <w:rFonts w:asciiTheme="majorHAnsi" w:hAnsiTheme="majorHAnsi"/>
          <w:i/>
        </w:rPr>
        <w:t>Criminal records and the regulation of redemption: a critical history of legal rehabilitation in England and Wales</w:t>
      </w:r>
      <w:r w:rsidRPr="004154A5">
        <w:rPr>
          <w:rFonts w:asciiTheme="majorHAnsi" w:hAnsiTheme="majorHAnsi"/>
        </w:rPr>
        <w:t>, Unpublished PhD Thesis.  Keele: Keele University</w:t>
      </w:r>
    </w:p>
    <w:p w:rsidR="000C2E3F" w:rsidRPr="004154A5" w:rsidRDefault="000C2E3F" w:rsidP="000C2E3F">
      <w:pPr>
        <w:spacing w:after="0"/>
        <w:ind w:left="567" w:hanging="567"/>
        <w:rPr>
          <w:rFonts w:asciiTheme="majorHAnsi" w:hAnsiTheme="majorHAnsi"/>
          <w:i/>
        </w:rPr>
      </w:pPr>
      <w:r w:rsidRPr="004154A5">
        <w:rPr>
          <w:rFonts w:asciiTheme="majorHAnsi" w:hAnsiTheme="majorHAnsi"/>
        </w:rPr>
        <w:t xml:space="preserve">Henley, A.J. (2018, forthcoming) ‘Civil and social death: criminal background and the loss of the self’, in S. Read; S. Santatzoglou and A. Wrigley (eds.), </w:t>
      </w:r>
      <w:r w:rsidRPr="004154A5">
        <w:rPr>
          <w:rFonts w:asciiTheme="majorHAnsi" w:hAnsiTheme="majorHAnsi"/>
          <w:i/>
        </w:rPr>
        <w:t xml:space="preserve">Loss, Dying and Bereavement in the Criminal Justice System.  </w:t>
      </w:r>
      <w:r w:rsidRPr="004154A5">
        <w:rPr>
          <w:rFonts w:asciiTheme="majorHAnsi" w:hAnsiTheme="majorHAnsi"/>
        </w:rPr>
        <w:t>London: Routledge</w:t>
      </w:r>
    </w:p>
    <w:p w:rsidR="00200EA8" w:rsidRPr="004154A5" w:rsidRDefault="000E5446" w:rsidP="005C0B17">
      <w:pPr>
        <w:spacing w:after="0"/>
        <w:ind w:left="567" w:hanging="567"/>
        <w:rPr>
          <w:rFonts w:asciiTheme="majorHAnsi" w:hAnsiTheme="majorHAnsi"/>
          <w:i/>
        </w:rPr>
      </w:pPr>
      <w:r w:rsidRPr="004154A5">
        <w:rPr>
          <w:rFonts w:asciiTheme="majorHAnsi" w:hAnsiTheme="majorHAnsi"/>
        </w:rPr>
        <w:t xml:space="preserve">Herzog-Evans, M. (2011) ‘Judicial rehabilitation in France: Helping with the desisting process and acknowledging achieved desistance’, </w:t>
      </w:r>
      <w:r w:rsidRPr="004154A5">
        <w:rPr>
          <w:rFonts w:asciiTheme="majorHAnsi" w:hAnsiTheme="majorHAnsi"/>
          <w:i/>
        </w:rPr>
        <w:t>European Journal of Probation</w:t>
      </w:r>
      <w:r w:rsidRPr="004154A5">
        <w:rPr>
          <w:rFonts w:asciiTheme="majorHAnsi" w:hAnsiTheme="majorHAnsi"/>
        </w:rPr>
        <w:t>, 3(1): 4–19</w:t>
      </w:r>
    </w:p>
    <w:p w:rsidR="00200EA8" w:rsidRPr="004154A5" w:rsidRDefault="00953B4F" w:rsidP="005C0B17">
      <w:pPr>
        <w:spacing w:after="0"/>
        <w:ind w:left="567" w:hanging="567"/>
        <w:rPr>
          <w:rFonts w:asciiTheme="majorHAnsi" w:hAnsiTheme="majorHAnsi"/>
        </w:rPr>
      </w:pPr>
      <w:r w:rsidRPr="004154A5">
        <w:rPr>
          <w:rFonts w:asciiTheme="majorHAnsi" w:hAnsiTheme="majorHAnsi"/>
        </w:rPr>
        <w:t xml:space="preserve">HM Inspectorate of Probation (2016) </w:t>
      </w:r>
      <w:r w:rsidRPr="004154A5">
        <w:rPr>
          <w:rFonts w:asciiTheme="majorHAnsi" w:hAnsiTheme="majorHAnsi"/>
          <w:i/>
        </w:rPr>
        <w:t>Transforming Rehabilitation: Early Implementation 5 – An independent inspection of the arrangements for offender supervision</w:t>
      </w:r>
      <w:r w:rsidRPr="004154A5">
        <w:rPr>
          <w:rFonts w:asciiTheme="majorHAnsi" w:hAnsiTheme="majorHAnsi"/>
        </w:rPr>
        <w:t>.  London: HMIP</w:t>
      </w:r>
    </w:p>
    <w:p w:rsidR="001E6021" w:rsidRPr="004154A5" w:rsidRDefault="001E6021" w:rsidP="005C0B17">
      <w:pPr>
        <w:spacing w:after="0"/>
        <w:ind w:left="567" w:hanging="567"/>
        <w:rPr>
          <w:rFonts w:asciiTheme="majorHAnsi" w:hAnsiTheme="majorHAnsi"/>
          <w:i/>
        </w:rPr>
      </w:pPr>
      <w:r w:rsidRPr="004154A5">
        <w:rPr>
          <w:rFonts w:asciiTheme="majorHAnsi" w:hAnsiTheme="majorHAnsi"/>
        </w:rPr>
        <w:t>HM Inspectorate of Probation (2017)</w:t>
      </w:r>
      <w:r w:rsidR="006B686D" w:rsidRPr="004154A5">
        <w:rPr>
          <w:rFonts w:asciiTheme="majorHAnsi" w:hAnsiTheme="majorHAnsi"/>
        </w:rPr>
        <w:t xml:space="preserve"> </w:t>
      </w:r>
      <w:r w:rsidR="006B686D" w:rsidRPr="004154A5">
        <w:rPr>
          <w:rFonts w:asciiTheme="majorHAnsi" w:hAnsiTheme="majorHAnsi"/>
          <w:i/>
        </w:rPr>
        <w:t>The implementation and delivery of Rehabilitation Activity Requirements: An inspection by HM Inspectorate of Probation</w:t>
      </w:r>
      <w:r w:rsidR="006B686D" w:rsidRPr="004154A5">
        <w:rPr>
          <w:rFonts w:asciiTheme="majorHAnsi" w:hAnsiTheme="majorHAnsi"/>
        </w:rPr>
        <w:t>.  London: HMIP</w:t>
      </w:r>
    </w:p>
    <w:p w:rsidR="002308C6" w:rsidRPr="004154A5" w:rsidRDefault="002E712F" w:rsidP="002308C6">
      <w:pPr>
        <w:spacing w:after="0"/>
        <w:ind w:left="567" w:hanging="567"/>
        <w:rPr>
          <w:rFonts w:asciiTheme="majorHAnsi" w:hAnsiTheme="majorHAnsi"/>
        </w:rPr>
      </w:pPr>
      <w:r w:rsidRPr="004154A5">
        <w:rPr>
          <w:rFonts w:asciiTheme="majorHAnsi" w:hAnsiTheme="majorHAnsi"/>
        </w:rPr>
        <w:t xml:space="preserve">Home Office (2002) </w:t>
      </w:r>
      <w:r w:rsidRPr="004154A5">
        <w:rPr>
          <w:rFonts w:asciiTheme="majorHAnsi" w:hAnsiTheme="majorHAnsi"/>
          <w:i/>
          <w:iCs/>
        </w:rPr>
        <w:t>Breaking the circle – A report of the review of the Rehabilitation of Offenders Act</w:t>
      </w:r>
      <w:r w:rsidRPr="004154A5">
        <w:rPr>
          <w:rFonts w:asciiTheme="majorHAnsi" w:hAnsiTheme="majorHAnsi"/>
        </w:rPr>
        <w:t>. London: Home Office</w:t>
      </w:r>
    </w:p>
    <w:p w:rsidR="002308C6" w:rsidRPr="004154A5" w:rsidRDefault="002308C6" w:rsidP="002308C6">
      <w:pPr>
        <w:spacing w:after="0"/>
        <w:ind w:left="567" w:hanging="567"/>
        <w:rPr>
          <w:rFonts w:asciiTheme="majorHAnsi" w:hAnsiTheme="majorHAnsi"/>
          <w:i/>
        </w:rPr>
      </w:pPr>
      <w:r w:rsidRPr="004154A5">
        <w:rPr>
          <w:rFonts w:asciiTheme="majorHAnsi" w:hAnsiTheme="majorHAnsi"/>
        </w:rPr>
        <w:t xml:space="preserve">Home Office (2017) </w:t>
      </w:r>
      <w:r w:rsidRPr="004154A5">
        <w:rPr>
          <w:rFonts w:asciiTheme="majorHAnsi" w:hAnsiTheme="majorHAnsi"/>
          <w:i/>
        </w:rPr>
        <w:t xml:space="preserve">Response to </w:t>
      </w:r>
      <w:r w:rsidRPr="004154A5">
        <w:rPr>
          <w:rFonts w:asciiTheme="majorHAnsi" w:hAnsiTheme="majorHAnsi"/>
          <w:bCs/>
          <w:i/>
        </w:rPr>
        <w:t>Freedom of Information Act 2000 Request (Reference 43920): Nominal (Criminal) Records.</w:t>
      </w:r>
      <w:r w:rsidRPr="004154A5">
        <w:rPr>
          <w:rFonts w:asciiTheme="majorHAnsi" w:hAnsiTheme="majorHAnsi"/>
          <w:bCs/>
        </w:rPr>
        <w:t xml:space="preserve"> London: Home Office</w:t>
      </w:r>
    </w:p>
    <w:p w:rsidR="00200EA8" w:rsidRPr="004154A5" w:rsidRDefault="00E21278" w:rsidP="005C0B17">
      <w:pPr>
        <w:spacing w:after="0"/>
        <w:ind w:left="567" w:hanging="567"/>
        <w:rPr>
          <w:rFonts w:asciiTheme="majorHAnsi" w:hAnsiTheme="majorHAnsi"/>
          <w:i/>
        </w:rPr>
      </w:pPr>
      <w:r w:rsidRPr="004154A5">
        <w:rPr>
          <w:rFonts w:asciiTheme="majorHAnsi" w:hAnsiTheme="majorHAnsi"/>
        </w:rPr>
        <w:t xml:space="preserve">Justice (1972) </w:t>
      </w:r>
      <w:r w:rsidRPr="004154A5">
        <w:rPr>
          <w:rFonts w:asciiTheme="majorHAnsi" w:hAnsiTheme="majorHAnsi"/>
          <w:i/>
        </w:rPr>
        <w:t>Living It Down: The Problem of Old Convictions.</w:t>
      </w:r>
      <w:r w:rsidR="00200EA8" w:rsidRPr="004154A5">
        <w:rPr>
          <w:rFonts w:asciiTheme="majorHAnsi" w:hAnsiTheme="majorHAnsi"/>
        </w:rPr>
        <w:t xml:space="preserve">  London: JUSTICE</w:t>
      </w:r>
    </w:p>
    <w:p w:rsidR="0046216E" w:rsidRPr="004154A5" w:rsidRDefault="0046216E" w:rsidP="005C0B17">
      <w:pPr>
        <w:spacing w:after="0"/>
        <w:ind w:left="567" w:hanging="567"/>
        <w:rPr>
          <w:rFonts w:asciiTheme="majorHAnsi" w:hAnsiTheme="majorHAnsi"/>
        </w:rPr>
      </w:pPr>
      <w:r w:rsidRPr="004154A5">
        <w:rPr>
          <w:rFonts w:asciiTheme="majorHAnsi" w:hAnsiTheme="majorHAnsi"/>
        </w:rPr>
        <w:t xml:space="preserve">Kurlychek, M.C.; Brame, R. and Bushway, S.D. (2006) ‘Scarlet letters and recidivism: does an old criminal record predict future offending?’, </w:t>
      </w:r>
      <w:r w:rsidRPr="004154A5">
        <w:rPr>
          <w:rFonts w:asciiTheme="majorHAnsi" w:hAnsiTheme="majorHAnsi"/>
          <w:i/>
        </w:rPr>
        <w:t xml:space="preserve">Criminology and Public Policy, </w:t>
      </w:r>
      <w:r w:rsidRPr="004154A5">
        <w:rPr>
          <w:rFonts w:asciiTheme="majorHAnsi" w:hAnsiTheme="majorHAnsi"/>
        </w:rPr>
        <w:t>5 (3) 483-504</w:t>
      </w:r>
    </w:p>
    <w:p w:rsidR="0046216E" w:rsidRPr="004154A5" w:rsidRDefault="0046216E" w:rsidP="005C0B17">
      <w:pPr>
        <w:spacing w:after="0"/>
        <w:ind w:left="567" w:hanging="567"/>
        <w:rPr>
          <w:rFonts w:asciiTheme="majorHAnsi" w:hAnsiTheme="majorHAnsi"/>
        </w:rPr>
      </w:pPr>
      <w:r w:rsidRPr="004154A5">
        <w:rPr>
          <w:rFonts w:asciiTheme="majorHAnsi" w:hAnsiTheme="majorHAnsi"/>
        </w:rPr>
        <w:lastRenderedPageBreak/>
        <w:t xml:space="preserve">Kurlychek, M.C.; Brame, R. and Bushway, S.D. (2007) ‘Enduring Risk? Old Criminal Records and Predictions of Future Criminal Involvement’, </w:t>
      </w:r>
      <w:r w:rsidRPr="004154A5">
        <w:rPr>
          <w:rFonts w:asciiTheme="majorHAnsi" w:hAnsiTheme="majorHAnsi"/>
          <w:i/>
        </w:rPr>
        <w:t xml:space="preserve">Crime and Delinquency, </w:t>
      </w:r>
      <w:r w:rsidRPr="004154A5">
        <w:rPr>
          <w:rFonts w:asciiTheme="majorHAnsi" w:hAnsiTheme="majorHAnsi"/>
        </w:rPr>
        <w:t>53 (1): 64-83</w:t>
      </w:r>
    </w:p>
    <w:p w:rsidR="00200EA8" w:rsidRPr="004154A5" w:rsidRDefault="00E21278" w:rsidP="005C0B17">
      <w:pPr>
        <w:spacing w:after="0"/>
        <w:ind w:left="567" w:hanging="567"/>
        <w:rPr>
          <w:rFonts w:asciiTheme="majorHAnsi" w:hAnsiTheme="majorHAnsi"/>
          <w:i/>
        </w:rPr>
      </w:pPr>
      <w:r w:rsidRPr="004154A5">
        <w:rPr>
          <w:rFonts w:asciiTheme="majorHAnsi" w:hAnsiTheme="majorHAnsi"/>
        </w:rPr>
        <w:t>Lacey, N. (1988) State Punishment: Political Principles and Community Values. London: Routledge</w:t>
      </w:r>
    </w:p>
    <w:p w:rsidR="00200EA8" w:rsidRPr="004154A5" w:rsidRDefault="00C26536" w:rsidP="005C0B17">
      <w:pPr>
        <w:spacing w:after="0"/>
        <w:ind w:left="567" w:hanging="567"/>
        <w:rPr>
          <w:rFonts w:asciiTheme="majorHAnsi" w:hAnsiTheme="majorHAnsi"/>
          <w:i/>
        </w:rPr>
      </w:pPr>
      <w:r w:rsidRPr="004154A5">
        <w:rPr>
          <w:rFonts w:asciiTheme="majorHAnsi" w:hAnsiTheme="majorHAnsi"/>
          <w:lang w:val="en-US"/>
        </w:rPr>
        <w:t xml:space="preserve">Larrauri, E. (2014a) ‘Are Police Records Criminal Records?’ </w:t>
      </w:r>
      <w:r w:rsidRPr="004154A5">
        <w:rPr>
          <w:rFonts w:asciiTheme="majorHAnsi" w:hAnsiTheme="majorHAnsi"/>
          <w:i/>
          <w:iCs/>
          <w:lang w:val="en-US"/>
        </w:rPr>
        <w:t xml:space="preserve">European Journal of Crime, Criminal Law and Criminal Justice, </w:t>
      </w:r>
      <w:r w:rsidRPr="004154A5">
        <w:rPr>
          <w:rFonts w:asciiTheme="majorHAnsi" w:hAnsiTheme="majorHAnsi"/>
          <w:iCs/>
          <w:lang w:val="en-US"/>
        </w:rPr>
        <w:t xml:space="preserve">22: </w:t>
      </w:r>
      <w:r w:rsidRPr="004154A5">
        <w:rPr>
          <w:rFonts w:asciiTheme="majorHAnsi" w:hAnsiTheme="majorHAnsi"/>
          <w:lang w:val="en-US"/>
        </w:rPr>
        <w:t>377-95</w:t>
      </w:r>
    </w:p>
    <w:p w:rsidR="00200EA8" w:rsidRPr="004154A5" w:rsidRDefault="00E21278" w:rsidP="005C0B17">
      <w:pPr>
        <w:spacing w:after="0"/>
        <w:ind w:left="567" w:hanging="567"/>
        <w:rPr>
          <w:rFonts w:asciiTheme="majorHAnsi" w:hAnsiTheme="majorHAnsi"/>
          <w:i/>
        </w:rPr>
      </w:pPr>
      <w:r w:rsidRPr="004154A5">
        <w:rPr>
          <w:rFonts w:asciiTheme="majorHAnsi" w:hAnsiTheme="majorHAnsi"/>
        </w:rPr>
        <w:t>Larrauri, E. (2014</w:t>
      </w:r>
      <w:r w:rsidR="00C26536" w:rsidRPr="004154A5">
        <w:rPr>
          <w:rFonts w:asciiTheme="majorHAnsi" w:hAnsiTheme="majorHAnsi"/>
        </w:rPr>
        <w:t>b</w:t>
      </w:r>
      <w:r w:rsidRPr="004154A5">
        <w:rPr>
          <w:rFonts w:asciiTheme="majorHAnsi" w:hAnsiTheme="majorHAnsi"/>
        </w:rPr>
        <w:t xml:space="preserve">) ‘Legal protections against criminal background checks in Europe’, </w:t>
      </w:r>
      <w:r w:rsidRPr="004154A5">
        <w:rPr>
          <w:rFonts w:asciiTheme="majorHAnsi" w:hAnsiTheme="majorHAnsi"/>
          <w:i/>
        </w:rPr>
        <w:t>Punishment and Society</w:t>
      </w:r>
      <w:r w:rsidRPr="004154A5">
        <w:rPr>
          <w:rFonts w:asciiTheme="majorHAnsi" w:hAnsiTheme="majorHAnsi"/>
        </w:rPr>
        <w:t xml:space="preserve">, 16 (1): 50-73  </w:t>
      </w:r>
    </w:p>
    <w:p w:rsidR="00200EA8" w:rsidRPr="004154A5" w:rsidRDefault="000E5446" w:rsidP="005C0B17">
      <w:pPr>
        <w:spacing w:after="0"/>
        <w:ind w:left="567" w:hanging="567"/>
        <w:rPr>
          <w:rFonts w:asciiTheme="majorHAnsi" w:hAnsiTheme="majorHAnsi"/>
          <w:i/>
        </w:rPr>
      </w:pPr>
      <w:r w:rsidRPr="004154A5">
        <w:rPr>
          <w:rFonts w:asciiTheme="majorHAnsi" w:hAnsiTheme="majorHAnsi"/>
        </w:rPr>
        <w:t xml:space="preserve">Laub, J. &amp; Sampson, R. (2001) ‘Understanding desistance from crime’, </w:t>
      </w:r>
      <w:r w:rsidRPr="004154A5">
        <w:rPr>
          <w:rFonts w:asciiTheme="majorHAnsi" w:hAnsiTheme="majorHAnsi"/>
          <w:i/>
          <w:iCs/>
        </w:rPr>
        <w:t>Crime and Justice: A Review of Research</w:t>
      </w:r>
      <w:r w:rsidRPr="004154A5">
        <w:rPr>
          <w:rFonts w:asciiTheme="majorHAnsi" w:hAnsiTheme="majorHAnsi"/>
        </w:rPr>
        <w:t xml:space="preserve">, </w:t>
      </w:r>
      <w:r w:rsidRPr="004154A5">
        <w:rPr>
          <w:rFonts w:asciiTheme="majorHAnsi" w:hAnsiTheme="majorHAnsi"/>
          <w:i/>
          <w:iCs/>
        </w:rPr>
        <w:t>28</w:t>
      </w:r>
      <w:r w:rsidRPr="004154A5">
        <w:rPr>
          <w:rFonts w:asciiTheme="majorHAnsi" w:hAnsiTheme="majorHAnsi"/>
        </w:rPr>
        <w:t xml:space="preserve">: 1-70 </w:t>
      </w:r>
    </w:p>
    <w:p w:rsidR="00200EA8" w:rsidRPr="004154A5" w:rsidRDefault="000E5446" w:rsidP="005C0B17">
      <w:pPr>
        <w:spacing w:after="0"/>
        <w:ind w:left="567" w:hanging="567"/>
        <w:rPr>
          <w:rFonts w:asciiTheme="majorHAnsi" w:hAnsiTheme="majorHAnsi"/>
          <w:i/>
        </w:rPr>
      </w:pPr>
      <w:r w:rsidRPr="004154A5">
        <w:rPr>
          <w:rFonts w:asciiTheme="majorHAnsi" w:hAnsiTheme="majorHAnsi"/>
        </w:rPr>
        <w:t xml:space="preserve">Laub, J. and Sampson, R. (2003) </w:t>
      </w:r>
      <w:r w:rsidRPr="004154A5">
        <w:rPr>
          <w:rFonts w:asciiTheme="majorHAnsi" w:hAnsiTheme="majorHAnsi"/>
          <w:i/>
          <w:iCs/>
        </w:rPr>
        <w:t>Shared Beginnings, Divergent Lives: Delinquent Boys to Age 70</w:t>
      </w:r>
      <w:r w:rsidRPr="004154A5">
        <w:rPr>
          <w:rFonts w:asciiTheme="majorHAnsi" w:hAnsiTheme="majorHAnsi"/>
        </w:rPr>
        <w:t>. Cambridge, Mass.: Harvard University Press.</w:t>
      </w:r>
    </w:p>
    <w:p w:rsidR="00200EA8" w:rsidRPr="004154A5" w:rsidRDefault="00E21278" w:rsidP="005C0B17">
      <w:pPr>
        <w:spacing w:after="0"/>
        <w:ind w:left="567" w:hanging="567"/>
        <w:rPr>
          <w:rFonts w:asciiTheme="majorHAnsi" w:hAnsiTheme="majorHAnsi"/>
          <w:i/>
        </w:rPr>
      </w:pPr>
      <w:r w:rsidRPr="004154A5">
        <w:rPr>
          <w:rFonts w:asciiTheme="majorHAnsi" w:hAnsiTheme="majorHAnsi"/>
        </w:rPr>
        <w:t xml:space="preserve">McNeill, F. (2012) ‘Four forms of ‘offender’ rehabilitation: Towards an interdisciplinary perspective’, </w:t>
      </w:r>
      <w:r w:rsidRPr="004154A5">
        <w:rPr>
          <w:rFonts w:asciiTheme="majorHAnsi" w:hAnsiTheme="majorHAnsi"/>
          <w:i/>
        </w:rPr>
        <w:t xml:space="preserve">Legal and Criminological Psychology, </w:t>
      </w:r>
      <w:r w:rsidRPr="004154A5">
        <w:rPr>
          <w:rFonts w:asciiTheme="majorHAnsi" w:hAnsiTheme="majorHAnsi"/>
        </w:rPr>
        <w:t>17 (1): 14-36</w:t>
      </w:r>
    </w:p>
    <w:p w:rsidR="00345B61" w:rsidRPr="004154A5" w:rsidRDefault="00345B61" w:rsidP="005C0B17">
      <w:pPr>
        <w:spacing w:after="0"/>
        <w:ind w:left="567" w:hanging="567"/>
        <w:rPr>
          <w:rFonts w:asciiTheme="majorHAnsi" w:hAnsiTheme="majorHAnsi"/>
          <w:bCs/>
        </w:rPr>
      </w:pPr>
      <w:r w:rsidRPr="004154A5">
        <w:rPr>
          <w:rFonts w:asciiTheme="majorHAnsi" w:hAnsiTheme="majorHAnsi"/>
          <w:bCs/>
        </w:rPr>
        <w:t>McNeill, F. (2013) ‘Transforming Rehabilitation: Evidence, values and ideology’,</w:t>
      </w:r>
      <w:r w:rsidRPr="004154A5">
        <w:rPr>
          <w:rFonts w:asciiTheme="majorHAnsi" w:hAnsiTheme="majorHAnsi"/>
          <w:bCs/>
          <w:i/>
          <w:iCs/>
        </w:rPr>
        <w:t> British Journal of Community Justice, </w:t>
      </w:r>
      <w:r w:rsidRPr="004154A5">
        <w:rPr>
          <w:rFonts w:asciiTheme="majorHAnsi" w:hAnsiTheme="majorHAnsi"/>
          <w:bCs/>
          <w:iCs/>
        </w:rPr>
        <w:t>11</w:t>
      </w:r>
      <w:r w:rsidRPr="004154A5">
        <w:rPr>
          <w:rFonts w:asciiTheme="majorHAnsi" w:hAnsiTheme="majorHAnsi"/>
          <w:bCs/>
        </w:rPr>
        <w:t xml:space="preserve">(2): 83-85 </w:t>
      </w:r>
    </w:p>
    <w:p w:rsidR="00864795" w:rsidRPr="004154A5" w:rsidRDefault="00864795" w:rsidP="00864795">
      <w:pPr>
        <w:spacing w:after="0"/>
        <w:ind w:left="567" w:hanging="567"/>
        <w:rPr>
          <w:rFonts w:asciiTheme="majorHAnsi" w:hAnsiTheme="majorHAnsi"/>
          <w:bCs/>
        </w:rPr>
      </w:pPr>
      <w:r w:rsidRPr="004154A5">
        <w:rPr>
          <w:rFonts w:asciiTheme="majorHAnsi" w:hAnsiTheme="majorHAnsi"/>
          <w:bCs/>
        </w:rPr>
        <w:t xml:space="preserve">Maruna, S. (2001) </w:t>
      </w:r>
      <w:r w:rsidRPr="004154A5">
        <w:rPr>
          <w:rFonts w:asciiTheme="majorHAnsi" w:hAnsiTheme="majorHAnsi"/>
          <w:bCs/>
          <w:i/>
        </w:rPr>
        <w:t xml:space="preserve">Making Good: How ex-convicts reform and rebuild their lives.  </w:t>
      </w:r>
      <w:r w:rsidRPr="004154A5">
        <w:rPr>
          <w:rFonts w:asciiTheme="majorHAnsi" w:hAnsiTheme="majorHAnsi"/>
          <w:bCs/>
        </w:rPr>
        <w:t>Washington: American Psychological Association.</w:t>
      </w:r>
    </w:p>
    <w:p w:rsidR="00200EA8" w:rsidRPr="004154A5" w:rsidRDefault="008C5B74" w:rsidP="005C0B17">
      <w:pPr>
        <w:spacing w:after="0"/>
        <w:ind w:left="567" w:hanging="567"/>
        <w:rPr>
          <w:rFonts w:asciiTheme="majorHAnsi" w:hAnsiTheme="majorHAnsi"/>
          <w:bCs/>
        </w:rPr>
      </w:pPr>
      <w:r w:rsidRPr="004154A5">
        <w:rPr>
          <w:rFonts w:asciiTheme="majorHAnsi" w:hAnsiTheme="majorHAnsi"/>
          <w:bCs/>
        </w:rPr>
        <w:t>Maruna, S. (2011) ‘Judicial rehabilitation and the ‘Clean Bill of Health’ in criminal justice’, </w:t>
      </w:r>
      <w:r w:rsidRPr="004154A5">
        <w:rPr>
          <w:rFonts w:asciiTheme="majorHAnsi" w:hAnsiTheme="majorHAnsi"/>
          <w:bCs/>
          <w:i/>
          <w:iCs/>
        </w:rPr>
        <w:t>European Journal of Probation</w:t>
      </w:r>
      <w:r w:rsidRPr="004154A5">
        <w:rPr>
          <w:rFonts w:asciiTheme="majorHAnsi" w:hAnsiTheme="majorHAnsi"/>
          <w:bCs/>
        </w:rPr>
        <w:t>, </w:t>
      </w:r>
      <w:r w:rsidRPr="004154A5">
        <w:rPr>
          <w:rFonts w:asciiTheme="majorHAnsi" w:hAnsiTheme="majorHAnsi"/>
          <w:bCs/>
          <w:iCs/>
        </w:rPr>
        <w:t>3</w:t>
      </w:r>
      <w:r w:rsidRPr="004154A5">
        <w:rPr>
          <w:rFonts w:asciiTheme="majorHAnsi" w:hAnsiTheme="majorHAnsi"/>
          <w:bCs/>
        </w:rPr>
        <w:t>(1): 97-117</w:t>
      </w:r>
    </w:p>
    <w:p w:rsidR="00D12D4C" w:rsidRPr="004154A5" w:rsidRDefault="00D12D4C" w:rsidP="00D12D4C">
      <w:pPr>
        <w:spacing w:after="0"/>
        <w:ind w:left="567" w:hanging="567"/>
        <w:rPr>
          <w:rFonts w:asciiTheme="majorHAnsi" w:hAnsiTheme="majorHAnsi"/>
        </w:rPr>
      </w:pPr>
      <w:r w:rsidRPr="004154A5">
        <w:rPr>
          <w:rFonts w:asciiTheme="majorHAnsi" w:hAnsiTheme="majorHAnsi"/>
        </w:rPr>
        <w:t xml:space="preserve">Mawby, R.C. and Worrall, A. (2011) ‘They were very threatening about do-gooding bastards’: Probation’s changing relationships with the police and prison services in England and Wales’, </w:t>
      </w:r>
      <w:r w:rsidRPr="004154A5">
        <w:rPr>
          <w:rFonts w:asciiTheme="majorHAnsi" w:hAnsiTheme="majorHAnsi"/>
          <w:i/>
        </w:rPr>
        <w:t>European Journal of Probation</w:t>
      </w:r>
      <w:r w:rsidRPr="004154A5">
        <w:rPr>
          <w:rFonts w:asciiTheme="majorHAnsi" w:hAnsiTheme="majorHAnsi"/>
        </w:rPr>
        <w:t>, 3(3): 78-94</w:t>
      </w:r>
    </w:p>
    <w:p w:rsidR="00D12D4C" w:rsidRPr="004154A5" w:rsidRDefault="00D12D4C" w:rsidP="00D12D4C">
      <w:pPr>
        <w:spacing w:after="0"/>
        <w:ind w:left="567" w:hanging="567"/>
        <w:rPr>
          <w:rFonts w:asciiTheme="majorHAnsi" w:hAnsiTheme="majorHAnsi"/>
        </w:rPr>
      </w:pPr>
      <w:r w:rsidRPr="004154A5">
        <w:rPr>
          <w:rFonts w:asciiTheme="majorHAnsi" w:hAnsiTheme="majorHAnsi"/>
        </w:rPr>
        <w:t xml:space="preserve">Mawby, R.C. and Worrall, A. (2013) </w:t>
      </w:r>
      <w:r w:rsidRPr="004154A5">
        <w:rPr>
          <w:rFonts w:asciiTheme="majorHAnsi" w:hAnsiTheme="majorHAnsi"/>
          <w:i/>
        </w:rPr>
        <w:t>Doing Probation Work: Identity in a Criminal Justice Occupation</w:t>
      </w:r>
      <w:r w:rsidRPr="004154A5">
        <w:rPr>
          <w:rFonts w:asciiTheme="majorHAnsi" w:hAnsiTheme="majorHAnsi"/>
        </w:rPr>
        <w:t>. London: Routledge</w:t>
      </w:r>
    </w:p>
    <w:p w:rsidR="00200EA8" w:rsidRPr="004154A5" w:rsidRDefault="00C95ED1" w:rsidP="005C0B17">
      <w:pPr>
        <w:spacing w:after="0"/>
        <w:ind w:left="567" w:hanging="567"/>
        <w:rPr>
          <w:rFonts w:asciiTheme="majorHAnsi" w:hAnsiTheme="majorHAnsi"/>
          <w:i/>
        </w:rPr>
      </w:pPr>
      <w:r w:rsidRPr="004154A5">
        <w:rPr>
          <w:rFonts w:asciiTheme="majorHAnsi" w:hAnsiTheme="majorHAnsi"/>
        </w:rPr>
        <w:t xml:space="preserve">Mears, A.R. (2008), ‘Rehabilitation of offenders – Does the 1974 Act help them?’ </w:t>
      </w:r>
      <w:r w:rsidRPr="004154A5">
        <w:rPr>
          <w:rFonts w:asciiTheme="majorHAnsi" w:hAnsiTheme="majorHAnsi"/>
          <w:i/>
          <w:iCs/>
        </w:rPr>
        <w:t xml:space="preserve">Probation Journal, </w:t>
      </w:r>
      <w:r w:rsidRPr="004154A5">
        <w:rPr>
          <w:rFonts w:asciiTheme="majorHAnsi" w:hAnsiTheme="majorHAnsi"/>
        </w:rPr>
        <w:t xml:space="preserve">55 (2): 161-170 </w:t>
      </w:r>
    </w:p>
    <w:p w:rsidR="00200EA8" w:rsidRPr="004154A5" w:rsidRDefault="006A435D" w:rsidP="005C0B17">
      <w:pPr>
        <w:spacing w:after="0"/>
        <w:ind w:left="567" w:hanging="567"/>
        <w:rPr>
          <w:rFonts w:asciiTheme="majorHAnsi" w:hAnsiTheme="majorHAnsi"/>
          <w:i/>
        </w:rPr>
      </w:pPr>
      <w:r w:rsidRPr="004154A5">
        <w:rPr>
          <w:rFonts w:asciiTheme="majorHAnsi" w:hAnsiTheme="majorHAnsi"/>
        </w:rPr>
        <w:t xml:space="preserve">Ministry of Justice (2010) </w:t>
      </w:r>
      <w:r w:rsidRPr="004154A5">
        <w:rPr>
          <w:rFonts w:asciiTheme="majorHAnsi" w:hAnsiTheme="majorHAnsi"/>
          <w:i/>
        </w:rPr>
        <w:t>Breaking the Cycle: Effective Punishment, Rehabilitation and Sentencing of Offenders, Cm. 7972</w:t>
      </w:r>
      <w:r w:rsidRPr="004154A5">
        <w:rPr>
          <w:rFonts w:asciiTheme="majorHAnsi" w:hAnsiTheme="majorHAnsi"/>
        </w:rPr>
        <w:t>.  London: HMSO</w:t>
      </w:r>
    </w:p>
    <w:p w:rsidR="00200EA8" w:rsidRPr="004154A5" w:rsidRDefault="002F0FEA" w:rsidP="005C0B17">
      <w:pPr>
        <w:spacing w:after="0"/>
        <w:ind w:left="567" w:hanging="567"/>
        <w:rPr>
          <w:rFonts w:asciiTheme="majorHAnsi" w:hAnsiTheme="majorHAnsi"/>
          <w:i/>
        </w:rPr>
      </w:pPr>
      <w:r w:rsidRPr="004154A5">
        <w:rPr>
          <w:rFonts w:asciiTheme="majorHAnsi" w:hAnsiTheme="majorHAnsi"/>
        </w:rPr>
        <w:t>Ministry of Justice (2012) ‘The Rehabilitation Revolution - next steps’, [online] Available at: https://www.gov.uk/government/news/the-rehabilitation-revolution-next-steps (Accessed 2</w:t>
      </w:r>
      <w:r w:rsidRPr="004154A5">
        <w:rPr>
          <w:rFonts w:asciiTheme="majorHAnsi" w:hAnsiTheme="majorHAnsi"/>
          <w:vertAlign w:val="superscript"/>
        </w:rPr>
        <w:t>nd</w:t>
      </w:r>
      <w:r w:rsidRPr="004154A5">
        <w:rPr>
          <w:rFonts w:asciiTheme="majorHAnsi" w:hAnsiTheme="majorHAnsi"/>
        </w:rPr>
        <w:t xml:space="preserve"> September 2017)</w:t>
      </w:r>
    </w:p>
    <w:p w:rsidR="00200EA8" w:rsidRPr="004154A5" w:rsidRDefault="000F41C4" w:rsidP="005C0B17">
      <w:pPr>
        <w:spacing w:after="0"/>
        <w:ind w:left="567" w:hanging="567"/>
        <w:rPr>
          <w:rFonts w:asciiTheme="majorHAnsi" w:hAnsiTheme="majorHAnsi"/>
          <w:i/>
        </w:rPr>
      </w:pPr>
      <w:r w:rsidRPr="004154A5">
        <w:rPr>
          <w:rFonts w:asciiTheme="majorHAnsi" w:hAnsiTheme="majorHAnsi"/>
        </w:rPr>
        <w:t>Ministry of Justice (2014) ‘New law will see support extended to 50,000 more prisoners ‘, [online] Available at: https://www.gov.uk/government/news/new-law-will-see-support-extended-to-50000-more-prisoners (Accessed 2nd September 2017)</w:t>
      </w:r>
    </w:p>
    <w:p w:rsidR="00200EA8" w:rsidRPr="004154A5" w:rsidRDefault="001B7EA9" w:rsidP="005C0B17">
      <w:pPr>
        <w:spacing w:after="0"/>
        <w:ind w:left="567" w:hanging="567"/>
        <w:rPr>
          <w:rFonts w:asciiTheme="majorHAnsi" w:hAnsiTheme="majorHAnsi"/>
          <w:i/>
        </w:rPr>
      </w:pPr>
      <w:r w:rsidRPr="004154A5">
        <w:rPr>
          <w:rFonts w:asciiTheme="majorHAnsi" w:hAnsiTheme="majorHAnsi"/>
        </w:rPr>
        <w:t xml:space="preserve">Ministry of Justice (2017) </w:t>
      </w:r>
      <w:r w:rsidRPr="004154A5">
        <w:rPr>
          <w:rFonts w:asciiTheme="majorHAnsi" w:hAnsiTheme="majorHAnsi"/>
          <w:i/>
        </w:rPr>
        <w:t xml:space="preserve">Criminal Justice System statistics quarterly: March 2017 – Overview tables, Tab Q5.4 </w:t>
      </w:r>
      <w:r w:rsidRPr="004154A5">
        <w:rPr>
          <w:rFonts w:asciiTheme="majorHAnsi" w:hAnsiTheme="majorHAnsi"/>
        </w:rPr>
        <w:t>[online] Available at: https://www.gov.uk/government/uploads/system/uploads/attachment_data/file/638235/overview-tables-march-2017.xlsx (Accessed 27</w:t>
      </w:r>
      <w:r w:rsidRPr="004154A5">
        <w:rPr>
          <w:rFonts w:asciiTheme="majorHAnsi" w:hAnsiTheme="majorHAnsi"/>
          <w:vertAlign w:val="superscript"/>
        </w:rPr>
        <w:t>th</w:t>
      </w:r>
      <w:r w:rsidRPr="004154A5">
        <w:rPr>
          <w:rFonts w:asciiTheme="majorHAnsi" w:hAnsiTheme="majorHAnsi"/>
        </w:rPr>
        <w:t xml:space="preserve"> August 2017)</w:t>
      </w:r>
    </w:p>
    <w:p w:rsidR="00200EA8" w:rsidRPr="004154A5" w:rsidRDefault="005A69BC" w:rsidP="005C0B17">
      <w:pPr>
        <w:spacing w:after="0"/>
        <w:ind w:left="567" w:hanging="567"/>
        <w:rPr>
          <w:rFonts w:asciiTheme="majorHAnsi" w:hAnsiTheme="majorHAnsi"/>
        </w:rPr>
      </w:pPr>
      <w:r w:rsidRPr="004154A5">
        <w:rPr>
          <w:rFonts w:asciiTheme="majorHAnsi" w:hAnsiTheme="majorHAnsi"/>
        </w:rPr>
        <w:t xml:space="preserve">Sentencing Council (2017) </w:t>
      </w:r>
      <w:r w:rsidRPr="004154A5">
        <w:rPr>
          <w:rFonts w:asciiTheme="majorHAnsi" w:hAnsiTheme="majorHAnsi"/>
          <w:i/>
        </w:rPr>
        <w:t>Sentencing Basics</w:t>
      </w:r>
      <w:r w:rsidRPr="004154A5">
        <w:rPr>
          <w:rFonts w:asciiTheme="majorHAnsi" w:hAnsiTheme="majorHAnsi"/>
        </w:rPr>
        <w:t>. [online] Available at: https://www.sentencingcouncil.org.uk/about-sentencing/sentencing-basics/ (Accessed 2</w:t>
      </w:r>
      <w:r w:rsidRPr="004154A5">
        <w:rPr>
          <w:rFonts w:asciiTheme="majorHAnsi" w:hAnsiTheme="majorHAnsi"/>
          <w:vertAlign w:val="superscript"/>
        </w:rPr>
        <w:t>nd</w:t>
      </w:r>
      <w:r w:rsidRPr="004154A5">
        <w:rPr>
          <w:rFonts w:asciiTheme="majorHAnsi" w:hAnsiTheme="majorHAnsi"/>
        </w:rPr>
        <w:t xml:space="preserve"> August 2017)</w:t>
      </w:r>
    </w:p>
    <w:p w:rsidR="00287F32" w:rsidRPr="004154A5" w:rsidRDefault="00287F32" w:rsidP="005C0B17">
      <w:pPr>
        <w:spacing w:after="0"/>
        <w:ind w:left="567" w:hanging="567"/>
        <w:rPr>
          <w:rFonts w:asciiTheme="majorHAnsi" w:hAnsiTheme="majorHAnsi"/>
        </w:rPr>
      </w:pPr>
      <w:r w:rsidRPr="004154A5">
        <w:rPr>
          <w:rFonts w:asciiTheme="majorHAnsi" w:hAnsiTheme="majorHAnsi"/>
        </w:rPr>
        <w:t xml:space="preserve">Social Exclusion Unit (2002) </w:t>
      </w:r>
      <w:r w:rsidRPr="004154A5">
        <w:rPr>
          <w:rFonts w:asciiTheme="majorHAnsi" w:hAnsiTheme="majorHAnsi"/>
          <w:i/>
          <w:iCs/>
        </w:rPr>
        <w:t xml:space="preserve">Reducing re-offending by ex-prisoners.  </w:t>
      </w:r>
      <w:r w:rsidRPr="004154A5">
        <w:rPr>
          <w:rFonts w:asciiTheme="majorHAnsi" w:hAnsiTheme="majorHAnsi"/>
        </w:rPr>
        <w:t xml:space="preserve">London: Office of the Deputy Prime Minister </w:t>
      </w:r>
    </w:p>
    <w:p w:rsidR="007C74EB" w:rsidRPr="004154A5" w:rsidRDefault="007C74EB" w:rsidP="005C0B17">
      <w:pPr>
        <w:spacing w:after="0"/>
        <w:ind w:left="567" w:hanging="567"/>
        <w:rPr>
          <w:rFonts w:asciiTheme="majorHAnsi" w:hAnsiTheme="majorHAnsi"/>
          <w:i/>
        </w:rPr>
      </w:pPr>
      <w:r w:rsidRPr="004154A5">
        <w:rPr>
          <w:rFonts w:asciiTheme="majorHAnsi" w:hAnsiTheme="majorHAnsi"/>
        </w:rPr>
        <w:t>Soothill, K. and</w:t>
      </w:r>
      <w:r w:rsidR="00287F32" w:rsidRPr="004154A5">
        <w:rPr>
          <w:rFonts w:asciiTheme="majorHAnsi" w:hAnsiTheme="majorHAnsi"/>
        </w:rPr>
        <w:t xml:space="preserve"> Francis, B. (2009)</w:t>
      </w:r>
      <w:r w:rsidRPr="004154A5">
        <w:rPr>
          <w:rFonts w:asciiTheme="majorHAnsi" w:hAnsiTheme="majorHAnsi"/>
        </w:rPr>
        <w:t xml:space="preserve"> ‘When do Ex‐Offenders Become Like Non‐Offenders?’, </w:t>
      </w:r>
      <w:r w:rsidRPr="004154A5">
        <w:rPr>
          <w:rFonts w:asciiTheme="majorHAnsi" w:hAnsiTheme="majorHAnsi"/>
          <w:i/>
          <w:iCs/>
        </w:rPr>
        <w:t>The Howard Journal of Criminal Justice</w:t>
      </w:r>
      <w:r w:rsidRPr="004154A5">
        <w:rPr>
          <w:rFonts w:asciiTheme="majorHAnsi" w:hAnsiTheme="majorHAnsi"/>
        </w:rPr>
        <w:t>, </w:t>
      </w:r>
      <w:r w:rsidRPr="004154A5">
        <w:rPr>
          <w:rFonts w:asciiTheme="majorHAnsi" w:hAnsiTheme="majorHAnsi"/>
          <w:iCs/>
        </w:rPr>
        <w:t>48</w:t>
      </w:r>
      <w:r w:rsidRPr="004154A5">
        <w:rPr>
          <w:rFonts w:asciiTheme="majorHAnsi" w:hAnsiTheme="majorHAnsi"/>
        </w:rPr>
        <w:t>(4): 373-387</w:t>
      </w:r>
    </w:p>
    <w:p w:rsidR="00E21278" w:rsidRPr="004154A5" w:rsidRDefault="00E21278" w:rsidP="005C0B17">
      <w:pPr>
        <w:spacing w:after="0"/>
        <w:ind w:left="567" w:hanging="567"/>
        <w:rPr>
          <w:rFonts w:asciiTheme="majorHAnsi" w:hAnsiTheme="majorHAnsi"/>
          <w:bCs/>
        </w:rPr>
      </w:pPr>
      <w:r w:rsidRPr="004154A5">
        <w:rPr>
          <w:rFonts w:asciiTheme="majorHAnsi" w:hAnsiTheme="majorHAnsi"/>
          <w:bCs/>
        </w:rPr>
        <w:lastRenderedPageBreak/>
        <w:t xml:space="preserve">Stacey, C. (2015) ‘Rehabilitation &amp; Desistance vs Disclosure - Criminal Records: Learning from Europe’, </w:t>
      </w:r>
      <w:r w:rsidRPr="004154A5">
        <w:rPr>
          <w:rFonts w:asciiTheme="majorHAnsi" w:hAnsiTheme="majorHAnsi"/>
          <w:bCs/>
          <w:i/>
        </w:rPr>
        <w:t xml:space="preserve">Report from Winston Churchill Memorial Trust Fellowship </w:t>
      </w:r>
      <w:r w:rsidRPr="004154A5">
        <w:rPr>
          <w:rFonts w:asciiTheme="majorHAnsi" w:hAnsiTheme="majorHAnsi"/>
          <w:bCs/>
        </w:rPr>
        <w:t>[online], Available at: http://www.wcmt.org.uk/sites/default/files/report-documents/Stacey%20C%20Report%202014%20Final.pdf (Accessed 3</w:t>
      </w:r>
      <w:r w:rsidRPr="004154A5">
        <w:rPr>
          <w:rFonts w:asciiTheme="majorHAnsi" w:hAnsiTheme="majorHAnsi"/>
          <w:bCs/>
          <w:vertAlign w:val="superscript"/>
        </w:rPr>
        <w:t>rd</w:t>
      </w:r>
      <w:r w:rsidRPr="004154A5">
        <w:rPr>
          <w:rFonts w:asciiTheme="majorHAnsi" w:hAnsiTheme="majorHAnsi"/>
          <w:bCs/>
        </w:rPr>
        <w:t xml:space="preserve"> August 2017)</w:t>
      </w:r>
    </w:p>
    <w:p w:rsidR="00864795" w:rsidRPr="004154A5" w:rsidRDefault="00864795" w:rsidP="005C0B17">
      <w:pPr>
        <w:spacing w:after="0"/>
        <w:ind w:left="567" w:hanging="567"/>
        <w:rPr>
          <w:rFonts w:asciiTheme="majorHAnsi" w:hAnsiTheme="majorHAnsi"/>
          <w:bCs/>
        </w:rPr>
      </w:pPr>
      <w:r w:rsidRPr="004154A5">
        <w:rPr>
          <w:rFonts w:asciiTheme="majorHAnsi" w:hAnsiTheme="majorHAnsi"/>
          <w:bCs/>
        </w:rPr>
        <w:t xml:space="preserve">Tyler, T.R. (1990) </w:t>
      </w:r>
      <w:r w:rsidRPr="004154A5">
        <w:rPr>
          <w:rFonts w:asciiTheme="majorHAnsi" w:hAnsiTheme="majorHAnsi"/>
          <w:bCs/>
          <w:i/>
        </w:rPr>
        <w:t>Why people obey the law</w:t>
      </w:r>
      <w:r w:rsidRPr="004154A5">
        <w:rPr>
          <w:rFonts w:asciiTheme="majorHAnsi" w:hAnsiTheme="majorHAnsi"/>
          <w:bCs/>
        </w:rPr>
        <w:t>.  Princeton: Princeton University Press</w:t>
      </w:r>
    </w:p>
    <w:p w:rsidR="00345B61" w:rsidRPr="004154A5" w:rsidRDefault="00287F32" w:rsidP="005E0D7F">
      <w:pPr>
        <w:spacing w:after="0"/>
        <w:rPr>
          <w:rFonts w:asciiTheme="majorHAnsi" w:hAnsiTheme="majorHAnsi"/>
          <w:bCs/>
        </w:rPr>
      </w:pPr>
      <w:r w:rsidRPr="004154A5">
        <w:rPr>
          <w:rFonts w:asciiTheme="majorHAnsi" w:hAnsiTheme="majorHAnsi"/>
          <w:bCs/>
        </w:rPr>
        <w:t xml:space="preserve">Working Links (2010) </w:t>
      </w:r>
      <w:r w:rsidRPr="004154A5">
        <w:rPr>
          <w:rFonts w:asciiTheme="majorHAnsi" w:hAnsiTheme="majorHAnsi"/>
          <w:bCs/>
          <w:i/>
          <w:iCs/>
        </w:rPr>
        <w:t>Prejudiced: Tagged for life - A research report into employer attitudes towards ex-offenders</w:t>
      </w:r>
      <w:r w:rsidRPr="004154A5">
        <w:rPr>
          <w:rFonts w:asciiTheme="majorHAnsi" w:hAnsiTheme="majorHAnsi"/>
          <w:bCs/>
        </w:rPr>
        <w:t>. London: Working Links</w:t>
      </w:r>
    </w:p>
    <w:p w:rsidR="00347A60" w:rsidRPr="004154A5" w:rsidRDefault="00347A60">
      <w:pPr>
        <w:rPr>
          <w:rFonts w:asciiTheme="majorHAnsi" w:hAnsiTheme="majorHAnsi"/>
          <w:b/>
        </w:rPr>
      </w:pPr>
      <w:r w:rsidRPr="004154A5">
        <w:rPr>
          <w:rFonts w:asciiTheme="majorHAnsi" w:hAnsiTheme="majorHAnsi"/>
          <w:b/>
        </w:rPr>
        <w:br w:type="page"/>
      </w:r>
    </w:p>
    <w:p w:rsidR="005E0D7F" w:rsidRPr="004154A5" w:rsidRDefault="005E0D7F" w:rsidP="009D3A8A">
      <w:pPr>
        <w:spacing w:after="0"/>
        <w:jc w:val="center"/>
        <w:rPr>
          <w:rFonts w:asciiTheme="majorHAnsi" w:hAnsiTheme="majorHAnsi"/>
          <w:b/>
        </w:rPr>
      </w:pPr>
      <w:r w:rsidRPr="004154A5">
        <w:rPr>
          <w:rFonts w:asciiTheme="majorHAnsi" w:hAnsiTheme="majorHAnsi"/>
          <w:b/>
        </w:rPr>
        <w:lastRenderedPageBreak/>
        <w:t>TABLES FOR INSERTION INTO TEXT</w:t>
      </w:r>
    </w:p>
    <w:p w:rsidR="005E0D7F" w:rsidRPr="004154A5" w:rsidRDefault="005E0D7F" w:rsidP="005E0D7F">
      <w:pPr>
        <w:spacing w:after="0"/>
        <w:rPr>
          <w:rFonts w:asciiTheme="majorHAnsi" w:hAnsiTheme="majorHAnsi"/>
          <w:b/>
        </w:rPr>
      </w:pPr>
    </w:p>
    <w:p w:rsidR="005E0D7F" w:rsidRPr="004154A5" w:rsidRDefault="005E0D7F" w:rsidP="005E0D7F">
      <w:pPr>
        <w:spacing w:after="0"/>
        <w:rPr>
          <w:rFonts w:asciiTheme="majorHAnsi" w:hAnsiTheme="majorHAnsi"/>
          <w:b/>
        </w:rPr>
      </w:pPr>
      <w:r w:rsidRPr="004154A5">
        <w:rPr>
          <w:rFonts w:asciiTheme="majorHAnsi" w:hAnsiTheme="majorHAnsi"/>
          <w:b/>
        </w:rPr>
        <w:t xml:space="preserve">Table 1. </w:t>
      </w:r>
      <w:r w:rsidRPr="004154A5">
        <w:rPr>
          <w:rFonts w:asciiTheme="majorHAnsi" w:hAnsiTheme="majorHAnsi"/>
        </w:rPr>
        <w:t>Rehabilitation periods under the Rehabilitation of Offenders Act 1974 (as amended)</w:t>
      </w:r>
      <w:r w:rsidRPr="004154A5">
        <w:t xml:space="preserve"> </w:t>
      </w:r>
      <w:r w:rsidRPr="004154A5">
        <w:rPr>
          <w:rFonts w:asciiTheme="majorHAnsi" w:hAnsiTheme="majorHAnsi"/>
        </w:rPr>
        <w:t>for selected sentences/disposals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72"/>
      </w:tblGrid>
      <w:tr w:rsidR="005E0D7F" w:rsidRPr="004154A5" w:rsidTr="009F4C05">
        <w:tc>
          <w:tcPr>
            <w:tcW w:w="5070" w:type="dxa"/>
            <w:tcBorders>
              <w:top w:val="single" w:sz="4" w:space="0" w:color="auto"/>
              <w:bottom w:val="single" w:sz="4" w:space="0" w:color="auto"/>
            </w:tcBorders>
          </w:tcPr>
          <w:p w:rsidR="005E0D7F" w:rsidRPr="004154A5" w:rsidRDefault="005E0D7F" w:rsidP="005E0D7F">
            <w:pPr>
              <w:rPr>
                <w:rFonts w:asciiTheme="majorHAnsi" w:hAnsiTheme="majorHAnsi"/>
                <w:b/>
                <w:sz w:val="20"/>
              </w:rPr>
            </w:pPr>
            <w:r w:rsidRPr="004154A5">
              <w:rPr>
                <w:rFonts w:asciiTheme="majorHAnsi" w:hAnsiTheme="majorHAnsi"/>
                <w:b/>
                <w:sz w:val="20"/>
              </w:rPr>
              <w:t>Sentence/disposal</w:t>
            </w:r>
          </w:p>
        </w:tc>
        <w:tc>
          <w:tcPr>
            <w:tcW w:w="4172" w:type="dxa"/>
            <w:tcBorders>
              <w:top w:val="single" w:sz="4" w:space="0" w:color="auto"/>
              <w:bottom w:val="single" w:sz="4" w:space="0" w:color="auto"/>
            </w:tcBorders>
          </w:tcPr>
          <w:p w:rsidR="005E0D7F" w:rsidRPr="004154A5" w:rsidRDefault="005E0D7F" w:rsidP="005E0D7F">
            <w:pPr>
              <w:rPr>
                <w:rFonts w:asciiTheme="majorHAnsi" w:hAnsiTheme="majorHAnsi"/>
                <w:b/>
                <w:sz w:val="20"/>
              </w:rPr>
            </w:pPr>
            <w:r w:rsidRPr="004154A5">
              <w:rPr>
                <w:rFonts w:asciiTheme="majorHAnsi" w:hAnsiTheme="majorHAnsi"/>
                <w:b/>
                <w:sz w:val="20"/>
              </w:rPr>
              <w:t>Rehabilitation period</w:t>
            </w:r>
          </w:p>
        </w:tc>
      </w:tr>
      <w:tr w:rsidR="005E0D7F" w:rsidRPr="004154A5" w:rsidTr="009F4C05">
        <w:tc>
          <w:tcPr>
            <w:tcW w:w="5070" w:type="dxa"/>
            <w:tcBorders>
              <w:top w:val="single" w:sz="4" w:space="0" w:color="auto"/>
            </w:tcBorders>
          </w:tcPr>
          <w:p w:rsidR="005E0D7F" w:rsidRPr="004154A5" w:rsidRDefault="005E0D7F" w:rsidP="005E0D7F">
            <w:pPr>
              <w:rPr>
                <w:rFonts w:asciiTheme="majorHAnsi" w:hAnsiTheme="majorHAnsi"/>
                <w:sz w:val="20"/>
              </w:rPr>
            </w:pPr>
            <w:r w:rsidRPr="004154A5">
              <w:rPr>
                <w:rFonts w:asciiTheme="majorHAnsi" w:hAnsiTheme="majorHAnsi"/>
                <w:sz w:val="20"/>
              </w:rPr>
              <w:t>Absolute discharge</w:t>
            </w:r>
          </w:p>
          <w:p w:rsidR="005E0D7F" w:rsidRPr="004154A5" w:rsidRDefault="005E0D7F" w:rsidP="005E0D7F">
            <w:pPr>
              <w:rPr>
                <w:rFonts w:asciiTheme="majorHAnsi" w:hAnsiTheme="majorHAnsi"/>
                <w:sz w:val="20"/>
              </w:rPr>
            </w:pPr>
          </w:p>
        </w:tc>
        <w:tc>
          <w:tcPr>
            <w:tcW w:w="4172" w:type="dxa"/>
            <w:tcBorders>
              <w:top w:val="single" w:sz="4" w:space="0" w:color="auto"/>
            </w:tcBorders>
          </w:tcPr>
          <w:p w:rsidR="005E0D7F" w:rsidRPr="004154A5" w:rsidRDefault="005E0D7F" w:rsidP="005E0D7F">
            <w:pPr>
              <w:rPr>
                <w:rFonts w:asciiTheme="majorHAnsi" w:hAnsiTheme="majorHAnsi"/>
                <w:sz w:val="20"/>
              </w:rPr>
            </w:pPr>
            <w:r w:rsidRPr="004154A5">
              <w:rPr>
                <w:rFonts w:asciiTheme="majorHAnsi" w:hAnsiTheme="majorHAnsi"/>
                <w:sz w:val="20"/>
              </w:rPr>
              <w:t>Spent immediately</w:t>
            </w:r>
          </w:p>
        </w:tc>
      </w:tr>
      <w:tr w:rsidR="005E0D7F" w:rsidRPr="004154A5" w:rsidTr="009F4C05">
        <w:tc>
          <w:tcPr>
            <w:tcW w:w="5070" w:type="dxa"/>
          </w:tcPr>
          <w:p w:rsidR="005E0D7F" w:rsidRPr="004154A5" w:rsidRDefault="005E0D7F" w:rsidP="005E0D7F">
            <w:pPr>
              <w:rPr>
                <w:rFonts w:asciiTheme="majorHAnsi" w:hAnsiTheme="majorHAnsi"/>
                <w:sz w:val="20"/>
              </w:rPr>
            </w:pPr>
            <w:r w:rsidRPr="004154A5">
              <w:rPr>
                <w:rFonts w:asciiTheme="majorHAnsi" w:hAnsiTheme="majorHAnsi"/>
                <w:sz w:val="20"/>
              </w:rPr>
              <w:t>Fine</w:t>
            </w:r>
          </w:p>
          <w:p w:rsidR="005E0D7F" w:rsidRPr="004154A5" w:rsidRDefault="005E0D7F" w:rsidP="005E0D7F">
            <w:pPr>
              <w:rPr>
                <w:rFonts w:asciiTheme="majorHAnsi" w:hAnsiTheme="majorHAnsi"/>
                <w:sz w:val="20"/>
              </w:rPr>
            </w:pPr>
          </w:p>
        </w:tc>
        <w:tc>
          <w:tcPr>
            <w:tcW w:w="4172" w:type="dxa"/>
          </w:tcPr>
          <w:p w:rsidR="005E0D7F" w:rsidRPr="004154A5" w:rsidRDefault="005E0D7F" w:rsidP="005E0D7F">
            <w:pPr>
              <w:rPr>
                <w:rFonts w:asciiTheme="majorHAnsi" w:hAnsiTheme="majorHAnsi"/>
                <w:sz w:val="20"/>
              </w:rPr>
            </w:pPr>
            <w:r w:rsidRPr="004154A5">
              <w:rPr>
                <w:rFonts w:asciiTheme="majorHAnsi" w:hAnsiTheme="majorHAnsi"/>
                <w:sz w:val="20"/>
              </w:rPr>
              <w:t>One year from point of imposition</w:t>
            </w:r>
          </w:p>
        </w:tc>
      </w:tr>
      <w:tr w:rsidR="005E0D7F" w:rsidRPr="004154A5" w:rsidTr="009F4C05">
        <w:tc>
          <w:tcPr>
            <w:tcW w:w="5070" w:type="dxa"/>
          </w:tcPr>
          <w:p w:rsidR="005E0D7F" w:rsidRPr="004154A5" w:rsidRDefault="005E0D7F" w:rsidP="005E0D7F">
            <w:pPr>
              <w:rPr>
                <w:rFonts w:asciiTheme="majorHAnsi" w:hAnsiTheme="majorHAnsi"/>
                <w:sz w:val="20"/>
              </w:rPr>
            </w:pPr>
            <w:r w:rsidRPr="004154A5">
              <w:rPr>
                <w:rFonts w:asciiTheme="majorHAnsi" w:hAnsiTheme="majorHAnsi"/>
                <w:sz w:val="20"/>
              </w:rPr>
              <w:t>Community order</w:t>
            </w:r>
          </w:p>
          <w:p w:rsidR="005E0D7F" w:rsidRPr="004154A5" w:rsidRDefault="005E0D7F" w:rsidP="005E0D7F">
            <w:pPr>
              <w:rPr>
                <w:rFonts w:asciiTheme="majorHAnsi" w:hAnsiTheme="majorHAnsi"/>
                <w:sz w:val="20"/>
              </w:rPr>
            </w:pPr>
          </w:p>
        </w:tc>
        <w:tc>
          <w:tcPr>
            <w:tcW w:w="4172" w:type="dxa"/>
          </w:tcPr>
          <w:p w:rsidR="005E0D7F" w:rsidRPr="004154A5" w:rsidRDefault="005E0D7F" w:rsidP="005E0D7F">
            <w:pPr>
              <w:rPr>
                <w:rFonts w:asciiTheme="majorHAnsi" w:hAnsiTheme="majorHAnsi"/>
                <w:sz w:val="20"/>
              </w:rPr>
            </w:pPr>
            <w:r w:rsidRPr="004154A5">
              <w:rPr>
                <w:rFonts w:asciiTheme="majorHAnsi" w:hAnsiTheme="majorHAnsi"/>
                <w:sz w:val="20"/>
              </w:rPr>
              <w:t>The length of the order plus one year</w:t>
            </w:r>
          </w:p>
        </w:tc>
      </w:tr>
      <w:tr w:rsidR="005E0D7F" w:rsidRPr="004154A5" w:rsidTr="009F4C05">
        <w:tc>
          <w:tcPr>
            <w:tcW w:w="5070" w:type="dxa"/>
          </w:tcPr>
          <w:p w:rsidR="005E0D7F" w:rsidRPr="004154A5" w:rsidRDefault="005E0D7F" w:rsidP="005E0D7F">
            <w:pPr>
              <w:rPr>
                <w:rFonts w:asciiTheme="majorHAnsi" w:hAnsiTheme="majorHAnsi"/>
                <w:sz w:val="20"/>
              </w:rPr>
            </w:pPr>
            <w:r w:rsidRPr="004154A5">
              <w:rPr>
                <w:rFonts w:asciiTheme="majorHAnsi" w:hAnsiTheme="majorHAnsi"/>
                <w:sz w:val="20"/>
              </w:rPr>
              <w:t>Prison sentence up to six months</w:t>
            </w:r>
          </w:p>
          <w:p w:rsidR="005E0D7F" w:rsidRPr="004154A5" w:rsidRDefault="005E0D7F" w:rsidP="005E0D7F">
            <w:pPr>
              <w:rPr>
                <w:rFonts w:asciiTheme="majorHAnsi" w:hAnsiTheme="majorHAnsi"/>
                <w:sz w:val="20"/>
              </w:rPr>
            </w:pPr>
          </w:p>
        </w:tc>
        <w:tc>
          <w:tcPr>
            <w:tcW w:w="4172" w:type="dxa"/>
          </w:tcPr>
          <w:p w:rsidR="005E0D7F" w:rsidRPr="004154A5" w:rsidRDefault="005E0D7F" w:rsidP="005E0D7F">
            <w:pPr>
              <w:rPr>
                <w:rFonts w:asciiTheme="majorHAnsi" w:hAnsiTheme="majorHAnsi"/>
                <w:sz w:val="20"/>
              </w:rPr>
            </w:pPr>
            <w:r w:rsidRPr="004154A5">
              <w:rPr>
                <w:rFonts w:asciiTheme="majorHAnsi" w:hAnsiTheme="majorHAnsi"/>
                <w:sz w:val="20"/>
              </w:rPr>
              <w:t>Length of sentence plus two years</w:t>
            </w:r>
          </w:p>
        </w:tc>
      </w:tr>
      <w:tr w:rsidR="005E0D7F" w:rsidRPr="004154A5" w:rsidTr="009F4C05">
        <w:tc>
          <w:tcPr>
            <w:tcW w:w="5070" w:type="dxa"/>
          </w:tcPr>
          <w:p w:rsidR="005E0D7F" w:rsidRPr="004154A5" w:rsidRDefault="005E0D7F" w:rsidP="005E0D7F">
            <w:pPr>
              <w:rPr>
                <w:rFonts w:asciiTheme="majorHAnsi" w:hAnsiTheme="majorHAnsi"/>
                <w:sz w:val="20"/>
              </w:rPr>
            </w:pPr>
            <w:r w:rsidRPr="004154A5">
              <w:rPr>
                <w:rFonts w:asciiTheme="majorHAnsi" w:hAnsiTheme="majorHAnsi"/>
                <w:sz w:val="20"/>
              </w:rPr>
              <w:t>Prison sentence between six and 30 months</w:t>
            </w:r>
          </w:p>
          <w:p w:rsidR="005E0D7F" w:rsidRPr="004154A5" w:rsidRDefault="005E0D7F" w:rsidP="005E0D7F">
            <w:pPr>
              <w:rPr>
                <w:rFonts w:asciiTheme="majorHAnsi" w:hAnsiTheme="majorHAnsi"/>
                <w:sz w:val="20"/>
              </w:rPr>
            </w:pPr>
          </w:p>
        </w:tc>
        <w:tc>
          <w:tcPr>
            <w:tcW w:w="4172" w:type="dxa"/>
          </w:tcPr>
          <w:p w:rsidR="005E0D7F" w:rsidRPr="004154A5" w:rsidRDefault="005E0D7F" w:rsidP="005E0D7F">
            <w:pPr>
              <w:rPr>
                <w:rFonts w:asciiTheme="majorHAnsi" w:hAnsiTheme="majorHAnsi"/>
                <w:sz w:val="20"/>
              </w:rPr>
            </w:pPr>
            <w:r w:rsidRPr="004154A5">
              <w:rPr>
                <w:rFonts w:asciiTheme="majorHAnsi" w:hAnsiTheme="majorHAnsi"/>
                <w:sz w:val="20"/>
              </w:rPr>
              <w:t>Length of sentence plus four years</w:t>
            </w:r>
          </w:p>
        </w:tc>
      </w:tr>
      <w:tr w:rsidR="005E0D7F" w:rsidRPr="004154A5" w:rsidTr="009F4C05">
        <w:tc>
          <w:tcPr>
            <w:tcW w:w="5070" w:type="dxa"/>
          </w:tcPr>
          <w:p w:rsidR="005E0D7F" w:rsidRPr="004154A5" w:rsidRDefault="005E0D7F" w:rsidP="005E0D7F">
            <w:pPr>
              <w:rPr>
                <w:rFonts w:asciiTheme="majorHAnsi" w:hAnsiTheme="majorHAnsi"/>
                <w:sz w:val="20"/>
              </w:rPr>
            </w:pPr>
            <w:r w:rsidRPr="004154A5">
              <w:rPr>
                <w:rFonts w:asciiTheme="majorHAnsi" w:hAnsiTheme="majorHAnsi"/>
                <w:sz w:val="20"/>
              </w:rPr>
              <w:t>Prison sentence between 30 and 48 months</w:t>
            </w:r>
          </w:p>
          <w:p w:rsidR="005E0D7F" w:rsidRPr="004154A5" w:rsidRDefault="005E0D7F" w:rsidP="005E0D7F">
            <w:pPr>
              <w:rPr>
                <w:rFonts w:asciiTheme="majorHAnsi" w:hAnsiTheme="majorHAnsi"/>
                <w:sz w:val="20"/>
              </w:rPr>
            </w:pPr>
          </w:p>
        </w:tc>
        <w:tc>
          <w:tcPr>
            <w:tcW w:w="4172" w:type="dxa"/>
          </w:tcPr>
          <w:p w:rsidR="005E0D7F" w:rsidRPr="004154A5" w:rsidRDefault="005E0D7F" w:rsidP="005E0D7F">
            <w:pPr>
              <w:rPr>
                <w:rFonts w:asciiTheme="majorHAnsi" w:hAnsiTheme="majorHAnsi"/>
                <w:sz w:val="20"/>
              </w:rPr>
            </w:pPr>
            <w:r w:rsidRPr="004154A5">
              <w:rPr>
                <w:rFonts w:asciiTheme="majorHAnsi" w:hAnsiTheme="majorHAnsi"/>
                <w:sz w:val="20"/>
              </w:rPr>
              <w:t>Length of sentence plus seven years</w:t>
            </w:r>
          </w:p>
        </w:tc>
      </w:tr>
      <w:tr w:rsidR="005E0D7F" w:rsidRPr="004154A5" w:rsidTr="009F4C05">
        <w:tc>
          <w:tcPr>
            <w:tcW w:w="5070" w:type="dxa"/>
          </w:tcPr>
          <w:p w:rsidR="005E0D7F" w:rsidRPr="004154A5" w:rsidRDefault="005E0D7F" w:rsidP="005E0D7F">
            <w:pPr>
              <w:rPr>
                <w:rFonts w:asciiTheme="majorHAnsi" w:hAnsiTheme="majorHAnsi"/>
                <w:sz w:val="20"/>
              </w:rPr>
            </w:pPr>
            <w:r w:rsidRPr="004154A5">
              <w:rPr>
                <w:rFonts w:asciiTheme="majorHAnsi" w:hAnsiTheme="majorHAnsi"/>
                <w:sz w:val="20"/>
              </w:rPr>
              <w:t>Indeterminate, extended determinate sentences and prison sentences over 48 months</w:t>
            </w:r>
          </w:p>
        </w:tc>
        <w:tc>
          <w:tcPr>
            <w:tcW w:w="4172" w:type="dxa"/>
          </w:tcPr>
          <w:p w:rsidR="005E0D7F" w:rsidRPr="004154A5" w:rsidRDefault="005E0D7F" w:rsidP="005E0D7F">
            <w:pPr>
              <w:rPr>
                <w:rFonts w:asciiTheme="majorHAnsi" w:hAnsiTheme="majorHAnsi"/>
                <w:sz w:val="20"/>
              </w:rPr>
            </w:pPr>
            <w:r w:rsidRPr="004154A5">
              <w:rPr>
                <w:rFonts w:asciiTheme="majorHAnsi" w:hAnsiTheme="majorHAnsi"/>
                <w:sz w:val="20"/>
              </w:rPr>
              <w:t>Never spent</w:t>
            </w:r>
          </w:p>
        </w:tc>
      </w:tr>
    </w:tbl>
    <w:p w:rsidR="005E0D7F" w:rsidRPr="004154A5" w:rsidRDefault="005E0D7F" w:rsidP="005C0B17">
      <w:pPr>
        <w:spacing w:after="0"/>
        <w:ind w:left="567" w:hanging="567"/>
        <w:rPr>
          <w:rFonts w:asciiTheme="majorHAnsi" w:hAnsiTheme="majorHAnsi"/>
          <w:i/>
        </w:rPr>
      </w:pPr>
    </w:p>
    <w:p w:rsidR="005E0D7F" w:rsidRPr="004154A5" w:rsidRDefault="005E0D7F" w:rsidP="005E0D7F">
      <w:pPr>
        <w:spacing w:after="0"/>
        <w:rPr>
          <w:rFonts w:asciiTheme="majorHAnsi" w:hAnsiTheme="majorHAnsi"/>
          <w:b/>
        </w:rPr>
      </w:pPr>
      <w:r w:rsidRPr="004154A5">
        <w:rPr>
          <w:rFonts w:asciiTheme="majorHAnsi" w:hAnsiTheme="majorHAnsi"/>
          <w:b/>
        </w:rPr>
        <w:t xml:space="preserve">Table 2. </w:t>
      </w:r>
      <w:r w:rsidRPr="004154A5">
        <w:rPr>
          <w:rFonts w:asciiTheme="majorHAnsi" w:hAnsiTheme="majorHAnsi"/>
        </w:rPr>
        <w:t>Key milestones and waiting periods from start of sentence for selected custodial sentences</w:t>
      </w:r>
    </w:p>
    <w:tbl>
      <w:tblPr>
        <w:tblStyle w:val="TableGrid"/>
        <w:tblW w:w="87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1701"/>
        <w:gridCol w:w="1701"/>
        <w:gridCol w:w="1951"/>
      </w:tblGrid>
      <w:tr w:rsidR="005E0D7F" w:rsidRPr="004154A5" w:rsidTr="005E0D7F">
        <w:tc>
          <w:tcPr>
            <w:tcW w:w="1701" w:type="dxa"/>
            <w:tcBorders>
              <w:top w:val="single" w:sz="4" w:space="0" w:color="auto"/>
              <w:bottom w:val="single" w:sz="4" w:space="0" w:color="auto"/>
            </w:tcBorders>
          </w:tcPr>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Sentence length</w:t>
            </w:r>
          </w:p>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(months)</w:t>
            </w:r>
          </w:p>
        </w:tc>
        <w:tc>
          <w:tcPr>
            <w:tcW w:w="1701" w:type="dxa"/>
            <w:tcBorders>
              <w:top w:val="single" w:sz="4" w:space="0" w:color="auto"/>
              <w:bottom w:val="single" w:sz="4" w:space="0" w:color="auto"/>
            </w:tcBorders>
          </w:tcPr>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 xml:space="preserve">Normal release </w:t>
            </w:r>
          </w:p>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point (months)</w:t>
            </w:r>
          </w:p>
        </w:tc>
        <w:tc>
          <w:tcPr>
            <w:tcW w:w="1701" w:type="dxa"/>
            <w:tcBorders>
              <w:top w:val="single" w:sz="4" w:space="0" w:color="auto"/>
              <w:bottom w:val="single" w:sz="4" w:space="0" w:color="auto"/>
            </w:tcBorders>
          </w:tcPr>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 xml:space="preserve">Statutory supervision ends </w:t>
            </w:r>
          </w:p>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(months)</w:t>
            </w:r>
          </w:p>
        </w:tc>
        <w:tc>
          <w:tcPr>
            <w:tcW w:w="1701" w:type="dxa"/>
            <w:tcBorders>
              <w:top w:val="single" w:sz="4" w:space="0" w:color="auto"/>
              <w:bottom w:val="single" w:sz="4" w:space="0" w:color="auto"/>
            </w:tcBorders>
          </w:tcPr>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Conviction becomes ‘spent’</w:t>
            </w:r>
          </w:p>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(months)</w:t>
            </w:r>
          </w:p>
        </w:tc>
        <w:tc>
          <w:tcPr>
            <w:tcW w:w="1951" w:type="dxa"/>
            <w:tcBorders>
              <w:top w:val="single" w:sz="4" w:space="0" w:color="auto"/>
              <w:bottom w:val="single" w:sz="4" w:space="0" w:color="auto"/>
            </w:tcBorders>
          </w:tcPr>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‘Civic purgatory’ period</w:t>
            </w:r>
          </w:p>
          <w:p w:rsidR="005E0D7F" w:rsidRPr="004154A5" w:rsidRDefault="005E0D7F" w:rsidP="009F4C05">
            <w:pPr>
              <w:rPr>
                <w:rFonts w:asciiTheme="majorHAnsi" w:hAnsiTheme="majorHAnsi"/>
                <w:b/>
                <w:sz w:val="20"/>
                <w:szCs w:val="20"/>
              </w:rPr>
            </w:pPr>
            <w:r w:rsidRPr="004154A5">
              <w:rPr>
                <w:rFonts w:asciiTheme="majorHAnsi" w:hAnsiTheme="majorHAnsi"/>
                <w:b/>
                <w:sz w:val="20"/>
                <w:szCs w:val="20"/>
              </w:rPr>
              <w:t>(months)</w:t>
            </w:r>
          </w:p>
        </w:tc>
      </w:tr>
      <w:tr w:rsidR="005E0D7F" w:rsidRPr="004154A5" w:rsidTr="005E0D7F">
        <w:tc>
          <w:tcPr>
            <w:tcW w:w="1701" w:type="dxa"/>
            <w:tcBorders>
              <w:top w:val="single" w:sz="4" w:space="0" w:color="auto"/>
            </w:tcBorders>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6</w:t>
            </w:r>
          </w:p>
        </w:tc>
        <w:tc>
          <w:tcPr>
            <w:tcW w:w="1701" w:type="dxa"/>
            <w:tcBorders>
              <w:top w:val="single" w:sz="4" w:space="0" w:color="auto"/>
            </w:tcBorders>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3</w:t>
            </w:r>
          </w:p>
        </w:tc>
        <w:tc>
          <w:tcPr>
            <w:tcW w:w="1701" w:type="dxa"/>
            <w:tcBorders>
              <w:top w:val="single" w:sz="4" w:space="0" w:color="auto"/>
            </w:tcBorders>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15</w:t>
            </w:r>
          </w:p>
        </w:tc>
        <w:tc>
          <w:tcPr>
            <w:tcW w:w="1701" w:type="dxa"/>
            <w:tcBorders>
              <w:top w:val="single" w:sz="4" w:space="0" w:color="auto"/>
            </w:tcBorders>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30</w:t>
            </w:r>
          </w:p>
        </w:tc>
        <w:tc>
          <w:tcPr>
            <w:tcW w:w="1951" w:type="dxa"/>
            <w:tcBorders>
              <w:top w:val="single" w:sz="4" w:space="0" w:color="auto"/>
            </w:tcBorders>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15</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12</w:t>
            </w:r>
          </w:p>
        </w:tc>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6</w:t>
            </w:r>
          </w:p>
        </w:tc>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18</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60</w:t>
            </w:r>
          </w:p>
        </w:tc>
        <w:tc>
          <w:tcPr>
            <w:tcW w:w="195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42</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18</w:t>
            </w:r>
          </w:p>
        </w:tc>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9</w:t>
            </w:r>
          </w:p>
        </w:tc>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21</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66</w:t>
            </w:r>
          </w:p>
        </w:tc>
        <w:tc>
          <w:tcPr>
            <w:tcW w:w="195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45</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24</w:t>
            </w:r>
          </w:p>
        </w:tc>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12</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24</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72</w:t>
            </w:r>
          </w:p>
        </w:tc>
        <w:tc>
          <w:tcPr>
            <w:tcW w:w="195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48</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30</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15</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30</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114</w:t>
            </w:r>
          </w:p>
        </w:tc>
        <w:tc>
          <w:tcPr>
            <w:tcW w:w="195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48</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36</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18</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36</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120</w:t>
            </w:r>
          </w:p>
        </w:tc>
        <w:tc>
          <w:tcPr>
            <w:tcW w:w="195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84</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42</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21</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42</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126</w:t>
            </w:r>
          </w:p>
        </w:tc>
        <w:tc>
          <w:tcPr>
            <w:tcW w:w="195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84</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48</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24</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48</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132</w:t>
            </w:r>
          </w:p>
        </w:tc>
        <w:tc>
          <w:tcPr>
            <w:tcW w:w="195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84</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Over 48</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24+</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48+</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Never</w:t>
            </w:r>
          </w:p>
        </w:tc>
        <w:tc>
          <w:tcPr>
            <w:tcW w:w="195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Permanent</w:t>
            </w:r>
          </w:p>
        </w:tc>
      </w:tr>
      <w:tr w:rsidR="005E0D7F" w:rsidRPr="004154A5" w:rsidTr="005E0D7F">
        <w:tc>
          <w:tcPr>
            <w:tcW w:w="1701" w:type="dxa"/>
            <w:vAlign w:val="bottom"/>
          </w:tcPr>
          <w:p w:rsidR="005E0D7F" w:rsidRPr="004154A5" w:rsidRDefault="005E0D7F" w:rsidP="009F4C05">
            <w:pPr>
              <w:rPr>
                <w:rFonts w:asciiTheme="majorHAnsi" w:hAnsiTheme="majorHAnsi" w:cs="Calibri"/>
                <w:color w:val="000000"/>
                <w:sz w:val="20"/>
                <w:szCs w:val="20"/>
              </w:rPr>
            </w:pPr>
            <w:r w:rsidRPr="004154A5">
              <w:rPr>
                <w:rFonts w:asciiTheme="majorHAnsi" w:hAnsiTheme="majorHAnsi" w:cs="Calibri"/>
                <w:color w:val="000000"/>
                <w:sz w:val="20"/>
                <w:szCs w:val="20"/>
              </w:rPr>
              <w:t>Indeterminate</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Not fixed</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Not fixed</w:t>
            </w:r>
          </w:p>
        </w:tc>
        <w:tc>
          <w:tcPr>
            <w:tcW w:w="170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Never</w:t>
            </w:r>
          </w:p>
        </w:tc>
        <w:tc>
          <w:tcPr>
            <w:tcW w:w="1951" w:type="dxa"/>
          </w:tcPr>
          <w:p w:rsidR="005E0D7F" w:rsidRPr="004154A5" w:rsidRDefault="005E0D7F" w:rsidP="009F4C05">
            <w:pPr>
              <w:rPr>
                <w:rFonts w:asciiTheme="majorHAnsi" w:hAnsiTheme="majorHAnsi"/>
                <w:sz w:val="20"/>
                <w:szCs w:val="20"/>
              </w:rPr>
            </w:pPr>
            <w:r w:rsidRPr="004154A5">
              <w:rPr>
                <w:rFonts w:asciiTheme="majorHAnsi" w:hAnsiTheme="majorHAnsi"/>
                <w:sz w:val="20"/>
                <w:szCs w:val="20"/>
              </w:rPr>
              <w:t>Permanent</w:t>
            </w:r>
          </w:p>
        </w:tc>
      </w:tr>
    </w:tbl>
    <w:p w:rsidR="005E0D7F" w:rsidRPr="004154A5" w:rsidRDefault="005E0D7F" w:rsidP="005E0D7F">
      <w:pPr>
        <w:spacing w:after="0"/>
        <w:rPr>
          <w:rFonts w:asciiTheme="majorHAnsi" w:hAnsiTheme="majorHAnsi"/>
          <w:b/>
        </w:rPr>
      </w:pPr>
    </w:p>
    <w:p w:rsidR="005E0D7F" w:rsidRPr="004154A5" w:rsidRDefault="005E0D7F" w:rsidP="005E0D7F">
      <w:pPr>
        <w:spacing w:after="0"/>
        <w:ind w:right="-46"/>
        <w:jc w:val="both"/>
        <w:rPr>
          <w:rFonts w:asciiTheme="majorHAnsi" w:hAnsiTheme="majorHAnsi"/>
          <w:b/>
        </w:rPr>
      </w:pPr>
      <w:r w:rsidRPr="004154A5">
        <w:rPr>
          <w:rFonts w:asciiTheme="majorHAnsi" w:hAnsiTheme="majorHAnsi"/>
          <w:b/>
        </w:rPr>
        <w:t xml:space="preserve">Table 3. </w:t>
      </w:r>
      <w:r w:rsidRPr="004154A5">
        <w:rPr>
          <w:rFonts w:asciiTheme="majorHAnsi" w:hAnsiTheme="majorHAnsi"/>
        </w:rPr>
        <w:t xml:space="preserve">Sentences handed down which cannot become spent under the Rehabilitation of Offenders Act 1974 </w:t>
      </w:r>
    </w:p>
    <w:tbl>
      <w:tblPr>
        <w:tblStyle w:val="TableGrid"/>
        <w:tblW w:w="933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3518"/>
      </w:tblGrid>
      <w:tr w:rsidR="005E0D7F" w:rsidRPr="004154A5" w:rsidTr="005E0D7F">
        <w:tc>
          <w:tcPr>
            <w:tcW w:w="2977" w:type="dxa"/>
            <w:tcBorders>
              <w:top w:val="single" w:sz="4" w:space="0" w:color="auto"/>
              <w:bottom w:val="single" w:sz="4" w:space="0" w:color="auto"/>
            </w:tcBorders>
          </w:tcPr>
          <w:p w:rsidR="005E0D7F" w:rsidRPr="004154A5" w:rsidRDefault="005E0D7F" w:rsidP="005E0D7F">
            <w:pPr>
              <w:ind w:left="-108" w:right="-46"/>
              <w:rPr>
                <w:rFonts w:asciiTheme="majorHAnsi" w:hAnsiTheme="majorHAnsi"/>
                <w:b/>
                <w:sz w:val="20"/>
              </w:rPr>
            </w:pPr>
            <w:r w:rsidRPr="004154A5">
              <w:rPr>
                <w:rFonts w:asciiTheme="majorHAnsi" w:hAnsiTheme="majorHAnsi"/>
                <w:b/>
                <w:sz w:val="20"/>
              </w:rPr>
              <w:t>Year ending March 31</w:t>
            </w:r>
            <w:r w:rsidRPr="004154A5">
              <w:rPr>
                <w:rFonts w:asciiTheme="majorHAnsi" w:hAnsiTheme="majorHAnsi"/>
                <w:b/>
                <w:sz w:val="20"/>
                <w:vertAlign w:val="superscript"/>
              </w:rPr>
              <w:t>st</w:t>
            </w:r>
          </w:p>
        </w:tc>
        <w:tc>
          <w:tcPr>
            <w:tcW w:w="2835" w:type="dxa"/>
            <w:tcBorders>
              <w:top w:val="single" w:sz="4" w:space="0" w:color="auto"/>
              <w:bottom w:val="single" w:sz="4" w:space="0" w:color="auto"/>
            </w:tcBorders>
          </w:tcPr>
          <w:p w:rsidR="005E0D7F" w:rsidRPr="004154A5" w:rsidRDefault="005E0D7F" w:rsidP="005E0D7F">
            <w:pPr>
              <w:ind w:right="-46"/>
              <w:rPr>
                <w:rFonts w:asciiTheme="majorHAnsi" w:hAnsiTheme="majorHAnsi"/>
                <w:b/>
                <w:sz w:val="20"/>
              </w:rPr>
            </w:pPr>
            <w:r w:rsidRPr="004154A5">
              <w:rPr>
                <w:rFonts w:asciiTheme="majorHAnsi" w:hAnsiTheme="majorHAnsi"/>
                <w:b/>
                <w:sz w:val="20"/>
              </w:rPr>
              <w:t>Number of sentences</w:t>
            </w:r>
          </w:p>
        </w:tc>
        <w:tc>
          <w:tcPr>
            <w:tcW w:w="3518" w:type="dxa"/>
            <w:tcBorders>
              <w:top w:val="single" w:sz="4" w:space="0" w:color="auto"/>
              <w:bottom w:val="single" w:sz="4" w:space="0" w:color="auto"/>
            </w:tcBorders>
          </w:tcPr>
          <w:p w:rsidR="005E0D7F" w:rsidRPr="004154A5" w:rsidRDefault="005E0D7F" w:rsidP="005E0D7F">
            <w:pPr>
              <w:ind w:right="-46"/>
              <w:rPr>
                <w:rFonts w:asciiTheme="majorHAnsi" w:hAnsiTheme="majorHAnsi"/>
                <w:b/>
                <w:sz w:val="20"/>
              </w:rPr>
            </w:pPr>
            <w:r w:rsidRPr="004154A5">
              <w:rPr>
                <w:rFonts w:asciiTheme="majorHAnsi" w:hAnsiTheme="majorHAnsi"/>
                <w:b/>
                <w:sz w:val="20"/>
              </w:rPr>
              <w:t>% increase (against 2013 baseline)</w:t>
            </w:r>
          </w:p>
        </w:tc>
      </w:tr>
      <w:tr w:rsidR="005E0D7F" w:rsidRPr="004154A5" w:rsidTr="005E0D7F">
        <w:tc>
          <w:tcPr>
            <w:tcW w:w="2977" w:type="dxa"/>
          </w:tcPr>
          <w:p w:rsidR="005E0D7F" w:rsidRPr="004154A5" w:rsidRDefault="005E0D7F" w:rsidP="005E0D7F">
            <w:pPr>
              <w:ind w:left="-108" w:right="-46"/>
              <w:rPr>
                <w:rFonts w:asciiTheme="majorHAnsi" w:hAnsiTheme="majorHAnsi"/>
                <w:sz w:val="20"/>
              </w:rPr>
            </w:pPr>
            <w:r w:rsidRPr="004154A5">
              <w:rPr>
                <w:rFonts w:asciiTheme="majorHAnsi" w:hAnsiTheme="majorHAnsi"/>
                <w:sz w:val="20"/>
              </w:rPr>
              <w:t>2013</w:t>
            </w:r>
          </w:p>
        </w:tc>
        <w:tc>
          <w:tcPr>
            <w:tcW w:w="2835"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6,841</w:t>
            </w:r>
          </w:p>
        </w:tc>
        <w:tc>
          <w:tcPr>
            <w:tcW w:w="3518"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n/a</w:t>
            </w:r>
          </w:p>
        </w:tc>
      </w:tr>
      <w:tr w:rsidR="005E0D7F" w:rsidRPr="004154A5" w:rsidTr="005E0D7F">
        <w:tc>
          <w:tcPr>
            <w:tcW w:w="2977" w:type="dxa"/>
          </w:tcPr>
          <w:p w:rsidR="005E0D7F" w:rsidRPr="004154A5" w:rsidRDefault="005E0D7F" w:rsidP="005E0D7F">
            <w:pPr>
              <w:ind w:left="-108" w:right="-46"/>
              <w:rPr>
                <w:rFonts w:asciiTheme="majorHAnsi" w:hAnsiTheme="majorHAnsi"/>
                <w:sz w:val="20"/>
              </w:rPr>
            </w:pPr>
            <w:r w:rsidRPr="004154A5">
              <w:rPr>
                <w:rFonts w:asciiTheme="majorHAnsi" w:hAnsiTheme="majorHAnsi"/>
                <w:sz w:val="20"/>
              </w:rPr>
              <w:t>2014</w:t>
            </w:r>
          </w:p>
        </w:tc>
        <w:tc>
          <w:tcPr>
            <w:tcW w:w="2835"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6,690</w:t>
            </w:r>
          </w:p>
        </w:tc>
        <w:tc>
          <w:tcPr>
            <w:tcW w:w="3518"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-2.2</w:t>
            </w:r>
          </w:p>
        </w:tc>
      </w:tr>
      <w:tr w:rsidR="005E0D7F" w:rsidRPr="004154A5" w:rsidTr="005E0D7F">
        <w:tc>
          <w:tcPr>
            <w:tcW w:w="2977" w:type="dxa"/>
          </w:tcPr>
          <w:p w:rsidR="005E0D7F" w:rsidRPr="004154A5" w:rsidRDefault="005E0D7F" w:rsidP="005E0D7F">
            <w:pPr>
              <w:ind w:left="-108" w:right="-46"/>
              <w:rPr>
                <w:rFonts w:asciiTheme="majorHAnsi" w:hAnsiTheme="majorHAnsi"/>
                <w:sz w:val="20"/>
              </w:rPr>
            </w:pPr>
            <w:r w:rsidRPr="004154A5">
              <w:rPr>
                <w:rFonts w:asciiTheme="majorHAnsi" w:hAnsiTheme="majorHAnsi"/>
                <w:sz w:val="20"/>
              </w:rPr>
              <w:t>2015</w:t>
            </w:r>
          </w:p>
        </w:tc>
        <w:tc>
          <w:tcPr>
            <w:tcW w:w="2835"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7,169</w:t>
            </w:r>
          </w:p>
        </w:tc>
        <w:tc>
          <w:tcPr>
            <w:tcW w:w="3518"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+4.8</w:t>
            </w:r>
          </w:p>
        </w:tc>
      </w:tr>
      <w:tr w:rsidR="005E0D7F" w:rsidRPr="004154A5" w:rsidTr="005E0D7F">
        <w:tc>
          <w:tcPr>
            <w:tcW w:w="2977" w:type="dxa"/>
          </w:tcPr>
          <w:p w:rsidR="005E0D7F" w:rsidRPr="004154A5" w:rsidRDefault="005E0D7F" w:rsidP="005E0D7F">
            <w:pPr>
              <w:ind w:left="-108" w:right="-46"/>
              <w:rPr>
                <w:rFonts w:asciiTheme="majorHAnsi" w:hAnsiTheme="majorHAnsi"/>
                <w:sz w:val="20"/>
              </w:rPr>
            </w:pPr>
            <w:r w:rsidRPr="004154A5">
              <w:rPr>
                <w:rFonts w:asciiTheme="majorHAnsi" w:hAnsiTheme="majorHAnsi"/>
                <w:sz w:val="20"/>
              </w:rPr>
              <w:t>2016</w:t>
            </w:r>
          </w:p>
        </w:tc>
        <w:tc>
          <w:tcPr>
            <w:tcW w:w="2835"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7,335</w:t>
            </w:r>
          </w:p>
        </w:tc>
        <w:tc>
          <w:tcPr>
            <w:tcW w:w="3518" w:type="dxa"/>
          </w:tcPr>
          <w:p w:rsidR="005E0D7F" w:rsidRPr="004154A5" w:rsidRDefault="005E0D7F" w:rsidP="005E0D7F">
            <w:pPr>
              <w:ind w:right="-46"/>
              <w:rPr>
                <w:rFonts w:asciiTheme="majorHAnsi" w:hAnsiTheme="majorHAnsi"/>
                <w:sz w:val="20"/>
              </w:rPr>
            </w:pPr>
            <w:r w:rsidRPr="004154A5">
              <w:rPr>
                <w:rFonts w:asciiTheme="majorHAnsi" w:hAnsiTheme="majorHAnsi"/>
                <w:sz w:val="20"/>
              </w:rPr>
              <w:t>+7.2</w:t>
            </w:r>
          </w:p>
        </w:tc>
      </w:tr>
      <w:tr w:rsidR="005E0D7F" w:rsidRPr="004154A5" w:rsidTr="005E0D7F">
        <w:tc>
          <w:tcPr>
            <w:tcW w:w="2977" w:type="dxa"/>
            <w:tcBorders>
              <w:bottom w:val="single" w:sz="4" w:space="0" w:color="auto"/>
            </w:tcBorders>
          </w:tcPr>
          <w:p w:rsidR="005E0D7F" w:rsidRPr="004154A5" w:rsidRDefault="005E0D7F" w:rsidP="005E0D7F">
            <w:pPr>
              <w:ind w:left="-108" w:right="-46"/>
              <w:rPr>
                <w:rFonts w:asciiTheme="majorHAnsi" w:hAnsiTheme="majorHAnsi"/>
                <w:sz w:val="20"/>
              </w:rPr>
            </w:pPr>
            <w:r w:rsidRPr="004154A5">
              <w:rPr>
                <w:rFonts w:asciiTheme="majorHAnsi" w:hAnsiTheme="majorHAnsi"/>
                <w:sz w:val="20"/>
              </w:rPr>
              <w:t>2017</w:t>
            </w:r>
          </w:p>
        </w:tc>
        <w:tc>
          <w:tcPr>
            <w:tcW w:w="2835" w:type="dxa"/>
            <w:tcBorders>
              <w:bottom w:val="single" w:sz="4" w:space="0" w:color="auto"/>
            </w:tcBorders>
          </w:tcPr>
          <w:p w:rsidR="005E0D7F" w:rsidRPr="004154A5" w:rsidRDefault="005E0D7F" w:rsidP="005E0D7F">
            <w:pPr>
              <w:ind w:right="-46"/>
              <w:rPr>
                <w:rFonts w:asciiTheme="majorHAnsi" w:hAnsiTheme="majorHAnsi"/>
                <w:sz w:val="20"/>
              </w:rPr>
            </w:pPr>
            <w:r w:rsidRPr="004154A5">
              <w:rPr>
                <w:rFonts w:asciiTheme="majorHAnsi" w:hAnsiTheme="majorHAnsi"/>
                <w:sz w:val="20"/>
              </w:rPr>
              <w:t>7,480</w:t>
            </w:r>
          </w:p>
        </w:tc>
        <w:tc>
          <w:tcPr>
            <w:tcW w:w="3518" w:type="dxa"/>
            <w:tcBorders>
              <w:bottom w:val="single" w:sz="4" w:space="0" w:color="auto"/>
            </w:tcBorders>
          </w:tcPr>
          <w:p w:rsidR="005E0D7F" w:rsidRPr="004154A5" w:rsidRDefault="005E0D7F" w:rsidP="005E0D7F">
            <w:pPr>
              <w:ind w:right="-46"/>
              <w:rPr>
                <w:rFonts w:asciiTheme="majorHAnsi" w:hAnsiTheme="majorHAnsi"/>
                <w:sz w:val="20"/>
              </w:rPr>
            </w:pPr>
            <w:r w:rsidRPr="004154A5">
              <w:rPr>
                <w:rFonts w:asciiTheme="majorHAnsi" w:hAnsiTheme="majorHAnsi"/>
                <w:sz w:val="20"/>
              </w:rPr>
              <w:t>+9.3</w:t>
            </w:r>
          </w:p>
        </w:tc>
      </w:tr>
      <w:tr w:rsidR="005E0D7F" w:rsidRPr="004154A5" w:rsidTr="005E0D7F">
        <w:tc>
          <w:tcPr>
            <w:tcW w:w="2977" w:type="dxa"/>
            <w:tcBorders>
              <w:top w:val="single" w:sz="4" w:space="0" w:color="auto"/>
              <w:bottom w:val="single" w:sz="4" w:space="0" w:color="auto"/>
            </w:tcBorders>
          </w:tcPr>
          <w:p w:rsidR="005E0D7F" w:rsidRPr="004154A5" w:rsidRDefault="005E0D7F" w:rsidP="005E0D7F">
            <w:pPr>
              <w:ind w:left="-108" w:right="-46"/>
              <w:rPr>
                <w:rFonts w:asciiTheme="majorHAnsi" w:hAnsiTheme="majorHAnsi"/>
                <w:b/>
                <w:sz w:val="20"/>
              </w:rPr>
            </w:pPr>
            <w:r w:rsidRPr="004154A5">
              <w:rPr>
                <w:rFonts w:asciiTheme="majorHAnsi" w:hAnsiTheme="majorHAnsi"/>
                <w:b/>
                <w:sz w:val="20"/>
              </w:rPr>
              <w:t xml:space="preserve">Total </w:t>
            </w:r>
          </w:p>
        </w:tc>
        <w:tc>
          <w:tcPr>
            <w:tcW w:w="2835" w:type="dxa"/>
            <w:tcBorders>
              <w:top w:val="single" w:sz="4" w:space="0" w:color="auto"/>
              <w:bottom w:val="single" w:sz="4" w:space="0" w:color="auto"/>
            </w:tcBorders>
          </w:tcPr>
          <w:p w:rsidR="005E0D7F" w:rsidRPr="004154A5" w:rsidRDefault="005E0D7F" w:rsidP="005E0D7F">
            <w:pPr>
              <w:ind w:right="-46"/>
              <w:rPr>
                <w:rFonts w:asciiTheme="majorHAnsi" w:hAnsiTheme="majorHAnsi"/>
                <w:b/>
                <w:sz w:val="20"/>
              </w:rPr>
            </w:pPr>
            <w:r w:rsidRPr="004154A5">
              <w:rPr>
                <w:rFonts w:asciiTheme="majorHAnsi" w:hAnsiTheme="majorHAnsi"/>
                <w:b/>
                <w:sz w:val="20"/>
              </w:rPr>
              <w:t>35,515</w:t>
            </w:r>
          </w:p>
        </w:tc>
        <w:tc>
          <w:tcPr>
            <w:tcW w:w="3518" w:type="dxa"/>
            <w:tcBorders>
              <w:top w:val="single" w:sz="4" w:space="0" w:color="auto"/>
              <w:bottom w:val="single" w:sz="4" w:space="0" w:color="auto"/>
            </w:tcBorders>
          </w:tcPr>
          <w:p w:rsidR="005E0D7F" w:rsidRPr="004154A5" w:rsidRDefault="005E0D7F" w:rsidP="005E0D7F">
            <w:pPr>
              <w:ind w:right="-46"/>
              <w:rPr>
                <w:rFonts w:asciiTheme="majorHAnsi" w:hAnsiTheme="majorHAnsi"/>
                <w:b/>
                <w:sz w:val="20"/>
              </w:rPr>
            </w:pPr>
            <w:r w:rsidRPr="004154A5">
              <w:rPr>
                <w:rFonts w:asciiTheme="majorHAnsi" w:hAnsiTheme="majorHAnsi"/>
                <w:b/>
                <w:sz w:val="20"/>
              </w:rPr>
              <w:t>-</w:t>
            </w:r>
          </w:p>
        </w:tc>
      </w:tr>
    </w:tbl>
    <w:p w:rsidR="005E0D7F" w:rsidRPr="00287F32" w:rsidRDefault="005E0D7F" w:rsidP="00287F32">
      <w:pPr>
        <w:spacing w:after="0" w:line="240" w:lineRule="auto"/>
        <w:ind w:right="-46"/>
        <w:jc w:val="center"/>
        <w:rPr>
          <w:rFonts w:asciiTheme="majorHAnsi" w:hAnsiTheme="majorHAnsi"/>
          <w:b/>
          <w:sz w:val="20"/>
        </w:rPr>
      </w:pPr>
      <w:r w:rsidRPr="004154A5">
        <w:rPr>
          <w:rFonts w:asciiTheme="majorHAnsi" w:hAnsiTheme="majorHAnsi"/>
          <w:sz w:val="20"/>
        </w:rPr>
        <w:t>(Source: Ministry of Justice 2017)</w:t>
      </w:r>
    </w:p>
    <w:sectPr w:rsidR="005E0D7F" w:rsidRPr="00287F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501" w:rsidRDefault="00211501" w:rsidP="005A69BC">
      <w:pPr>
        <w:spacing w:after="0" w:line="240" w:lineRule="auto"/>
      </w:pPr>
      <w:r>
        <w:separator/>
      </w:r>
    </w:p>
  </w:endnote>
  <w:endnote w:type="continuationSeparator" w:id="0">
    <w:p w:rsidR="00211501" w:rsidRDefault="00211501" w:rsidP="005A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810458"/>
      <w:docPartObj>
        <w:docPartGallery w:val="Page Numbers (Bottom of Page)"/>
        <w:docPartUnique/>
      </w:docPartObj>
    </w:sdtPr>
    <w:sdtEndPr>
      <w:rPr>
        <w:rFonts w:asciiTheme="majorHAnsi" w:hAnsiTheme="majorHAnsi"/>
        <w:noProof/>
      </w:rPr>
    </w:sdtEndPr>
    <w:sdtContent>
      <w:p w:rsidR="00294528" w:rsidRPr="005A69BC" w:rsidRDefault="00294528">
        <w:pPr>
          <w:pStyle w:val="Footer"/>
          <w:jc w:val="center"/>
          <w:rPr>
            <w:rFonts w:asciiTheme="majorHAnsi" w:hAnsiTheme="majorHAnsi"/>
          </w:rPr>
        </w:pPr>
        <w:r w:rsidRPr="005A69BC">
          <w:rPr>
            <w:rFonts w:asciiTheme="majorHAnsi" w:hAnsiTheme="majorHAnsi"/>
          </w:rPr>
          <w:fldChar w:fldCharType="begin"/>
        </w:r>
        <w:r w:rsidRPr="005A69BC">
          <w:rPr>
            <w:rFonts w:asciiTheme="majorHAnsi" w:hAnsiTheme="majorHAnsi"/>
          </w:rPr>
          <w:instrText xml:space="preserve"> PAGE   \* MERGEFORMAT </w:instrText>
        </w:r>
        <w:r w:rsidRPr="005A69BC">
          <w:rPr>
            <w:rFonts w:asciiTheme="majorHAnsi" w:hAnsiTheme="majorHAnsi"/>
          </w:rPr>
          <w:fldChar w:fldCharType="separate"/>
        </w:r>
        <w:r w:rsidR="00076240">
          <w:rPr>
            <w:rFonts w:asciiTheme="majorHAnsi" w:hAnsiTheme="majorHAnsi"/>
            <w:noProof/>
          </w:rPr>
          <w:t>2</w:t>
        </w:r>
        <w:r w:rsidRPr="005A69BC">
          <w:rPr>
            <w:rFonts w:asciiTheme="majorHAnsi" w:hAnsiTheme="majorHAnsi"/>
            <w:noProof/>
          </w:rPr>
          <w:fldChar w:fldCharType="end"/>
        </w:r>
      </w:p>
    </w:sdtContent>
  </w:sdt>
  <w:p w:rsidR="00294528" w:rsidRDefault="00294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501" w:rsidRDefault="00211501" w:rsidP="005A69BC">
      <w:pPr>
        <w:spacing w:after="0" w:line="240" w:lineRule="auto"/>
      </w:pPr>
      <w:r>
        <w:separator/>
      </w:r>
    </w:p>
  </w:footnote>
  <w:footnote w:type="continuationSeparator" w:id="0">
    <w:p w:rsidR="00211501" w:rsidRDefault="00211501" w:rsidP="005A69BC">
      <w:pPr>
        <w:spacing w:after="0" w:line="240" w:lineRule="auto"/>
      </w:pPr>
      <w:r>
        <w:continuationSeparator/>
      </w:r>
    </w:p>
  </w:footnote>
  <w:footnote w:id="1">
    <w:p w:rsidR="00294528" w:rsidRPr="005E0D7F" w:rsidRDefault="00294528" w:rsidP="00BF3A1E">
      <w:pPr>
        <w:pStyle w:val="FootnoteText"/>
        <w:jc w:val="both"/>
        <w:rPr>
          <w:rFonts w:asciiTheme="majorHAnsi" w:hAnsiTheme="majorHAnsi"/>
        </w:rPr>
      </w:pPr>
      <w:r w:rsidRPr="005E0D7F">
        <w:rPr>
          <w:rStyle w:val="FootnoteReference"/>
          <w:rFonts w:asciiTheme="majorHAnsi" w:hAnsiTheme="majorHAnsi"/>
        </w:rPr>
        <w:footnoteRef/>
      </w:r>
      <w:r w:rsidRPr="005E0D7F">
        <w:rPr>
          <w:rFonts w:asciiTheme="majorHAnsi" w:hAnsiTheme="majorHAnsi"/>
        </w:rPr>
        <w:t xml:space="preserve"> See, for example, the </w:t>
      </w:r>
      <w:r w:rsidRPr="005E0D7F">
        <w:rPr>
          <w:rFonts w:asciiTheme="majorHAnsi" w:hAnsiTheme="majorHAnsi"/>
          <w:i/>
        </w:rPr>
        <w:t>Criminal Records Bill</w:t>
      </w:r>
      <w:r w:rsidRPr="005E0D7F">
        <w:rPr>
          <w:rFonts w:asciiTheme="majorHAnsi" w:hAnsiTheme="majorHAnsi"/>
        </w:rPr>
        <w:t xml:space="preserve"> introduced (as a Private Members Bill) by Unlock’s President Lord Ramsbotham which seeks to bring rehabilitation periods in line with those proposed by ‘Breaking the Circle’ and to extent the protections of the ROA to all those who have served a determinate sentence.</w:t>
      </w:r>
    </w:p>
  </w:footnote>
  <w:footnote w:id="2">
    <w:p w:rsidR="00294528" w:rsidRPr="005E0D7F" w:rsidRDefault="00294528" w:rsidP="00017BE0">
      <w:pPr>
        <w:pStyle w:val="FootnoteText"/>
        <w:jc w:val="both"/>
        <w:rPr>
          <w:rFonts w:asciiTheme="majorHAnsi" w:hAnsiTheme="majorHAnsi"/>
          <w:highlight w:val="yellow"/>
        </w:rPr>
      </w:pPr>
      <w:r w:rsidRPr="005E0D7F">
        <w:rPr>
          <w:rStyle w:val="FootnoteReference"/>
          <w:rFonts w:asciiTheme="majorHAnsi" w:hAnsiTheme="majorHAnsi"/>
        </w:rPr>
        <w:footnoteRef/>
      </w:r>
      <w:r w:rsidRPr="005E0D7F">
        <w:rPr>
          <w:rFonts w:asciiTheme="majorHAnsi" w:hAnsiTheme="majorHAnsi"/>
        </w:rPr>
        <w:t xml:space="preserve"> There is also an issue caused by the impact of ancillary court orders made by court</w:t>
      </w:r>
      <w:r w:rsidR="00841DEC">
        <w:rPr>
          <w:rFonts w:asciiTheme="majorHAnsi" w:hAnsiTheme="majorHAnsi"/>
        </w:rPr>
        <w:t>s when</w:t>
      </w:r>
      <w:r w:rsidRPr="005E0D7F">
        <w:rPr>
          <w:rFonts w:asciiTheme="majorHAnsi" w:hAnsiTheme="majorHAnsi"/>
        </w:rPr>
        <w:t xml:space="preserve"> dealing with </w:t>
      </w:r>
      <w:r w:rsidR="00841DEC">
        <w:rPr>
          <w:rFonts w:asciiTheme="majorHAnsi" w:hAnsiTheme="majorHAnsi"/>
        </w:rPr>
        <w:t>lawbreakers</w:t>
      </w:r>
      <w:r w:rsidRPr="005E0D7F">
        <w:rPr>
          <w:rFonts w:asciiTheme="majorHAnsi" w:hAnsiTheme="majorHAnsi"/>
        </w:rPr>
        <w:t xml:space="preserve"> due to the effect of section 5(8) of the ROA. This requires that a conviction cannot become spent whilst an order ‘imposing on the person convicted any disqualification, disability, prohibition or other penalty’ has effect.  Such orders might include </w:t>
      </w:r>
      <w:r>
        <w:rPr>
          <w:rFonts w:asciiTheme="majorHAnsi" w:hAnsiTheme="majorHAnsi"/>
        </w:rPr>
        <w:t xml:space="preserve">Criminal Behaviour Orders or </w:t>
      </w:r>
      <w:r w:rsidRPr="005E0D7F">
        <w:rPr>
          <w:rFonts w:asciiTheme="majorHAnsi" w:hAnsiTheme="majorHAnsi"/>
        </w:rPr>
        <w:t>Sexual Harm Prevention Orders (previously Sexual Offences Prevention Orders).   Thus, a number of more recent ‘preventative justice’ measures (see Ashworth, Zedner and Tomlin 2013) introduced since the passage of the original ROA have the effect of delaying the possibility of a criminal record being spent</w:t>
      </w:r>
      <w:r w:rsidR="00841DEC">
        <w:rPr>
          <w:rFonts w:asciiTheme="majorHAnsi" w:hAnsiTheme="majorHAnsi"/>
        </w:rPr>
        <w:t>.  They therefore take</w:t>
      </w:r>
      <w:r w:rsidRPr="005E0D7F">
        <w:rPr>
          <w:rFonts w:asciiTheme="majorHAnsi" w:hAnsiTheme="majorHAnsi"/>
        </w:rPr>
        <w:t xml:space="preserve"> on punitive </w:t>
      </w:r>
      <w:r w:rsidR="00841DEC">
        <w:rPr>
          <w:rFonts w:asciiTheme="majorHAnsi" w:hAnsiTheme="majorHAnsi"/>
        </w:rPr>
        <w:t>as well as</w:t>
      </w:r>
      <w:r w:rsidRPr="005E0D7F">
        <w:rPr>
          <w:rFonts w:asciiTheme="majorHAnsi" w:hAnsiTheme="majorHAnsi"/>
        </w:rPr>
        <w:t xml:space="preserve"> preventative characteristics.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399"/>
    <w:multiLevelType w:val="hybridMultilevel"/>
    <w:tmpl w:val="1BCA54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744CB"/>
    <w:multiLevelType w:val="hybridMultilevel"/>
    <w:tmpl w:val="E31C2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437BD"/>
    <w:multiLevelType w:val="hybridMultilevel"/>
    <w:tmpl w:val="F4D88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F80B5F"/>
    <w:multiLevelType w:val="hybridMultilevel"/>
    <w:tmpl w:val="B4AA9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610C80"/>
    <w:multiLevelType w:val="hybridMultilevel"/>
    <w:tmpl w:val="80B8A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E93FF4"/>
    <w:multiLevelType w:val="hybridMultilevel"/>
    <w:tmpl w:val="C2A4AF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DB3E0A"/>
    <w:multiLevelType w:val="multilevel"/>
    <w:tmpl w:val="93C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52"/>
    <w:rsid w:val="000017F1"/>
    <w:rsid w:val="000112CC"/>
    <w:rsid w:val="00017BE0"/>
    <w:rsid w:val="00021A80"/>
    <w:rsid w:val="000249C4"/>
    <w:rsid w:val="000263F7"/>
    <w:rsid w:val="00076240"/>
    <w:rsid w:val="00095BB0"/>
    <w:rsid w:val="000A0BEB"/>
    <w:rsid w:val="000B2A59"/>
    <w:rsid w:val="000B3E65"/>
    <w:rsid w:val="000C1BCF"/>
    <w:rsid w:val="000C2E3F"/>
    <w:rsid w:val="000C4956"/>
    <w:rsid w:val="000C5F62"/>
    <w:rsid w:val="000D3557"/>
    <w:rsid w:val="000E0033"/>
    <w:rsid w:val="000E5446"/>
    <w:rsid w:val="000F41C4"/>
    <w:rsid w:val="000F7532"/>
    <w:rsid w:val="00122E21"/>
    <w:rsid w:val="001367FF"/>
    <w:rsid w:val="00154710"/>
    <w:rsid w:val="00190E5A"/>
    <w:rsid w:val="001A1498"/>
    <w:rsid w:val="001A4233"/>
    <w:rsid w:val="001B7EA9"/>
    <w:rsid w:val="001D189D"/>
    <w:rsid w:val="001D300F"/>
    <w:rsid w:val="001D3157"/>
    <w:rsid w:val="001D71FB"/>
    <w:rsid w:val="001E38F5"/>
    <w:rsid w:val="001E6021"/>
    <w:rsid w:val="001F4C90"/>
    <w:rsid w:val="00200EA8"/>
    <w:rsid w:val="00205E8E"/>
    <w:rsid w:val="00211501"/>
    <w:rsid w:val="0023010D"/>
    <w:rsid w:val="002308C6"/>
    <w:rsid w:val="002461FE"/>
    <w:rsid w:val="00251007"/>
    <w:rsid w:val="002558A4"/>
    <w:rsid w:val="00256075"/>
    <w:rsid w:val="002668A2"/>
    <w:rsid w:val="0027183F"/>
    <w:rsid w:val="00287E24"/>
    <w:rsid w:val="00287F32"/>
    <w:rsid w:val="00294528"/>
    <w:rsid w:val="002B1AEE"/>
    <w:rsid w:val="002D5DD9"/>
    <w:rsid w:val="002E712F"/>
    <w:rsid w:val="002F0E28"/>
    <w:rsid w:val="002F0FEA"/>
    <w:rsid w:val="003273DF"/>
    <w:rsid w:val="00345B61"/>
    <w:rsid w:val="00347A60"/>
    <w:rsid w:val="00357336"/>
    <w:rsid w:val="003670D3"/>
    <w:rsid w:val="00380D24"/>
    <w:rsid w:val="003817B8"/>
    <w:rsid w:val="00393BB7"/>
    <w:rsid w:val="003A325F"/>
    <w:rsid w:val="003C2EC0"/>
    <w:rsid w:val="003D0431"/>
    <w:rsid w:val="003D60CD"/>
    <w:rsid w:val="004154A5"/>
    <w:rsid w:val="00420E5F"/>
    <w:rsid w:val="004313E6"/>
    <w:rsid w:val="004439E5"/>
    <w:rsid w:val="004472A8"/>
    <w:rsid w:val="0046216E"/>
    <w:rsid w:val="004629A2"/>
    <w:rsid w:val="0047682C"/>
    <w:rsid w:val="004A522D"/>
    <w:rsid w:val="004D267C"/>
    <w:rsid w:val="004F0FA7"/>
    <w:rsid w:val="004F2F0F"/>
    <w:rsid w:val="004F3179"/>
    <w:rsid w:val="004F35F3"/>
    <w:rsid w:val="005446EC"/>
    <w:rsid w:val="0054528C"/>
    <w:rsid w:val="005708AB"/>
    <w:rsid w:val="005759D9"/>
    <w:rsid w:val="00577C11"/>
    <w:rsid w:val="00577CC9"/>
    <w:rsid w:val="005857A8"/>
    <w:rsid w:val="005859ED"/>
    <w:rsid w:val="00590244"/>
    <w:rsid w:val="0059100F"/>
    <w:rsid w:val="005A69BC"/>
    <w:rsid w:val="005B184C"/>
    <w:rsid w:val="005B25B5"/>
    <w:rsid w:val="005B3103"/>
    <w:rsid w:val="005C06C1"/>
    <w:rsid w:val="005C0B17"/>
    <w:rsid w:val="005C6554"/>
    <w:rsid w:val="005D0BCB"/>
    <w:rsid w:val="005D6C3D"/>
    <w:rsid w:val="005E0D7F"/>
    <w:rsid w:val="005F4D6D"/>
    <w:rsid w:val="006008B4"/>
    <w:rsid w:val="00603E49"/>
    <w:rsid w:val="006040DB"/>
    <w:rsid w:val="0061288B"/>
    <w:rsid w:val="0061680E"/>
    <w:rsid w:val="00627EA8"/>
    <w:rsid w:val="0063259A"/>
    <w:rsid w:val="0064461B"/>
    <w:rsid w:val="00650094"/>
    <w:rsid w:val="00673B76"/>
    <w:rsid w:val="00674B15"/>
    <w:rsid w:val="00683E96"/>
    <w:rsid w:val="00691F77"/>
    <w:rsid w:val="006A2162"/>
    <w:rsid w:val="006A435D"/>
    <w:rsid w:val="006A7DAE"/>
    <w:rsid w:val="006B1F33"/>
    <w:rsid w:val="006B230D"/>
    <w:rsid w:val="006B5752"/>
    <w:rsid w:val="006B686D"/>
    <w:rsid w:val="006C0FEA"/>
    <w:rsid w:val="006C4497"/>
    <w:rsid w:val="006D2345"/>
    <w:rsid w:val="006D6EE9"/>
    <w:rsid w:val="0071178B"/>
    <w:rsid w:val="0072627A"/>
    <w:rsid w:val="00736395"/>
    <w:rsid w:val="00743F96"/>
    <w:rsid w:val="007457E4"/>
    <w:rsid w:val="00752A8A"/>
    <w:rsid w:val="00755876"/>
    <w:rsid w:val="00764797"/>
    <w:rsid w:val="00765CCE"/>
    <w:rsid w:val="00771D5F"/>
    <w:rsid w:val="00795092"/>
    <w:rsid w:val="00795E34"/>
    <w:rsid w:val="007A6F36"/>
    <w:rsid w:val="007B2CC7"/>
    <w:rsid w:val="007C74EB"/>
    <w:rsid w:val="007D3223"/>
    <w:rsid w:val="007E410E"/>
    <w:rsid w:val="008238C2"/>
    <w:rsid w:val="00824944"/>
    <w:rsid w:val="00834937"/>
    <w:rsid w:val="00841DEC"/>
    <w:rsid w:val="008474A8"/>
    <w:rsid w:val="00847766"/>
    <w:rsid w:val="0085417E"/>
    <w:rsid w:val="0086117E"/>
    <w:rsid w:val="00864795"/>
    <w:rsid w:val="00883381"/>
    <w:rsid w:val="0089325F"/>
    <w:rsid w:val="008B722F"/>
    <w:rsid w:val="008C5B74"/>
    <w:rsid w:val="008C7355"/>
    <w:rsid w:val="008E53C6"/>
    <w:rsid w:val="008E64AB"/>
    <w:rsid w:val="008F030C"/>
    <w:rsid w:val="00902D8E"/>
    <w:rsid w:val="009254D0"/>
    <w:rsid w:val="00927015"/>
    <w:rsid w:val="00932C51"/>
    <w:rsid w:val="00944588"/>
    <w:rsid w:val="009465A3"/>
    <w:rsid w:val="00953B4F"/>
    <w:rsid w:val="009558D4"/>
    <w:rsid w:val="009619CF"/>
    <w:rsid w:val="00963735"/>
    <w:rsid w:val="00965BE2"/>
    <w:rsid w:val="0098377C"/>
    <w:rsid w:val="009D0E21"/>
    <w:rsid w:val="009D3A8A"/>
    <w:rsid w:val="009E3E57"/>
    <w:rsid w:val="009F0B6E"/>
    <w:rsid w:val="009F4C05"/>
    <w:rsid w:val="00A10748"/>
    <w:rsid w:val="00A178FC"/>
    <w:rsid w:val="00A20656"/>
    <w:rsid w:val="00A2390F"/>
    <w:rsid w:val="00A53414"/>
    <w:rsid w:val="00A55922"/>
    <w:rsid w:val="00A57C4A"/>
    <w:rsid w:val="00A80326"/>
    <w:rsid w:val="00A83700"/>
    <w:rsid w:val="00AA1750"/>
    <w:rsid w:val="00AB2A1A"/>
    <w:rsid w:val="00AC19CB"/>
    <w:rsid w:val="00AC4708"/>
    <w:rsid w:val="00AC7EF4"/>
    <w:rsid w:val="00AD083B"/>
    <w:rsid w:val="00AD4AA8"/>
    <w:rsid w:val="00AD6563"/>
    <w:rsid w:val="00AE6836"/>
    <w:rsid w:val="00B11FFB"/>
    <w:rsid w:val="00B21C4F"/>
    <w:rsid w:val="00B334E9"/>
    <w:rsid w:val="00B53282"/>
    <w:rsid w:val="00B678C6"/>
    <w:rsid w:val="00B7560F"/>
    <w:rsid w:val="00B7723F"/>
    <w:rsid w:val="00BA3C7F"/>
    <w:rsid w:val="00BB6B58"/>
    <w:rsid w:val="00BB7474"/>
    <w:rsid w:val="00BC1DAB"/>
    <w:rsid w:val="00BF12AF"/>
    <w:rsid w:val="00BF3A1E"/>
    <w:rsid w:val="00C06077"/>
    <w:rsid w:val="00C12204"/>
    <w:rsid w:val="00C26536"/>
    <w:rsid w:val="00C32A49"/>
    <w:rsid w:val="00C43BC7"/>
    <w:rsid w:val="00C571EA"/>
    <w:rsid w:val="00C6218F"/>
    <w:rsid w:val="00C67A39"/>
    <w:rsid w:val="00C95ED1"/>
    <w:rsid w:val="00CA2CAE"/>
    <w:rsid w:val="00CA2F42"/>
    <w:rsid w:val="00CA7594"/>
    <w:rsid w:val="00CB4672"/>
    <w:rsid w:val="00CC356D"/>
    <w:rsid w:val="00CD1AB2"/>
    <w:rsid w:val="00CE0A13"/>
    <w:rsid w:val="00CE215C"/>
    <w:rsid w:val="00CE3212"/>
    <w:rsid w:val="00CE5FBC"/>
    <w:rsid w:val="00CE6AB7"/>
    <w:rsid w:val="00CF2312"/>
    <w:rsid w:val="00CF5D32"/>
    <w:rsid w:val="00D06F0A"/>
    <w:rsid w:val="00D12D4C"/>
    <w:rsid w:val="00D157AD"/>
    <w:rsid w:val="00D210F3"/>
    <w:rsid w:val="00D24265"/>
    <w:rsid w:val="00D314E6"/>
    <w:rsid w:val="00D44B4A"/>
    <w:rsid w:val="00D525E6"/>
    <w:rsid w:val="00D75BB3"/>
    <w:rsid w:val="00D76B45"/>
    <w:rsid w:val="00D900D8"/>
    <w:rsid w:val="00D95EC4"/>
    <w:rsid w:val="00DA6A8E"/>
    <w:rsid w:val="00DC2020"/>
    <w:rsid w:val="00DC60AF"/>
    <w:rsid w:val="00DC6F4A"/>
    <w:rsid w:val="00DD5963"/>
    <w:rsid w:val="00DD5C05"/>
    <w:rsid w:val="00E02B30"/>
    <w:rsid w:val="00E11106"/>
    <w:rsid w:val="00E21278"/>
    <w:rsid w:val="00E30AAF"/>
    <w:rsid w:val="00E45FBE"/>
    <w:rsid w:val="00E83ACF"/>
    <w:rsid w:val="00E850F9"/>
    <w:rsid w:val="00E85E91"/>
    <w:rsid w:val="00E96A53"/>
    <w:rsid w:val="00ED12D7"/>
    <w:rsid w:val="00ED49F8"/>
    <w:rsid w:val="00EE604B"/>
    <w:rsid w:val="00EF11E7"/>
    <w:rsid w:val="00EF6AF4"/>
    <w:rsid w:val="00F050B2"/>
    <w:rsid w:val="00F24E33"/>
    <w:rsid w:val="00F3053F"/>
    <w:rsid w:val="00F67DE0"/>
    <w:rsid w:val="00F97FD2"/>
    <w:rsid w:val="00FD5DD8"/>
    <w:rsid w:val="00FE087B"/>
    <w:rsid w:val="00FF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0DB"/>
    <w:rPr>
      <w:color w:val="0000FF" w:themeColor="hyperlink"/>
      <w:u w:val="single"/>
    </w:rPr>
  </w:style>
  <w:style w:type="character" w:styleId="CommentReference">
    <w:name w:val="annotation reference"/>
    <w:basedOn w:val="DefaultParagraphFont"/>
    <w:uiPriority w:val="99"/>
    <w:semiHidden/>
    <w:unhideWhenUsed/>
    <w:rsid w:val="005B184C"/>
    <w:rPr>
      <w:sz w:val="16"/>
      <w:szCs w:val="16"/>
    </w:rPr>
  </w:style>
  <w:style w:type="paragraph" w:styleId="CommentText">
    <w:name w:val="annotation text"/>
    <w:basedOn w:val="Normal"/>
    <w:link w:val="CommentTextChar"/>
    <w:uiPriority w:val="99"/>
    <w:semiHidden/>
    <w:unhideWhenUsed/>
    <w:rsid w:val="005B184C"/>
    <w:pPr>
      <w:spacing w:line="240" w:lineRule="auto"/>
    </w:pPr>
    <w:rPr>
      <w:sz w:val="20"/>
      <w:szCs w:val="20"/>
    </w:rPr>
  </w:style>
  <w:style w:type="character" w:customStyle="1" w:styleId="CommentTextChar">
    <w:name w:val="Comment Text Char"/>
    <w:basedOn w:val="DefaultParagraphFont"/>
    <w:link w:val="CommentText"/>
    <w:uiPriority w:val="99"/>
    <w:semiHidden/>
    <w:rsid w:val="005B184C"/>
    <w:rPr>
      <w:sz w:val="20"/>
      <w:szCs w:val="20"/>
    </w:rPr>
  </w:style>
  <w:style w:type="paragraph" w:styleId="CommentSubject">
    <w:name w:val="annotation subject"/>
    <w:basedOn w:val="CommentText"/>
    <w:next w:val="CommentText"/>
    <w:link w:val="CommentSubjectChar"/>
    <w:uiPriority w:val="99"/>
    <w:semiHidden/>
    <w:unhideWhenUsed/>
    <w:rsid w:val="005B184C"/>
    <w:rPr>
      <w:b/>
      <w:bCs/>
    </w:rPr>
  </w:style>
  <w:style w:type="character" w:customStyle="1" w:styleId="CommentSubjectChar">
    <w:name w:val="Comment Subject Char"/>
    <w:basedOn w:val="CommentTextChar"/>
    <w:link w:val="CommentSubject"/>
    <w:uiPriority w:val="99"/>
    <w:semiHidden/>
    <w:rsid w:val="005B184C"/>
    <w:rPr>
      <w:b/>
      <w:bCs/>
      <w:sz w:val="20"/>
      <w:szCs w:val="20"/>
    </w:rPr>
  </w:style>
  <w:style w:type="paragraph" w:styleId="BalloonText">
    <w:name w:val="Balloon Text"/>
    <w:basedOn w:val="Normal"/>
    <w:link w:val="BalloonTextChar"/>
    <w:uiPriority w:val="99"/>
    <w:semiHidden/>
    <w:unhideWhenUsed/>
    <w:rsid w:val="005B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4C"/>
    <w:rPr>
      <w:rFonts w:ascii="Tahoma" w:hAnsi="Tahoma" w:cs="Tahoma"/>
      <w:sz w:val="16"/>
      <w:szCs w:val="16"/>
    </w:rPr>
  </w:style>
  <w:style w:type="paragraph" w:styleId="Header">
    <w:name w:val="header"/>
    <w:basedOn w:val="Normal"/>
    <w:link w:val="HeaderChar"/>
    <w:uiPriority w:val="99"/>
    <w:unhideWhenUsed/>
    <w:rsid w:val="005A6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9BC"/>
  </w:style>
  <w:style w:type="paragraph" w:styleId="Footer">
    <w:name w:val="footer"/>
    <w:basedOn w:val="Normal"/>
    <w:link w:val="FooterChar"/>
    <w:uiPriority w:val="99"/>
    <w:unhideWhenUsed/>
    <w:rsid w:val="005A6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9BC"/>
  </w:style>
  <w:style w:type="paragraph" w:styleId="FootnoteText">
    <w:name w:val="footnote text"/>
    <w:basedOn w:val="Normal"/>
    <w:link w:val="FootnoteTextChar"/>
    <w:uiPriority w:val="99"/>
    <w:semiHidden/>
    <w:unhideWhenUsed/>
    <w:rsid w:val="004D2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67C"/>
    <w:rPr>
      <w:sz w:val="20"/>
      <w:szCs w:val="20"/>
    </w:rPr>
  </w:style>
  <w:style w:type="character" w:styleId="FootnoteReference">
    <w:name w:val="footnote reference"/>
    <w:basedOn w:val="DefaultParagraphFont"/>
    <w:uiPriority w:val="99"/>
    <w:semiHidden/>
    <w:unhideWhenUsed/>
    <w:rsid w:val="004D267C"/>
    <w:rPr>
      <w:vertAlign w:val="superscript"/>
    </w:rPr>
  </w:style>
  <w:style w:type="paragraph" w:styleId="ListParagraph">
    <w:name w:val="List Paragraph"/>
    <w:basedOn w:val="Normal"/>
    <w:uiPriority w:val="34"/>
    <w:qFormat/>
    <w:rsid w:val="00D44B4A"/>
    <w:pPr>
      <w:ind w:left="720"/>
      <w:contextualSpacing/>
    </w:pPr>
  </w:style>
  <w:style w:type="paragraph" w:styleId="EndnoteText">
    <w:name w:val="endnote text"/>
    <w:basedOn w:val="Normal"/>
    <w:link w:val="EndnoteTextChar"/>
    <w:uiPriority w:val="99"/>
    <w:semiHidden/>
    <w:unhideWhenUsed/>
    <w:rsid w:val="00AE68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6836"/>
    <w:rPr>
      <w:sz w:val="20"/>
      <w:szCs w:val="20"/>
    </w:rPr>
  </w:style>
  <w:style w:type="character" w:styleId="EndnoteReference">
    <w:name w:val="endnote reference"/>
    <w:basedOn w:val="DefaultParagraphFont"/>
    <w:uiPriority w:val="99"/>
    <w:semiHidden/>
    <w:unhideWhenUsed/>
    <w:rsid w:val="00AE68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0DB"/>
    <w:rPr>
      <w:color w:val="0000FF" w:themeColor="hyperlink"/>
      <w:u w:val="single"/>
    </w:rPr>
  </w:style>
  <w:style w:type="character" w:styleId="CommentReference">
    <w:name w:val="annotation reference"/>
    <w:basedOn w:val="DefaultParagraphFont"/>
    <w:uiPriority w:val="99"/>
    <w:semiHidden/>
    <w:unhideWhenUsed/>
    <w:rsid w:val="005B184C"/>
    <w:rPr>
      <w:sz w:val="16"/>
      <w:szCs w:val="16"/>
    </w:rPr>
  </w:style>
  <w:style w:type="paragraph" w:styleId="CommentText">
    <w:name w:val="annotation text"/>
    <w:basedOn w:val="Normal"/>
    <w:link w:val="CommentTextChar"/>
    <w:uiPriority w:val="99"/>
    <w:semiHidden/>
    <w:unhideWhenUsed/>
    <w:rsid w:val="005B184C"/>
    <w:pPr>
      <w:spacing w:line="240" w:lineRule="auto"/>
    </w:pPr>
    <w:rPr>
      <w:sz w:val="20"/>
      <w:szCs w:val="20"/>
    </w:rPr>
  </w:style>
  <w:style w:type="character" w:customStyle="1" w:styleId="CommentTextChar">
    <w:name w:val="Comment Text Char"/>
    <w:basedOn w:val="DefaultParagraphFont"/>
    <w:link w:val="CommentText"/>
    <w:uiPriority w:val="99"/>
    <w:semiHidden/>
    <w:rsid w:val="005B184C"/>
    <w:rPr>
      <w:sz w:val="20"/>
      <w:szCs w:val="20"/>
    </w:rPr>
  </w:style>
  <w:style w:type="paragraph" w:styleId="CommentSubject">
    <w:name w:val="annotation subject"/>
    <w:basedOn w:val="CommentText"/>
    <w:next w:val="CommentText"/>
    <w:link w:val="CommentSubjectChar"/>
    <w:uiPriority w:val="99"/>
    <w:semiHidden/>
    <w:unhideWhenUsed/>
    <w:rsid w:val="005B184C"/>
    <w:rPr>
      <w:b/>
      <w:bCs/>
    </w:rPr>
  </w:style>
  <w:style w:type="character" w:customStyle="1" w:styleId="CommentSubjectChar">
    <w:name w:val="Comment Subject Char"/>
    <w:basedOn w:val="CommentTextChar"/>
    <w:link w:val="CommentSubject"/>
    <w:uiPriority w:val="99"/>
    <w:semiHidden/>
    <w:rsid w:val="005B184C"/>
    <w:rPr>
      <w:b/>
      <w:bCs/>
      <w:sz w:val="20"/>
      <w:szCs w:val="20"/>
    </w:rPr>
  </w:style>
  <w:style w:type="paragraph" w:styleId="BalloonText">
    <w:name w:val="Balloon Text"/>
    <w:basedOn w:val="Normal"/>
    <w:link w:val="BalloonTextChar"/>
    <w:uiPriority w:val="99"/>
    <w:semiHidden/>
    <w:unhideWhenUsed/>
    <w:rsid w:val="005B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4C"/>
    <w:rPr>
      <w:rFonts w:ascii="Tahoma" w:hAnsi="Tahoma" w:cs="Tahoma"/>
      <w:sz w:val="16"/>
      <w:szCs w:val="16"/>
    </w:rPr>
  </w:style>
  <w:style w:type="paragraph" w:styleId="Header">
    <w:name w:val="header"/>
    <w:basedOn w:val="Normal"/>
    <w:link w:val="HeaderChar"/>
    <w:uiPriority w:val="99"/>
    <w:unhideWhenUsed/>
    <w:rsid w:val="005A6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9BC"/>
  </w:style>
  <w:style w:type="paragraph" w:styleId="Footer">
    <w:name w:val="footer"/>
    <w:basedOn w:val="Normal"/>
    <w:link w:val="FooterChar"/>
    <w:uiPriority w:val="99"/>
    <w:unhideWhenUsed/>
    <w:rsid w:val="005A6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9BC"/>
  </w:style>
  <w:style w:type="paragraph" w:styleId="FootnoteText">
    <w:name w:val="footnote text"/>
    <w:basedOn w:val="Normal"/>
    <w:link w:val="FootnoteTextChar"/>
    <w:uiPriority w:val="99"/>
    <w:semiHidden/>
    <w:unhideWhenUsed/>
    <w:rsid w:val="004D2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67C"/>
    <w:rPr>
      <w:sz w:val="20"/>
      <w:szCs w:val="20"/>
    </w:rPr>
  </w:style>
  <w:style w:type="character" w:styleId="FootnoteReference">
    <w:name w:val="footnote reference"/>
    <w:basedOn w:val="DefaultParagraphFont"/>
    <w:uiPriority w:val="99"/>
    <w:semiHidden/>
    <w:unhideWhenUsed/>
    <w:rsid w:val="004D267C"/>
    <w:rPr>
      <w:vertAlign w:val="superscript"/>
    </w:rPr>
  </w:style>
  <w:style w:type="paragraph" w:styleId="ListParagraph">
    <w:name w:val="List Paragraph"/>
    <w:basedOn w:val="Normal"/>
    <w:uiPriority w:val="34"/>
    <w:qFormat/>
    <w:rsid w:val="00D44B4A"/>
    <w:pPr>
      <w:ind w:left="720"/>
      <w:contextualSpacing/>
    </w:pPr>
  </w:style>
  <w:style w:type="paragraph" w:styleId="EndnoteText">
    <w:name w:val="endnote text"/>
    <w:basedOn w:val="Normal"/>
    <w:link w:val="EndnoteTextChar"/>
    <w:uiPriority w:val="99"/>
    <w:semiHidden/>
    <w:unhideWhenUsed/>
    <w:rsid w:val="00AE68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6836"/>
    <w:rPr>
      <w:sz w:val="20"/>
      <w:szCs w:val="20"/>
    </w:rPr>
  </w:style>
  <w:style w:type="character" w:styleId="EndnoteReference">
    <w:name w:val="endnote reference"/>
    <w:basedOn w:val="DefaultParagraphFont"/>
    <w:uiPriority w:val="99"/>
    <w:semiHidden/>
    <w:unhideWhenUsed/>
    <w:rsid w:val="00AE6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32528">
      <w:bodyDiv w:val="1"/>
      <w:marLeft w:val="0"/>
      <w:marRight w:val="0"/>
      <w:marTop w:val="0"/>
      <w:marBottom w:val="0"/>
      <w:divBdr>
        <w:top w:val="none" w:sz="0" w:space="0" w:color="auto"/>
        <w:left w:val="none" w:sz="0" w:space="0" w:color="auto"/>
        <w:bottom w:val="none" w:sz="0" w:space="0" w:color="auto"/>
        <w:right w:val="none" w:sz="0" w:space="0" w:color="auto"/>
      </w:divBdr>
      <w:divsChild>
        <w:div w:id="670178628">
          <w:marLeft w:val="0"/>
          <w:marRight w:val="0"/>
          <w:marTop w:val="0"/>
          <w:marBottom w:val="0"/>
          <w:divBdr>
            <w:top w:val="none" w:sz="0" w:space="0" w:color="auto"/>
            <w:left w:val="none" w:sz="0" w:space="0" w:color="auto"/>
            <w:bottom w:val="none" w:sz="0" w:space="0" w:color="auto"/>
            <w:right w:val="none" w:sz="0" w:space="0" w:color="auto"/>
          </w:divBdr>
          <w:divsChild>
            <w:div w:id="515264755">
              <w:marLeft w:val="0"/>
              <w:marRight w:val="570"/>
              <w:marTop w:val="0"/>
              <w:marBottom w:val="72"/>
              <w:divBdr>
                <w:top w:val="none" w:sz="0" w:space="0" w:color="auto"/>
                <w:left w:val="none" w:sz="0" w:space="0" w:color="auto"/>
                <w:bottom w:val="none" w:sz="0" w:space="0" w:color="auto"/>
                <w:right w:val="none" w:sz="0" w:space="0" w:color="auto"/>
              </w:divBdr>
            </w:div>
            <w:div w:id="722211980">
              <w:marLeft w:val="567"/>
              <w:marRight w:val="570"/>
              <w:marTop w:val="0"/>
              <w:marBottom w:val="72"/>
              <w:divBdr>
                <w:top w:val="none" w:sz="0" w:space="0" w:color="auto"/>
                <w:left w:val="none" w:sz="0" w:space="0" w:color="auto"/>
                <w:bottom w:val="none" w:sz="0" w:space="0" w:color="auto"/>
                <w:right w:val="none" w:sz="0" w:space="0" w:color="auto"/>
              </w:divBdr>
            </w:div>
            <w:div w:id="989019605">
              <w:marLeft w:val="567"/>
              <w:marRight w:val="570"/>
              <w:marTop w:val="0"/>
              <w:marBottom w:val="72"/>
              <w:divBdr>
                <w:top w:val="none" w:sz="0" w:space="0" w:color="auto"/>
                <w:left w:val="none" w:sz="0" w:space="0" w:color="auto"/>
                <w:bottom w:val="none" w:sz="0" w:space="0" w:color="auto"/>
                <w:right w:val="none" w:sz="0" w:space="0" w:color="auto"/>
              </w:divBdr>
            </w:div>
            <w:div w:id="550842460">
              <w:marLeft w:val="567"/>
              <w:marRight w:val="570"/>
              <w:marTop w:val="0"/>
              <w:marBottom w:val="72"/>
              <w:divBdr>
                <w:top w:val="none" w:sz="0" w:space="0" w:color="auto"/>
                <w:left w:val="none" w:sz="0" w:space="0" w:color="auto"/>
                <w:bottom w:val="none" w:sz="0" w:space="0" w:color="auto"/>
                <w:right w:val="none" w:sz="0" w:space="0" w:color="auto"/>
              </w:divBdr>
            </w:div>
            <w:div w:id="1070078647">
              <w:marLeft w:val="567"/>
              <w:marRight w:val="570"/>
              <w:marTop w:val="0"/>
              <w:marBottom w:val="72"/>
              <w:divBdr>
                <w:top w:val="none" w:sz="0" w:space="0" w:color="auto"/>
                <w:left w:val="none" w:sz="0" w:space="0" w:color="auto"/>
                <w:bottom w:val="none" w:sz="0" w:space="0" w:color="auto"/>
                <w:right w:val="none" w:sz="0" w:space="0" w:color="auto"/>
              </w:divBdr>
            </w:div>
            <w:div w:id="1775057543">
              <w:marLeft w:val="567"/>
              <w:marRight w:val="570"/>
              <w:marTop w:val="0"/>
              <w:marBottom w:val="72"/>
              <w:divBdr>
                <w:top w:val="none" w:sz="0" w:space="0" w:color="auto"/>
                <w:left w:val="none" w:sz="0" w:space="0" w:color="auto"/>
                <w:bottom w:val="none" w:sz="0" w:space="0" w:color="auto"/>
                <w:right w:val="none" w:sz="0" w:space="0" w:color="auto"/>
              </w:divBdr>
            </w:div>
            <w:div w:id="1731221879">
              <w:marLeft w:val="567"/>
              <w:marRight w:val="521"/>
              <w:marTop w:val="0"/>
              <w:marBottom w:val="200"/>
              <w:divBdr>
                <w:top w:val="none" w:sz="0" w:space="0" w:color="auto"/>
                <w:left w:val="none" w:sz="0" w:space="0" w:color="auto"/>
                <w:bottom w:val="none" w:sz="0" w:space="0" w:color="auto"/>
                <w:right w:val="none" w:sz="0" w:space="0" w:color="auto"/>
              </w:divBdr>
            </w:div>
            <w:div w:id="1172064898">
              <w:marLeft w:val="567"/>
              <w:marRight w:val="521"/>
              <w:marTop w:val="0"/>
              <w:marBottom w:val="200"/>
              <w:divBdr>
                <w:top w:val="none" w:sz="0" w:space="0" w:color="auto"/>
                <w:left w:val="none" w:sz="0" w:space="0" w:color="auto"/>
                <w:bottom w:val="none" w:sz="0" w:space="0" w:color="auto"/>
                <w:right w:val="none" w:sz="0" w:space="0" w:color="auto"/>
              </w:divBdr>
            </w:div>
            <w:div w:id="1813132167">
              <w:marLeft w:val="851"/>
              <w:marRight w:val="521"/>
              <w:marTop w:val="0"/>
              <w:marBottom w:val="200"/>
              <w:divBdr>
                <w:top w:val="none" w:sz="0" w:space="0" w:color="auto"/>
                <w:left w:val="none" w:sz="0" w:space="0" w:color="auto"/>
                <w:bottom w:val="none" w:sz="0" w:space="0" w:color="auto"/>
                <w:right w:val="none" w:sz="0" w:space="0" w:color="auto"/>
              </w:divBdr>
            </w:div>
            <w:div w:id="1215235890">
              <w:marLeft w:val="851"/>
              <w:marRight w:val="521"/>
              <w:marTop w:val="0"/>
              <w:marBottom w:val="200"/>
              <w:divBdr>
                <w:top w:val="none" w:sz="0" w:space="0" w:color="auto"/>
                <w:left w:val="none" w:sz="0" w:space="0" w:color="auto"/>
                <w:bottom w:val="none" w:sz="0" w:space="0" w:color="auto"/>
                <w:right w:val="none" w:sz="0" w:space="0" w:color="auto"/>
              </w:divBdr>
            </w:div>
            <w:div w:id="369769840">
              <w:marLeft w:val="567"/>
              <w:marRight w:val="521"/>
              <w:marTop w:val="0"/>
              <w:marBottom w:val="200"/>
              <w:divBdr>
                <w:top w:val="none" w:sz="0" w:space="0" w:color="auto"/>
                <w:left w:val="none" w:sz="0" w:space="0" w:color="auto"/>
                <w:bottom w:val="none" w:sz="0" w:space="0" w:color="auto"/>
                <w:right w:val="none" w:sz="0" w:space="0" w:color="auto"/>
              </w:divBdr>
            </w:div>
            <w:div w:id="275644715">
              <w:marLeft w:val="567"/>
              <w:marRight w:val="521"/>
              <w:marTop w:val="0"/>
              <w:marBottom w:val="200"/>
              <w:divBdr>
                <w:top w:val="none" w:sz="0" w:space="0" w:color="auto"/>
                <w:left w:val="none" w:sz="0" w:space="0" w:color="auto"/>
                <w:bottom w:val="none" w:sz="0" w:space="0" w:color="auto"/>
                <w:right w:val="none" w:sz="0" w:space="0" w:color="auto"/>
              </w:divBdr>
            </w:div>
          </w:divsChild>
        </w:div>
      </w:divsChild>
    </w:div>
    <w:div w:id="1508328055">
      <w:bodyDiv w:val="1"/>
      <w:marLeft w:val="0"/>
      <w:marRight w:val="0"/>
      <w:marTop w:val="0"/>
      <w:marBottom w:val="0"/>
      <w:divBdr>
        <w:top w:val="none" w:sz="0" w:space="0" w:color="auto"/>
        <w:left w:val="none" w:sz="0" w:space="0" w:color="auto"/>
        <w:bottom w:val="none" w:sz="0" w:space="0" w:color="auto"/>
        <w:right w:val="none" w:sz="0" w:space="0" w:color="auto"/>
      </w:divBdr>
      <w:divsChild>
        <w:div w:id="2015105928">
          <w:marLeft w:val="0"/>
          <w:marRight w:val="0"/>
          <w:marTop w:val="0"/>
          <w:marBottom w:val="0"/>
          <w:divBdr>
            <w:top w:val="none" w:sz="0" w:space="0" w:color="auto"/>
            <w:left w:val="none" w:sz="0" w:space="0" w:color="auto"/>
            <w:bottom w:val="none" w:sz="0" w:space="0" w:color="auto"/>
            <w:right w:val="none" w:sz="0" w:space="0" w:color="auto"/>
          </w:divBdr>
          <w:divsChild>
            <w:div w:id="1098865660">
              <w:marLeft w:val="0"/>
              <w:marRight w:val="0"/>
              <w:marTop w:val="0"/>
              <w:marBottom w:val="0"/>
              <w:divBdr>
                <w:top w:val="none" w:sz="0" w:space="0" w:color="auto"/>
                <w:left w:val="none" w:sz="0" w:space="0" w:color="auto"/>
                <w:bottom w:val="none" w:sz="0" w:space="0" w:color="auto"/>
                <w:right w:val="none" w:sz="0" w:space="0" w:color="auto"/>
              </w:divBdr>
              <w:divsChild>
                <w:div w:id="460653503">
                  <w:marLeft w:val="0"/>
                  <w:marRight w:val="0"/>
                  <w:marTop w:val="0"/>
                  <w:marBottom w:val="0"/>
                  <w:divBdr>
                    <w:top w:val="none" w:sz="0" w:space="0" w:color="auto"/>
                    <w:left w:val="none" w:sz="0" w:space="0" w:color="auto"/>
                    <w:bottom w:val="none" w:sz="0" w:space="0" w:color="auto"/>
                    <w:right w:val="none" w:sz="0" w:space="0" w:color="auto"/>
                  </w:divBdr>
                  <w:divsChild>
                    <w:div w:id="1590851880">
                      <w:marLeft w:val="0"/>
                      <w:marRight w:val="0"/>
                      <w:marTop w:val="0"/>
                      <w:marBottom w:val="0"/>
                      <w:divBdr>
                        <w:top w:val="none" w:sz="0" w:space="0" w:color="auto"/>
                        <w:left w:val="none" w:sz="0" w:space="0" w:color="auto"/>
                        <w:bottom w:val="none" w:sz="0" w:space="0" w:color="auto"/>
                        <w:right w:val="none" w:sz="0" w:space="0" w:color="auto"/>
                      </w:divBdr>
                      <w:divsChild>
                        <w:div w:id="3112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7851">
      <w:bodyDiv w:val="1"/>
      <w:marLeft w:val="0"/>
      <w:marRight w:val="0"/>
      <w:marTop w:val="0"/>
      <w:marBottom w:val="0"/>
      <w:divBdr>
        <w:top w:val="none" w:sz="0" w:space="0" w:color="auto"/>
        <w:left w:val="none" w:sz="0" w:space="0" w:color="auto"/>
        <w:bottom w:val="none" w:sz="0" w:space="0" w:color="auto"/>
        <w:right w:val="none" w:sz="0" w:space="0" w:color="auto"/>
      </w:divBdr>
      <w:divsChild>
        <w:div w:id="1010106965">
          <w:marLeft w:val="0"/>
          <w:marRight w:val="0"/>
          <w:marTop w:val="0"/>
          <w:marBottom w:val="0"/>
          <w:divBdr>
            <w:top w:val="none" w:sz="0" w:space="0" w:color="auto"/>
            <w:left w:val="none" w:sz="0" w:space="0" w:color="auto"/>
            <w:bottom w:val="none" w:sz="0" w:space="0" w:color="auto"/>
            <w:right w:val="none" w:sz="0" w:space="0" w:color="auto"/>
          </w:divBdr>
        </w:div>
        <w:div w:id="154499198">
          <w:marLeft w:val="0"/>
          <w:marRight w:val="0"/>
          <w:marTop w:val="0"/>
          <w:marBottom w:val="0"/>
          <w:divBdr>
            <w:top w:val="none" w:sz="0" w:space="0" w:color="auto"/>
            <w:left w:val="none" w:sz="0" w:space="0" w:color="auto"/>
            <w:bottom w:val="none" w:sz="0" w:space="0" w:color="auto"/>
            <w:right w:val="none" w:sz="0" w:space="0" w:color="auto"/>
          </w:divBdr>
        </w:div>
        <w:div w:id="749816613">
          <w:marLeft w:val="0"/>
          <w:marRight w:val="0"/>
          <w:marTop w:val="0"/>
          <w:marBottom w:val="0"/>
          <w:divBdr>
            <w:top w:val="none" w:sz="0" w:space="0" w:color="auto"/>
            <w:left w:val="none" w:sz="0" w:space="0" w:color="auto"/>
            <w:bottom w:val="none" w:sz="0" w:space="0" w:color="auto"/>
            <w:right w:val="none" w:sz="0" w:space="0" w:color="auto"/>
          </w:divBdr>
        </w:div>
        <w:div w:id="1935700186">
          <w:marLeft w:val="0"/>
          <w:marRight w:val="0"/>
          <w:marTop w:val="0"/>
          <w:marBottom w:val="0"/>
          <w:divBdr>
            <w:top w:val="none" w:sz="0" w:space="0" w:color="auto"/>
            <w:left w:val="none" w:sz="0" w:space="0" w:color="auto"/>
            <w:bottom w:val="none" w:sz="0" w:space="0" w:color="auto"/>
            <w:right w:val="none" w:sz="0" w:space="0" w:color="auto"/>
          </w:divBdr>
        </w:div>
        <w:div w:id="2031565003">
          <w:marLeft w:val="0"/>
          <w:marRight w:val="0"/>
          <w:marTop w:val="0"/>
          <w:marBottom w:val="0"/>
          <w:divBdr>
            <w:top w:val="none" w:sz="0" w:space="0" w:color="auto"/>
            <w:left w:val="none" w:sz="0" w:space="0" w:color="auto"/>
            <w:bottom w:val="none" w:sz="0" w:space="0" w:color="auto"/>
            <w:right w:val="none" w:sz="0" w:space="0" w:color="auto"/>
          </w:divBdr>
        </w:div>
        <w:div w:id="1520661625">
          <w:marLeft w:val="0"/>
          <w:marRight w:val="0"/>
          <w:marTop w:val="0"/>
          <w:marBottom w:val="0"/>
          <w:divBdr>
            <w:top w:val="none" w:sz="0" w:space="0" w:color="auto"/>
            <w:left w:val="none" w:sz="0" w:space="0" w:color="auto"/>
            <w:bottom w:val="none" w:sz="0" w:space="0" w:color="auto"/>
            <w:right w:val="none" w:sz="0" w:space="0" w:color="auto"/>
          </w:divBdr>
        </w:div>
        <w:div w:id="1903564748">
          <w:marLeft w:val="0"/>
          <w:marRight w:val="0"/>
          <w:marTop w:val="0"/>
          <w:marBottom w:val="0"/>
          <w:divBdr>
            <w:top w:val="none" w:sz="0" w:space="0" w:color="auto"/>
            <w:left w:val="none" w:sz="0" w:space="0" w:color="auto"/>
            <w:bottom w:val="none" w:sz="0" w:space="0" w:color="auto"/>
            <w:right w:val="none" w:sz="0" w:space="0" w:color="auto"/>
          </w:divBdr>
        </w:div>
        <w:div w:id="9453225">
          <w:marLeft w:val="0"/>
          <w:marRight w:val="0"/>
          <w:marTop w:val="0"/>
          <w:marBottom w:val="0"/>
          <w:divBdr>
            <w:top w:val="none" w:sz="0" w:space="0" w:color="auto"/>
            <w:left w:val="none" w:sz="0" w:space="0" w:color="auto"/>
            <w:bottom w:val="none" w:sz="0" w:space="0" w:color="auto"/>
            <w:right w:val="none" w:sz="0" w:space="0" w:color="auto"/>
          </w:divBdr>
        </w:div>
        <w:div w:id="194426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66F6-9041-45CE-AF03-8F4DC17E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7000</Words>
  <Characters>39902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KeeleUni</cp:lastModifiedBy>
  <cp:revision>2</cp:revision>
  <cp:lastPrinted>2017-10-17T09:40:00Z</cp:lastPrinted>
  <dcterms:created xsi:type="dcterms:W3CDTF">2017-10-17T10:07:00Z</dcterms:created>
  <dcterms:modified xsi:type="dcterms:W3CDTF">2017-10-17T10:07:00Z</dcterms:modified>
</cp:coreProperties>
</file>